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版本号：N510115202600003020260421001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成都市温江区退役军人事务局优抚安置服务项目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N5101152026000030</w:t>
      </w:r>
    </w:p>
    <w:p>
      <w:pPr>
        <w:pStyle w:val="null3"/>
        <w:jc w:val="center"/>
        <w:outlineLvl w:val="2"/>
      </w:pPr>
      <w:r>
        <w:rPr>
          <w:rFonts w:ascii="仿宋_GB2312" w:hAnsi="仿宋_GB2312" w:cs="仿宋_GB2312" w:eastAsia="仿宋_GB2312"/>
          <w:sz w:val="28"/>
          <w:b/>
        </w:rPr>
        <w:t>成都市温江区退役军人事务局本级</w:t>
      </w:r>
    </w:p>
    <w:p>
      <w:pPr>
        <w:pStyle w:val="null3"/>
        <w:jc w:val="center"/>
        <w:outlineLvl w:val="2"/>
      </w:pPr>
      <w:r>
        <w:rPr>
          <w:rFonts w:ascii="仿宋_GB2312" w:hAnsi="仿宋_GB2312" w:cs="仿宋_GB2312" w:eastAsia="仿宋_GB2312"/>
          <w:sz w:val="28"/>
          <w:b/>
        </w:rPr>
        <w:t>四川光华政招工程管理有限公司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四川光华政招工程管理有限公司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成都市温江区退役军人事务局本级</w:t>
      </w:r>
      <w:r>
        <w:rPr>
          <w:rFonts w:ascii="仿宋_GB2312" w:hAnsi="仿宋_GB2312" w:cs="仿宋_GB2312" w:eastAsia="仿宋_GB2312"/>
        </w:rPr>
        <w:t xml:space="preserve"> 委托，拟对 </w:t>
      </w:r>
      <w:r>
        <w:rPr>
          <w:rFonts w:ascii="仿宋_GB2312" w:hAnsi="仿宋_GB2312" w:cs="仿宋_GB2312" w:eastAsia="仿宋_GB2312"/>
        </w:rPr>
        <w:t>成都市温江区退役军人事务局优抚安置服务项目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成都市温江区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N5101152026000030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成都市温江区退役军人事务局优抚安置服务项目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成都市温江区退役军人事务局拟采购1名供应商为成都市温江区退役军人事务局优抚安置服务项目提供服务。本项目1个包。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成都市温江区退役军人事务局本级</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四川省成都市温江区南熏大道三段812号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028-82749687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四川光华政招工程管理有限公司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四川省成都市温江区政通西路299号3栋附301号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028-82707206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代理服务费收费标准：按照成本支出加合理利润的原则收取，采购代理服务费15000元。 公司名称：四川光华政招工程管理有限公司 开户银行：中国民生银行股份有限公司温江支行 账户号码：635141411</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成都市温江区退役军人事务局本级</w:t>
      </w:r>
      <w:r>
        <w:rPr>
          <w:rFonts w:ascii="仿宋_GB2312" w:hAnsi="仿宋_GB2312" w:cs="仿宋_GB2312" w:eastAsia="仿宋_GB2312"/>
        </w:rPr>
        <w:t xml:space="preserve"> 和 </w:t>
      </w:r>
      <w:r>
        <w:rPr>
          <w:rFonts w:ascii="仿宋_GB2312" w:hAnsi="仿宋_GB2312" w:cs="仿宋_GB2312" w:eastAsia="仿宋_GB2312"/>
        </w:rPr>
        <w:t>四川光华政招工程管理有限公司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成都市温江区退役军人事务局本级</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四川光华政招工程管理有限公司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本项目服务期满，投标人提出验收申请后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供应商与采购人应严格按照《财政部关于进一步加强政府采购需求和履约验收管理的指导意见》（财库〔2016〕205号）以及《政府采购需求管理办法》（财库〔2021〕22号）的要求进行验收。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成都市温江区退役军人事务局本级</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四川光华政招工程管理有限公司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四川光华政招工程管理有限公司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联系电话：028-82749687</w:t>
      </w:r>
    </w:p>
    <w:p>
      <w:pPr>
        <w:pStyle w:val="null3"/>
        <w:jc w:val="left"/>
      </w:pPr>
      <w:r>
        <w:rPr>
          <w:rFonts w:ascii="仿宋_GB2312" w:hAnsi="仿宋_GB2312" w:cs="仿宋_GB2312" w:eastAsia="仿宋_GB2312"/>
        </w:rPr>
        <w:t>地址：四川省成都市温江区南熏大道三段812号</w:t>
      </w:r>
    </w:p>
    <w:p>
      <w:pPr>
        <w:pStyle w:val="null3"/>
        <w:jc w:val="left"/>
      </w:pPr>
      <w:r>
        <w:rPr>
          <w:rFonts w:ascii="仿宋_GB2312" w:hAnsi="仿宋_GB2312" w:cs="仿宋_GB2312" w:eastAsia="仿宋_GB2312"/>
        </w:rPr>
        <w:t>邮编：611130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联系电话：028-82707206</w:t>
      </w:r>
    </w:p>
    <w:p>
      <w:pPr>
        <w:pStyle w:val="null3"/>
        <w:jc w:val="left"/>
      </w:pPr>
      <w:r>
        <w:rPr>
          <w:rFonts w:ascii="仿宋_GB2312" w:hAnsi="仿宋_GB2312" w:cs="仿宋_GB2312" w:eastAsia="仿宋_GB2312"/>
        </w:rPr>
        <w:t>地址：成都市温江区柳城街道政通西路299号丽阳星座（商业）3号楼三楼301室</w:t>
      </w:r>
    </w:p>
    <w:p>
      <w:pPr>
        <w:pStyle w:val="null3"/>
        <w:jc w:val="left"/>
      </w:pPr>
      <w:r>
        <w:rPr>
          <w:rFonts w:ascii="仿宋_GB2312" w:hAnsi="仿宋_GB2312" w:cs="仿宋_GB2312" w:eastAsia="仿宋_GB2312"/>
        </w:rPr>
        <w:t>邮编：611130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C05010700 优抚安置服务</w:t>
            </w:r>
          </w:p>
        </w:tc>
        <w:tc>
          <w:tcPr>
            <w:tcW w:type="dxa" w:w="821"/>
          </w:tcPr>
          <w:p>
            <w:pPr>
              <w:pStyle w:val="null3"/>
              <w:jc w:val="left"/>
            </w:pPr>
            <w:r>
              <w:rPr>
                <w:rFonts w:ascii="仿宋_GB2312" w:hAnsi="仿宋_GB2312" w:cs="仿宋_GB2312" w:eastAsia="仿宋_GB2312"/>
              </w:rPr>
              <w:t>成都市温江区退役军人事务局优抚安置服务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成都市温江区退役军人事务局优抚安置服务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标的名称：成都市温江区退役军人事务局优抚安置服务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12"/>
              <w:jc w:val="both"/>
            </w:pPr>
            <w:r>
              <w:rPr>
                <w:rFonts w:ascii="仿宋_GB2312" w:hAnsi="仿宋_GB2312" w:cs="仿宋_GB2312" w:eastAsia="仿宋_GB2312"/>
              </w:rPr>
              <w:t>一、服务范围</w:t>
            </w:r>
          </w:p>
          <w:p>
            <w:pPr>
              <w:pStyle w:val="null3"/>
              <w:ind w:firstLine="412"/>
              <w:jc w:val="both"/>
            </w:pPr>
            <w:r>
              <w:rPr>
                <w:rFonts w:ascii="仿宋_GB2312" w:hAnsi="仿宋_GB2312" w:cs="仿宋_GB2312" w:eastAsia="仿宋_GB2312"/>
              </w:rPr>
              <w:t>为成都市温江区退役军人服务中心提供专业化优抚安置综合服务。主要承担办事群众接待引导、业务咨询、取号分流、设备操作辅导、表单填写协助等前台受理服务；提供区级退役军人服务事项全程帮办代办及线上线下一体化服务；依托退役军人服务平台，以“互联网+退役军人服务”模式，开展政策宣传、就业创业指导、困难帮扶、心理疏导、法律援助等专项服务；负责服务资料归集整理、台账规范建立、数据动态更新与维护等工作。</w:t>
            </w:r>
          </w:p>
          <w:p>
            <w:pPr>
              <w:pStyle w:val="null3"/>
              <w:ind w:firstLine="412"/>
              <w:jc w:val="both"/>
            </w:pPr>
            <w:r>
              <w:rPr>
                <w:rFonts w:ascii="仿宋_GB2312" w:hAnsi="仿宋_GB2312" w:cs="仿宋_GB2312" w:eastAsia="仿宋_GB2312"/>
              </w:rPr>
              <w:t>二、服务标准：满足本项目服务内容及要求。</w:t>
            </w:r>
          </w:p>
          <w:p>
            <w:pPr>
              <w:pStyle w:val="null3"/>
              <w:ind w:firstLine="412"/>
              <w:jc w:val="both"/>
            </w:pPr>
            <w:r>
              <w:rPr>
                <w:rFonts w:ascii="仿宋_GB2312" w:hAnsi="仿宋_GB2312" w:cs="仿宋_GB2312" w:eastAsia="仿宋_GB2312"/>
              </w:rPr>
              <w:t>三、服务内容及要求</w:t>
            </w:r>
          </w:p>
          <w:p>
            <w:pPr>
              <w:pStyle w:val="null3"/>
              <w:ind w:firstLine="412"/>
              <w:jc w:val="both"/>
            </w:pPr>
            <w:r>
              <w:rPr>
                <w:rFonts w:ascii="仿宋_GB2312" w:hAnsi="仿宋_GB2312" w:cs="仿宋_GB2312" w:eastAsia="仿宋_GB2312"/>
              </w:rPr>
              <w:t>（一）服务内容</w:t>
            </w:r>
          </w:p>
          <w:p>
            <w:pPr>
              <w:pStyle w:val="null3"/>
              <w:ind w:firstLine="412"/>
              <w:jc w:val="both"/>
            </w:pPr>
            <w:r>
              <w:rPr>
                <w:rFonts w:ascii="仿宋_GB2312" w:hAnsi="仿宋_GB2312" w:cs="仿宋_GB2312" w:eastAsia="仿宋_GB2312"/>
              </w:rPr>
              <w:t>1.严格按照退役军人服务标准，提供退役军人及其他优抚对象各类政策咨询、业务解答；做好来访接待、路径引导、自助终端操作辅导、取号协助等“一站式”导办服务。</w:t>
            </w:r>
          </w:p>
          <w:p>
            <w:pPr>
              <w:pStyle w:val="null3"/>
              <w:ind w:firstLine="412"/>
              <w:jc w:val="both"/>
            </w:pPr>
            <w:r>
              <w:rPr>
                <w:rFonts w:ascii="仿宋_GB2312" w:hAnsi="仿宋_GB2312" w:cs="仿宋_GB2312" w:eastAsia="仿宋_GB2312"/>
              </w:rPr>
              <w:t>2.负责前端接待、人员分流与秩序维护，耐心细致解答疑问，优化办事流程，提升退役军人及家属办事体验感与满意度。</w:t>
            </w:r>
          </w:p>
          <w:p>
            <w:pPr>
              <w:pStyle w:val="null3"/>
              <w:ind w:firstLine="412"/>
              <w:jc w:val="both"/>
            </w:pPr>
            <w:r>
              <w:rPr>
                <w:rFonts w:ascii="仿宋_GB2312" w:hAnsi="仿宋_GB2312" w:cs="仿宋_GB2312" w:eastAsia="仿宋_GB2312"/>
              </w:rPr>
              <w:t>3.规范开展服务资料收集、分类、归档，建立健全工作台账，实现数据及时更新、精准维护、安全管理。</w:t>
            </w:r>
          </w:p>
          <w:p>
            <w:pPr>
              <w:pStyle w:val="null3"/>
              <w:ind w:firstLine="412"/>
              <w:jc w:val="both"/>
            </w:pPr>
            <w:r>
              <w:rPr>
                <w:rFonts w:ascii="仿宋_GB2312" w:hAnsi="仿宋_GB2312" w:cs="仿宋_GB2312" w:eastAsia="仿宋_GB2312"/>
              </w:rPr>
              <w:t>4.梳理中心入驻事项清单与业务流程，形成清晰导办指引。收集、归纳、分析高频咨询问题，持续完善退役军人服务咨询知识库。</w:t>
            </w:r>
          </w:p>
          <w:p>
            <w:pPr>
              <w:pStyle w:val="null3"/>
              <w:ind w:firstLine="412"/>
              <w:jc w:val="both"/>
            </w:pPr>
            <w:r>
              <w:rPr>
                <w:rFonts w:ascii="仿宋_GB2312" w:hAnsi="仿宋_GB2312" w:cs="仿宋_GB2312" w:eastAsia="仿宋_GB2312"/>
              </w:rPr>
              <w:t>5.协助运用基层服务平台，开展政策宣讲、就业指导、帮扶解困、心理疏导、法律援助等服务。</w:t>
            </w:r>
          </w:p>
          <w:p>
            <w:pPr>
              <w:pStyle w:val="null3"/>
              <w:ind w:firstLine="412"/>
              <w:jc w:val="both"/>
            </w:pPr>
            <w:r>
              <w:rPr>
                <w:rFonts w:ascii="仿宋_GB2312" w:hAnsi="仿宋_GB2312" w:cs="仿宋_GB2312" w:eastAsia="仿宋_GB2312"/>
              </w:rPr>
              <w:t>6.常态化开展服务礼仪、行为规范、政策流程、系统操作、廉洁纪律、应急处置等培训。</w:t>
            </w:r>
          </w:p>
          <w:p>
            <w:pPr>
              <w:pStyle w:val="null3"/>
              <w:ind w:firstLine="412"/>
              <w:jc w:val="both"/>
            </w:pPr>
            <w:r>
              <w:rPr>
                <w:rFonts w:ascii="仿宋_GB2312" w:hAnsi="仿宋_GB2312" w:cs="仿宋_GB2312" w:eastAsia="仿宋_GB2312"/>
              </w:rPr>
              <w:t>7.参与服务大厅突发事件应急演练，熟练处置现场突发情况。</w:t>
            </w:r>
          </w:p>
          <w:p>
            <w:pPr>
              <w:pStyle w:val="null3"/>
              <w:ind w:firstLine="412"/>
              <w:jc w:val="both"/>
            </w:pPr>
            <w:r>
              <w:rPr>
                <w:rFonts w:ascii="仿宋_GB2312" w:hAnsi="仿宋_GB2312" w:cs="仿宋_GB2312" w:eastAsia="仿宋_GB2312"/>
              </w:rPr>
              <w:t>8.开展日常巡查，维护窗口秩序、工作纪律、环境卫生及设施设备正常运行，及时排查安全隐患并上报。</w:t>
            </w:r>
          </w:p>
          <w:p>
            <w:pPr>
              <w:pStyle w:val="null3"/>
              <w:ind w:firstLine="412"/>
              <w:jc w:val="both"/>
            </w:pPr>
            <w:r>
              <w:rPr>
                <w:rFonts w:ascii="仿宋_GB2312" w:hAnsi="仿宋_GB2312" w:cs="仿宋_GB2312" w:eastAsia="仿宋_GB2312"/>
              </w:rPr>
              <w:t>（二）分项内容</w:t>
            </w:r>
          </w:p>
          <w:p>
            <w:pPr>
              <w:pStyle w:val="null3"/>
              <w:ind w:firstLine="412"/>
              <w:jc w:val="both"/>
            </w:pPr>
            <w:r>
              <w:rPr>
                <w:rFonts w:ascii="仿宋_GB2312" w:hAnsi="仿宋_GB2312" w:cs="仿宋_GB2312" w:eastAsia="仿宋_GB2312"/>
              </w:rPr>
              <w:t>1.前台导办服务：负责退役军人及优抚对象来访接待、取号引导、路径指引、自助服务终端操作指导；提供政策咨询、业务解答、“一站式”导办服务；做好人员分流、现场秩序维护，提升办事便利度与满意度。</w:t>
            </w:r>
          </w:p>
          <w:p>
            <w:pPr>
              <w:pStyle w:val="null3"/>
              <w:ind w:firstLine="412"/>
              <w:jc w:val="both"/>
            </w:pPr>
            <w:r>
              <w:rPr>
                <w:rFonts w:ascii="仿宋_GB2312" w:hAnsi="仿宋_GB2312" w:cs="仿宋_GB2312" w:eastAsia="仿宋_GB2312"/>
              </w:rPr>
              <w:t>2.业务协办</w:t>
            </w:r>
            <w:r>
              <w:rPr>
                <w:rFonts w:ascii="仿宋_GB2312" w:hAnsi="仿宋_GB2312" w:cs="仿宋_GB2312" w:eastAsia="仿宋_GB2312"/>
              </w:rPr>
              <w:t>服务</w:t>
            </w:r>
            <w:r>
              <w:rPr>
                <w:rFonts w:ascii="仿宋_GB2312" w:hAnsi="仿宋_GB2312" w:cs="仿宋_GB2312" w:eastAsia="仿宋_GB2312"/>
              </w:rPr>
              <w:t>：负责服务资料收集、初审、分类、整理、归档；规范建立工作台账，做好信息录入、数据更新、精准维护及安全管理；协助表单填写、业务申报、进度查询、结果送达等全流程协办服务。</w:t>
            </w:r>
          </w:p>
          <w:p>
            <w:pPr>
              <w:pStyle w:val="null3"/>
              <w:ind w:firstLine="412"/>
              <w:jc w:val="both"/>
            </w:pPr>
            <w:r>
              <w:rPr>
                <w:rFonts w:ascii="仿宋_GB2312" w:hAnsi="仿宋_GB2312" w:cs="仿宋_GB2312" w:eastAsia="仿宋_GB2312"/>
              </w:rPr>
              <w:t>3.专项服务</w:t>
            </w:r>
            <w:r>
              <w:rPr>
                <w:rFonts w:ascii="仿宋_GB2312" w:hAnsi="仿宋_GB2312" w:cs="仿宋_GB2312" w:eastAsia="仿宋_GB2312"/>
              </w:rPr>
              <w:t>服务</w:t>
            </w:r>
            <w:r>
              <w:rPr>
                <w:rFonts w:ascii="仿宋_GB2312" w:hAnsi="仿宋_GB2312" w:cs="仿宋_GB2312" w:eastAsia="仿宋_GB2312"/>
              </w:rPr>
              <w:t>：协助开展政策宣传、就业创业指导、帮扶解困、心理疏导、法律援助、权益保障等专项服务；配合运用基层服务平台落实相关业务，参与服务活动组织实施。</w:t>
            </w:r>
          </w:p>
          <w:p>
            <w:pPr>
              <w:pStyle w:val="null3"/>
              <w:ind w:firstLine="412"/>
              <w:jc w:val="both"/>
            </w:pPr>
            <w:r>
              <w:rPr>
                <w:rFonts w:ascii="仿宋_GB2312" w:hAnsi="仿宋_GB2312" w:cs="仿宋_GB2312" w:eastAsia="仿宋_GB2312"/>
              </w:rPr>
              <w:t>4.流程运维</w:t>
            </w:r>
            <w:r>
              <w:rPr>
                <w:rFonts w:ascii="仿宋_GB2312" w:hAnsi="仿宋_GB2312" w:cs="仿宋_GB2312" w:eastAsia="仿宋_GB2312"/>
              </w:rPr>
              <w:t>服务</w:t>
            </w:r>
            <w:r>
              <w:rPr>
                <w:rFonts w:ascii="仿宋_GB2312" w:hAnsi="仿宋_GB2312" w:cs="仿宋_GB2312" w:eastAsia="仿宋_GB2312"/>
              </w:rPr>
              <w:t>：负责梳理中心入驻事项清单、优化业务流程，编制规范导办指引；收集汇总高频咨询问题，更新完善服务咨询知识库；配合做好流程优化与服务提质工作。</w:t>
            </w:r>
          </w:p>
          <w:p>
            <w:pPr>
              <w:pStyle w:val="null3"/>
              <w:ind w:firstLine="412"/>
              <w:jc w:val="both"/>
            </w:pPr>
            <w:r>
              <w:rPr>
                <w:rFonts w:ascii="仿宋_GB2312" w:hAnsi="仿宋_GB2312" w:cs="仿宋_GB2312" w:eastAsia="仿宋_GB2312"/>
              </w:rPr>
              <w:t>5. 辅助保障</w:t>
            </w:r>
            <w:r>
              <w:rPr>
                <w:rFonts w:ascii="仿宋_GB2312" w:hAnsi="仿宋_GB2312" w:cs="仿宋_GB2312" w:eastAsia="仿宋_GB2312"/>
              </w:rPr>
              <w:t>服务</w:t>
            </w:r>
            <w:r>
              <w:rPr>
                <w:rFonts w:ascii="仿宋_GB2312" w:hAnsi="仿宋_GB2312" w:cs="仿宋_GB2312" w:eastAsia="仿宋_GB2312"/>
              </w:rPr>
              <w:t>：负责大厅日常运行巡查、服务环境维护；协助检查自助终端、业务系统等设备运行状态；监督窗口服务规范、工作纪律执行情况；配合开展应急处置，保障大厅服务有序、规范开展。</w:t>
            </w:r>
          </w:p>
          <w:p>
            <w:pPr>
              <w:pStyle w:val="null3"/>
              <w:ind w:firstLine="412"/>
              <w:jc w:val="both"/>
            </w:pPr>
            <w:r>
              <w:rPr>
                <w:rFonts w:ascii="仿宋_GB2312" w:hAnsi="仿宋_GB2312" w:cs="仿宋_GB2312" w:eastAsia="仿宋_GB2312"/>
              </w:rPr>
              <w:t>6. 综合管理</w:t>
            </w:r>
            <w:r>
              <w:rPr>
                <w:rFonts w:ascii="仿宋_GB2312" w:hAnsi="仿宋_GB2312" w:cs="仿宋_GB2312" w:eastAsia="仿宋_GB2312"/>
              </w:rPr>
              <w:t>服务</w:t>
            </w:r>
            <w:r>
              <w:rPr>
                <w:rFonts w:ascii="仿宋_GB2312" w:hAnsi="仿宋_GB2312" w:cs="仿宋_GB2312" w:eastAsia="仿宋_GB2312"/>
              </w:rPr>
              <w:t>：负责项目整体统筹、人员排班、培训组织、请销假管理、服务质量监督与考核；协调处理复杂事项、重大诉求及突发情况；推动各项工作任务落实办好。</w:t>
            </w:r>
          </w:p>
          <w:p>
            <w:pPr>
              <w:pStyle w:val="null3"/>
              <w:ind w:firstLine="412"/>
              <w:jc w:val="both"/>
            </w:pPr>
            <w:r>
              <w:rPr>
                <w:rFonts w:ascii="仿宋_GB2312" w:hAnsi="仿宋_GB2312" w:cs="仿宋_GB2312" w:eastAsia="仿宋_GB2312"/>
              </w:rPr>
              <w:t>（三）服务要求</w:t>
            </w:r>
          </w:p>
          <w:p>
            <w:pPr>
              <w:pStyle w:val="null3"/>
              <w:ind w:firstLine="412"/>
              <w:jc w:val="both"/>
            </w:pPr>
            <w:r>
              <w:rPr>
                <w:rFonts w:ascii="仿宋_GB2312" w:hAnsi="仿宋_GB2312" w:cs="仿宋_GB2312" w:eastAsia="仿宋_GB2312"/>
              </w:rPr>
              <w:t>1.服务团队须熟悉退役军人事务政策、大厅运行机制，具备良好沟通协调、应急处置能力，提供专业、高效、暖心服务。</w:t>
            </w:r>
          </w:p>
          <w:p>
            <w:pPr>
              <w:pStyle w:val="null3"/>
              <w:ind w:firstLine="412"/>
              <w:jc w:val="both"/>
            </w:pPr>
            <w:r>
              <w:rPr>
                <w:rFonts w:ascii="仿宋_GB2312" w:hAnsi="仿宋_GB2312" w:cs="仿宋_GB2312" w:eastAsia="仿宋_GB2312"/>
              </w:rPr>
              <w:t>2.熟悉窗口布局、事项清单及办理流程，能提供线上线下咨询解答、取号指引、表单协助，主动解决办事堵点。</w:t>
            </w:r>
          </w:p>
          <w:p>
            <w:pPr>
              <w:pStyle w:val="null3"/>
              <w:ind w:firstLine="412"/>
              <w:jc w:val="both"/>
            </w:pPr>
            <w:r>
              <w:rPr>
                <w:rFonts w:ascii="仿宋_GB2312" w:hAnsi="仿宋_GB2312" w:cs="仿宋_GB2312" w:eastAsia="仿宋_GB2312"/>
              </w:rPr>
              <w:t>3.负责诉求受理、登记、转办、跟踪、回访，实现闭环管理，提升服务对象满意度。</w:t>
            </w:r>
          </w:p>
          <w:p>
            <w:pPr>
              <w:pStyle w:val="null3"/>
              <w:ind w:firstLine="412"/>
              <w:jc w:val="both"/>
            </w:pPr>
            <w:r>
              <w:rPr>
                <w:rFonts w:ascii="仿宋_GB2312" w:hAnsi="仿宋_GB2312" w:cs="仿宋_GB2312" w:eastAsia="仿宋_GB2312"/>
              </w:rPr>
              <w:t>4.提供全程帮办、代办、陪办服务，协助完成材料准备、系统申报、进度查询等全流程服务。</w:t>
            </w:r>
          </w:p>
          <w:p>
            <w:pPr>
              <w:pStyle w:val="null3"/>
              <w:ind w:firstLine="412"/>
              <w:jc w:val="both"/>
            </w:pPr>
            <w:r>
              <w:rPr>
                <w:rFonts w:ascii="仿宋_GB2312" w:hAnsi="仿宋_GB2312" w:cs="仿宋_GB2312" w:eastAsia="仿宋_GB2312"/>
              </w:rPr>
              <w:t>5.遵守服务礼仪、行为规范、廉洁纪律与工作纪律，主动靠前服务，保持大厅规范有序运行。</w:t>
            </w:r>
          </w:p>
          <w:p>
            <w:pPr>
              <w:pStyle w:val="null3"/>
              <w:ind w:firstLine="412"/>
              <w:jc w:val="both"/>
            </w:pPr>
            <w:r>
              <w:rPr>
                <w:rFonts w:ascii="仿宋_GB2312" w:hAnsi="仿宋_GB2312" w:cs="仿宋_GB2312" w:eastAsia="仿宋_GB2312"/>
              </w:rPr>
              <w:t>6.按时参加培训与演练，不断提升业务能力、服务水平和应急处置能力。</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12"/>
              <w:jc w:val="both"/>
            </w:pPr>
            <w:r>
              <w:rPr>
                <w:rFonts w:ascii="仿宋_GB2312" w:hAnsi="仿宋_GB2312" w:cs="仿宋_GB2312" w:eastAsia="仿宋_GB2312"/>
              </w:rPr>
              <w:t>成交供应商在履行合同过程中给采购方或任何第三方造成损失或侵害，包括但不限于采购方或任何第三方的人身、财产损失等，由此面导致的采购方对任何第三方的法律责任等，成交供应商对此应承担全部的赔偿责任。（单独提供承诺函，格式自拟，并进行电子签章）</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w:t>
            </w:r>
          </w:p>
        </w:tc>
        <w:tc>
          <w:tcPr>
            <w:tcW w:type="dxa" w:w="5814"/>
          </w:tcPr>
          <w:p>
            <w:pPr>
              <w:pStyle w:val="null3"/>
              <w:jc w:val="both"/>
            </w:pPr>
            <w:r>
              <w:rPr>
                <w:rFonts w:ascii="仿宋_GB2312" w:hAnsi="仿宋_GB2312" w:cs="仿宋_GB2312" w:eastAsia="仿宋_GB2312"/>
              </w:rPr>
              <w:t>一、考核说明</w:t>
            </w:r>
          </w:p>
          <w:p>
            <w:pPr>
              <w:pStyle w:val="null3"/>
              <w:jc w:val="both"/>
            </w:pPr>
            <w:r>
              <w:rPr>
                <w:rFonts w:ascii="仿宋_GB2312" w:hAnsi="仿宋_GB2312" w:cs="仿宋_GB2312" w:eastAsia="仿宋_GB2312"/>
              </w:rPr>
              <w:t>1. 考核周期：按6个月考核一次；考核结果作为合同付款依据。</w:t>
            </w:r>
          </w:p>
          <w:p>
            <w:pPr>
              <w:pStyle w:val="null3"/>
              <w:jc w:val="both"/>
            </w:pPr>
            <w:r>
              <w:rPr>
                <w:rFonts w:ascii="仿宋_GB2312" w:hAnsi="仿宋_GB2312" w:cs="仿宋_GB2312" w:eastAsia="仿宋_GB2312"/>
              </w:rPr>
              <w:t>2. 考核运用：考核分数≥80分的为优秀，按合同应付金额的100%支付款项，考核分数70-79为合格，按合同应付金额的95%支付款项。服务期满后，按两次考核分数的平均分≥80分，续签下一年合同。</w:t>
            </w:r>
          </w:p>
          <w:tbl>
            <w:tblPr>
              <w:tblInd w:type="dxa" w:w="30"/>
              <w:tblBorders>
                <w:top w:val="none" w:color="000000" w:sz="4"/>
                <w:left w:val="none" w:color="000000" w:sz="4"/>
                <w:bottom w:val="none" w:color="000000" w:sz="4"/>
                <w:right w:val="none" w:color="000000" w:sz="4"/>
                <w:insideH w:val="none"/>
                <w:insideV w:val="none"/>
              </w:tblBorders>
            </w:tblPr>
            <w:tblGrid>
              <w:gridCol w:w="411"/>
              <w:gridCol w:w="648"/>
              <w:gridCol w:w="1926"/>
              <w:gridCol w:w="378"/>
              <w:gridCol w:w="1834"/>
              <w:gridCol w:w="389"/>
            </w:tblGrid>
            <w:tr>
              <w:tc>
                <w:tcPr>
                  <w:tcW w:type="dxa" w:w="411"/>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序号</w:t>
                  </w:r>
                </w:p>
              </w:tc>
              <w:tc>
                <w:tcPr>
                  <w:tcW w:type="dxa" w:w="648"/>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考核模块</w:t>
                  </w:r>
                </w:p>
              </w:tc>
              <w:tc>
                <w:tcPr>
                  <w:tcW w:type="dxa" w:w="1926"/>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考核内容</w:t>
                  </w:r>
                </w:p>
              </w:tc>
              <w:tc>
                <w:tcPr>
                  <w:tcW w:type="dxa" w:w="378"/>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分值</w:t>
                  </w:r>
                </w:p>
              </w:tc>
              <w:tc>
                <w:tcPr>
                  <w:tcW w:type="dxa" w:w="1834"/>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评分标准</w:t>
                  </w:r>
                </w:p>
              </w:tc>
              <w:tc>
                <w:tcPr>
                  <w:tcW w:type="dxa" w:w="389"/>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备注</w:t>
                  </w:r>
                </w:p>
              </w:tc>
            </w:tr>
            <w:tr>
              <w:tc>
                <w:tcPr>
                  <w:tcW w:type="dxa" w:w="4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1</w:t>
                  </w:r>
                </w:p>
              </w:tc>
              <w:tc>
                <w:tcPr>
                  <w:tcW w:type="dxa" w:w="64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前台导办服务</w:t>
                  </w:r>
                  <w:r>
                    <w:rPr>
                      <w:rFonts w:ascii="仿宋_GB2312" w:hAnsi="仿宋_GB2312" w:cs="仿宋_GB2312" w:eastAsia="仿宋_GB2312"/>
                      <w:sz w:val="19"/>
                    </w:rPr>
                    <w:t>（20 分）</w:t>
                  </w:r>
                </w:p>
              </w:tc>
              <w:tc>
                <w:tcPr>
                  <w:tcW w:type="dxa" w:w="19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19"/>
                    </w:rPr>
                    <w:t>1. 来访接待、取号分流、路径指引规范2. 自助终端操作辅导、表单协助3. 政策咨询解答准确、态度耐心4. 现场秩序维护、无投诉纠纷</w:t>
                  </w:r>
                </w:p>
              </w:tc>
              <w:tc>
                <w:tcPr>
                  <w:tcW w:type="dxa" w:w="37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20</w:t>
                  </w:r>
                </w:p>
              </w:tc>
              <w:tc>
                <w:tcPr>
                  <w:tcW w:type="dxa" w:w="183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19"/>
                    </w:rPr>
                    <w:t>1. 未按规范接待：每次扣 2 分2. 咨询解答错误：每次扣 3 分3. 现场秩序混乱：每次扣 5 分4. 有效投诉 1 起：扣 10 分</w:t>
                  </w:r>
                </w:p>
              </w:tc>
              <w:tc>
                <w:tcPr>
                  <w:tcW w:type="dxa" w:w="38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 xml:space="preserve"> </w:t>
                  </w:r>
                </w:p>
              </w:tc>
            </w:tr>
            <w:tr>
              <w:tc>
                <w:tcPr>
                  <w:tcW w:type="dxa" w:w="4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2</w:t>
                  </w:r>
                </w:p>
              </w:tc>
              <w:tc>
                <w:tcPr>
                  <w:tcW w:type="dxa" w:w="64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业务协办与档案</w:t>
                  </w:r>
                  <w:r>
                    <w:rPr>
                      <w:rFonts w:ascii="仿宋_GB2312" w:hAnsi="仿宋_GB2312" w:cs="仿宋_GB2312" w:eastAsia="仿宋_GB2312"/>
                      <w:sz w:val="19"/>
                    </w:rPr>
                    <w:t>（20 分）</w:t>
                  </w:r>
                </w:p>
              </w:tc>
              <w:tc>
                <w:tcPr>
                  <w:tcW w:type="dxa" w:w="19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19"/>
                    </w:rPr>
                    <w:t>1. 资料收集、初审、分类、归档规范2. 台账建立完整、数据更新及时3. 信息录入准确、无遗漏错漏4. 协办全流程服务到位</w:t>
                  </w:r>
                </w:p>
              </w:tc>
              <w:tc>
                <w:tcPr>
                  <w:tcW w:type="dxa" w:w="37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20</w:t>
                  </w:r>
                </w:p>
              </w:tc>
              <w:tc>
                <w:tcPr>
                  <w:tcW w:type="dxa" w:w="183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19"/>
                    </w:rPr>
                    <w:t>1. 资料缺失 / 归档混乱：每次扣 3 分2. 台账不规范 / 数据错误：每次扣 4 分3. 协办不到位被投诉：每次扣 5 分</w:t>
                  </w:r>
                </w:p>
              </w:tc>
              <w:tc>
                <w:tcPr>
                  <w:tcW w:type="dxa" w:w="38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 xml:space="preserve"> </w:t>
                  </w:r>
                </w:p>
              </w:tc>
            </w:tr>
            <w:tr>
              <w:tc>
                <w:tcPr>
                  <w:tcW w:type="dxa" w:w="4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3</w:t>
                  </w:r>
                </w:p>
              </w:tc>
              <w:tc>
                <w:tcPr>
                  <w:tcW w:type="dxa" w:w="64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专项服务落实</w:t>
                  </w:r>
                  <w:r>
                    <w:rPr>
                      <w:rFonts w:ascii="仿宋_GB2312" w:hAnsi="仿宋_GB2312" w:cs="仿宋_GB2312" w:eastAsia="仿宋_GB2312"/>
                      <w:sz w:val="19"/>
                    </w:rPr>
                    <w:t>（20 分）</w:t>
                  </w:r>
                </w:p>
              </w:tc>
              <w:tc>
                <w:tcPr>
                  <w:tcW w:type="dxa" w:w="19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19"/>
                    </w:rPr>
                    <w:t>1. 政策宣传、就业指导、帮扶解困2. 心理疏导、法律援助、权益保障3. 服务平台运用、活动组织执行4. 专项服务记录完整</w:t>
                  </w:r>
                </w:p>
              </w:tc>
              <w:tc>
                <w:tcPr>
                  <w:tcW w:type="dxa" w:w="37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20</w:t>
                  </w:r>
                </w:p>
              </w:tc>
              <w:tc>
                <w:tcPr>
                  <w:tcW w:type="dxa" w:w="183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19"/>
                    </w:rPr>
                    <w:t>1. 专项服务未开展：每项扣 5 分2. 服务记录缺失：每次扣 3 分3. 服务对象不满意：每次扣 4 分</w:t>
                  </w:r>
                </w:p>
              </w:tc>
              <w:tc>
                <w:tcPr>
                  <w:tcW w:type="dxa" w:w="38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 xml:space="preserve"> </w:t>
                  </w:r>
                </w:p>
              </w:tc>
            </w:tr>
            <w:tr>
              <w:tc>
                <w:tcPr>
                  <w:tcW w:type="dxa" w:w="4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4</w:t>
                  </w:r>
                </w:p>
              </w:tc>
              <w:tc>
                <w:tcPr>
                  <w:tcW w:type="dxa" w:w="64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流程运维与提质</w:t>
                  </w:r>
                  <w:r>
                    <w:rPr>
                      <w:rFonts w:ascii="仿宋_GB2312" w:hAnsi="仿宋_GB2312" w:cs="仿宋_GB2312" w:eastAsia="仿宋_GB2312"/>
                      <w:sz w:val="19"/>
                    </w:rPr>
                    <w:t>（15 分）</w:t>
                  </w:r>
                </w:p>
              </w:tc>
              <w:tc>
                <w:tcPr>
                  <w:tcW w:type="dxa" w:w="19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19"/>
                    </w:rPr>
                    <w:t>1. 事项清单梳理、流程优化2. 导办指引编制、更新及时3. 高频问题汇总、知识库完善</w:t>
                  </w:r>
                </w:p>
              </w:tc>
              <w:tc>
                <w:tcPr>
                  <w:tcW w:type="dxa" w:w="37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15</w:t>
                  </w:r>
                </w:p>
              </w:tc>
              <w:tc>
                <w:tcPr>
                  <w:tcW w:type="dxa" w:w="183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19"/>
                    </w:rPr>
                    <w:t>1. 未按时梳理流程：扣 5 分2. 指引 / 知识库未更新：扣 3-5 分</w:t>
                  </w:r>
                </w:p>
              </w:tc>
              <w:tc>
                <w:tcPr>
                  <w:tcW w:type="dxa" w:w="38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 xml:space="preserve"> </w:t>
                  </w:r>
                </w:p>
              </w:tc>
            </w:tr>
            <w:tr>
              <w:tc>
                <w:tcPr>
                  <w:tcW w:type="dxa" w:w="4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5</w:t>
                  </w:r>
                </w:p>
              </w:tc>
              <w:tc>
                <w:tcPr>
                  <w:tcW w:type="dxa" w:w="64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大厅保障与运维</w:t>
                  </w:r>
                  <w:r>
                    <w:rPr>
                      <w:rFonts w:ascii="仿宋_GB2312" w:hAnsi="仿宋_GB2312" w:cs="仿宋_GB2312" w:eastAsia="仿宋_GB2312"/>
                      <w:sz w:val="19"/>
                    </w:rPr>
                    <w:t>（10 分）</w:t>
                  </w:r>
                </w:p>
              </w:tc>
              <w:tc>
                <w:tcPr>
                  <w:tcW w:type="dxa" w:w="19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19"/>
                    </w:rPr>
                    <w:t>1. 日常巡查、环境整洁、设备正常2. 安全隐患排查上报及时3. 窗口纪律监督、应急配合</w:t>
                  </w:r>
                </w:p>
              </w:tc>
              <w:tc>
                <w:tcPr>
                  <w:tcW w:type="dxa" w:w="37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10</w:t>
                  </w:r>
                </w:p>
              </w:tc>
              <w:tc>
                <w:tcPr>
                  <w:tcW w:type="dxa" w:w="183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19"/>
                    </w:rPr>
                    <w:t>1. 环境 / 设备问题未上报：每次扣 2 分2. 应急配合不到位：每次扣 5 分</w:t>
                  </w:r>
                </w:p>
              </w:tc>
              <w:tc>
                <w:tcPr>
                  <w:tcW w:type="dxa" w:w="38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 xml:space="preserve"> </w:t>
                  </w:r>
                </w:p>
              </w:tc>
            </w:tr>
            <w:tr>
              <w:tc>
                <w:tcPr>
                  <w:tcW w:type="dxa" w:w="4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6</w:t>
                  </w:r>
                </w:p>
              </w:tc>
              <w:tc>
                <w:tcPr>
                  <w:tcW w:type="dxa" w:w="64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人员管理与培训</w:t>
                  </w:r>
                  <w:r>
                    <w:rPr>
                      <w:rFonts w:ascii="仿宋_GB2312" w:hAnsi="仿宋_GB2312" w:cs="仿宋_GB2312" w:eastAsia="仿宋_GB2312"/>
                      <w:sz w:val="19"/>
                    </w:rPr>
                    <w:t>（10 分）</w:t>
                  </w:r>
                </w:p>
              </w:tc>
              <w:tc>
                <w:tcPr>
                  <w:tcW w:type="dxa" w:w="19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19"/>
                    </w:rPr>
                    <w:t>1. 人员排班合理、到岗率 100%2. 培训、演练全员参与3. 服务礼仪、廉洁纪律遵守</w:t>
                  </w:r>
                </w:p>
              </w:tc>
              <w:tc>
                <w:tcPr>
                  <w:tcW w:type="dxa" w:w="37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10</w:t>
                  </w:r>
                </w:p>
              </w:tc>
              <w:tc>
                <w:tcPr>
                  <w:tcW w:type="dxa" w:w="183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19"/>
                    </w:rPr>
                    <w:t>1. 无故缺岗 / 脱岗：每次扣 2 分2. 未参加培训 / 演练：每人次扣 3 分3. 违反廉洁纪律：直接 0 分</w:t>
                  </w:r>
                </w:p>
              </w:tc>
              <w:tc>
                <w:tcPr>
                  <w:tcW w:type="dxa" w:w="38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 xml:space="preserve"> </w:t>
                  </w:r>
                </w:p>
              </w:tc>
            </w:tr>
            <w:tr>
              <w:tc>
                <w:tcPr>
                  <w:tcW w:type="dxa" w:w="4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7</w:t>
                  </w:r>
                </w:p>
              </w:tc>
              <w:tc>
                <w:tcPr>
                  <w:tcW w:type="dxa" w:w="64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诉求闭环与满意度</w:t>
                  </w:r>
                  <w:r>
                    <w:rPr>
                      <w:rFonts w:ascii="仿宋_GB2312" w:hAnsi="仿宋_GB2312" w:cs="仿宋_GB2312" w:eastAsia="仿宋_GB2312"/>
                      <w:sz w:val="19"/>
                    </w:rPr>
                    <w:t>（5 分）</w:t>
                  </w:r>
                </w:p>
              </w:tc>
              <w:tc>
                <w:tcPr>
                  <w:tcW w:type="dxa" w:w="19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19"/>
                    </w:rPr>
                    <w:t>1. 诉求受理、登记、转办、跟踪、回访闭环2. 服务对象满意度达标3. 无重大投诉、舆情</w:t>
                  </w:r>
                </w:p>
              </w:tc>
              <w:tc>
                <w:tcPr>
                  <w:tcW w:type="dxa" w:w="37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5</w:t>
                  </w:r>
                </w:p>
              </w:tc>
              <w:tc>
                <w:tcPr>
                  <w:tcW w:type="dxa" w:w="183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19"/>
                    </w:rPr>
                    <w:t>1. 未闭环：每次扣 2 分2. 随机回访10人，满分100分，平均得分小于80分或者单个得分低于70分的为不达标：扣 3 分3. 重大投诉 / 舆情：0 分</w:t>
                  </w:r>
                </w:p>
              </w:tc>
              <w:tc>
                <w:tcPr>
                  <w:tcW w:type="dxa" w:w="38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 xml:space="preserve"> </w:t>
                  </w:r>
                </w:p>
              </w:tc>
            </w:tr>
            <w:tr>
              <w:tc>
                <w:tcPr>
                  <w:tcW w:type="dxa" w:w="4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 xml:space="preserve"> </w:t>
                  </w:r>
                </w:p>
              </w:tc>
              <w:tc>
                <w:tcPr>
                  <w:tcW w:type="dxa" w:w="64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b/>
                    </w:rPr>
                    <w:t>一票否决</w:t>
                  </w:r>
                </w:p>
              </w:tc>
              <w:tc>
                <w:tcPr>
                  <w:tcW w:type="dxa" w:w="19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19"/>
                    </w:rPr>
                    <w:t>1. 发生安全责任事故2. 弄虚作假、数据造假3. 严重违反廉洁纪律 / 采购规定4. 造成不良舆情或损失</w:t>
                  </w:r>
                </w:p>
              </w:tc>
              <w:tc>
                <w:tcPr>
                  <w:tcW w:type="dxa" w:w="378"/>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19"/>
                    </w:rPr>
                    <w:t>直接 0 分</w:t>
                  </w:r>
                </w:p>
              </w:tc>
              <w:tc>
                <w:tcPr>
                  <w:tcW w:type="dxa" w:w="183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19"/>
                    </w:rPr>
                    <w:t>一票否决，终止考核</w:t>
                  </w:r>
                </w:p>
              </w:tc>
              <w:tc>
                <w:tcPr>
                  <w:tcW w:type="dxa" w:w="38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详见3.2技术要求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成都市温江区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供应商与采购人应严格按照《财政部关于进一步加强政府采购需求和履约验收管理的指导意见》（财库 〔2016〕205号）及《政府采购需求管理办法》 （财库〔2021〕22号）的要求进行验收。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1、第一笔款，签订合同后，采购人收到供应商提供的等额有效发票后，达到付款条件起10日内，支付合同总金额的50.00%</w:t>
            </w:r>
          </w:p>
          <w:p>
            <w:pPr>
              <w:pStyle w:val="null3"/>
              <w:jc w:val="left"/>
            </w:pPr>
            <w:r>
              <w:rPr>
                <w:rFonts w:ascii="仿宋_GB2312" w:hAnsi="仿宋_GB2312" w:cs="仿宋_GB2312" w:eastAsia="仿宋_GB2312"/>
              </w:rPr>
              <w:t>2、第二笔款，供应商服务6个月后，采购人收到供应商提供的等额有效发票后，达到付款条件起10日内，支付合同总金额的40.00%</w:t>
            </w:r>
          </w:p>
          <w:p>
            <w:pPr>
              <w:pStyle w:val="null3"/>
              <w:jc w:val="left"/>
            </w:pPr>
            <w:r>
              <w:rPr>
                <w:rFonts w:ascii="仿宋_GB2312" w:hAnsi="仿宋_GB2312" w:cs="仿宋_GB2312" w:eastAsia="仿宋_GB2312"/>
              </w:rPr>
              <w:t>3、第三笔款，供应商年度服务期满经采购人验收合格，采购人收到供应商提供的等额有效发票后，达到付款条件起10日内，支付合同总金额的10.00%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及供应商双方必须遵守采购合同并执行合同中的各项规定，保证采购合同的正常履行。任何一方违约给对方造成的直接损失均负有赔偿责任，对方均有权视情况要求对方继续履行合同或提出解除合同。 （2）如因供应商在履行过程中的疏忽、失职、过错等故意或者过失原因给采购人造成损失或侵害，包括但不限于采购人本身的财产损失、由此而导致的采购人对任何第三方的法律责任等，供应商对此均应承担全部的赔偿责任。 2.争议解决：在执行本合同中发生的或与本合同有关的争议，双方应通过友好协商解决，经协商不能达成一致时，应选择向采购人所在地有管辖权的法院提起诉讼，诉讼产生的一切费用应由败诉方负担。 在法院审理期间，除有争议部分外，本合同其他可以履行的部分仍应按合同条款继续履行。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1.根据第五章 评标办法“5.3.8.确定中标候选人名单”中标候选人仍然并列的不发达地区或少数民族地区的供应商推荐顺序在非不发达地区或少数民族地区的供应商之前，均为不发达地区或少数民族地区的供应商并列。（不发达地区或少数民族地区的供应商需提供属于不发达地区或少数民族地区企业的相关证明材料，或供应商注册地为少数民族地区）。2.除招标文件中的明确要求进行单独响应或提供承诺函的实质性要求外，对于其他实质性要求，投标人在《投标（响应）函》中以“我单位完全接受和理解本项目采购文件规定的实质性要求”进行承诺即视为响应。★3.因系统固化原因，磋商文件第三章“3.3.2.商务要求”中“付款进度安排”不适用于本项目，本项目“付款进度安排”以此为准：签订合同后，采购人收到供应商提供的等额有效发票后10个工作日内支付合同金额的50%；供应商服务满6个月，采购人收到供应商提供的等额有效发票后10个工作日内支付合同金额的40%；供应商年度服务期满经采购人验收合格，采购人收到供应商提供的等额有效发票后10个工作日内支付合同剩余金额。4.供应商根据本项目的内容及要求编制实施服务方案（①①咨询导办标准化服务执行②群众分流与秩序管控③业务台账建立、更新与归档④大厅服务流程梳理与优化⑤群众咨询问题收集与汇总分析⑥突发事件应急处置与演练⑦大厅日常巡查与整改⑧服务满意度收集与提升改进）、岗位管理方案（①服务团队架构与人员配置②岗位职责清单与分工③岗位服务标准与行为规范④工作人员档案建立与动态管理⑤日常工作统筹、调度与衔接⑥考勤与在岗纪律管理⑦服务质量监督）进行详细阐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第七章</w:t>
      </w:r>
      <w:r>
        <w:rPr>
          <w:rFonts w:ascii="仿宋_GB2312" w:hAnsi="仿宋_GB2312" w:cs="仿宋_GB2312" w:eastAsia="仿宋_GB2312"/>
          <w:sz w:val="21"/>
        </w:rPr>
        <w:t xml:space="preserve">  </w:t>
      </w:r>
      <w:r>
        <w:rPr>
          <w:rFonts w:ascii="仿宋_GB2312" w:hAnsi="仿宋_GB2312" w:cs="仿宋_GB2312" w:eastAsia="仿宋_GB2312"/>
          <w:sz w:val="21"/>
        </w:rPr>
        <w:t>拟签订采购合同文本内容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有关注册登记证照”；④若为自然人：提供“身份证明材料”）。提供复印件并进行电子签章。</w:t>
            </w:r>
          </w:p>
        </w:tc>
        <w:tc>
          <w:tcPr>
            <w:tcW w:type="dxa" w:w="1661"/>
          </w:tcPr>
          <w:p>
            <w:pPr>
              <w:pStyle w:val="null3"/>
              <w:jc w:val="left"/>
            </w:pPr>
            <w:r>
              <w:rPr>
                <w:rFonts w:ascii="仿宋_GB2312" w:hAnsi="仿宋_GB2312" w:cs="仿宋_GB2312" w:eastAsia="仿宋_GB2312"/>
              </w:rPr>
              <w:t>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符合磋商文件其他实质性要求：1、供应商的响应文件不能完全响应采购文件带★的实质性要求的。 2、响应文件组成明显不符合采购文件的规定要求，影响评审委员会评判的。 3、属于竞争性磋商文件中无效响应情形的。</w:t>
            </w:r>
          </w:p>
        </w:tc>
        <w:tc>
          <w:tcPr>
            <w:tcW w:type="dxa" w:w="3322"/>
          </w:tcPr>
          <w:p>
            <w:pPr>
              <w:pStyle w:val="null3"/>
              <w:jc w:val="left"/>
            </w:pPr>
            <w:r>
              <w:rPr>
                <w:rFonts w:ascii="仿宋_GB2312" w:hAnsi="仿宋_GB2312" w:cs="仿宋_GB2312" w:eastAsia="仿宋_GB2312"/>
              </w:rPr>
              <w:t>供应商按照采购文件要求上传响应文件，并符合采购文件要求。</w:t>
            </w:r>
          </w:p>
        </w:tc>
        <w:tc>
          <w:tcPr>
            <w:tcW w:type="dxa" w:w="1661"/>
          </w:tcPr>
          <w:p>
            <w:pPr>
              <w:pStyle w:val="null3"/>
              <w:jc w:val="left"/>
            </w:pPr>
            <w:r>
              <w:rPr>
                <w:rFonts w:ascii="仿宋_GB2312" w:hAnsi="仿宋_GB2312" w:cs="仿宋_GB2312" w:eastAsia="仿宋_GB2312"/>
              </w:rPr>
              <w:t>商务应答表.docx,技术要求应答表.docx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实施服务方案</w:t>
            </w:r>
          </w:p>
        </w:tc>
        <w:tc>
          <w:tcPr>
            <w:tcW w:type="dxa" w:w="2575"/>
          </w:tcPr>
          <w:p>
            <w:pPr>
              <w:pStyle w:val="null3"/>
              <w:jc w:val="left"/>
            </w:pPr>
            <w:r>
              <w:rPr>
                <w:rFonts w:ascii="仿宋_GB2312" w:hAnsi="仿宋_GB2312" w:cs="仿宋_GB2312" w:eastAsia="仿宋_GB2312"/>
              </w:rPr>
              <w:t>供应商根据本项目的内容及要求提供实施服务方案：①咨询导办标准化服务执行②群众分流与秩序管控③业务台账建立、更新与归档④大厅服务流程梳理与优化⑤群众咨询问题收集与汇总分析⑥突发事件应急处置与演练⑦大厅日常巡查与整改⑧服务满意度收集与提升改进进行阐述，方案内容完整提供上述8项内容的得32分。每有一项未提供扣4分，每有一处存在缺陷扣2分。（存在缺陷是指方案中涉及的规范或标准错误或项目名称错误或项目地点错误或方案内容过于简单（如方案只有复制需求内容而无具体说明或措施；方案仅有标题无其他说明或阐述）不满足本项目采购需求或与本项目需求无关。）</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岗位管理方案</w:t>
            </w:r>
          </w:p>
        </w:tc>
        <w:tc>
          <w:tcPr>
            <w:tcW w:type="dxa" w:w="2575"/>
          </w:tcPr>
          <w:p>
            <w:pPr>
              <w:pStyle w:val="null3"/>
              <w:jc w:val="left"/>
            </w:pPr>
            <w:r>
              <w:rPr>
                <w:rFonts w:ascii="仿宋_GB2312" w:hAnsi="仿宋_GB2312" w:cs="仿宋_GB2312" w:eastAsia="仿宋_GB2312"/>
              </w:rPr>
              <w:t>供应商根据本项目的内容及要求编制岗位管理方案：①服务团队架构与人员配置②岗位职责清单与分工③岗位服务标准与行为规范④工作人员档案建立与动态管理⑤日常工作统筹、调度与衔接⑥考勤与在岗纪律管理⑦服务质量监督进行阐述，方案内容完整提供上述7项内容的得28分。每有一项未提供扣4分，每有一处存在缺陷扣2分。（存在缺陷是指方案中涉及的规范或标准错误或项目名称错误或项目地点错误或方案内容过于简单（如方案只有复制需求内容而无具体说明或措施；方案仅有标题无其他说明或阐述）不满足本项目采购需求或与本项目需求无关）</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1.拟派项目负责人：具有中级或以上人力资源管理师证书（或原国家职业资格二级）得5分，此项最多得5分。 2.拟派项目成员：具有中级或以上人力资源管理师证书（或原国家职业资格二级或以上）得5分，此项最多得15分。 注：以上人员不重复计分。1项和2项提供职称证书复印件和身份证复印件并进行电子签章。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人员配置表.docx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2023年1月1日至递交响应文件截止日，供应商每提供1个类似业绩得5分，本项最多得10分。 注：1.类似业绩指公共服务事项办理类或咨询引导类业绩。 2.以合同签订时间为准，提供合同复印件并进行电子签章。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详见附件：人员配置表.docx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