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版本号：N513311202600010820260428001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康定中学后勤保障服务项目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N5133112026000108</w:t>
      </w:r>
    </w:p>
    <w:p>
      <w:pPr>
        <w:pStyle w:val="null3"/>
        <w:jc w:val="center"/>
        <w:outlineLvl w:val="2"/>
      </w:pPr>
      <w:r>
        <w:rPr>
          <w:rFonts w:ascii="仿宋_GB2312" w:hAnsi="仿宋_GB2312" w:cs="仿宋_GB2312" w:eastAsia="仿宋_GB2312"/>
          <w:sz w:val="28"/>
          <w:b/>
        </w:rPr>
        <w:t>四川省甘孜藏族自治州康定中学校</w:t>
      </w:r>
    </w:p>
    <w:p>
      <w:pPr>
        <w:pStyle w:val="null3"/>
        <w:jc w:val="center"/>
        <w:outlineLvl w:val="2"/>
      </w:pPr>
      <w:r>
        <w:rPr>
          <w:rFonts w:ascii="仿宋_GB2312" w:hAnsi="仿宋_GB2312" w:cs="仿宋_GB2312" w:eastAsia="仿宋_GB2312"/>
          <w:sz w:val="28"/>
          <w:b/>
        </w:rPr>
        <w:t>四川中泽盛世项目管理有限公司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四川中泽盛世项目管理有限公司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四川省甘孜藏族自治州康定中学校</w:t>
      </w:r>
      <w:r>
        <w:rPr>
          <w:rFonts w:ascii="仿宋_GB2312" w:hAnsi="仿宋_GB2312" w:cs="仿宋_GB2312" w:eastAsia="仿宋_GB2312"/>
        </w:rPr>
        <w:t xml:space="preserve"> 委托，拟对 </w:t>
      </w:r>
      <w:r>
        <w:rPr>
          <w:rFonts w:ascii="仿宋_GB2312" w:hAnsi="仿宋_GB2312" w:cs="仿宋_GB2312" w:eastAsia="仿宋_GB2312"/>
        </w:rPr>
        <w:t>康定中学后勤保障服务项目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甘孜藏族自治州州本级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N5133112026000108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康定中学后勤保障服务项目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四川省甘孜藏族自治州康定中学校占地面积10万余平方米（约150亩），建筑面积近7万平方米，因工作需求，拟选择一家供应商提供康定中学后勤保障服务项目。预算60.3万元/年，服务期三年，合同一年一签（验收合格后续签下一年度合同）。</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四川省甘孜藏族自治州康定中学校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康定市康中巷122号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0836-2839993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四川中泽盛世项目管理有限公司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成都金牛高新技术产业园区蜀西路46号1栋1单元3楼301号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610037</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文老师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028-87789977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采购包1：603,000.00元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代理服务费收费标准：本项目代理服务费定额收取8000.00元，由成交供应商领取成交通知书前支付。</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四川省甘孜藏族自治州康定中学校</w:t>
      </w:r>
      <w:r>
        <w:rPr>
          <w:rFonts w:ascii="仿宋_GB2312" w:hAnsi="仿宋_GB2312" w:cs="仿宋_GB2312" w:eastAsia="仿宋_GB2312"/>
        </w:rPr>
        <w:t xml:space="preserve"> 和 </w:t>
      </w:r>
      <w:r>
        <w:rPr>
          <w:rFonts w:ascii="仿宋_GB2312" w:hAnsi="仿宋_GB2312" w:cs="仿宋_GB2312" w:eastAsia="仿宋_GB2312"/>
        </w:rPr>
        <w:t>四川中泽盛世项目管理有限公司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四川省甘孜藏族自治州康定中学校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四川中泽盛世项目管理有限公司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每季度验收一次，成交供应商发出验收申请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每季度验收一次，成交供应商发出验收申请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每季度验收一次，成交供应商发出验收申请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每季度验收一次，成交供应商发出验收申请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详见技术要求及供应商的响应情况</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详见商务要求及供应商的响应情况</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磋商文件的质量要求和技术指标、供应商的响应文件及承诺与本合同约定标准进行验收；双方如对质量要求和技术指标的约定标准有相互抵触或异议的事项，由采购人在磋商与响应文件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四川省甘孜藏族自治州康定中学校</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四川中泽盛世项目管理有限公司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四川中泽盛世项目管理有限公司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联系电话：0836-2839993</w:t>
      </w:r>
    </w:p>
    <w:p>
      <w:pPr>
        <w:pStyle w:val="null3"/>
        <w:jc w:val="left"/>
      </w:pPr>
      <w:r>
        <w:rPr>
          <w:rFonts w:ascii="仿宋_GB2312" w:hAnsi="仿宋_GB2312" w:cs="仿宋_GB2312" w:eastAsia="仿宋_GB2312"/>
        </w:rPr>
        <w:t>地址：康定市康中巷122号</w:t>
      </w:r>
    </w:p>
    <w:p>
      <w:pPr>
        <w:pStyle w:val="null3"/>
        <w:jc w:val="left"/>
      </w:pPr>
      <w:r>
        <w:rPr>
          <w:rFonts w:ascii="仿宋_GB2312" w:hAnsi="仿宋_GB2312" w:cs="仿宋_GB2312" w:eastAsia="仿宋_GB2312"/>
        </w:rPr>
        <w:t>邮编：626000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联系人：文老师</w:t>
      </w:r>
    </w:p>
    <w:p>
      <w:pPr>
        <w:pStyle w:val="null3"/>
        <w:jc w:val="left"/>
      </w:pPr>
      <w:r>
        <w:rPr>
          <w:rFonts w:ascii="仿宋_GB2312" w:hAnsi="仿宋_GB2312" w:cs="仿宋_GB2312" w:eastAsia="仿宋_GB2312"/>
        </w:rPr>
        <w:t>联系电话：028-87789977</w:t>
      </w:r>
    </w:p>
    <w:p>
      <w:pPr>
        <w:pStyle w:val="null3"/>
        <w:jc w:val="left"/>
      </w:pPr>
      <w:r>
        <w:rPr>
          <w:rFonts w:ascii="仿宋_GB2312" w:hAnsi="仿宋_GB2312" w:cs="仿宋_GB2312" w:eastAsia="仿宋_GB2312"/>
        </w:rPr>
        <w:t>地址：成都金牛高新技术产业园区蜀西路46号1栋1单元3楼301号</w:t>
      </w:r>
    </w:p>
    <w:p>
      <w:pPr>
        <w:pStyle w:val="null3"/>
        <w:jc w:val="left"/>
      </w:pPr>
      <w:r>
        <w:rPr>
          <w:rFonts w:ascii="仿宋_GB2312" w:hAnsi="仿宋_GB2312" w:cs="仿宋_GB2312" w:eastAsia="仿宋_GB2312"/>
        </w:rPr>
        <w:t>邮编：610037</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603,000.00</w:t>
      </w:r>
    </w:p>
    <w:p>
      <w:pPr>
        <w:pStyle w:val="null3"/>
        <w:jc w:val="left"/>
      </w:pPr>
      <w:r>
        <w:rPr>
          <w:rFonts w:ascii="仿宋_GB2312" w:hAnsi="仿宋_GB2312" w:cs="仿宋_GB2312" w:eastAsia="仿宋_GB2312"/>
        </w:rPr>
        <w:t>采购包最高限价（元）: 603,000.00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C03040000 人才服务</w:t>
            </w:r>
          </w:p>
        </w:tc>
        <w:tc>
          <w:tcPr>
            <w:tcW w:type="dxa" w:w="821"/>
          </w:tcPr>
          <w:p>
            <w:pPr>
              <w:pStyle w:val="null3"/>
              <w:jc w:val="left"/>
            </w:pPr>
            <w:r>
              <w:rPr>
                <w:rFonts w:ascii="仿宋_GB2312" w:hAnsi="仿宋_GB2312" w:cs="仿宋_GB2312" w:eastAsia="仿宋_GB2312"/>
              </w:rPr>
              <w:t>康定中学后勤保障服务项目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603,000.00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康定中学后勤保障服务项目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603,000.00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标的名称：康定中学后勤保障服务项目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ind w:firstLine="472"/>
              <w:jc w:val="left"/>
            </w:pPr>
            <w:r>
              <w:rPr>
                <w:rFonts w:ascii="仿宋_GB2312" w:hAnsi="仿宋_GB2312" w:cs="仿宋_GB2312" w:eastAsia="仿宋_GB2312"/>
                <w:sz w:val="24"/>
              </w:rPr>
              <w:t>1、项目概述</w:t>
            </w:r>
          </w:p>
          <w:p>
            <w:pPr>
              <w:pStyle w:val="null3"/>
              <w:ind w:firstLine="472"/>
              <w:jc w:val="left"/>
            </w:pPr>
            <w:r>
              <w:rPr>
                <w:rFonts w:ascii="仿宋_GB2312" w:hAnsi="仿宋_GB2312" w:cs="仿宋_GB2312" w:eastAsia="仿宋_GB2312"/>
                <w:sz w:val="24"/>
              </w:rPr>
              <w:t>四川省甘孜藏族自治州康定中学校占地面积</w:t>
            </w:r>
            <w:r>
              <w:rPr>
                <w:rFonts w:ascii="仿宋_GB2312" w:hAnsi="仿宋_GB2312" w:cs="仿宋_GB2312" w:eastAsia="仿宋_GB2312"/>
                <w:sz w:val="24"/>
              </w:rPr>
              <w:t>10万余平方米（约150亩），建筑面积近7万平方米，因工作需求，拟选择一家供应商提供康定中学后勤保障服务项目</w:t>
            </w:r>
            <w:r>
              <w:rPr>
                <w:rFonts w:ascii="仿宋_GB2312" w:hAnsi="仿宋_GB2312" w:cs="仿宋_GB2312" w:eastAsia="仿宋_GB2312"/>
                <w:sz w:val="24"/>
              </w:rPr>
              <w:t>。</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岗位需求</w:t>
            </w:r>
          </w:p>
          <w:tbl>
            <w:tblPr>
              <w:tblBorders>
                <w:top w:val="none" w:color="000000" w:sz="4"/>
                <w:left w:val="none" w:color="000000" w:sz="4"/>
                <w:bottom w:val="none" w:color="000000" w:sz="4"/>
                <w:right w:val="none" w:color="000000" w:sz="4"/>
                <w:insideH w:val="none"/>
                <w:insideV w:val="none"/>
              </w:tblBorders>
            </w:tblPr>
            <w:tblGrid>
              <w:gridCol w:w="419"/>
              <w:gridCol w:w="1047"/>
              <w:gridCol w:w="664"/>
              <w:gridCol w:w="3468"/>
            </w:tblGrid>
            <w:tr>
              <w:tc>
                <w:tcPr>
                  <w:tcW w:type="dxa" w:w="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0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服务岗位</w:t>
                  </w:r>
                </w:p>
              </w:tc>
              <w:tc>
                <w:tcPr>
                  <w:tcW w:type="dxa" w:w="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w:t>
                  </w:r>
                </w:p>
                <w:p>
                  <w:pPr>
                    <w:pStyle w:val="null3"/>
                    <w:jc w:val="center"/>
                  </w:pPr>
                  <w:r>
                    <w:rPr>
                      <w:rFonts w:ascii="仿宋_GB2312" w:hAnsi="仿宋_GB2312" w:cs="仿宋_GB2312" w:eastAsia="仿宋_GB2312"/>
                      <w:sz w:val="24"/>
                    </w:rPr>
                    <w:t>人数</w:t>
                  </w:r>
                </w:p>
              </w:tc>
              <w:tc>
                <w:tcPr>
                  <w:tcW w:type="dxa" w:w="34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岗位要求</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保洁</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3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符合法定就业年龄</w:t>
                  </w:r>
                  <w:r>
                    <w:rPr>
                      <w:rFonts w:ascii="仿宋_GB2312" w:hAnsi="仿宋_GB2312" w:cs="仿宋_GB2312" w:eastAsia="仿宋_GB2312"/>
                      <w:sz w:val="24"/>
                    </w:rPr>
                    <w:t>，品行端正，身体健康，工作认真负责。负责所有公共区域及办公区的清洁卫生。</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会务</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年龄要求</w:t>
                  </w:r>
                  <w:r>
                    <w:rPr>
                      <w:rFonts w:ascii="仿宋_GB2312" w:hAnsi="仿宋_GB2312" w:cs="仿宋_GB2312" w:eastAsia="仿宋_GB2312"/>
                      <w:sz w:val="24"/>
                    </w:rPr>
                    <w:t>20（含）－45（含）岁，身高不得低于160cm，形象得体、沟通表达良好、有会务服务经验。</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小计</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3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p>
              </w:tc>
            </w:tr>
          </w:tbl>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3、各岗位服务内容及要求</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保洁</w:t>
            </w:r>
          </w:p>
          <w:p>
            <w:pPr>
              <w:pStyle w:val="null3"/>
              <w:ind w:firstLine="472"/>
              <w:jc w:val="left"/>
            </w:pPr>
            <w:r>
              <w:rPr>
                <w:rFonts w:ascii="仿宋_GB2312" w:hAnsi="仿宋_GB2312" w:cs="仿宋_GB2312" w:eastAsia="仿宋_GB2312"/>
                <w:sz w:val="24"/>
              </w:rPr>
              <w:t>按采购人要求做好区域内环境维护，营造良好的工作、生活、休闲环境。确保区域内肉眼可见，手可触摸的地方必须保持干净整洁有序；定期预防性卫生消杀，每月至少一次采取综合措施除</w:t>
            </w:r>
            <w:r>
              <w:rPr>
                <w:rFonts w:ascii="仿宋_GB2312" w:hAnsi="仿宋_GB2312" w:cs="仿宋_GB2312" w:eastAsia="仿宋_GB2312"/>
                <w:sz w:val="24"/>
              </w:rPr>
              <w:t>“四害”（苍蝇、蚊子、老鼠、蟑螂），在化学防治中注重合理用药，不使用违禁药品。</w:t>
            </w:r>
          </w:p>
          <w:p>
            <w:pPr>
              <w:pStyle w:val="null3"/>
              <w:ind w:firstLine="472"/>
              <w:jc w:val="left"/>
            </w:pPr>
            <w:r>
              <w:rPr>
                <w:rFonts w:ascii="仿宋_GB2312" w:hAnsi="仿宋_GB2312" w:cs="仿宋_GB2312" w:eastAsia="仿宋_GB2312"/>
                <w:sz w:val="24"/>
              </w:rPr>
              <w:t>根据采购人工作时间，对地面、墙面、天花板、门窗玻璃、路面等进行清洁维护。垃圾桶内垃圾及时清倒，卫生间排水畅通，如有堵塞及时疏通。</w:t>
            </w:r>
          </w:p>
          <w:tbl>
            <w:tblPr>
              <w:tblBorders>
                <w:top w:val="none" w:color="000000" w:sz="4"/>
                <w:left w:val="none" w:color="000000" w:sz="4"/>
                <w:bottom w:val="none" w:color="000000" w:sz="4"/>
                <w:right w:val="none" w:color="000000" w:sz="4"/>
                <w:insideH w:val="none"/>
                <w:insideV w:val="none"/>
              </w:tblBorders>
            </w:tblPr>
            <w:tblGrid>
              <w:gridCol w:w="247"/>
              <w:gridCol w:w="239"/>
              <w:gridCol w:w="646"/>
              <w:gridCol w:w="702"/>
              <w:gridCol w:w="758"/>
              <w:gridCol w:w="1165"/>
              <w:gridCol w:w="1812"/>
            </w:tblGrid>
            <w:tr>
              <w:tc>
                <w:tcPr>
                  <w:tcW w:type="dxa" w:w="486"/>
                  <w:gridSpan w:val="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区域</w:t>
                  </w:r>
                </w:p>
              </w:tc>
              <w:tc>
                <w:tcPr>
                  <w:tcW w:type="dxa" w:w="64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服务项目</w:t>
                  </w:r>
                </w:p>
              </w:tc>
              <w:tc>
                <w:tcPr>
                  <w:tcW w:type="dxa" w:w="70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常规保洁</w:t>
                  </w:r>
                </w:p>
              </w:tc>
              <w:tc>
                <w:tcPr>
                  <w:tcW w:type="dxa" w:w="75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工作频率</w:t>
                  </w:r>
                </w:p>
              </w:tc>
              <w:tc>
                <w:tcPr>
                  <w:tcW w:type="dxa" w:w="116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清洁标准</w:t>
                  </w:r>
                </w:p>
              </w:tc>
              <w:tc>
                <w:tcPr>
                  <w:tcW w:type="dxa" w:w="181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定期清洁保养</w:t>
                  </w:r>
                </w:p>
              </w:tc>
            </w:tr>
            <w:tr>
              <w:tc>
                <w:tcPr>
                  <w:tcW w:type="dxa" w:w="247"/>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学校楼</w:t>
                  </w:r>
                </w:p>
              </w:tc>
              <w:tc>
                <w:tcPr>
                  <w:tcW w:type="dxa" w:w="239"/>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大厅、大堂</w:t>
                  </w:r>
                </w:p>
              </w:tc>
              <w:tc>
                <w:tcPr>
                  <w:tcW w:type="dxa" w:w="64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地面</w:t>
                  </w: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循环巡扫</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多次</w:t>
                  </w:r>
                  <w:r>
                    <w:rPr>
                      <w:rFonts w:ascii="仿宋_GB2312" w:hAnsi="仿宋_GB2312" w:cs="仿宋_GB2312" w:eastAsia="仿宋_GB2312"/>
                      <w:sz w:val="24"/>
                    </w:rPr>
                    <w:t>/日</w:t>
                  </w:r>
                </w:p>
              </w:tc>
              <w:tc>
                <w:tcPr>
                  <w:tcW w:type="dxa" w:w="116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地面无垃圾、无明显污痕渍</w:t>
                  </w:r>
                </w:p>
              </w:tc>
              <w:tc>
                <w:tcPr>
                  <w:tcW w:type="dxa" w:w="1812"/>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rPr>
                    <w:t>A、地面整体清洗（每月1次）：</w:t>
                  </w:r>
                  <w:r>
                    <w:br/>
                  </w:r>
                  <w:r>
                    <w:rPr>
                      <w:rFonts w:ascii="仿宋_GB2312" w:hAnsi="仿宋_GB2312" w:cs="仿宋_GB2312" w:eastAsia="仿宋_GB2312"/>
                      <w:sz w:val="24"/>
                    </w:rPr>
                    <w:t xml:space="preserve">   </w:t>
                  </w:r>
                  <w:r>
                    <w:rPr>
                      <w:rFonts w:ascii="仿宋_GB2312" w:hAnsi="仿宋_GB2312" w:cs="仿宋_GB2312" w:eastAsia="仿宋_GB2312"/>
                      <w:sz w:val="24"/>
                    </w:rPr>
                    <w:t>结合清洁剂全面清洗地板，吸干污水，除掉顽固污渍，清理地板上边边角角的卫生。保持地板上干净、干燥，边角无碎屑、污垢。</w:t>
                  </w:r>
                  <w:r>
                    <w:br/>
                  </w:r>
                  <w:r>
                    <w:rPr>
                      <w:rFonts w:ascii="仿宋_GB2312" w:hAnsi="仿宋_GB2312" w:cs="仿宋_GB2312" w:eastAsia="仿宋_GB2312"/>
                      <w:sz w:val="24"/>
                    </w:rPr>
                    <w:t>B、墙面定期清洁（每年2次）：</w:t>
                  </w:r>
                  <w:r>
                    <w:br/>
                  </w:r>
                  <w:r>
                    <w:rPr>
                      <w:rFonts w:ascii="仿宋_GB2312" w:hAnsi="仿宋_GB2312" w:cs="仿宋_GB2312" w:eastAsia="仿宋_GB2312"/>
                      <w:sz w:val="22"/>
                    </w:rPr>
                    <w:t xml:space="preserve">    </w:t>
                  </w:r>
                </w:p>
              </w:tc>
            </w:tr>
            <w:tr>
              <w:tc>
                <w:tcPr>
                  <w:tcW w:type="dxa" w:w="247"/>
                  <w:vMerge/>
                  <w:tcBorders>
                    <w:top w:val="none" w:color="000000" w:sz="4"/>
                    <w:left w:val="single" w:color="000000" w:sz="4"/>
                    <w:bottom w:val="singl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46"/>
                  <w:vMerge/>
                  <w:tcBorders>
                    <w:top w:val="none" w:color="000000" w:sz="4"/>
                    <w:left w:val="none" w:color="000000" w:sz="4"/>
                    <w:bottom w:val="single" w:color="000000" w:sz="4"/>
                    <w:right w:val="single" w:color="000000" w:sz="4"/>
                  </w:tcBorders>
                </w:tcP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巡拖、推尘</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2-4次/日</w:t>
                  </w:r>
                </w:p>
              </w:tc>
              <w:tc>
                <w:tcPr>
                  <w:tcW w:type="dxa" w:w="1165"/>
                  <w:vMerge/>
                  <w:tcBorders>
                    <w:top w:val="none" w:color="000000" w:sz="4"/>
                    <w:left w:val="none" w:color="000000" w:sz="4"/>
                    <w:bottom w:val="single" w:color="000000" w:sz="4"/>
                    <w:right w:val="single" w:color="000000" w:sz="4"/>
                  </w:tcBorders>
                </w:tcPr>
                <w:p/>
              </w:tc>
              <w:tc>
                <w:tcPr>
                  <w:tcW w:type="dxa" w:w="1812"/>
                  <w:vMerge/>
                  <w:tcBorders>
                    <w:top w:val="single" w:color="000000" w:sz="4"/>
                    <w:left w:val="none" w:color="000000" w:sz="4"/>
                    <w:bottom w:val="single" w:color="000000" w:sz="4"/>
                    <w:right w:val="single" w:color="000000" w:sz="4"/>
                  </w:tcBorders>
                </w:tcPr>
                <w:p/>
              </w:tc>
            </w:tr>
            <w:tr>
              <w:tc>
                <w:tcPr>
                  <w:tcW w:type="dxa" w:w="247"/>
                  <w:vMerge/>
                  <w:tcBorders>
                    <w:top w:val="none" w:color="000000" w:sz="4"/>
                    <w:left w:val="single" w:color="000000" w:sz="4"/>
                    <w:bottom w:val="singl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墙面、柱子</w:t>
                  </w: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巡视擦拭</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1次/日</w:t>
                  </w:r>
                </w:p>
              </w:tc>
              <w:tc>
                <w:tcPr>
                  <w:tcW w:type="dxa" w:w="116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无灰尘、污渍及涂画</w:t>
                  </w:r>
                </w:p>
              </w:tc>
              <w:tc>
                <w:tcPr>
                  <w:tcW w:type="dxa" w:w="1812"/>
                  <w:vMerge/>
                  <w:tcBorders>
                    <w:top w:val="single" w:color="000000" w:sz="4"/>
                    <w:left w:val="none" w:color="000000" w:sz="4"/>
                    <w:bottom w:val="single" w:color="000000" w:sz="4"/>
                    <w:right w:val="single" w:color="000000" w:sz="4"/>
                  </w:tcBorders>
                </w:tcPr>
                <w:p/>
              </w:tc>
            </w:tr>
            <w:tr>
              <w:tc>
                <w:tcPr>
                  <w:tcW w:type="dxa" w:w="247"/>
                  <w:vMerge/>
                  <w:tcBorders>
                    <w:top w:val="none" w:color="000000" w:sz="4"/>
                    <w:left w:val="single" w:color="000000" w:sz="4"/>
                    <w:bottom w:val="singl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大门</w:t>
                  </w: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巡视擦拭</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次</w:t>
                  </w:r>
                  <w:r>
                    <w:rPr>
                      <w:rFonts w:ascii="仿宋_GB2312" w:hAnsi="仿宋_GB2312" w:cs="仿宋_GB2312" w:eastAsia="仿宋_GB2312"/>
                      <w:sz w:val="24"/>
                    </w:rPr>
                    <w:t>/日</w:t>
                  </w:r>
                </w:p>
              </w:tc>
              <w:tc>
                <w:tcPr>
                  <w:tcW w:type="dxa" w:w="1165"/>
                  <w:vMerge/>
                  <w:tcBorders>
                    <w:top w:val="none" w:color="000000" w:sz="4"/>
                    <w:left w:val="none" w:color="000000" w:sz="4"/>
                    <w:bottom w:val="single" w:color="000000" w:sz="4"/>
                    <w:right w:val="single" w:color="000000" w:sz="4"/>
                  </w:tcBorders>
                </w:tcPr>
                <w:p/>
              </w:tc>
              <w:tc>
                <w:tcPr>
                  <w:tcW w:type="dxa" w:w="1812"/>
                  <w:vMerge/>
                  <w:tcBorders>
                    <w:top w:val="single" w:color="000000" w:sz="4"/>
                    <w:left w:val="none" w:color="000000" w:sz="4"/>
                    <w:bottom w:val="single" w:color="000000" w:sz="4"/>
                    <w:right w:val="single" w:color="000000" w:sz="4"/>
                  </w:tcBorders>
                </w:tcPr>
                <w:p/>
              </w:tc>
            </w:tr>
            <w:tr>
              <w:tc>
                <w:tcPr>
                  <w:tcW w:type="dxa" w:w="247"/>
                  <w:vMerge/>
                  <w:tcBorders>
                    <w:top w:val="none" w:color="000000" w:sz="4"/>
                    <w:left w:val="single" w:color="000000" w:sz="4"/>
                    <w:bottom w:val="singl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门套、门板</w:t>
                  </w: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掸尘、擦拭</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1次/周</w:t>
                  </w:r>
                </w:p>
              </w:tc>
              <w:tc>
                <w:tcPr>
                  <w:tcW w:type="dxa" w:w="1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无灰尘和污渍</w:t>
                  </w:r>
                </w:p>
              </w:tc>
              <w:tc>
                <w:tcPr>
                  <w:tcW w:type="dxa" w:w="1812"/>
                  <w:vMerge/>
                  <w:tcBorders>
                    <w:top w:val="single" w:color="000000" w:sz="4"/>
                    <w:left w:val="none" w:color="000000" w:sz="4"/>
                    <w:bottom w:val="single" w:color="000000" w:sz="4"/>
                    <w:right w:val="single" w:color="000000" w:sz="4"/>
                  </w:tcBorders>
                </w:tcPr>
                <w:p/>
              </w:tc>
            </w:tr>
            <w:tr>
              <w:tc>
                <w:tcPr>
                  <w:tcW w:type="dxa" w:w="247"/>
                  <w:vMerge/>
                  <w:tcBorders>
                    <w:top w:val="none" w:color="000000" w:sz="4"/>
                    <w:left w:val="single" w:color="000000" w:sz="4"/>
                    <w:bottom w:val="singl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地脚线</w:t>
                  </w: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擦拭、吸尘</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1-2次/月</w:t>
                  </w:r>
                </w:p>
              </w:tc>
              <w:tc>
                <w:tcPr>
                  <w:tcW w:type="dxa" w:w="1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无污渍、无积尘</w:t>
                  </w:r>
                </w:p>
              </w:tc>
              <w:tc>
                <w:tcPr>
                  <w:tcW w:type="dxa" w:w="1812"/>
                  <w:vMerge/>
                  <w:tcBorders>
                    <w:top w:val="single" w:color="000000" w:sz="4"/>
                    <w:left w:val="none" w:color="000000" w:sz="4"/>
                    <w:bottom w:val="single" w:color="000000" w:sz="4"/>
                    <w:right w:val="single" w:color="000000" w:sz="4"/>
                  </w:tcBorders>
                </w:tcPr>
                <w:p/>
              </w:tc>
            </w:tr>
            <w:tr>
              <w:tc>
                <w:tcPr>
                  <w:tcW w:type="dxa" w:w="247"/>
                  <w:vMerge/>
                  <w:tcBorders>
                    <w:top w:val="none" w:color="000000" w:sz="4"/>
                    <w:left w:val="single" w:color="000000" w:sz="4"/>
                    <w:bottom w:val="single" w:color="000000" w:sz="4"/>
                    <w:right w:val="single" w:color="000000" w:sz="4"/>
                  </w:tcBorders>
                </w:tcPr>
                <w:p/>
              </w:tc>
              <w:tc>
                <w:tcPr>
                  <w:tcW w:type="dxa" w:w="239"/>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通道、过道</w:t>
                  </w:r>
                </w:p>
              </w:tc>
              <w:tc>
                <w:tcPr>
                  <w:tcW w:type="dxa" w:w="64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地板</w:t>
                  </w: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循环巡扫</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多次</w:t>
                  </w:r>
                  <w:r>
                    <w:rPr>
                      <w:rFonts w:ascii="仿宋_GB2312" w:hAnsi="仿宋_GB2312" w:cs="仿宋_GB2312" w:eastAsia="仿宋_GB2312"/>
                      <w:sz w:val="24"/>
                    </w:rPr>
                    <w:t>/日</w:t>
                  </w:r>
                </w:p>
              </w:tc>
              <w:tc>
                <w:tcPr>
                  <w:tcW w:type="dxa" w:w="116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地面无垃圾、无明显污痕渍</w:t>
                  </w:r>
                </w:p>
              </w:tc>
              <w:tc>
                <w:tcPr>
                  <w:tcW w:type="dxa" w:w="1812"/>
                  <w:vMerge/>
                  <w:tcBorders>
                    <w:top w:val="single" w:color="000000" w:sz="4"/>
                    <w:left w:val="none" w:color="000000" w:sz="4"/>
                    <w:bottom w:val="single" w:color="000000" w:sz="4"/>
                    <w:right w:val="single" w:color="000000" w:sz="4"/>
                  </w:tcBorders>
                </w:tcPr>
                <w:p/>
              </w:tc>
            </w:tr>
            <w:tr>
              <w:tc>
                <w:tcPr>
                  <w:tcW w:type="dxa" w:w="247"/>
                  <w:vMerge/>
                  <w:tcBorders>
                    <w:top w:val="none" w:color="000000" w:sz="4"/>
                    <w:left w:val="single" w:color="000000" w:sz="4"/>
                    <w:bottom w:val="singl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46"/>
                  <w:vMerge/>
                  <w:tcBorders>
                    <w:top w:val="none" w:color="000000" w:sz="4"/>
                    <w:left w:val="none" w:color="000000" w:sz="4"/>
                    <w:bottom w:val="single" w:color="000000" w:sz="4"/>
                    <w:right w:val="single" w:color="000000" w:sz="4"/>
                  </w:tcBorders>
                </w:tcP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巡拖、推尘</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2-5次/日</w:t>
                  </w:r>
                </w:p>
              </w:tc>
              <w:tc>
                <w:tcPr>
                  <w:tcW w:type="dxa" w:w="1165"/>
                  <w:vMerge/>
                  <w:tcBorders>
                    <w:top w:val="none" w:color="000000" w:sz="4"/>
                    <w:left w:val="none" w:color="000000" w:sz="4"/>
                    <w:bottom w:val="single" w:color="000000" w:sz="4"/>
                    <w:right w:val="single" w:color="000000" w:sz="4"/>
                  </w:tcBorders>
                </w:tcPr>
                <w:p/>
              </w:tc>
              <w:tc>
                <w:tcPr>
                  <w:tcW w:type="dxa" w:w="1812"/>
                  <w:vMerge/>
                  <w:tcBorders>
                    <w:top w:val="single" w:color="000000" w:sz="4"/>
                    <w:left w:val="none" w:color="000000" w:sz="4"/>
                    <w:bottom w:val="single" w:color="000000" w:sz="4"/>
                    <w:right w:val="single" w:color="000000" w:sz="4"/>
                  </w:tcBorders>
                </w:tcPr>
                <w:p/>
              </w:tc>
            </w:tr>
            <w:tr>
              <w:tc>
                <w:tcPr>
                  <w:tcW w:type="dxa" w:w="247"/>
                  <w:vMerge/>
                  <w:tcBorders>
                    <w:top w:val="none" w:color="000000" w:sz="4"/>
                    <w:left w:val="single" w:color="000000" w:sz="4"/>
                    <w:bottom w:val="singl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墙面、柱子</w:t>
                  </w: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巡视擦拭</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1次/日</w:t>
                  </w:r>
                </w:p>
              </w:tc>
              <w:tc>
                <w:tcPr>
                  <w:tcW w:type="dxa" w:w="1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无灰尘、污渍及涂画</w:t>
                  </w:r>
                </w:p>
              </w:tc>
              <w:tc>
                <w:tcPr>
                  <w:tcW w:type="dxa" w:w="1812"/>
                  <w:vMerge/>
                  <w:tcBorders>
                    <w:top w:val="single" w:color="000000" w:sz="4"/>
                    <w:left w:val="none" w:color="000000" w:sz="4"/>
                    <w:bottom w:val="single" w:color="000000" w:sz="4"/>
                    <w:right w:val="single" w:color="000000" w:sz="4"/>
                  </w:tcBorders>
                </w:tcPr>
                <w:p/>
              </w:tc>
            </w:tr>
            <w:tr>
              <w:tc>
                <w:tcPr>
                  <w:tcW w:type="dxa" w:w="247"/>
                  <w:vMerge/>
                  <w:tcBorders>
                    <w:top w:val="none" w:color="000000" w:sz="4"/>
                    <w:left w:val="single" w:color="000000" w:sz="4"/>
                    <w:bottom w:val="singl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门套、门饰</w:t>
                  </w: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掸尘、擦拭</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1次/周</w:t>
                  </w:r>
                </w:p>
              </w:tc>
              <w:tc>
                <w:tcPr>
                  <w:tcW w:type="dxa" w:w="1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无灰尘和污渍</w:t>
                  </w:r>
                </w:p>
              </w:tc>
              <w:tc>
                <w:tcPr>
                  <w:tcW w:type="dxa" w:w="1812"/>
                  <w:vMerge/>
                  <w:tcBorders>
                    <w:top w:val="single" w:color="000000" w:sz="4"/>
                    <w:left w:val="none" w:color="000000" w:sz="4"/>
                    <w:bottom w:val="single" w:color="000000" w:sz="4"/>
                    <w:right w:val="single" w:color="000000" w:sz="4"/>
                  </w:tcBorders>
                </w:tcPr>
                <w:p/>
              </w:tc>
            </w:tr>
            <w:tr>
              <w:tc>
                <w:tcPr>
                  <w:tcW w:type="dxa" w:w="247"/>
                  <w:vMerge/>
                  <w:tcBorders>
                    <w:top w:val="none" w:color="000000" w:sz="4"/>
                    <w:left w:val="single" w:color="000000" w:sz="4"/>
                    <w:bottom w:val="singl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窗台、栏杆</w:t>
                  </w: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掸尘、擦拭</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1次/日</w:t>
                  </w:r>
                </w:p>
              </w:tc>
              <w:tc>
                <w:tcPr>
                  <w:tcW w:type="dxa" w:w="1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无灰尘、污渍</w:t>
                  </w:r>
                </w:p>
              </w:tc>
              <w:tc>
                <w:tcPr>
                  <w:tcW w:type="dxa" w:w="1812"/>
                  <w:vMerge/>
                  <w:tcBorders>
                    <w:top w:val="single" w:color="000000" w:sz="4"/>
                    <w:left w:val="none" w:color="000000" w:sz="4"/>
                    <w:bottom w:val="single" w:color="000000" w:sz="4"/>
                    <w:right w:val="single" w:color="000000" w:sz="4"/>
                  </w:tcBorders>
                </w:tcPr>
                <w:p/>
              </w:tc>
            </w:tr>
            <w:tr>
              <w:tc>
                <w:tcPr>
                  <w:tcW w:type="dxa" w:w="247"/>
                  <w:vMerge/>
                  <w:tcBorders>
                    <w:top w:val="none" w:color="000000" w:sz="4"/>
                    <w:left w:val="single" w:color="000000" w:sz="4"/>
                    <w:bottom w:val="singl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地脚线</w:t>
                  </w: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擦拭、吸尘</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1-2次/月</w:t>
                  </w:r>
                </w:p>
              </w:tc>
              <w:tc>
                <w:tcPr>
                  <w:tcW w:type="dxa" w:w="1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无污渍、无积尘</w:t>
                  </w:r>
                </w:p>
              </w:tc>
              <w:tc>
                <w:tcPr>
                  <w:tcW w:type="dxa" w:w="1812"/>
                  <w:vMerge/>
                  <w:tcBorders>
                    <w:top w:val="single" w:color="000000" w:sz="4"/>
                    <w:left w:val="none" w:color="000000" w:sz="4"/>
                    <w:bottom w:val="single" w:color="000000" w:sz="4"/>
                    <w:right w:val="single" w:color="000000" w:sz="4"/>
                  </w:tcBorders>
                </w:tcPr>
                <w:p/>
              </w:tc>
            </w:tr>
            <w:tr>
              <w:tc>
                <w:tcPr>
                  <w:tcW w:type="dxa" w:w="247"/>
                  <w:vMerge w:val="restart"/>
                  <w:tcBorders>
                    <w:top w:val="non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其他公共区域</w:t>
                  </w:r>
                </w:p>
              </w:tc>
              <w:tc>
                <w:tcPr>
                  <w:tcW w:type="dxa" w:w="239"/>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步梯</w:t>
                  </w:r>
                </w:p>
              </w:tc>
              <w:tc>
                <w:tcPr>
                  <w:tcW w:type="dxa" w:w="64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地板、阶梯</w:t>
                  </w: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循环巡扫</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多次</w:t>
                  </w:r>
                  <w:r>
                    <w:rPr>
                      <w:rFonts w:ascii="仿宋_GB2312" w:hAnsi="仿宋_GB2312" w:cs="仿宋_GB2312" w:eastAsia="仿宋_GB2312"/>
                      <w:sz w:val="24"/>
                    </w:rPr>
                    <w:t>/日</w:t>
                  </w:r>
                </w:p>
              </w:tc>
              <w:tc>
                <w:tcPr>
                  <w:tcW w:type="dxa" w:w="116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地面无垃圾、无明显污痕渍</w:t>
                  </w:r>
                </w:p>
              </w:tc>
              <w:tc>
                <w:tcPr>
                  <w:tcW w:type="dxa" w:w="1812"/>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rPr>
                    <w:t>不锈钢栏杆保养（每月</w:t>
                  </w:r>
                  <w:r>
                    <w:rPr>
                      <w:rFonts w:ascii="仿宋_GB2312" w:hAnsi="仿宋_GB2312" w:cs="仿宋_GB2312" w:eastAsia="仿宋_GB2312"/>
                      <w:sz w:val="24"/>
                    </w:rPr>
                    <w:t>1次）</w:t>
                  </w:r>
                  <w:r>
                    <w:br/>
                  </w:r>
                  <w:r>
                    <w:rPr>
                      <w:rFonts w:ascii="仿宋_GB2312" w:hAnsi="仿宋_GB2312" w:cs="仿宋_GB2312" w:eastAsia="仿宋_GB2312"/>
                      <w:sz w:val="24"/>
                    </w:rPr>
                    <w:t xml:space="preserve">   </w:t>
                  </w:r>
                  <w:r>
                    <w:rPr>
                      <w:rFonts w:ascii="仿宋_GB2312" w:hAnsi="仿宋_GB2312" w:cs="仿宋_GB2312" w:eastAsia="仿宋_GB2312"/>
                      <w:sz w:val="24"/>
                    </w:rPr>
                    <w:t>对不锈钢栏杆进行保养，延缓其氧化进度，保持其表面光亮。</w:t>
                  </w:r>
                </w:p>
              </w:tc>
            </w:tr>
            <w:tr>
              <w:tc>
                <w:tcPr>
                  <w:tcW w:type="dxa" w:w="247"/>
                  <w:vMerge/>
                  <w:tcBorders>
                    <w:top w:val="none" w:color="000000" w:sz="4"/>
                    <w:left w:val="single" w:color="000000" w:sz="4"/>
                    <w:bottom w:val="non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46"/>
                  <w:vMerge/>
                  <w:tcBorders>
                    <w:top w:val="none" w:color="000000" w:sz="4"/>
                    <w:left w:val="none" w:color="000000" w:sz="4"/>
                    <w:bottom w:val="single" w:color="000000" w:sz="4"/>
                    <w:right w:val="single" w:color="000000" w:sz="4"/>
                  </w:tcBorders>
                </w:tcP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巡拖、推尘</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4-6次/日</w:t>
                  </w:r>
                </w:p>
              </w:tc>
              <w:tc>
                <w:tcPr>
                  <w:tcW w:type="dxa" w:w="1165"/>
                  <w:vMerge/>
                  <w:tcBorders>
                    <w:top w:val="none" w:color="000000" w:sz="4"/>
                    <w:left w:val="none" w:color="000000" w:sz="4"/>
                    <w:bottom w:val="single" w:color="000000" w:sz="4"/>
                    <w:right w:val="single" w:color="000000" w:sz="4"/>
                  </w:tcBorders>
                </w:tcPr>
                <w:p/>
              </w:tc>
              <w:tc>
                <w:tcPr>
                  <w:tcW w:type="dxa" w:w="1812"/>
                  <w:vMerge/>
                  <w:tcBorders>
                    <w:top w:val="none" w:color="000000" w:sz="4"/>
                    <w:left w:val="none" w:color="000000" w:sz="4"/>
                    <w:bottom w:val="single" w:color="000000" w:sz="4"/>
                    <w:right w:val="single" w:color="000000" w:sz="4"/>
                  </w:tcBorders>
                </w:tcPr>
                <w:p/>
              </w:tc>
            </w:tr>
            <w:tr>
              <w:tc>
                <w:tcPr>
                  <w:tcW w:type="dxa" w:w="247"/>
                  <w:vMerge/>
                  <w:tcBorders>
                    <w:top w:val="none" w:color="000000" w:sz="4"/>
                    <w:left w:val="single" w:color="000000" w:sz="4"/>
                    <w:bottom w:val="non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墙面</w:t>
                  </w: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巡视擦拭</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1次/日</w:t>
                  </w:r>
                </w:p>
              </w:tc>
              <w:tc>
                <w:tcPr>
                  <w:tcW w:type="dxa" w:w="1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无灰尘、污渍及涂画</w:t>
                  </w:r>
                </w:p>
              </w:tc>
              <w:tc>
                <w:tcPr>
                  <w:tcW w:type="dxa" w:w="1812"/>
                  <w:vMerge/>
                  <w:tcBorders>
                    <w:top w:val="none" w:color="000000" w:sz="4"/>
                    <w:left w:val="none" w:color="000000" w:sz="4"/>
                    <w:bottom w:val="single" w:color="000000" w:sz="4"/>
                    <w:right w:val="single" w:color="000000" w:sz="4"/>
                  </w:tcBorders>
                </w:tcPr>
                <w:p/>
              </w:tc>
            </w:tr>
            <w:tr>
              <w:tc>
                <w:tcPr>
                  <w:tcW w:type="dxa" w:w="247"/>
                  <w:vMerge/>
                  <w:tcBorders>
                    <w:top w:val="none" w:color="000000" w:sz="4"/>
                    <w:left w:val="single" w:color="000000" w:sz="4"/>
                    <w:bottom w:val="non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窗台、栏杆</w:t>
                  </w: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掸尘、擦拭</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1次/日</w:t>
                  </w:r>
                </w:p>
              </w:tc>
              <w:tc>
                <w:tcPr>
                  <w:tcW w:type="dxa" w:w="1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无灰尘、污渍</w:t>
                  </w:r>
                </w:p>
              </w:tc>
              <w:tc>
                <w:tcPr>
                  <w:tcW w:type="dxa" w:w="1812"/>
                  <w:vMerge/>
                  <w:tcBorders>
                    <w:top w:val="none" w:color="000000" w:sz="4"/>
                    <w:left w:val="none" w:color="000000" w:sz="4"/>
                    <w:bottom w:val="single" w:color="000000" w:sz="4"/>
                    <w:right w:val="single" w:color="000000" w:sz="4"/>
                  </w:tcBorders>
                </w:tcPr>
                <w:p/>
              </w:tc>
            </w:tr>
            <w:tr>
              <w:tc>
                <w:tcPr>
                  <w:tcW w:type="dxa" w:w="247"/>
                  <w:vMerge/>
                  <w:tcBorders>
                    <w:top w:val="none" w:color="000000" w:sz="4"/>
                    <w:left w:val="single" w:color="000000" w:sz="4"/>
                    <w:bottom w:val="non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窗台、栏杆</w:t>
                  </w: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掸尘、擦拭</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1次/日</w:t>
                  </w:r>
                </w:p>
              </w:tc>
              <w:tc>
                <w:tcPr>
                  <w:tcW w:type="dxa" w:w="1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无灰尘、污渍</w:t>
                  </w:r>
                </w:p>
              </w:tc>
              <w:tc>
                <w:tcPr>
                  <w:tcW w:type="dxa" w:w="1812"/>
                  <w:vMerge/>
                  <w:tcBorders>
                    <w:top w:val="none" w:color="000000" w:sz="4"/>
                    <w:left w:val="none" w:color="000000" w:sz="4"/>
                    <w:bottom w:val="single" w:color="000000" w:sz="4"/>
                    <w:right w:val="single" w:color="000000" w:sz="4"/>
                  </w:tcBorders>
                </w:tcPr>
                <w:p/>
              </w:tc>
            </w:tr>
            <w:tr>
              <w:tc>
                <w:tcPr>
                  <w:tcW w:type="dxa" w:w="247"/>
                  <w:vMerge/>
                  <w:tcBorders>
                    <w:top w:val="none" w:color="000000" w:sz="4"/>
                    <w:left w:val="single" w:color="000000" w:sz="4"/>
                    <w:bottom w:val="non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地脚线</w:t>
                  </w: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擦拭、吸尘</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1-2次/月</w:t>
                  </w:r>
                </w:p>
              </w:tc>
              <w:tc>
                <w:tcPr>
                  <w:tcW w:type="dxa" w:w="1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无污渍、无积尘</w:t>
                  </w:r>
                </w:p>
              </w:tc>
              <w:tc>
                <w:tcPr>
                  <w:tcW w:type="dxa" w:w="1812"/>
                  <w:vMerge/>
                  <w:tcBorders>
                    <w:top w:val="none" w:color="000000" w:sz="4"/>
                    <w:left w:val="none" w:color="000000" w:sz="4"/>
                    <w:bottom w:val="single" w:color="000000" w:sz="4"/>
                    <w:right w:val="single" w:color="000000" w:sz="4"/>
                  </w:tcBorders>
                </w:tcPr>
                <w:p/>
              </w:tc>
            </w:tr>
            <w:tr>
              <w:tc>
                <w:tcPr>
                  <w:tcW w:type="dxa" w:w="247"/>
                  <w:vMerge/>
                  <w:tcBorders>
                    <w:top w:val="none" w:color="000000" w:sz="4"/>
                    <w:left w:val="single" w:color="000000" w:sz="4"/>
                    <w:bottom w:val="non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天花板</w:t>
                  </w: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除尘、清蛛网</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1-2次/月</w:t>
                  </w:r>
                </w:p>
              </w:tc>
              <w:tc>
                <w:tcPr>
                  <w:tcW w:type="dxa" w:w="1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无明显灰尘和蛛网</w:t>
                  </w:r>
                </w:p>
              </w:tc>
              <w:tc>
                <w:tcPr>
                  <w:tcW w:type="dxa" w:w="1812"/>
                  <w:vMerge/>
                  <w:tcBorders>
                    <w:top w:val="none" w:color="000000" w:sz="4"/>
                    <w:left w:val="none" w:color="000000" w:sz="4"/>
                    <w:bottom w:val="single" w:color="000000" w:sz="4"/>
                    <w:right w:val="single" w:color="000000" w:sz="4"/>
                  </w:tcBorders>
                </w:tcPr>
                <w:p/>
              </w:tc>
            </w:tr>
            <w:tr>
              <w:tc>
                <w:tcPr>
                  <w:tcW w:type="dxa" w:w="247"/>
                  <w:vMerge/>
                  <w:tcBorders>
                    <w:top w:val="none" w:color="000000" w:sz="4"/>
                    <w:left w:val="single" w:color="000000" w:sz="4"/>
                    <w:bottom w:val="none" w:color="000000" w:sz="4"/>
                    <w:right w:val="single" w:color="000000" w:sz="4"/>
                  </w:tcBorders>
                </w:tcPr>
                <w:p/>
              </w:tc>
              <w:tc>
                <w:tcPr>
                  <w:tcW w:type="dxa" w:w="239"/>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电</w:t>
                  </w:r>
                  <w:r>
                    <w:rPr>
                      <w:rFonts w:ascii="仿宋_GB2312" w:hAnsi="仿宋_GB2312" w:cs="仿宋_GB2312" w:eastAsia="仿宋_GB2312"/>
                      <w:sz w:val="24"/>
                    </w:rPr>
                    <w:t>梯</w:t>
                  </w:r>
                </w:p>
              </w:tc>
              <w:tc>
                <w:tcPr>
                  <w:tcW w:type="dxa" w:w="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电梯门</w:t>
                  </w: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巡视擦拭</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多次</w:t>
                  </w:r>
                  <w:r>
                    <w:rPr>
                      <w:rFonts w:ascii="仿宋_GB2312" w:hAnsi="仿宋_GB2312" w:cs="仿宋_GB2312" w:eastAsia="仿宋_GB2312"/>
                      <w:sz w:val="24"/>
                    </w:rPr>
                    <w:t>/日</w:t>
                  </w:r>
                </w:p>
              </w:tc>
              <w:tc>
                <w:tcPr>
                  <w:tcW w:type="dxa" w:w="1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干净、无渍印</w:t>
                  </w:r>
                </w:p>
              </w:tc>
              <w:tc>
                <w:tcPr>
                  <w:tcW w:type="dxa" w:w="1812"/>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rPr>
                    <w:t>不锈钢保养（每月</w:t>
                  </w:r>
                  <w:r>
                    <w:rPr>
                      <w:rFonts w:ascii="仿宋_GB2312" w:hAnsi="仿宋_GB2312" w:cs="仿宋_GB2312" w:eastAsia="仿宋_GB2312"/>
                      <w:sz w:val="24"/>
                    </w:rPr>
                    <w:t>1次）</w:t>
                  </w:r>
                  <w:r>
                    <w:br/>
                  </w:r>
                  <w:r>
                    <w:rPr>
                      <w:rFonts w:ascii="仿宋_GB2312" w:hAnsi="仿宋_GB2312" w:cs="仿宋_GB2312" w:eastAsia="仿宋_GB2312"/>
                      <w:sz w:val="24"/>
                    </w:rPr>
                    <w:t xml:space="preserve">   </w:t>
                  </w:r>
                  <w:r>
                    <w:rPr>
                      <w:rFonts w:ascii="仿宋_GB2312" w:hAnsi="仿宋_GB2312" w:cs="仿宋_GB2312" w:eastAsia="仿宋_GB2312"/>
                      <w:sz w:val="24"/>
                    </w:rPr>
                    <w:t>对不锈钢轿厢轿门进行保养，延缓其氧化进度，保持其表面光亮。</w:t>
                  </w:r>
                </w:p>
              </w:tc>
            </w:tr>
            <w:tr>
              <w:tc>
                <w:tcPr>
                  <w:tcW w:type="dxa" w:w="247"/>
                  <w:vMerge/>
                  <w:tcBorders>
                    <w:top w:val="none" w:color="000000" w:sz="4"/>
                    <w:left w:val="single" w:color="000000" w:sz="4"/>
                    <w:bottom w:val="non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轿厢地板</w:t>
                  </w: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拖擦</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2次/日</w:t>
                  </w:r>
                </w:p>
              </w:tc>
              <w:tc>
                <w:tcPr>
                  <w:tcW w:type="dxa" w:w="1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无尘垢、无污渍</w:t>
                  </w:r>
                </w:p>
              </w:tc>
              <w:tc>
                <w:tcPr>
                  <w:tcW w:type="dxa" w:w="1812"/>
                  <w:vMerge/>
                  <w:tcBorders>
                    <w:top w:val="none" w:color="000000" w:sz="4"/>
                    <w:left w:val="none" w:color="000000" w:sz="4"/>
                    <w:bottom w:val="single" w:color="000000" w:sz="4"/>
                    <w:right w:val="single" w:color="000000" w:sz="4"/>
                  </w:tcBorders>
                </w:tcPr>
                <w:p/>
              </w:tc>
            </w:tr>
            <w:tr>
              <w:tc>
                <w:tcPr>
                  <w:tcW w:type="dxa" w:w="247"/>
                  <w:vMerge/>
                  <w:tcBorders>
                    <w:top w:val="none" w:color="000000" w:sz="4"/>
                    <w:left w:val="single" w:color="000000" w:sz="4"/>
                    <w:bottom w:val="non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扶手</w:t>
                  </w: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擦拭</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多次</w:t>
                  </w:r>
                  <w:r>
                    <w:rPr>
                      <w:rFonts w:ascii="仿宋_GB2312" w:hAnsi="仿宋_GB2312" w:cs="仿宋_GB2312" w:eastAsia="仿宋_GB2312"/>
                      <w:sz w:val="24"/>
                    </w:rPr>
                    <w:t>/日</w:t>
                  </w:r>
                </w:p>
              </w:tc>
              <w:tc>
                <w:tcPr>
                  <w:tcW w:type="dxa" w:w="1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无污渍、无明显印斑</w:t>
                  </w:r>
                </w:p>
              </w:tc>
              <w:tc>
                <w:tcPr>
                  <w:tcW w:type="dxa" w:w="1812"/>
                  <w:vMerge/>
                  <w:tcBorders>
                    <w:top w:val="none" w:color="000000" w:sz="4"/>
                    <w:left w:val="none" w:color="000000" w:sz="4"/>
                    <w:bottom w:val="single" w:color="000000" w:sz="4"/>
                    <w:right w:val="single" w:color="000000" w:sz="4"/>
                  </w:tcBorders>
                </w:tcPr>
                <w:p/>
              </w:tc>
            </w:tr>
            <w:tr>
              <w:tc>
                <w:tcPr>
                  <w:tcW w:type="dxa" w:w="247"/>
                  <w:vMerge/>
                  <w:tcBorders>
                    <w:top w:val="none" w:color="000000" w:sz="4"/>
                    <w:left w:val="single" w:color="000000" w:sz="4"/>
                    <w:bottom w:val="non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梯壁、玻璃</w:t>
                  </w: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擦拭、清洗</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多次</w:t>
                  </w:r>
                  <w:r>
                    <w:rPr>
                      <w:rFonts w:ascii="仿宋_GB2312" w:hAnsi="仿宋_GB2312" w:cs="仿宋_GB2312" w:eastAsia="仿宋_GB2312"/>
                      <w:sz w:val="24"/>
                    </w:rPr>
                    <w:t>/日</w:t>
                  </w:r>
                </w:p>
              </w:tc>
              <w:tc>
                <w:tcPr>
                  <w:tcW w:type="dxa" w:w="1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表面光亮</w:t>
                  </w:r>
                </w:p>
              </w:tc>
              <w:tc>
                <w:tcPr>
                  <w:tcW w:type="dxa" w:w="1812"/>
                  <w:vMerge/>
                  <w:tcBorders>
                    <w:top w:val="none" w:color="000000" w:sz="4"/>
                    <w:left w:val="none" w:color="000000" w:sz="4"/>
                    <w:bottom w:val="single" w:color="000000" w:sz="4"/>
                    <w:right w:val="single" w:color="000000" w:sz="4"/>
                  </w:tcBorders>
                </w:tcPr>
                <w:p/>
              </w:tc>
            </w:tr>
            <w:tr>
              <w:tc>
                <w:tcPr>
                  <w:tcW w:type="dxa" w:w="247"/>
                  <w:vMerge/>
                  <w:tcBorders>
                    <w:top w:val="none" w:color="000000" w:sz="4"/>
                    <w:left w:val="single" w:color="000000" w:sz="4"/>
                    <w:bottom w:val="non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梯级</w:t>
                  </w: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除尘、擦拭</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1次/周</w:t>
                  </w:r>
                </w:p>
              </w:tc>
              <w:tc>
                <w:tcPr>
                  <w:tcW w:type="dxa" w:w="1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梯级无屑垢</w:t>
                  </w:r>
                </w:p>
              </w:tc>
              <w:tc>
                <w:tcPr>
                  <w:tcW w:type="dxa" w:w="1812"/>
                  <w:vMerge/>
                  <w:tcBorders>
                    <w:top w:val="none" w:color="000000" w:sz="4"/>
                    <w:left w:val="none" w:color="000000" w:sz="4"/>
                    <w:bottom w:val="single" w:color="000000" w:sz="4"/>
                    <w:right w:val="single" w:color="000000" w:sz="4"/>
                  </w:tcBorders>
                </w:tcPr>
                <w:p/>
              </w:tc>
            </w:tr>
            <w:tr>
              <w:tc>
                <w:tcPr>
                  <w:tcW w:type="dxa" w:w="247"/>
                  <w:vMerge/>
                  <w:tcBorders>
                    <w:top w:val="none" w:color="000000" w:sz="4"/>
                    <w:left w:val="single" w:color="000000" w:sz="4"/>
                    <w:bottom w:val="none" w:color="000000" w:sz="4"/>
                    <w:right w:val="single" w:color="000000" w:sz="4"/>
                  </w:tcBorders>
                </w:tcPr>
                <w:p/>
              </w:tc>
              <w:tc>
                <w:tcPr>
                  <w:tcW w:type="dxa" w:w="239"/>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公</w:t>
                  </w:r>
                  <w:r>
                    <w:rPr>
                      <w:rFonts w:ascii="仿宋_GB2312" w:hAnsi="仿宋_GB2312" w:cs="仿宋_GB2312" w:eastAsia="仿宋_GB2312"/>
                      <w:sz w:val="24"/>
                    </w:rPr>
                    <w:t>共</w:t>
                  </w:r>
                  <w:r>
                    <w:rPr>
                      <w:rFonts w:ascii="仿宋_GB2312" w:hAnsi="仿宋_GB2312" w:cs="仿宋_GB2312" w:eastAsia="仿宋_GB2312"/>
                      <w:sz w:val="24"/>
                    </w:rPr>
                    <w:t>卫</w:t>
                  </w:r>
                  <w:r>
                    <w:rPr>
                      <w:rFonts w:ascii="仿宋_GB2312" w:hAnsi="仿宋_GB2312" w:cs="仿宋_GB2312" w:eastAsia="仿宋_GB2312"/>
                      <w:sz w:val="24"/>
                    </w:rPr>
                    <w:t>生</w:t>
                  </w:r>
                  <w:r>
                    <w:rPr>
                      <w:rFonts w:ascii="仿宋_GB2312" w:hAnsi="仿宋_GB2312" w:cs="仿宋_GB2312" w:eastAsia="仿宋_GB2312"/>
                      <w:sz w:val="24"/>
                    </w:rPr>
                    <w:t>设</w:t>
                  </w:r>
                  <w:r>
                    <w:rPr>
                      <w:rFonts w:ascii="仿宋_GB2312" w:hAnsi="仿宋_GB2312" w:cs="仿宋_GB2312" w:eastAsia="仿宋_GB2312"/>
                      <w:sz w:val="24"/>
                    </w:rPr>
                    <w:t>施</w:t>
                  </w:r>
                </w:p>
              </w:tc>
              <w:tc>
                <w:tcPr>
                  <w:tcW w:type="dxa" w:w="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地板</w:t>
                  </w: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巡扫、拖擦</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多次</w:t>
                  </w:r>
                  <w:r>
                    <w:rPr>
                      <w:rFonts w:ascii="仿宋_GB2312" w:hAnsi="仿宋_GB2312" w:cs="仿宋_GB2312" w:eastAsia="仿宋_GB2312"/>
                      <w:sz w:val="24"/>
                    </w:rPr>
                    <w:t>/日</w:t>
                  </w:r>
                </w:p>
              </w:tc>
              <w:tc>
                <w:tcPr>
                  <w:tcW w:type="dxa" w:w="1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无积水、无垢渍</w:t>
                  </w:r>
                </w:p>
              </w:tc>
              <w:tc>
                <w:tcPr>
                  <w:tcW w:type="dxa" w:w="1812"/>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rPr>
                    <w:t>A、卫生间整体清洗（每周1次）</w:t>
                  </w:r>
                  <w:r>
                    <w:br/>
                  </w:r>
                  <w:r>
                    <w:rPr>
                      <w:rFonts w:ascii="仿宋_GB2312" w:hAnsi="仿宋_GB2312" w:cs="仿宋_GB2312" w:eastAsia="仿宋_GB2312"/>
                      <w:sz w:val="24"/>
                    </w:rPr>
                    <w:t xml:space="preserve">   </w:t>
                  </w:r>
                  <w:r>
                    <w:rPr>
                      <w:rFonts w:ascii="仿宋_GB2312" w:hAnsi="仿宋_GB2312" w:cs="仿宋_GB2312" w:eastAsia="仿宋_GB2312"/>
                      <w:sz w:val="24"/>
                    </w:rPr>
                    <w:t>全面清洗地板、墙面、便池等，吸干污水，除掉顽固污渍，清理地板上边边角角的卫生。保持卫生间内干净、干燥，边角无碎屑、污垢。</w:t>
                  </w:r>
                  <w:r>
                    <w:br/>
                  </w:r>
                  <w:r>
                    <w:rPr>
                      <w:rFonts w:ascii="仿宋_GB2312" w:hAnsi="仿宋_GB2312" w:cs="仿宋_GB2312" w:eastAsia="仿宋_GB2312"/>
                      <w:sz w:val="24"/>
                    </w:rPr>
                    <w:t>B、卫生间清洁（每月两次）</w:t>
                  </w:r>
                  <w:r>
                    <w:br/>
                  </w:r>
                  <w:r>
                    <w:rPr>
                      <w:rFonts w:ascii="仿宋_GB2312" w:hAnsi="仿宋_GB2312" w:cs="仿宋_GB2312" w:eastAsia="仿宋_GB2312"/>
                      <w:sz w:val="24"/>
                    </w:rPr>
                    <w:t xml:space="preserve">   </w:t>
                  </w:r>
                  <w:r>
                    <w:rPr>
                      <w:rFonts w:ascii="仿宋_GB2312" w:hAnsi="仿宋_GB2312" w:cs="仿宋_GB2312" w:eastAsia="仿宋_GB2312"/>
                      <w:sz w:val="24"/>
                    </w:rPr>
                    <w:t>清洗瓷器表面及边角，杜绝黄斑的形成，同时用消毒液进行全方位消毒，保持卫生间干净、无异味。</w:t>
                  </w:r>
                  <w:r>
                    <w:br/>
                  </w:r>
                  <w:r>
                    <w:rPr>
                      <w:rFonts w:ascii="仿宋_GB2312" w:hAnsi="仿宋_GB2312" w:cs="仿宋_GB2312" w:eastAsia="仿宋_GB2312"/>
                      <w:sz w:val="24"/>
                    </w:rPr>
                    <w:t>C、垃圾桶清洁消毒（每月2次）</w:t>
                  </w:r>
                  <w:r>
                    <w:br/>
                  </w:r>
                  <w:r>
                    <w:rPr>
                      <w:rFonts w:ascii="仿宋_GB2312" w:hAnsi="仿宋_GB2312" w:cs="仿宋_GB2312" w:eastAsia="仿宋_GB2312"/>
                      <w:sz w:val="24"/>
                    </w:rPr>
                    <w:t xml:space="preserve">   </w:t>
                  </w:r>
                  <w:r>
                    <w:rPr>
                      <w:rFonts w:ascii="仿宋_GB2312" w:hAnsi="仿宋_GB2312" w:cs="仿宋_GB2312" w:eastAsia="仿宋_GB2312"/>
                      <w:sz w:val="24"/>
                    </w:rPr>
                    <w:t>刷洗垃圾桶内表，同时用消毒液进行消毒，保持垃圾桶干净、无异味。</w:t>
                  </w:r>
                  <w:r>
                    <w:br/>
                  </w:r>
                  <w:r>
                    <w:rPr>
                      <w:rFonts w:ascii="仿宋_GB2312" w:hAnsi="仿宋_GB2312" w:cs="仿宋_GB2312" w:eastAsia="仿宋_GB2312"/>
                      <w:sz w:val="24"/>
                    </w:rPr>
                    <w:t>D、不锈钢栏杆保养（每月1次）</w:t>
                  </w:r>
                  <w:r>
                    <w:br/>
                  </w:r>
                  <w:r>
                    <w:rPr>
                      <w:rFonts w:ascii="仿宋_GB2312" w:hAnsi="仿宋_GB2312" w:cs="仿宋_GB2312" w:eastAsia="仿宋_GB2312"/>
                      <w:sz w:val="24"/>
                    </w:rPr>
                    <w:t xml:space="preserve">   </w:t>
                  </w:r>
                  <w:r>
                    <w:rPr>
                      <w:rFonts w:ascii="仿宋_GB2312" w:hAnsi="仿宋_GB2312" w:cs="仿宋_GB2312" w:eastAsia="仿宋_GB2312"/>
                      <w:sz w:val="24"/>
                    </w:rPr>
                    <w:t>对不锈钢栏杆进行保养，延缓其氧化进度，保持其表面光亮。</w:t>
                  </w:r>
                </w:p>
              </w:tc>
            </w:tr>
            <w:tr>
              <w:tc>
                <w:tcPr>
                  <w:tcW w:type="dxa" w:w="247"/>
                  <w:vMerge/>
                  <w:tcBorders>
                    <w:top w:val="none" w:color="000000" w:sz="4"/>
                    <w:left w:val="single" w:color="000000" w:sz="4"/>
                    <w:bottom w:val="non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门套、门饰</w:t>
                  </w: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掸尘、擦拭</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多次</w:t>
                  </w:r>
                  <w:r>
                    <w:rPr>
                      <w:rFonts w:ascii="仿宋_GB2312" w:hAnsi="仿宋_GB2312" w:cs="仿宋_GB2312" w:eastAsia="仿宋_GB2312"/>
                      <w:sz w:val="24"/>
                    </w:rPr>
                    <w:t>/周</w:t>
                  </w:r>
                </w:p>
              </w:tc>
              <w:tc>
                <w:tcPr>
                  <w:tcW w:type="dxa" w:w="1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无明显灰尘和污渍</w:t>
                  </w:r>
                </w:p>
              </w:tc>
              <w:tc>
                <w:tcPr>
                  <w:tcW w:type="dxa" w:w="1812"/>
                  <w:vMerge/>
                  <w:tcBorders>
                    <w:top w:val="none" w:color="000000" w:sz="4"/>
                    <w:left w:val="none" w:color="000000" w:sz="4"/>
                    <w:bottom w:val="single" w:color="000000" w:sz="4"/>
                    <w:right w:val="single" w:color="000000" w:sz="4"/>
                  </w:tcBorders>
                </w:tcPr>
                <w:p/>
              </w:tc>
            </w:tr>
            <w:tr>
              <w:tc>
                <w:tcPr>
                  <w:tcW w:type="dxa" w:w="247"/>
                  <w:vMerge/>
                  <w:tcBorders>
                    <w:top w:val="none" w:color="000000" w:sz="4"/>
                    <w:left w:val="single" w:color="000000" w:sz="4"/>
                    <w:bottom w:val="non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墙面、隔板</w:t>
                  </w: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擦抹</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1次/日</w:t>
                  </w:r>
                </w:p>
              </w:tc>
              <w:tc>
                <w:tcPr>
                  <w:tcW w:type="dxa" w:w="1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无污垢、无乱写画</w:t>
                  </w:r>
                </w:p>
              </w:tc>
              <w:tc>
                <w:tcPr>
                  <w:tcW w:type="dxa" w:w="1812"/>
                  <w:vMerge/>
                  <w:tcBorders>
                    <w:top w:val="none" w:color="000000" w:sz="4"/>
                    <w:left w:val="none" w:color="000000" w:sz="4"/>
                    <w:bottom w:val="single" w:color="000000" w:sz="4"/>
                    <w:right w:val="single" w:color="000000" w:sz="4"/>
                  </w:tcBorders>
                </w:tcPr>
                <w:p/>
              </w:tc>
            </w:tr>
            <w:tr>
              <w:tc>
                <w:tcPr>
                  <w:tcW w:type="dxa" w:w="247"/>
                  <w:vMerge/>
                  <w:tcBorders>
                    <w:top w:val="none" w:color="000000" w:sz="4"/>
                    <w:left w:val="single" w:color="000000" w:sz="4"/>
                    <w:bottom w:val="non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便池</w:t>
                  </w: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冲刷</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数次</w:t>
                  </w:r>
                  <w:r>
                    <w:rPr>
                      <w:rFonts w:ascii="仿宋_GB2312" w:hAnsi="仿宋_GB2312" w:cs="仿宋_GB2312" w:eastAsia="仿宋_GB2312"/>
                      <w:sz w:val="24"/>
                    </w:rPr>
                    <w:t>/日</w:t>
                  </w:r>
                </w:p>
              </w:tc>
              <w:tc>
                <w:tcPr>
                  <w:tcW w:type="dxa" w:w="1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无便渍、渍垢及异味</w:t>
                  </w:r>
                </w:p>
              </w:tc>
              <w:tc>
                <w:tcPr>
                  <w:tcW w:type="dxa" w:w="1812"/>
                  <w:vMerge/>
                  <w:tcBorders>
                    <w:top w:val="none" w:color="000000" w:sz="4"/>
                    <w:left w:val="none" w:color="000000" w:sz="4"/>
                    <w:bottom w:val="single" w:color="000000" w:sz="4"/>
                    <w:right w:val="single" w:color="000000" w:sz="4"/>
                  </w:tcBorders>
                </w:tcPr>
                <w:p/>
              </w:tc>
            </w:tr>
            <w:tr>
              <w:tc>
                <w:tcPr>
                  <w:tcW w:type="dxa" w:w="247"/>
                  <w:vMerge/>
                  <w:tcBorders>
                    <w:top w:val="none" w:color="000000" w:sz="4"/>
                    <w:left w:val="single" w:color="000000" w:sz="4"/>
                    <w:bottom w:val="non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洗手台</w:t>
                  </w: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擦拭</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数次</w:t>
                  </w:r>
                  <w:r>
                    <w:rPr>
                      <w:rFonts w:ascii="仿宋_GB2312" w:hAnsi="仿宋_GB2312" w:cs="仿宋_GB2312" w:eastAsia="仿宋_GB2312"/>
                      <w:sz w:val="24"/>
                    </w:rPr>
                    <w:t>/日</w:t>
                  </w:r>
                </w:p>
              </w:tc>
              <w:tc>
                <w:tcPr>
                  <w:tcW w:type="dxa" w:w="1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无污垢</w:t>
                  </w:r>
                </w:p>
              </w:tc>
              <w:tc>
                <w:tcPr>
                  <w:tcW w:type="dxa" w:w="1812"/>
                  <w:vMerge/>
                  <w:tcBorders>
                    <w:top w:val="none" w:color="000000" w:sz="4"/>
                    <w:left w:val="none" w:color="000000" w:sz="4"/>
                    <w:bottom w:val="single" w:color="000000" w:sz="4"/>
                    <w:right w:val="single" w:color="000000" w:sz="4"/>
                  </w:tcBorders>
                </w:tcPr>
                <w:p/>
              </w:tc>
            </w:tr>
            <w:tr>
              <w:tc>
                <w:tcPr>
                  <w:tcW w:type="dxa" w:w="247"/>
                  <w:vMerge/>
                  <w:tcBorders>
                    <w:top w:val="none" w:color="000000" w:sz="4"/>
                    <w:left w:val="single" w:color="000000" w:sz="4"/>
                    <w:bottom w:val="non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镜子</w:t>
                  </w: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刮洗、抹干</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数次</w:t>
                  </w:r>
                  <w:r>
                    <w:rPr>
                      <w:rFonts w:ascii="仿宋_GB2312" w:hAnsi="仿宋_GB2312" w:cs="仿宋_GB2312" w:eastAsia="仿宋_GB2312"/>
                      <w:sz w:val="24"/>
                    </w:rPr>
                    <w:t>/日</w:t>
                  </w:r>
                </w:p>
              </w:tc>
              <w:tc>
                <w:tcPr>
                  <w:tcW w:type="dxa" w:w="1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无水迹、保持透明度</w:t>
                  </w:r>
                </w:p>
              </w:tc>
              <w:tc>
                <w:tcPr>
                  <w:tcW w:type="dxa" w:w="1812"/>
                  <w:vMerge/>
                  <w:tcBorders>
                    <w:top w:val="none" w:color="000000" w:sz="4"/>
                    <w:left w:val="none" w:color="000000" w:sz="4"/>
                    <w:bottom w:val="single" w:color="000000" w:sz="4"/>
                    <w:right w:val="single" w:color="000000" w:sz="4"/>
                  </w:tcBorders>
                </w:tcPr>
                <w:p/>
              </w:tc>
            </w:tr>
            <w:tr>
              <w:tc>
                <w:tcPr>
                  <w:tcW w:type="dxa" w:w="247"/>
                  <w:vMerge/>
                  <w:tcBorders>
                    <w:top w:val="none" w:color="000000" w:sz="4"/>
                    <w:left w:val="single" w:color="000000" w:sz="4"/>
                    <w:bottom w:val="non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窗台、栏杆</w:t>
                  </w: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掸尘、擦拭</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1次/日</w:t>
                  </w:r>
                </w:p>
              </w:tc>
              <w:tc>
                <w:tcPr>
                  <w:tcW w:type="dxa" w:w="1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无灰尘、污渍</w:t>
                  </w:r>
                </w:p>
              </w:tc>
              <w:tc>
                <w:tcPr>
                  <w:tcW w:type="dxa" w:w="1812"/>
                  <w:vMerge/>
                  <w:tcBorders>
                    <w:top w:val="none" w:color="000000" w:sz="4"/>
                    <w:left w:val="none" w:color="000000" w:sz="4"/>
                    <w:bottom w:val="single" w:color="000000" w:sz="4"/>
                    <w:right w:val="single" w:color="000000" w:sz="4"/>
                  </w:tcBorders>
                </w:tcPr>
                <w:p/>
              </w:tc>
            </w:tr>
            <w:tr>
              <w:tc>
                <w:tcPr>
                  <w:tcW w:type="dxa" w:w="247"/>
                  <w:vMerge/>
                  <w:tcBorders>
                    <w:top w:val="none" w:color="000000" w:sz="4"/>
                    <w:left w:val="single" w:color="000000" w:sz="4"/>
                    <w:bottom w:val="non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地脚线</w:t>
                  </w: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擦拭、除垢</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2次/月</w:t>
                  </w:r>
                </w:p>
              </w:tc>
              <w:tc>
                <w:tcPr>
                  <w:tcW w:type="dxa" w:w="1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无污垢、无浮尘</w:t>
                  </w:r>
                </w:p>
              </w:tc>
              <w:tc>
                <w:tcPr>
                  <w:tcW w:type="dxa" w:w="1812"/>
                  <w:vMerge/>
                  <w:tcBorders>
                    <w:top w:val="none" w:color="000000" w:sz="4"/>
                    <w:left w:val="none" w:color="000000" w:sz="4"/>
                    <w:bottom w:val="single" w:color="000000" w:sz="4"/>
                    <w:right w:val="single" w:color="000000" w:sz="4"/>
                  </w:tcBorders>
                </w:tcPr>
                <w:p/>
              </w:tc>
            </w:tr>
            <w:tr>
              <w:tc>
                <w:tcPr>
                  <w:tcW w:type="dxa" w:w="247"/>
                  <w:vMerge/>
                  <w:tcBorders>
                    <w:top w:val="none" w:color="000000" w:sz="4"/>
                    <w:left w:val="single" w:color="000000" w:sz="4"/>
                    <w:bottom w:val="non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天花板</w:t>
                  </w: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除尘、清蛛网</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1-2次/月</w:t>
                  </w:r>
                </w:p>
              </w:tc>
              <w:tc>
                <w:tcPr>
                  <w:tcW w:type="dxa" w:w="1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无明显灰尘、无蛛网</w:t>
                  </w:r>
                </w:p>
              </w:tc>
              <w:tc>
                <w:tcPr>
                  <w:tcW w:type="dxa" w:w="1812"/>
                  <w:vMerge/>
                  <w:tcBorders>
                    <w:top w:val="none" w:color="000000" w:sz="4"/>
                    <w:left w:val="none" w:color="000000" w:sz="4"/>
                    <w:bottom w:val="single" w:color="000000" w:sz="4"/>
                    <w:right w:val="single" w:color="000000" w:sz="4"/>
                  </w:tcBorders>
                </w:tcPr>
                <w:p/>
              </w:tc>
            </w:tr>
            <w:tr>
              <w:tc>
                <w:tcPr>
                  <w:tcW w:type="dxa" w:w="247"/>
                  <w:vMerge/>
                  <w:tcBorders>
                    <w:top w:val="none" w:color="000000" w:sz="4"/>
                    <w:left w:val="single" w:color="000000" w:sz="4"/>
                    <w:bottom w:val="non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垃圾桶</w:t>
                  </w: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收垃圾、清洁</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2次/日</w:t>
                  </w:r>
                </w:p>
              </w:tc>
              <w:tc>
                <w:tcPr>
                  <w:tcW w:type="dxa" w:w="1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垃圾不外溢、外周无污渍</w:t>
                  </w:r>
                </w:p>
              </w:tc>
              <w:tc>
                <w:tcPr>
                  <w:tcW w:type="dxa" w:w="1812"/>
                  <w:vMerge/>
                  <w:tcBorders>
                    <w:top w:val="none" w:color="000000" w:sz="4"/>
                    <w:left w:val="none" w:color="000000" w:sz="4"/>
                    <w:bottom w:val="single" w:color="000000" w:sz="4"/>
                    <w:right w:val="single" w:color="000000" w:sz="4"/>
                  </w:tcBorders>
                </w:tcPr>
                <w:p/>
              </w:tc>
            </w:tr>
            <w:tr>
              <w:tc>
                <w:tcPr>
                  <w:tcW w:type="dxa" w:w="247"/>
                  <w:vMerge/>
                  <w:tcBorders>
                    <w:top w:val="none" w:color="000000" w:sz="4"/>
                    <w:left w:val="single" w:color="000000" w:sz="4"/>
                    <w:bottom w:val="none" w:color="000000" w:sz="4"/>
                    <w:right w:val="single" w:color="000000" w:sz="4"/>
                  </w:tcBorders>
                </w:tcPr>
                <w:p/>
              </w:tc>
              <w:tc>
                <w:tcPr>
                  <w:tcW w:type="dxa" w:w="239"/>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其</w:t>
                  </w:r>
                  <w:r>
                    <w:br/>
                  </w:r>
                  <w:r>
                    <w:rPr>
                      <w:rFonts w:ascii="仿宋_GB2312" w:hAnsi="仿宋_GB2312" w:cs="仿宋_GB2312" w:eastAsia="仿宋_GB2312"/>
                      <w:sz w:val="24"/>
                    </w:rPr>
                    <w:t>他</w:t>
                  </w:r>
                </w:p>
              </w:tc>
              <w:tc>
                <w:tcPr>
                  <w:tcW w:type="dxa" w:w="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指示牌</w:t>
                  </w: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擦拭灰尘</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多次</w:t>
                  </w:r>
                  <w:r>
                    <w:rPr>
                      <w:rFonts w:ascii="仿宋_GB2312" w:hAnsi="仿宋_GB2312" w:cs="仿宋_GB2312" w:eastAsia="仿宋_GB2312"/>
                      <w:sz w:val="24"/>
                    </w:rPr>
                    <w:t>/周</w:t>
                  </w:r>
                </w:p>
              </w:tc>
              <w:tc>
                <w:tcPr>
                  <w:tcW w:type="dxa" w:w="1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无污渍</w:t>
                  </w:r>
                </w:p>
              </w:tc>
              <w:tc>
                <w:tcPr>
                  <w:tcW w:type="dxa" w:w="1812"/>
                  <w:vMerge/>
                  <w:tcBorders>
                    <w:top w:val="none" w:color="000000" w:sz="4"/>
                    <w:left w:val="none" w:color="000000" w:sz="4"/>
                    <w:bottom w:val="single" w:color="000000" w:sz="4"/>
                    <w:right w:val="single" w:color="000000" w:sz="4"/>
                  </w:tcBorders>
                </w:tcPr>
                <w:p/>
              </w:tc>
            </w:tr>
            <w:tr>
              <w:tc>
                <w:tcPr>
                  <w:tcW w:type="dxa" w:w="247"/>
                  <w:vMerge/>
                  <w:tcBorders>
                    <w:top w:val="none" w:color="000000" w:sz="4"/>
                    <w:left w:val="single" w:color="000000" w:sz="4"/>
                    <w:bottom w:val="non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消费器材</w:t>
                  </w: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擦拭灰尘</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2次/月</w:t>
                  </w:r>
                </w:p>
              </w:tc>
              <w:tc>
                <w:tcPr>
                  <w:tcW w:type="dxa" w:w="1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无积尘</w:t>
                  </w:r>
                </w:p>
              </w:tc>
              <w:tc>
                <w:tcPr>
                  <w:tcW w:type="dxa" w:w="1812"/>
                  <w:vMerge/>
                  <w:tcBorders>
                    <w:top w:val="none" w:color="000000" w:sz="4"/>
                    <w:left w:val="none" w:color="000000" w:sz="4"/>
                    <w:bottom w:val="single" w:color="000000" w:sz="4"/>
                    <w:right w:val="single" w:color="000000" w:sz="4"/>
                  </w:tcBorders>
                </w:tcPr>
                <w:p/>
              </w:tc>
            </w:tr>
            <w:tr>
              <w:tc>
                <w:tcPr>
                  <w:tcW w:type="dxa" w:w="247"/>
                  <w:vMerge/>
                  <w:tcBorders>
                    <w:top w:val="none" w:color="000000" w:sz="4"/>
                    <w:left w:val="single" w:color="000000" w:sz="4"/>
                    <w:bottom w:val="none" w:color="000000" w:sz="4"/>
                    <w:right w:val="single" w:color="000000" w:sz="4"/>
                  </w:tcBorders>
                </w:tcPr>
                <w:p/>
              </w:tc>
              <w:tc>
                <w:tcPr>
                  <w:tcW w:type="dxa" w:w="239"/>
                  <w:vMerge/>
                  <w:tcBorders>
                    <w:top w:val="none" w:color="000000" w:sz="4"/>
                    <w:left w:val="none" w:color="000000" w:sz="4"/>
                    <w:bottom w:val="single" w:color="000000" w:sz="4"/>
                    <w:right w:val="single" w:color="000000" w:sz="4"/>
                  </w:tcBorders>
                </w:tcPr>
                <w:p/>
              </w:tc>
              <w:tc>
                <w:tcPr>
                  <w:tcW w:type="dxa" w:w="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开关、插板</w:t>
                  </w:r>
                </w:p>
              </w:tc>
              <w:tc>
                <w:tcPr>
                  <w:tcW w:type="dxa" w:w="7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擦拭灰尘</w:t>
                  </w:r>
                </w:p>
              </w:tc>
              <w:tc>
                <w:tcPr>
                  <w:tcW w:type="dxa" w:w="7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多次</w:t>
                  </w:r>
                  <w:r>
                    <w:rPr>
                      <w:rFonts w:ascii="仿宋_GB2312" w:hAnsi="仿宋_GB2312" w:cs="仿宋_GB2312" w:eastAsia="仿宋_GB2312"/>
                      <w:sz w:val="24"/>
                    </w:rPr>
                    <w:t>/周</w:t>
                  </w:r>
                </w:p>
              </w:tc>
              <w:tc>
                <w:tcPr>
                  <w:tcW w:type="dxa" w:w="1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无污渍</w:t>
                  </w:r>
                </w:p>
              </w:tc>
              <w:tc>
                <w:tcPr>
                  <w:tcW w:type="dxa" w:w="1812"/>
                  <w:vMerge/>
                  <w:tcBorders>
                    <w:top w:val="none" w:color="000000" w:sz="4"/>
                    <w:left w:val="none" w:color="000000" w:sz="4"/>
                    <w:bottom w:val="single" w:color="000000" w:sz="4"/>
                    <w:right w:val="single" w:color="000000" w:sz="4"/>
                  </w:tcBorders>
                </w:tcPr>
                <w:p/>
              </w:tc>
            </w:tr>
          </w:tbl>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2）会务</w:t>
            </w:r>
          </w:p>
          <w:p>
            <w:pPr>
              <w:pStyle w:val="null3"/>
              <w:ind w:firstLine="472"/>
              <w:jc w:val="left"/>
            </w:pPr>
            <w:r>
              <w:rPr>
                <w:rFonts w:ascii="仿宋_GB2312" w:hAnsi="仿宋_GB2312" w:cs="仿宋_GB2312" w:eastAsia="仿宋_GB2312"/>
                <w:sz w:val="24"/>
              </w:rPr>
              <w:t>具备会务服务经验，负责制作并摆放会议厅座牌、茶水服务、会后整理等会前、会中、会后各项工作及外派会务服务工作，完成采购人交办的其他工作。</w:t>
            </w:r>
          </w:p>
          <w:p>
            <w:pPr>
              <w:pStyle w:val="null3"/>
              <w:ind w:firstLine="472"/>
              <w:jc w:val="left"/>
            </w:pPr>
            <w:r>
              <w:rPr>
                <w:rFonts w:ascii="仿宋_GB2312" w:hAnsi="仿宋_GB2312" w:cs="仿宋_GB2312" w:eastAsia="仿宋_GB2312"/>
                <w:sz w:val="24"/>
              </w:rPr>
              <w:t>★4、服务基本要求</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1）供应商应制定有切实可行的服务方案，有完整的管理服务制度和作业标准；服务人员由供应商领导与管理，但同时应当遵守采购人的相关制度。</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2）按采购人的作习时间提供服务；</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3）确保服务中的相关作业记录完整，可追溯。</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4）服务人员应体现“定岗定位定责”原则，便于规范高效履职；如因特殊情况需更换服务人员的，应书面征得采购人同意。</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5）供应商负责服务人员的人事劳动关系管理、人员薪酬保险、社保等供给保障及劳动关系的所有事宜。</w:t>
            </w:r>
            <w:r>
              <w:rPr>
                <w:rFonts w:ascii="仿宋_GB2312" w:hAnsi="仿宋_GB2312" w:cs="仿宋_GB2312" w:eastAsia="仿宋_GB2312"/>
                <w:sz w:val="24"/>
                <w:b/>
              </w:rPr>
              <w:t>（响应文件中单独提供承诺函，格式自拟）</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6）服务人员有违反《中华人民共和国劳动合同法》或国家其他法律法规情形的，供应商有权单方解除与服务人员的劳动合同，并相应解除该员工，双方同意此种情形不视为供应商违约。</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7）服务人员在服务期间发生工伤的，采购人应在工伤发生的第一时间告知供应商，并及时将受伤的服务人员送往工伤治疗医院治疗，供应商负责工伤的认定申请和伤残等级鉴定申请时，采购人应当协助供应商工伤认定的调查核实工作。</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8）加强安全管理，落实安全责任，采取安全保（防）护措施，坚决杜绝发生各类安全事故（件）；若在工作过程中发生人员伤亡、财产损失、偷窃行为等各类治安、安全事故（件），均由供应商自行承担全部法律责任和经济赔偿。采购人不承担任何法律责任或经济赔偿。</w:t>
            </w:r>
            <w:r>
              <w:rPr>
                <w:rFonts w:ascii="仿宋_GB2312" w:hAnsi="仿宋_GB2312" w:cs="仿宋_GB2312" w:eastAsia="仿宋_GB2312"/>
                <w:sz w:val="24"/>
                <w:b/>
              </w:rPr>
              <w:t>（响应文件中单独提供承诺函，格式自拟）</w:t>
            </w:r>
          </w:p>
          <w:p>
            <w:pPr>
              <w:pStyle w:val="null3"/>
              <w:ind w:firstLine="472"/>
              <w:jc w:val="left"/>
            </w:pPr>
            <w:r>
              <w:rPr>
                <w:rFonts w:ascii="仿宋_GB2312" w:hAnsi="仿宋_GB2312" w:cs="仿宋_GB2312" w:eastAsia="仿宋_GB2312"/>
                <w:sz w:val="24"/>
              </w:rPr>
              <w:t>★5、服务人员基本要求</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1）服务人员应按采购人规定统一着装，保证服装干净整洁；</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2）具备服务岗位要求的相应专业素养与技能，正确履行工作职责，按程序办理相关工作事宜；</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3）严格按采购人的要求提供服务，不得擅离岗位、不得嬉笑打闹、睡觉或做其他与工作无关的事；</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4）服务人员要做到文明礼貌、不得在公共区域内高声喧哗；热情周到，遇有办事群众问事，应热情回答；不得随地吐痰，乱扔纸屑和乱写乱画，办公物品摆放有序；工作中应面带微笑，态度亲切；</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5）服务人员身体健康，无重大疾病、精神病史。合同签订时供应商须向采购人提供所有岗位服务人员入职前 6 个月内县级及以上医院出具的个人体检报告或健康体检类的证明。</w:t>
            </w:r>
            <w:r>
              <w:rPr>
                <w:rFonts w:ascii="仿宋_GB2312" w:hAnsi="仿宋_GB2312" w:cs="仿宋_GB2312" w:eastAsia="仿宋_GB2312"/>
                <w:sz w:val="24"/>
                <w:b/>
              </w:rPr>
              <w:t>（响应文件中单独提供承诺函，格式自拟）</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6）所有服务人员均无违法犯罪记录，未受到过公安机关行政拘留或以上的行政处罚和刑法处罚。</w:t>
            </w:r>
            <w:r>
              <w:rPr>
                <w:rFonts w:ascii="仿宋_GB2312" w:hAnsi="仿宋_GB2312" w:cs="仿宋_GB2312" w:eastAsia="仿宋_GB2312"/>
                <w:sz w:val="24"/>
                <w:b/>
              </w:rPr>
              <w:t>（响应文件中单独提供承诺函，格式自拟）</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7）供应商应当定期组织人员进行法律法规、技能、应急处理等专业知识培训、考核、演练。</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8）在正常工作与节（假）日期间严格按照采购人的作息时间及要求，合理组织与安排好有关工作，严禁脱岗、漏岗、溜岗等情况发生。</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9）完成好采购人临时交办的任务。</w:t>
            </w:r>
          </w:p>
          <w:p>
            <w:pPr>
              <w:pStyle w:val="null3"/>
              <w:ind w:firstLine="472"/>
              <w:jc w:val="left"/>
            </w:pPr>
            <w:r>
              <w:rPr>
                <w:rFonts w:ascii="仿宋_GB2312" w:hAnsi="仿宋_GB2312" w:cs="仿宋_GB2312" w:eastAsia="仿宋_GB2312"/>
                <w:sz w:val="24"/>
              </w:rPr>
              <w:t>6、员工的退回</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1）采购人提出服务人员不能履行工作职责，应与供应商协商处理。</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2）服务人员存在《中华人民共和国劳动合同法》第三十九条、第六十五条规定的情形之一时，采购人有权将该服务人员退回供应商，但应提前十个工作日（试用期内提前五个工作日）以书面形式通知供应商，并向供应商提供相应证据和理由。</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3）本协议约定的采购人退回情形，采购人应向供应商提供有关资料证据和理由的，采购人应及时配合。因供应商原因导致本协议约定的服务工作被行政部门责令停止或改正（全部或部分）时，由此导致的所有损失（包括供应商向员工支付的补偿、劳动报酬、待遇，采购人因此受到的损失等），由供应商承担。</w:t>
            </w:r>
          </w:p>
          <w:p>
            <w:pPr>
              <w:pStyle w:val="null3"/>
              <w:ind w:firstLine="472"/>
              <w:jc w:val="left"/>
            </w:pPr>
            <w:r>
              <w:rPr>
                <w:rFonts w:ascii="仿宋_GB2312" w:hAnsi="仿宋_GB2312" w:cs="仿宋_GB2312" w:eastAsia="仿宋_GB2312"/>
                <w:sz w:val="24"/>
              </w:rPr>
              <w:t>★7、其他要求</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1）供应商负责选招服务人员并签订劳动关系证明文件，承担服务人员的劳动用工管理、工资福利与社保等办理、服务人员更换、退回或解聘、劳动纠纷处理等涉及劳动关系的所有事宜。</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2）服务人员的管理。服务人员由采购人和成交供应商双重领导与管理，遵守双方的相关制度。</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3）项目运行所涉及工器具、耗材、零配件等由采购人提供，成交供应商据实领用。</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4）采购人委托成交供应商进行维修、清洗或疏通等服务产生的费用按实际发生金额申报，经采购人审核后，所产生费用由采购人承担。设施设备维修等费用由采购人承担。</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5）供应商保证人员在岗稳定，不得无故频繁调整到岗人员安排。若供应商提供的服务人员因个人原因不能胜任工作岗位，需要更换或补充人员的，供应商应及时更换或补充，并报采购人备案同意；供应商需保证所更换或补充人员执业能力不低于本项目磋商文件要求及供应商响应文件要求。若采购人对服务人员表现不满意或不符合采购人服务要求，采购人有权要求成交供应商无条件更换服务人员。</w:t>
            </w:r>
            <w:r>
              <w:rPr>
                <w:rFonts w:ascii="仿宋_GB2312" w:hAnsi="仿宋_GB2312" w:cs="仿宋_GB2312" w:eastAsia="仿宋_GB2312"/>
                <w:sz w:val="24"/>
                <w:b/>
              </w:rPr>
              <w:t>（响应文件中</w:t>
            </w:r>
            <w:r>
              <w:rPr>
                <w:rFonts w:ascii="仿宋_GB2312" w:hAnsi="仿宋_GB2312" w:cs="仿宋_GB2312" w:eastAsia="仿宋_GB2312"/>
                <w:sz w:val="24"/>
                <w:b/>
              </w:rPr>
              <w:t>单独</w:t>
            </w:r>
            <w:r>
              <w:rPr>
                <w:rFonts w:ascii="仿宋_GB2312" w:hAnsi="仿宋_GB2312" w:cs="仿宋_GB2312" w:eastAsia="仿宋_GB2312"/>
                <w:sz w:val="24"/>
                <w:b/>
              </w:rPr>
              <w:t>提供承诺函，格式自拟）</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6）供应商应严格按照国家、省、市有关劳动法规和保险条例以及有关规定执行，为配备人员提供完善的工资待遇和劳动权益保障，不低于采购人当地最低工资标准。任何与社会劳动保障方面的纠纷与采购人无关，服务人员只与供应商产生劳动合同关系，在本合同期限内其发生的劳动争议、工伤、伤亡等责任及相关费用均由供应商负责。</w:t>
            </w:r>
            <w:r>
              <w:rPr>
                <w:rFonts w:ascii="仿宋_GB2312" w:hAnsi="仿宋_GB2312" w:cs="仿宋_GB2312" w:eastAsia="仿宋_GB2312"/>
                <w:sz w:val="24"/>
                <w:b/>
              </w:rPr>
              <w:t>（响应文件中</w:t>
            </w:r>
            <w:r>
              <w:rPr>
                <w:rFonts w:ascii="仿宋_GB2312" w:hAnsi="仿宋_GB2312" w:cs="仿宋_GB2312" w:eastAsia="仿宋_GB2312"/>
                <w:sz w:val="24"/>
                <w:b/>
              </w:rPr>
              <w:t>单独</w:t>
            </w:r>
            <w:r>
              <w:rPr>
                <w:rFonts w:ascii="仿宋_GB2312" w:hAnsi="仿宋_GB2312" w:cs="仿宋_GB2312" w:eastAsia="仿宋_GB2312"/>
                <w:sz w:val="24"/>
                <w:b/>
              </w:rPr>
              <w:t>提供承诺函，格式自拟）</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7）供应商需在配备的人员中指定一名人员(即管理员），负责本项目人员的日常组织、管理，负责与采购人的对接和沟通。</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8）供应商需对其工作人员服务期间的疾病和人身安全、安全责任事故、人事关系、劳动纠纷等负责，采购人对此不承担任何责任和义务。</w:t>
            </w:r>
            <w:r>
              <w:rPr>
                <w:rFonts w:ascii="仿宋_GB2312" w:hAnsi="仿宋_GB2312" w:cs="仿宋_GB2312" w:eastAsia="仿宋_GB2312"/>
                <w:sz w:val="24"/>
                <w:b/>
              </w:rPr>
              <w:t>（在响应文件中</w:t>
            </w:r>
            <w:r>
              <w:rPr>
                <w:rFonts w:ascii="仿宋_GB2312" w:hAnsi="仿宋_GB2312" w:cs="仿宋_GB2312" w:eastAsia="仿宋_GB2312"/>
                <w:sz w:val="24"/>
                <w:b/>
              </w:rPr>
              <w:t>单独</w:t>
            </w:r>
            <w:r>
              <w:rPr>
                <w:rFonts w:ascii="仿宋_GB2312" w:hAnsi="仿宋_GB2312" w:cs="仿宋_GB2312" w:eastAsia="仿宋_GB2312"/>
                <w:sz w:val="24"/>
                <w:b/>
              </w:rPr>
              <w:t>提供承诺函，格式自拟）</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9）严格进行保密培训，严禁泄漏采购人所有工作信息和资料。</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在服务期间，供应商服务团队人员在工作态度、工作质量、工作责任感、沟通与合作能力等方面对四川省甘孜藏族自治州康定中学校的相关服务造成影响的，采购人有权根据相关规章制度对供应商进行罚款、要求换人或辞退等处罚。</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）如遇政策或</w:t>
            </w:r>
            <w:r>
              <w:rPr>
                <w:rFonts w:ascii="仿宋_GB2312" w:hAnsi="仿宋_GB2312" w:cs="仿宋_GB2312" w:eastAsia="仿宋_GB2312"/>
                <w:sz w:val="24"/>
              </w:rPr>
              <w:t>采购人</w:t>
            </w:r>
            <w:r>
              <w:rPr>
                <w:rFonts w:ascii="仿宋_GB2312" w:hAnsi="仿宋_GB2312" w:cs="仿宋_GB2312" w:eastAsia="仿宋_GB2312"/>
                <w:sz w:val="24"/>
              </w:rPr>
              <w:t>对岗位进行调整的，供应商应无条件服从采购人安排。</w:t>
            </w:r>
          </w:p>
          <w:p>
            <w:pPr>
              <w:pStyle w:val="null3"/>
              <w:ind w:firstLine="472"/>
              <w:jc w:val="left"/>
            </w:pP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）项目中所有服务事项须符合国家标准或行业标准</w:t>
            </w:r>
            <w:r>
              <w:rPr>
                <w:rFonts w:ascii="仿宋_GB2312" w:hAnsi="仿宋_GB2312" w:cs="仿宋_GB2312" w:eastAsia="仿宋_GB2312"/>
                <w:sz w:val="24"/>
              </w:rPr>
              <w:t>,其中项目涉及的相关标准若有最新标准则执行最新标准。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考核标准</w:t>
            </w:r>
          </w:p>
        </w:tc>
        <w:tc>
          <w:tcPr>
            <w:tcW w:type="dxa" w:w="5814"/>
          </w:tcPr>
          <w:p>
            <w:pPr>
              <w:pStyle w:val="null3"/>
              <w:jc w:val="both"/>
              <w:outlineLvl w:val="0"/>
            </w:pPr>
            <w:r>
              <w:rPr>
                <w:rFonts w:ascii="仿宋_GB2312" w:hAnsi="仿宋_GB2312" w:cs="仿宋_GB2312" w:eastAsia="仿宋_GB2312"/>
                <w:sz w:val="21"/>
                <w:b/>
              </w:rPr>
              <w:t>一、保洁服务考核标准</w:t>
            </w:r>
          </w:p>
          <w:tbl>
            <w:tblPr>
              <w:tblBorders>
                <w:top w:val="none" w:color="000000" w:sz="4"/>
                <w:left w:val="none" w:color="000000" w:sz="4"/>
                <w:bottom w:val="none" w:color="000000" w:sz="4"/>
                <w:right w:val="none" w:color="000000" w:sz="4"/>
                <w:insideH w:val="none"/>
                <w:insideV w:val="none"/>
              </w:tblBorders>
            </w:tblPr>
            <w:tblGrid>
              <w:gridCol w:w="1240"/>
              <w:gridCol w:w="914"/>
              <w:gridCol w:w="3424"/>
            </w:tblGrid>
            <w:tr>
              <w:tc>
                <w:tcPr>
                  <w:tcW w:type="dxa" w:w="1240"/>
                  <w:tcBorders>
                    <w:top w:val="singl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ind w:firstLine="420"/>
                    <w:jc w:val="both"/>
                  </w:pPr>
                  <w:r>
                    <w:rPr>
                      <w:rFonts w:ascii="仿宋_GB2312" w:hAnsi="仿宋_GB2312" w:cs="仿宋_GB2312" w:eastAsia="仿宋_GB2312"/>
                      <w:sz w:val="21"/>
                    </w:rPr>
                    <w:t>考核维度</w:t>
                  </w:r>
                </w:p>
              </w:tc>
              <w:tc>
                <w:tcPr>
                  <w:tcW w:type="dxa" w:w="914"/>
                  <w:tcBorders>
                    <w:top w:val="single" w:color="000000" w:sz="4"/>
                    <w:left w:val="none" w:color="000000" w:sz="4"/>
                    <w:bottom w:val="single" w:color="000000" w:sz="4"/>
                    <w:right w:val="single" w:color="000000" w:sz="4"/>
                  </w:tcBorders>
                  <w:tcMar>
                    <w:top w:type="dxa" w:w="135"/>
                    <w:left w:type="dxa" w:w="120"/>
                    <w:bottom w:type="dxa" w:w="135"/>
                    <w:right w:type="dxa" w:w="120"/>
                  </w:tcMar>
                  <w:vAlign w:val="top"/>
                </w:tcPr>
                <w:p>
                  <w:pPr>
                    <w:pStyle w:val="null3"/>
                    <w:ind w:firstLine="420"/>
                    <w:jc w:val="both"/>
                  </w:pPr>
                  <w:r>
                    <w:rPr>
                      <w:rFonts w:ascii="仿宋_GB2312" w:hAnsi="仿宋_GB2312" w:cs="仿宋_GB2312" w:eastAsia="仿宋_GB2312"/>
                      <w:sz w:val="21"/>
                    </w:rPr>
                    <w:t>分值</w:t>
                  </w:r>
                </w:p>
              </w:tc>
              <w:tc>
                <w:tcPr>
                  <w:tcW w:type="dxa" w:w="3424"/>
                  <w:tcBorders>
                    <w:top w:val="single" w:color="000000" w:sz="4"/>
                    <w:left w:val="none" w:color="000000" w:sz="4"/>
                    <w:bottom w:val="single" w:color="000000" w:sz="4"/>
                    <w:right w:val="single" w:color="000000" w:sz="4"/>
                  </w:tcBorders>
                  <w:tcMar>
                    <w:top w:type="dxa" w:w="135"/>
                    <w:left w:type="dxa" w:w="120"/>
                    <w:bottom w:type="dxa" w:w="135"/>
                    <w:right w:type="dxa" w:w="120"/>
                  </w:tcMar>
                  <w:vAlign w:val="top"/>
                </w:tcPr>
                <w:p>
                  <w:pPr>
                    <w:pStyle w:val="null3"/>
                    <w:ind w:firstLine="1470"/>
                    <w:jc w:val="both"/>
                  </w:pPr>
                  <w:r>
                    <w:rPr>
                      <w:rFonts w:ascii="仿宋_GB2312" w:hAnsi="仿宋_GB2312" w:cs="仿宋_GB2312" w:eastAsia="仿宋_GB2312"/>
                      <w:sz w:val="21"/>
                    </w:rPr>
                    <w:t>具体考核内容</w:t>
                  </w:r>
                </w:p>
              </w:tc>
            </w:tr>
            <w:tr>
              <w:tc>
                <w:tcPr>
                  <w:tcW w:type="dxa" w:w="1240"/>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保洁质量</w:t>
                  </w:r>
                </w:p>
              </w:tc>
              <w:tc>
                <w:tcPr>
                  <w:tcW w:type="dxa" w:w="914"/>
                  <w:tcBorders>
                    <w:top w:val="none" w:color="000000" w:sz="4"/>
                    <w:left w:val="non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40 分</w:t>
                  </w:r>
                </w:p>
              </w:tc>
              <w:tc>
                <w:tcPr>
                  <w:tcW w:type="dxa" w:w="3424"/>
                  <w:tcBorders>
                    <w:top w:val="none" w:color="000000" w:sz="4"/>
                    <w:left w:val="none" w:color="000000" w:sz="4"/>
                    <w:bottom w:val="single" w:color="000000" w:sz="4"/>
                    <w:right w:val="single" w:color="000000" w:sz="4"/>
                  </w:tcBorders>
                  <w:tcMar>
                    <w:top w:type="dxa" w:w="135"/>
                    <w:left w:type="dxa" w:w="120"/>
                    <w:bottom w:type="dxa" w:w="135"/>
                    <w:right w:type="dxa" w:w="120"/>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办公区、公共区域地面干净、无垃圾、无污渍，发现</w:t>
                  </w:r>
                  <w:r>
                    <w:rPr>
                      <w:rFonts w:ascii="仿宋_GB2312" w:hAnsi="仿宋_GB2312" w:cs="仿宋_GB2312" w:eastAsia="仿宋_GB2312"/>
                      <w:sz w:val="21"/>
                    </w:rPr>
                    <w:t>1 处不合格扣 0.5 分；</w:t>
                  </w:r>
                </w:p>
                <w:p>
                  <w:pPr>
                    <w:pStyle w:val="null3"/>
                    <w:jc w:val="left"/>
                  </w:pPr>
                  <w:r>
                    <w:rPr>
                      <w:rFonts w:ascii="仿宋_GB2312" w:hAnsi="仿宋_GB2312" w:cs="仿宋_GB2312" w:eastAsia="仿宋_GB2312"/>
                      <w:sz w:val="21"/>
                    </w:rPr>
                    <w:t>2. 门窗、墙面、扶手无灰尘、无蛛网，发现 1 处不合格扣 0.5 分；</w:t>
                  </w:r>
                </w:p>
                <w:p>
                  <w:pPr>
                    <w:pStyle w:val="null3"/>
                    <w:jc w:val="left"/>
                  </w:pPr>
                  <w:r>
                    <w:rPr>
                      <w:rFonts w:ascii="仿宋_GB2312" w:hAnsi="仿宋_GB2312" w:cs="仿宋_GB2312" w:eastAsia="仿宋_GB2312"/>
                      <w:sz w:val="21"/>
                    </w:rPr>
                    <w:t>3. 垃圾及时清运，垃圾桶无满溢、无异味，1 次不合格扣 0.5 分。</w:t>
                  </w:r>
                </w:p>
              </w:tc>
            </w:tr>
            <w:tr>
              <w:tc>
                <w:tcPr>
                  <w:tcW w:type="dxa" w:w="1240"/>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保密义务</w:t>
                  </w:r>
                </w:p>
              </w:tc>
              <w:tc>
                <w:tcPr>
                  <w:tcW w:type="dxa" w:w="914"/>
                  <w:tcBorders>
                    <w:top w:val="none" w:color="000000" w:sz="4"/>
                    <w:left w:val="non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20 分</w:t>
                  </w:r>
                </w:p>
              </w:tc>
              <w:tc>
                <w:tcPr>
                  <w:tcW w:type="dxa" w:w="3424"/>
                  <w:tcBorders>
                    <w:top w:val="none" w:color="000000" w:sz="4"/>
                    <w:left w:val="none" w:color="000000" w:sz="4"/>
                    <w:bottom w:val="single" w:color="000000" w:sz="4"/>
                    <w:right w:val="single" w:color="000000" w:sz="4"/>
                  </w:tcBorders>
                  <w:tcMar>
                    <w:top w:type="dxa" w:w="135"/>
                    <w:left w:type="dxa" w:w="120"/>
                    <w:bottom w:type="dxa" w:w="135"/>
                    <w:right w:type="dxa" w:w="120"/>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严格遵守采购人保密规定，泄露工作内容或单位信息的，此项不得分；</w:t>
                  </w:r>
                </w:p>
                <w:p>
                  <w:pPr>
                    <w:pStyle w:val="null3"/>
                    <w:jc w:val="left"/>
                  </w:pPr>
                  <w:r>
                    <w:rPr>
                      <w:rFonts w:ascii="仿宋_GB2312" w:hAnsi="仿宋_GB2312" w:cs="仿宋_GB2312" w:eastAsia="仿宋_GB2312"/>
                      <w:sz w:val="21"/>
                    </w:rPr>
                    <w:t>2.不随意翻阅办公文件、资料，发现 1 次扣 2 分。</w:t>
                  </w:r>
                </w:p>
              </w:tc>
            </w:tr>
            <w:tr>
              <w:tc>
                <w:tcPr>
                  <w:tcW w:type="dxa" w:w="1240"/>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纪律遵守</w:t>
                  </w:r>
                </w:p>
              </w:tc>
              <w:tc>
                <w:tcPr>
                  <w:tcW w:type="dxa" w:w="914"/>
                  <w:tcBorders>
                    <w:top w:val="none" w:color="000000" w:sz="4"/>
                    <w:left w:val="non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25 分</w:t>
                  </w:r>
                </w:p>
              </w:tc>
              <w:tc>
                <w:tcPr>
                  <w:tcW w:type="dxa" w:w="3424"/>
                  <w:tcBorders>
                    <w:top w:val="none" w:color="000000" w:sz="4"/>
                    <w:left w:val="none" w:color="000000" w:sz="4"/>
                    <w:bottom w:val="single" w:color="000000" w:sz="4"/>
                    <w:right w:val="single" w:color="000000" w:sz="4"/>
                  </w:tcBorders>
                  <w:tcMar>
                    <w:top w:type="dxa" w:w="135"/>
                    <w:left w:type="dxa" w:w="120"/>
                    <w:bottom w:type="dxa" w:w="135"/>
                    <w:right w:type="dxa" w:w="120"/>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遵守单位规章制度，旷工</w:t>
                  </w:r>
                  <w:r>
                    <w:rPr>
                      <w:rFonts w:ascii="仿宋_GB2312" w:hAnsi="仿宋_GB2312" w:cs="仿宋_GB2312" w:eastAsia="仿宋_GB2312"/>
                      <w:sz w:val="21"/>
                    </w:rPr>
                    <w:t>1 次扣 2 分，迟到 / 早退 1 次扣 1 分；</w:t>
                  </w:r>
                </w:p>
                <w:p>
                  <w:pPr>
                    <w:pStyle w:val="null3"/>
                    <w:jc w:val="left"/>
                  </w:pPr>
                  <w:r>
                    <w:rPr>
                      <w:rFonts w:ascii="仿宋_GB2312" w:hAnsi="仿宋_GB2312" w:cs="仿宋_GB2312" w:eastAsia="仿宋_GB2312"/>
                      <w:sz w:val="21"/>
                    </w:rPr>
                    <w:t>2. 按规定时间上岗作业，擅自离岗 1 次扣 2 分；</w:t>
                  </w:r>
                </w:p>
                <w:p>
                  <w:pPr>
                    <w:pStyle w:val="null3"/>
                    <w:jc w:val="left"/>
                  </w:pPr>
                  <w:r>
                    <w:rPr>
                      <w:rFonts w:ascii="仿宋_GB2312" w:hAnsi="仿宋_GB2312" w:cs="仿宋_GB2312" w:eastAsia="仿宋_GB2312"/>
                      <w:sz w:val="21"/>
                    </w:rPr>
                    <w:t>3. 爱护保洁工具，恶意损坏 1 次扣 2 分。</w:t>
                  </w:r>
                </w:p>
              </w:tc>
            </w:tr>
            <w:tr>
              <w:tc>
                <w:tcPr>
                  <w:tcW w:type="dxa" w:w="1240"/>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附加任务</w:t>
                  </w:r>
                </w:p>
              </w:tc>
              <w:tc>
                <w:tcPr>
                  <w:tcW w:type="dxa" w:w="914"/>
                  <w:tcBorders>
                    <w:top w:val="none" w:color="000000" w:sz="4"/>
                    <w:left w:val="non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15 分</w:t>
                  </w:r>
                </w:p>
              </w:tc>
              <w:tc>
                <w:tcPr>
                  <w:tcW w:type="dxa" w:w="3424"/>
                  <w:tcBorders>
                    <w:top w:val="none" w:color="000000" w:sz="4"/>
                    <w:left w:val="none" w:color="000000" w:sz="4"/>
                    <w:bottom w:val="single" w:color="000000" w:sz="4"/>
                    <w:right w:val="single" w:color="000000" w:sz="4"/>
                  </w:tcBorders>
                  <w:tcMar>
                    <w:top w:type="dxa" w:w="135"/>
                    <w:left w:type="dxa" w:w="120"/>
                    <w:bottom w:type="dxa" w:w="135"/>
                    <w:right w:type="dxa" w:w="120"/>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按时完成领导交办的其他工作（未完成</w:t>
                  </w:r>
                  <w:r>
                    <w:rPr>
                      <w:rFonts w:ascii="仿宋_GB2312" w:hAnsi="仿宋_GB2312" w:cs="仿宋_GB2312" w:eastAsia="仿宋_GB2312"/>
                      <w:sz w:val="21"/>
                    </w:rPr>
                    <w:t>1 次扣 2 分，拖延 1 次扣 1 分）；</w:t>
                  </w:r>
                </w:p>
                <w:p>
                  <w:pPr>
                    <w:pStyle w:val="null3"/>
                    <w:jc w:val="left"/>
                  </w:pPr>
                  <w:r>
                    <w:rPr>
                      <w:rFonts w:ascii="仿宋_GB2312" w:hAnsi="仿宋_GB2312" w:cs="仿宋_GB2312" w:eastAsia="仿宋_GB2312"/>
                      <w:sz w:val="21"/>
                    </w:rPr>
                    <w:t>2. 主动配合其他部门保洁需求的，1 次加 2 分（累计不超过 10 分）。</w:t>
                  </w:r>
                </w:p>
              </w:tc>
            </w:tr>
          </w:tbl>
          <w:p>
            <w:pPr>
              <w:pStyle w:val="null3"/>
              <w:jc w:val="center"/>
              <w:outlineLvl w:val="0"/>
            </w:pPr>
            <w:r>
              <w:rPr>
                <w:rFonts w:ascii="仿宋_GB2312" w:hAnsi="仿宋_GB2312" w:cs="仿宋_GB2312" w:eastAsia="仿宋_GB2312"/>
                <w:sz w:val="21"/>
                <w:b/>
              </w:rPr>
              <w:t>二、会务服务考核标准</w:t>
            </w:r>
          </w:p>
          <w:tbl>
            <w:tblPr>
              <w:tblBorders>
                <w:top w:val="none" w:color="000000" w:sz="4"/>
                <w:left w:val="none" w:color="000000" w:sz="4"/>
                <w:bottom w:val="none" w:color="000000" w:sz="4"/>
                <w:right w:val="none" w:color="000000" w:sz="4"/>
                <w:insideH w:val="none"/>
                <w:insideV w:val="none"/>
              </w:tblBorders>
            </w:tblPr>
            <w:tblGrid>
              <w:gridCol w:w="1188"/>
              <w:gridCol w:w="945"/>
              <w:gridCol w:w="3463"/>
            </w:tblGrid>
            <w:tr>
              <w:tc>
                <w:tcPr>
                  <w:tcW w:type="dxa" w:w="1188"/>
                  <w:tcBorders>
                    <w:top w:val="singl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考核维度</w:t>
                  </w:r>
                </w:p>
              </w:tc>
              <w:tc>
                <w:tcPr>
                  <w:tcW w:type="dxa" w:w="945"/>
                  <w:tcBorders>
                    <w:top w:val="single" w:color="000000" w:sz="4"/>
                    <w:left w:val="non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分值</w:t>
                  </w:r>
                </w:p>
              </w:tc>
              <w:tc>
                <w:tcPr>
                  <w:tcW w:type="dxa" w:w="3463"/>
                  <w:tcBorders>
                    <w:top w:val="single" w:color="000000" w:sz="4"/>
                    <w:left w:val="non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具体考核内容</w:t>
                  </w:r>
                </w:p>
              </w:tc>
            </w:tr>
            <w:tr>
              <w:tc>
                <w:tcPr>
                  <w:tcW w:type="dxa" w:w="1188"/>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会议服务</w:t>
                  </w:r>
                </w:p>
              </w:tc>
              <w:tc>
                <w:tcPr>
                  <w:tcW w:type="dxa" w:w="945"/>
                  <w:tcBorders>
                    <w:top w:val="none" w:color="000000" w:sz="4"/>
                    <w:left w:val="non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35 分</w:t>
                  </w:r>
                </w:p>
              </w:tc>
              <w:tc>
                <w:tcPr>
                  <w:tcW w:type="dxa" w:w="3463"/>
                  <w:tcBorders>
                    <w:top w:val="none" w:color="000000" w:sz="4"/>
                    <w:left w:val="none" w:color="000000" w:sz="4"/>
                    <w:bottom w:val="single" w:color="000000" w:sz="4"/>
                    <w:right w:val="single" w:color="000000" w:sz="4"/>
                  </w:tcBorders>
                  <w:tcMar>
                    <w:top w:type="dxa" w:w="135"/>
                    <w:left w:type="dxa" w:w="120"/>
                    <w:bottom w:type="dxa" w:w="135"/>
                    <w:right w:type="dxa" w:w="120"/>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会议前</w:t>
                  </w:r>
                  <w:r>
                    <w:rPr>
                      <w:rFonts w:ascii="仿宋_GB2312" w:hAnsi="仿宋_GB2312" w:cs="仿宋_GB2312" w:eastAsia="仿宋_GB2312"/>
                      <w:sz w:val="21"/>
                    </w:rPr>
                    <w:t>1小时完成会场布置（桌椅摆放、设备调试、茶水准备等），遗漏 1 项扣 0.5 分；</w:t>
                  </w:r>
                </w:p>
                <w:p>
                  <w:pPr>
                    <w:pStyle w:val="null3"/>
                    <w:jc w:val="both"/>
                  </w:pPr>
                  <w:r>
                    <w:rPr>
                      <w:rFonts w:ascii="仿宋_GB2312" w:hAnsi="仿宋_GB2312" w:cs="仿宋_GB2312" w:eastAsia="仿宋_GB2312"/>
                      <w:sz w:val="21"/>
                    </w:rPr>
                    <w:t>2. 会议期间全程值守，及时响应需求（如添水、调整设备），服务不及时 1 次扣 0.5 分；</w:t>
                  </w:r>
                </w:p>
                <w:p>
                  <w:pPr>
                    <w:pStyle w:val="null3"/>
                    <w:jc w:val="both"/>
                  </w:pPr>
                  <w:r>
                    <w:rPr>
                      <w:rFonts w:ascii="仿宋_GB2312" w:hAnsi="仿宋_GB2312" w:cs="仿宋_GB2312" w:eastAsia="仿宋_GB2312"/>
                      <w:sz w:val="21"/>
                    </w:rPr>
                    <w:t>3. 会议后 1 小时内清理会场，恢复整洁，未达标1次扣 1 分。</w:t>
                  </w:r>
                </w:p>
              </w:tc>
            </w:tr>
            <w:tr>
              <w:tc>
                <w:tcPr>
                  <w:tcW w:type="dxa" w:w="1188"/>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接待与收发</w:t>
                  </w:r>
                </w:p>
              </w:tc>
              <w:tc>
                <w:tcPr>
                  <w:tcW w:type="dxa" w:w="945"/>
                  <w:tcBorders>
                    <w:top w:val="none" w:color="000000" w:sz="4"/>
                    <w:left w:val="non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25 分</w:t>
                  </w:r>
                </w:p>
              </w:tc>
              <w:tc>
                <w:tcPr>
                  <w:tcW w:type="dxa" w:w="3463"/>
                  <w:tcBorders>
                    <w:top w:val="none" w:color="000000" w:sz="4"/>
                    <w:left w:val="none" w:color="000000" w:sz="4"/>
                    <w:bottom w:val="single" w:color="000000" w:sz="4"/>
                    <w:right w:val="single" w:color="000000" w:sz="4"/>
                  </w:tcBorders>
                  <w:tcMar>
                    <w:top w:type="dxa" w:w="135"/>
                    <w:left w:type="dxa" w:w="120"/>
                    <w:bottom w:type="dxa" w:w="135"/>
                    <w:right w:type="dxa" w:w="120"/>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机关大厅接待热情礼貌，用语规范，出现投诉</w:t>
                  </w:r>
                  <w:r>
                    <w:rPr>
                      <w:rFonts w:ascii="仿宋_GB2312" w:hAnsi="仿宋_GB2312" w:cs="仿宋_GB2312" w:eastAsia="仿宋_GB2312"/>
                      <w:sz w:val="21"/>
                    </w:rPr>
                    <w:t>1次扣 5 分；</w:t>
                  </w:r>
                </w:p>
                <w:p>
                  <w:pPr>
                    <w:pStyle w:val="null3"/>
                    <w:jc w:val="left"/>
                  </w:pPr>
                  <w:r>
                    <w:rPr>
                      <w:rFonts w:ascii="仿宋_GB2312" w:hAnsi="仿宋_GB2312" w:cs="仿宋_GB2312" w:eastAsia="仿宋_GB2312"/>
                      <w:sz w:val="21"/>
                    </w:rPr>
                    <w:t>2. 文件、信件收发及时准确，登记清晰，漏发/错发1次扣 0.5 分，丢失1次扣5分。</w:t>
                  </w:r>
                </w:p>
              </w:tc>
            </w:tr>
            <w:tr>
              <w:tc>
                <w:tcPr>
                  <w:tcW w:type="dxa" w:w="1188"/>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卫生打扫</w:t>
                  </w:r>
                </w:p>
              </w:tc>
              <w:tc>
                <w:tcPr>
                  <w:tcW w:type="dxa" w:w="945"/>
                  <w:tcBorders>
                    <w:top w:val="none" w:color="000000" w:sz="4"/>
                    <w:left w:val="non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15 分</w:t>
                  </w:r>
                </w:p>
              </w:tc>
              <w:tc>
                <w:tcPr>
                  <w:tcW w:type="dxa" w:w="3463"/>
                  <w:tcBorders>
                    <w:top w:val="none" w:color="000000" w:sz="4"/>
                    <w:left w:val="none" w:color="000000" w:sz="4"/>
                    <w:bottom w:val="single" w:color="000000" w:sz="4"/>
                    <w:right w:val="single" w:color="000000" w:sz="4"/>
                  </w:tcBorders>
                  <w:tcMar>
                    <w:top w:type="dxa" w:w="135"/>
                    <w:left w:type="dxa" w:w="120"/>
                    <w:bottom w:type="dxa" w:w="135"/>
                    <w:right w:type="dxa" w:w="120"/>
                  </w:tcMar>
                  <w:vAlign w:val="top"/>
                </w:tcPr>
                <w:p>
                  <w:pPr>
                    <w:pStyle w:val="null3"/>
                    <w:jc w:val="left"/>
                  </w:pPr>
                  <w:r>
                    <w:rPr>
                      <w:rFonts w:ascii="仿宋_GB2312" w:hAnsi="仿宋_GB2312" w:cs="仿宋_GB2312" w:eastAsia="仿宋_GB2312"/>
                      <w:sz w:val="21"/>
                    </w:rPr>
                    <w:t>1.公共区域（含会议室）卫生符合保洁标准（参照保洁考核相关要求），1处不合格扣0.5分。</w:t>
                  </w:r>
                </w:p>
              </w:tc>
            </w:tr>
            <w:tr>
              <w:tc>
                <w:tcPr>
                  <w:tcW w:type="dxa" w:w="1188"/>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纪律与保密</w:t>
                  </w:r>
                </w:p>
              </w:tc>
              <w:tc>
                <w:tcPr>
                  <w:tcW w:type="dxa" w:w="945"/>
                  <w:tcBorders>
                    <w:top w:val="none" w:color="000000" w:sz="4"/>
                    <w:left w:val="non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15 分</w:t>
                  </w:r>
                </w:p>
              </w:tc>
              <w:tc>
                <w:tcPr>
                  <w:tcW w:type="dxa" w:w="3463"/>
                  <w:tcBorders>
                    <w:top w:val="none" w:color="000000" w:sz="4"/>
                    <w:left w:val="none" w:color="000000" w:sz="4"/>
                    <w:bottom w:val="single" w:color="000000" w:sz="4"/>
                    <w:right w:val="single" w:color="000000" w:sz="4"/>
                  </w:tcBorders>
                  <w:tcMar>
                    <w:top w:type="dxa" w:w="135"/>
                    <w:left w:type="dxa" w:w="120"/>
                    <w:bottom w:type="dxa" w:w="135"/>
                    <w:right w:type="dxa" w:w="120"/>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遵守单位规章制度，旷工</w:t>
                  </w:r>
                  <w:r>
                    <w:rPr>
                      <w:rFonts w:ascii="仿宋_GB2312" w:hAnsi="仿宋_GB2312" w:cs="仿宋_GB2312" w:eastAsia="仿宋_GB2312"/>
                      <w:sz w:val="21"/>
                    </w:rPr>
                    <w:t>1次扣2分，迟到/早退1次扣1分；</w:t>
                  </w:r>
                </w:p>
                <w:p>
                  <w:pPr>
                    <w:pStyle w:val="null3"/>
                    <w:jc w:val="left"/>
                  </w:pPr>
                  <w:r>
                    <w:rPr>
                      <w:rFonts w:ascii="仿宋_GB2312" w:hAnsi="仿宋_GB2312" w:cs="仿宋_GB2312" w:eastAsia="仿宋_GB2312"/>
                      <w:sz w:val="21"/>
                    </w:rPr>
                    <w:t>2. 严守会议秘密、单位信息，泄露1次此项不得分。</w:t>
                  </w:r>
                </w:p>
              </w:tc>
            </w:tr>
            <w:tr>
              <w:tc>
                <w:tcPr>
                  <w:tcW w:type="dxa" w:w="1188"/>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附加任务</w:t>
                  </w:r>
                </w:p>
              </w:tc>
              <w:tc>
                <w:tcPr>
                  <w:tcW w:type="dxa" w:w="945"/>
                  <w:tcBorders>
                    <w:top w:val="none" w:color="000000" w:sz="4"/>
                    <w:left w:val="non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rPr>
                    <w:t>10 分</w:t>
                  </w:r>
                </w:p>
              </w:tc>
              <w:tc>
                <w:tcPr>
                  <w:tcW w:type="dxa" w:w="3463"/>
                  <w:tcBorders>
                    <w:top w:val="none" w:color="000000" w:sz="4"/>
                    <w:left w:val="none" w:color="000000" w:sz="4"/>
                    <w:bottom w:val="single" w:color="000000" w:sz="4"/>
                    <w:right w:val="single" w:color="000000" w:sz="4"/>
                  </w:tcBorders>
                  <w:tcMar>
                    <w:top w:type="dxa" w:w="135"/>
                    <w:left w:type="dxa" w:w="120"/>
                    <w:bottom w:type="dxa" w:w="135"/>
                    <w:right w:type="dxa" w:w="120"/>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按时完成领导安排的其他工作（未完成</w:t>
                  </w:r>
                  <w:r>
                    <w:rPr>
                      <w:rFonts w:ascii="仿宋_GB2312" w:hAnsi="仿宋_GB2312" w:cs="仿宋_GB2312" w:eastAsia="仿宋_GB2312"/>
                      <w:sz w:val="21"/>
                    </w:rPr>
                    <w:t>1次扣1分，拖延1次扣 0.5 分）；</w:t>
                  </w:r>
                </w:p>
                <w:p>
                  <w:pPr>
                    <w:pStyle w:val="null3"/>
                    <w:jc w:val="left"/>
                  </w:pPr>
                  <w:r>
                    <w:rPr>
                      <w:rFonts w:ascii="仿宋_GB2312" w:hAnsi="仿宋_GB2312" w:cs="仿宋_GB2312" w:eastAsia="仿宋_GB2312"/>
                      <w:sz w:val="21"/>
                    </w:rPr>
                    <w:t>2. 会议服务获领导或参会人员表扬的，1次加 3分（累计不超过10分）。</w:t>
                  </w:r>
                </w:p>
              </w:tc>
            </w:tr>
          </w:tbl>
          <w:p>
            <w:pPr>
              <w:pStyle w:val="null3"/>
              <w:ind w:firstLine="420"/>
              <w:jc w:val="left"/>
            </w:pPr>
            <w:r>
              <w:rPr>
                <w:rFonts w:ascii="仿宋_GB2312" w:hAnsi="仿宋_GB2312" w:cs="仿宋_GB2312" w:eastAsia="仿宋_GB2312"/>
                <w:sz w:val="21"/>
              </w:rPr>
              <w:t>注：采购人每季度对供应商进行考核，各岗位优秀（</w:t>
            </w:r>
            <w:r>
              <w:rPr>
                <w:rFonts w:ascii="仿宋_GB2312" w:hAnsi="仿宋_GB2312" w:cs="仿宋_GB2312" w:eastAsia="仿宋_GB2312"/>
                <w:sz w:val="21"/>
              </w:rPr>
              <w:t>90分及以上）、合格（70（含）-89分）、不合格（70分以下），若出现不合格，供应商须按照采购人要求进行整改至合格；若连续两次岗位考评分不合格，采购人直接反馈供应商并解除合同。年度平均考核为合格，则续签下一年合同。</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w:t>
            </w:r>
          </w:p>
        </w:tc>
        <w:tc>
          <w:tcPr>
            <w:tcW w:type="dxa" w:w="5814"/>
          </w:tcPr>
          <w:p>
            <w:pPr>
              <w:pStyle w:val="null3"/>
              <w:ind w:firstLine="472"/>
              <w:jc w:val="left"/>
            </w:pPr>
            <w:r>
              <w:rPr>
                <w:rFonts w:ascii="仿宋_GB2312" w:hAnsi="仿宋_GB2312" w:cs="仿宋_GB2312" w:eastAsia="仿宋_GB2312"/>
                <w:sz w:val="24"/>
              </w:rPr>
              <w:t>本项目所报价格包含磋商文件要求</w:t>
            </w:r>
            <w:r>
              <w:rPr>
                <w:rFonts w:ascii="仿宋_GB2312" w:hAnsi="仿宋_GB2312" w:cs="仿宋_GB2312" w:eastAsia="仿宋_GB2312"/>
                <w:sz w:val="24"/>
              </w:rPr>
              <w:t>的费用及</w:t>
            </w:r>
            <w:r>
              <w:rPr>
                <w:rFonts w:ascii="仿宋_GB2312" w:hAnsi="仿宋_GB2312" w:cs="仿宋_GB2312" w:eastAsia="仿宋_GB2312"/>
                <w:sz w:val="24"/>
              </w:rPr>
              <w:t>其他完成本项目相关的所有费用，采购人不再另行支付除成交价以外的其他费用。</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w:t>
            </w:r>
            <w:r>
              <w:rPr>
                <w:rFonts w:ascii="仿宋_GB2312" w:hAnsi="仿宋_GB2312" w:cs="仿宋_GB2312" w:eastAsia="仿宋_GB2312"/>
                <w:sz w:val="24"/>
              </w:rPr>
              <w:t>供</w:t>
            </w:r>
            <w:r>
              <w:rPr>
                <w:rFonts w:ascii="仿宋_GB2312" w:hAnsi="仿宋_GB2312" w:cs="仿宋_GB2312" w:eastAsia="仿宋_GB2312"/>
                <w:sz w:val="24"/>
              </w:rPr>
              <w:t>应商提供的管理</w:t>
            </w:r>
            <w:r>
              <w:rPr>
                <w:rFonts w:ascii="仿宋_GB2312" w:hAnsi="仿宋_GB2312" w:cs="仿宋_GB2312" w:eastAsia="仿宋_GB2312"/>
                <w:sz w:val="24"/>
              </w:rPr>
              <w:t>方案</w:t>
            </w:r>
            <w:r>
              <w:rPr>
                <w:rFonts w:ascii="仿宋_GB2312" w:hAnsi="仿宋_GB2312" w:cs="仿宋_GB2312" w:eastAsia="仿宋_GB2312"/>
                <w:sz w:val="24"/>
              </w:rPr>
              <w:t>包括</w:t>
            </w:r>
            <w:r>
              <w:rPr>
                <w:rFonts w:ascii="仿宋_GB2312" w:hAnsi="仿宋_GB2312" w:cs="仿宋_GB2312" w:eastAsia="仿宋_GB2312"/>
                <w:sz w:val="24"/>
              </w:rPr>
              <w:t>①</w:t>
            </w:r>
            <w:r>
              <w:rPr>
                <w:rFonts w:ascii="仿宋_GB2312" w:hAnsi="仿宋_GB2312" w:cs="仿宋_GB2312" w:eastAsia="仿宋_GB2312"/>
                <w:sz w:val="24"/>
              </w:rPr>
              <w:t>服务人员</w:t>
            </w:r>
            <w:r>
              <w:rPr>
                <w:rFonts w:ascii="仿宋_GB2312" w:hAnsi="仿宋_GB2312" w:cs="仿宋_GB2312" w:eastAsia="仿宋_GB2312"/>
                <w:sz w:val="24"/>
              </w:rPr>
              <w:t>管理制度；</w:t>
            </w:r>
            <w:r>
              <w:rPr>
                <w:rFonts w:ascii="仿宋_GB2312" w:hAnsi="仿宋_GB2312" w:cs="仿宋_GB2312" w:eastAsia="仿宋_GB2312"/>
                <w:sz w:val="24"/>
              </w:rPr>
              <w:t>②</w:t>
            </w:r>
            <w:r>
              <w:rPr>
                <w:rFonts w:ascii="仿宋_GB2312" w:hAnsi="仿宋_GB2312" w:cs="仿宋_GB2312" w:eastAsia="仿宋_GB2312"/>
                <w:sz w:val="24"/>
              </w:rPr>
              <w:t>各岗位工作标准</w:t>
            </w:r>
            <w:r>
              <w:rPr>
                <w:rFonts w:ascii="仿宋_GB2312" w:hAnsi="仿宋_GB2312" w:cs="仿宋_GB2312" w:eastAsia="仿宋_GB2312"/>
                <w:sz w:val="24"/>
              </w:rPr>
              <w:t>；</w:t>
            </w:r>
            <w:r>
              <w:rPr>
                <w:rFonts w:ascii="仿宋_GB2312" w:hAnsi="仿宋_GB2312" w:cs="仿宋_GB2312" w:eastAsia="仿宋_GB2312"/>
                <w:sz w:val="24"/>
              </w:rPr>
              <w:t>③</w:t>
            </w:r>
            <w:r>
              <w:rPr>
                <w:rFonts w:ascii="仿宋_GB2312" w:hAnsi="仿宋_GB2312" w:cs="仿宋_GB2312" w:eastAsia="仿宋_GB2312"/>
                <w:sz w:val="24"/>
              </w:rPr>
              <w:t>各岗位人员管理考核办法和制度（包括人员劳动纪律、考勤制度、考核及奖惩办法、请销假制度）</w:t>
            </w:r>
            <w:r>
              <w:rPr>
                <w:rFonts w:ascii="仿宋_GB2312" w:hAnsi="仿宋_GB2312" w:cs="仿宋_GB2312" w:eastAsia="仿宋_GB2312"/>
                <w:sz w:val="24"/>
              </w:rPr>
              <w:t>；</w:t>
            </w:r>
            <w:r>
              <w:rPr>
                <w:rFonts w:ascii="仿宋_GB2312" w:hAnsi="仿宋_GB2312" w:cs="仿宋_GB2312" w:eastAsia="仿宋_GB2312"/>
                <w:sz w:val="24"/>
              </w:rPr>
              <w:t>④</w:t>
            </w:r>
            <w:r>
              <w:rPr>
                <w:rFonts w:ascii="仿宋_GB2312" w:hAnsi="仿宋_GB2312" w:cs="仿宋_GB2312" w:eastAsia="仿宋_GB2312"/>
                <w:sz w:val="24"/>
              </w:rPr>
              <w:t>人员稳定保障措施；</w:t>
            </w:r>
            <w:r>
              <w:rPr>
                <w:rFonts w:ascii="仿宋_GB2312" w:hAnsi="仿宋_GB2312" w:cs="仿宋_GB2312" w:eastAsia="仿宋_GB2312"/>
                <w:sz w:val="24"/>
              </w:rPr>
              <w:t>⑤</w:t>
            </w:r>
            <w:r>
              <w:rPr>
                <w:rFonts w:ascii="仿宋_GB2312" w:hAnsi="仿宋_GB2312" w:cs="仿宋_GB2312" w:eastAsia="仿宋_GB2312"/>
                <w:sz w:val="24"/>
              </w:rPr>
              <w:t>人员档案管理制度</w:t>
            </w:r>
            <w:r>
              <w:rPr>
                <w:rFonts w:ascii="仿宋_GB2312" w:hAnsi="仿宋_GB2312" w:cs="仿宋_GB2312" w:eastAsia="仿宋_GB2312"/>
                <w:sz w:val="24"/>
              </w:rPr>
              <w:t>；</w:t>
            </w:r>
            <w:r>
              <w:rPr>
                <w:rFonts w:ascii="仿宋_GB2312" w:hAnsi="仿宋_GB2312" w:cs="仿宋_GB2312" w:eastAsia="仿宋_GB2312"/>
                <w:sz w:val="24"/>
              </w:rPr>
              <w:t>⑥</w:t>
            </w:r>
            <w:r>
              <w:rPr>
                <w:rFonts w:ascii="仿宋_GB2312" w:hAnsi="仿宋_GB2312" w:cs="仿宋_GB2312" w:eastAsia="仿宋_GB2312"/>
                <w:sz w:val="24"/>
              </w:rPr>
              <w:t>人员</w:t>
            </w:r>
            <w:r>
              <w:rPr>
                <w:rFonts w:ascii="仿宋_GB2312" w:hAnsi="仿宋_GB2312" w:cs="仿宋_GB2312" w:eastAsia="仿宋_GB2312"/>
                <w:sz w:val="24"/>
              </w:rPr>
              <w:t>培训方案（</w:t>
            </w:r>
            <w:r>
              <w:rPr>
                <w:rFonts w:ascii="仿宋_GB2312" w:hAnsi="仿宋_GB2312" w:cs="仿宋_GB2312" w:eastAsia="仿宋_GB2312"/>
                <w:sz w:val="24"/>
              </w:rPr>
              <w:t>包括礼仪培训、职业技能培训</w:t>
            </w:r>
            <w:r>
              <w:rPr>
                <w:rFonts w:ascii="仿宋_GB2312" w:hAnsi="仿宋_GB2312" w:cs="仿宋_GB2312" w:eastAsia="仿宋_GB2312"/>
                <w:sz w:val="24"/>
              </w:rPr>
              <w:t>）；</w:t>
            </w:r>
            <w:r>
              <w:rPr>
                <w:rFonts w:ascii="仿宋_GB2312" w:hAnsi="仿宋_GB2312" w:cs="仿宋_GB2312" w:eastAsia="仿宋_GB2312"/>
                <w:sz w:val="24"/>
              </w:rPr>
              <w:t>⑦</w:t>
            </w:r>
            <w:r>
              <w:rPr>
                <w:rFonts w:ascii="仿宋_GB2312" w:hAnsi="仿宋_GB2312" w:cs="仿宋_GB2312" w:eastAsia="仿宋_GB2312"/>
                <w:sz w:val="24"/>
              </w:rPr>
              <w:t>服务相关工作资料档案管理方案</w:t>
            </w:r>
            <w:r>
              <w:rPr>
                <w:rFonts w:ascii="仿宋_GB2312" w:hAnsi="仿宋_GB2312" w:cs="仿宋_GB2312" w:eastAsia="仿宋_GB2312"/>
                <w:sz w:val="24"/>
              </w:rPr>
              <w:t>；</w:t>
            </w:r>
            <w:r>
              <w:rPr>
                <w:rFonts w:ascii="仿宋_GB2312" w:hAnsi="仿宋_GB2312" w:cs="仿宋_GB2312" w:eastAsia="仿宋_GB2312"/>
                <w:sz w:val="24"/>
              </w:rPr>
              <w:t>⑧保密方案。</w:t>
            </w:r>
          </w:p>
          <w:p>
            <w:pPr>
              <w:pStyle w:val="null3"/>
              <w:jc w:val="left"/>
            </w:pPr>
            <w:r>
              <w:rPr>
                <w:rFonts w:ascii="仿宋_GB2312" w:hAnsi="仿宋_GB2312" w:cs="仿宋_GB2312" w:eastAsia="仿宋_GB2312"/>
                <w:sz w:val="24"/>
              </w:rPr>
              <w:t>2、供应商提供的应急方案</w:t>
            </w:r>
            <w:r>
              <w:rPr>
                <w:rFonts w:ascii="仿宋_GB2312" w:hAnsi="仿宋_GB2312" w:cs="仿宋_GB2312" w:eastAsia="仿宋_GB2312"/>
                <w:sz w:val="24"/>
              </w:rPr>
              <w:t>包括</w:t>
            </w:r>
            <w:r>
              <w:rPr>
                <w:rFonts w:ascii="仿宋_GB2312" w:hAnsi="仿宋_GB2312" w:cs="仿宋_GB2312" w:eastAsia="仿宋_GB2312"/>
                <w:sz w:val="24"/>
              </w:rPr>
              <w:t>①突发事件</w:t>
            </w:r>
            <w:r>
              <w:rPr>
                <w:rFonts w:ascii="仿宋_GB2312" w:hAnsi="仿宋_GB2312" w:cs="仿宋_GB2312" w:eastAsia="仿宋_GB2312"/>
                <w:sz w:val="24"/>
              </w:rPr>
              <w:t>应急处理措施</w:t>
            </w:r>
            <w:r>
              <w:rPr>
                <w:rFonts w:ascii="仿宋_GB2312" w:hAnsi="仿宋_GB2312" w:cs="仿宋_GB2312" w:eastAsia="仿宋_GB2312"/>
                <w:sz w:val="24"/>
              </w:rPr>
              <w:t>；</w:t>
            </w:r>
            <w:r>
              <w:rPr>
                <w:rFonts w:ascii="仿宋_GB2312" w:hAnsi="仿宋_GB2312" w:cs="仿宋_GB2312" w:eastAsia="仿宋_GB2312"/>
                <w:sz w:val="24"/>
              </w:rPr>
              <w:t>②</w:t>
            </w:r>
            <w:r>
              <w:rPr>
                <w:rFonts w:ascii="仿宋_GB2312" w:hAnsi="仿宋_GB2312" w:cs="仿宋_GB2312" w:eastAsia="仿宋_GB2312"/>
                <w:sz w:val="24"/>
              </w:rPr>
              <w:t>临时安排</w:t>
            </w:r>
            <w:r>
              <w:rPr>
                <w:rFonts w:ascii="仿宋_GB2312" w:hAnsi="仿宋_GB2312" w:cs="仿宋_GB2312" w:eastAsia="仿宋_GB2312"/>
                <w:sz w:val="24"/>
              </w:rPr>
              <w:t>应急预案</w:t>
            </w:r>
            <w:r>
              <w:rPr>
                <w:rFonts w:ascii="仿宋_GB2312" w:hAnsi="仿宋_GB2312" w:cs="仿宋_GB2312" w:eastAsia="仿宋_GB2312"/>
                <w:sz w:val="24"/>
              </w:rPr>
              <w:t>；</w:t>
            </w:r>
            <w:r>
              <w:rPr>
                <w:rFonts w:ascii="仿宋_GB2312" w:hAnsi="仿宋_GB2312" w:cs="仿宋_GB2312" w:eastAsia="仿宋_GB2312"/>
                <w:sz w:val="24"/>
              </w:rPr>
              <w:t>③人员意外事故应急预案</w:t>
            </w:r>
            <w:r>
              <w:rPr>
                <w:rFonts w:ascii="仿宋_GB2312" w:hAnsi="仿宋_GB2312" w:cs="仿宋_GB2312" w:eastAsia="仿宋_GB2312"/>
                <w:sz w:val="24"/>
              </w:rPr>
              <w:t>；</w:t>
            </w:r>
            <w:r>
              <w:rPr>
                <w:rFonts w:ascii="仿宋_GB2312" w:hAnsi="仿宋_GB2312" w:cs="仿宋_GB2312" w:eastAsia="仿宋_GB2312"/>
                <w:sz w:val="24"/>
              </w:rPr>
              <w:t>④</w:t>
            </w:r>
            <w:r>
              <w:rPr>
                <w:rFonts w:ascii="仿宋_GB2312" w:hAnsi="仿宋_GB2312" w:cs="仿宋_GB2312" w:eastAsia="仿宋_GB2312"/>
                <w:sz w:val="24"/>
              </w:rPr>
              <w:t>劳动纠纷应急处理预案；</w:t>
            </w:r>
            <w:r>
              <w:rPr>
                <w:rFonts w:ascii="仿宋_GB2312" w:hAnsi="仿宋_GB2312" w:cs="仿宋_GB2312" w:eastAsia="仿宋_GB2312"/>
                <w:sz w:val="24"/>
              </w:rPr>
              <w:t>⑤</w:t>
            </w:r>
            <w:r>
              <w:rPr>
                <w:rFonts w:ascii="仿宋_GB2312" w:hAnsi="仿宋_GB2312" w:cs="仿宋_GB2312" w:eastAsia="仿宋_GB2312"/>
                <w:sz w:val="24"/>
              </w:rPr>
              <w:t>迎检和重大活动应急预案</w:t>
            </w:r>
            <w:r>
              <w:rPr>
                <w:rFonts w:ascii="仿宋_GB2312" w:hAnsi="仿宋_GB2312" w:cs="仿宋_GB2312" w:eastAsia="仿宋_GB2312"/>
                <w:sz w:val="24"/>
              </w:rPr>
              <w:t>。</w:t>
            </w:r>
          </w:p>
          <w:p>
            <w:pPr>
              <w:pStyle w:val="null3"/>
              <w:jc w:val="left"/>
            </w:pPr>
            <w:r>
              <w:rPr>
                <w:rFonts w:ascii="仿宋_GB2312" w:hAnsi="仿宋_GB2312" w:cs="仿宋_GB2312" w:eastAsia="仿宋_GB2312"/>
              </w:rPr>
              <w:t>3、</w:t>
            </w:r>
            <w:r>
              <w:rPr>
                <w:rFonts w:ascii="仿宋_GB2312" w:hAnsi="仿宋_GB2312" w:cs="仿宋_GB2312" w:eastAsia="仿宋_GB2312"/>
                <w:sz w:val="24"/>
              </w:rPr>
              <w:t>供应商提供自</w:t>
            </w:r>
            <w:r>
              <w:rPr>
                <w:rFonts w:ascii="仿宋_GB2312" w:hAnsi="仿宋_GB2312" w:cs="仿宋_GB2312" w:eastAsia="仿宋_GB2312"/>
                <w:sz w:val="24"/>
              </w:rPr>
              <w:t>2023年1月1日（含）以来类似项目业绩。</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服务期三年，合同一年一签（验收合格后续签下一年度合同）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四川省甘孜藏族自治州康定中学校，采购人指定地点。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①验收主体：采购人。 ②验收时间：每季度验收一次，成交供应商发出验收申请10日内组织验收。 ③验收标准：按国家有关规定以及磋商文件的质量要求和技术指标、供应商的响应文件及承诺与本合同约定标准进行验收；双方如对质量要求和技术指标的约定标准有相互抵触或异议的事项，由采购人在磋商与响应文件中按质量要求和技术指标比较优胜的原则确定该项的约定标准进行验收。 ④验收方法：采购人将严格按照政府采购相关法律法规以及《财政部关于进一步加强政府采购需求和履约验收管理的指导意见》（财库〔2016〕205号）的要求进行验收。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1、合同签订、履行满3个月后，达到付款条件起15日内，支付合同总金额的25.00%</w:t>
            </w:r>
          </w:p>
          <w:p>
            <w:pPr>
              <w:pStyle w:val="null3"/>
              <w:jc w:val="left"/>
            </w:pPr>
            <w:r>
              <w:rPr>
                <w:rFonts w:ascii="仿宋_GB2312" w:hAnsi="仿宋_GB2312" w:cs="仿宋_GB2312" w:eastAsia="仿宋_GB2312"/>
              </w:rPr>
              <w:t>2、合同履行满6个月后，达到付款条件起15日内，支付合同总金额的25.00%</w:t>
            </w:r>
          </w:p>
          <w:p>
            <w:pPr>
              <w:pStyle w:val="null3"/>
              <w:jc w:val="left"/>
            </w:pPr>
            <w:r>
              <w:rPr>
                <w:rFonts w:ascii="仿宋_GB2312" w:hAnsi="仿宋_GB2312" w:cs="仿宋_GB2312" w:eastAsia="仿宋_GB2312"/>
              </w:rPr>
              <w:t>3、合同履行满9个月后，达到付款条件起15日内，支付合同总金额的25.00%</w:t>
            </w:r>
          </w:p>
          <w:p>
            <w:pPr>
              <w:pStyle w:val="null3"/>
              <w:jc w:val="left"/>
            </w:pPr>
            <w:r>
              <w:rPr>
                <w:rFonts w:ascii="仿宋_GB2312" w:hAnsi="仿宋_GB2312" w:cs="仿宋_GB2312" w:eastAsia="仿宋_GB2312"/>
              </w:rPr>
              <w:t>4、合同履行满一年后，达到付款条件起15日内，支付合同总金额的25.00%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（1）甲、乙双方必须遵守并执行本合同中的各项约定，保证本合同的正常履行。否则，因违约导致对方损失的，违约方应当就此承担全部赔偿责任。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（3）合同履行过程中发生的任何财产损失和人员伤亡事故，乙方自行承担责任，与甲方无关。 2解决争议的办法 （1）在执行本合同中发生的或与本合同有关的任何争端，双方应通过友好协商解决，协商不成时，应向甲方所在地人民法院提起诉讼。 （2）因乙方违反合同约定或者未按照约定履行合同等导致诉讼的，甲方因此支出的诉讼费、律师费、差旅费等一切费用均由乙方承担。 （3）诉讼期间，除正在诉讼的部分外，合同其他部分继续执行。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因系统固化原因，本项目推荐成交候选供应商按此执行：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详见5.4.2评审细则及标准中项目实施方案）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优先选择少数民族地区的供应商。评审得分且最后报价且技术指标且提供的经评审认定有效的优先采购产品认证证书数量相同且均为少数民族地区供应商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详见第三章“技术、服务及其他要求”中“3.2.技术要求”，“3.3.服务要求”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详见第七章“拟签订采购合同文本”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若供应商为企业法人的，提供具有统一社会信用代码的“营业执照”复印件，未换证的提供“营业执照、税务登记证、组织机构代码证”复印件；②若供应商为事业法人的，提供具有统一社会信用代码的“法人登记证书”复印件；未换证的提交“事业法人登记证书、组织机构代码证”复印件；③若供应商为其他组织的，提供对应主管部门颁发的准许执业的证明文件或营业执照复印件；④若供应商为自然人的，提供相关“身份证明材料”。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符合磋商文件的技术、服务要求及其他要求</w:t>
            </w:r>
          </w:p>
        </w:tc>
        <w:tc>
          <w:tcPr>
            <w:tcW w:type="dxa" w:w="3322"/>
          </w:tcPr>
          <w:p>
            <w:pPr>
              <w:pStyle w:val="null3"/>
              <w:jc w:val="left"/>
            </w:pPr>
            <w:r>
              <w:rPr>
                <w:rFonts w:ascii="仿宋_GB2312" w:hAnsi="仿宋_GB2312" w:cs="仿宋_GB2312" w:eastAsia="仿宋_GB2312"/>
              </w:rPr>
              <w:t>供应商按照磋商文件的技术、服务要求及其他要求进行响应</w:t>
            </w:r>
          </w:p>
        </w:tc>
        <w:tc>
          <w:tcPr>
            <w:tcW w:type="dxa" w:w="1661"/>
          </w:tcPr>
          <w:p>
            <w:pPr>
              <w:pStyle w:val="null3"/>
              <w:jc w:val="left"/>
            </w:pPr>
            <w:r>
              <w:rPr>
                <w:rFonts w:ascii="仿宋_GB2312" w:hAnsi="仿宋_GB2312" w:cs="仿宋_GB2312" w:eastAsia="仿宋_GB2312"/>
              </w:rPr>
              <w:t>技术、服务及其他要求应答表,供应商认为需要提交的资料（格式自拟）</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符合磋商文件的商务要求</w:t>
            </w:r>
          </w:p>
        </w:tc>
        <w:tc>
          <w:tcPr>
            <w:tcW w:type="dxa" w:w="3322"/>
          </w:tcPr>
          <w:p>
            <w:pPr>
              <w:pStyle w:val="null3"/>
              <w:jc w:val="left"/>
            </w:pPr>
            <w:r>
              <w:rPr>
                <w:rFonts w:ascii="仿宋_GB2312" w:hAnsi="仿宋_GB2312" w:cs="仿宋_GB2312" w:eastAsia="仿宋_GB2312"/>
              </w:rPr>
              <w:t>供应商按照磋商文件的商务要求进行响应</w:t>
            </w:r>
          </w:p>
        </w:tc>
        <w:tc>
          <w:tcPr>
            <w:tcW w:type="dxa" w:w="1661"/>
          </w:tcPr>
          <w:p>
            <w:pPr>
              <w:pStyle w:val="null3"/>
              <w:jc w:val="left"/>
            </w:pPr>
            <w:r>
              <w:rPr>
                <w:rFonts w:ascii="仿宋_GB2312" w:hAnsi="仿宋_GB2312" w:cs="仿宋_GB2312" w:eastAsia="仿宋_GB2312"/>
              </w:rPr>
              <w:t>商务应答表,供应商认为需要提交的资料（格式自拟）</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需要供应商提供证明材料的实质性要求</w:t>
            </w:r>
          </w:p>
        </w:tc>
        <w:tc>
          <w:tcPr>
            <w:tcW w:type="dxa" w:w="3322"/>
          </w:tcPr>
          <w:p>
            <w:pPr>
              <w:pStyle w:val="null3"/>
              <w:jc w:val="left"/>
            </w:pPr>
            <w:r>
              <w:rPr>
                <w:rFonts w:ascii="仿宋_GB2312" w:hAnsi="仿宋_GB2312" w:cs="仿宋_GB2312" w:eastAsia="仿宋_GB2312"/>
              </w:rPr>
              <w:t>供应商需按照磋商文件的要求提供证明材料</w:t>
            </w:r>
          </w:p>
        </w:tc>
        <w:tc>
          <w:tcPr>
            <w:tcW w:type="dxa" w:w="1661"/>
          </w:tcPr>
          <w:p>
            <w:pPr>
              <w:pStyle w:val="null3"/>
              <w:jc w:val="left"/>
            </w:pPr>
            <w:r>
              <w:rPr>
                <w:rFonts w:ascii="仿宋_GB2312" w:hAnsi="仿宋_GB2312" w:cs="仿宋_GB2312" w:eastAsia="仿宋_GB2312"/>
              </w:rPr>
              <w:t>供应商认为需要提交的资料（格式自拟）</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服务工作方案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服务工作方案</w:t>
            </w:r>
          </w:p>
        </w:tc>
        <w:tc>
          <w:tcPr>
            <w:tcW w:type="dxa" w:w="2575"/>
          </w:tcPr>
          <w:p>
            <w:pPr>
              <w:pStyle w:val="null3"/>
              <w:jc w:val="left"/>
            </w:pPr>
            <w:r>
              <w:rPr>
                <w:rFonts w:ascii="仿宋_GB2312" w:hAnsi="仿宋_GB2312" w:cs="仿宋_GB2312" w:eastAsia="仿宋_GB2312"/>
              </w:rPr>
              <w:t>根据供应商提供的管理方案进行综合评审，方案包括①服务人员管理制度；②各岗位工作标准；③各岗位人员管理考核办法和制度（包括人员劳动纪律、考勤制度、考核及奖惩办法、请销假制度）；④人员稳定保障措施；⑤人员档案管理制度；⑥人员培训方案（包括礼仪培训、职业技能培训）；⑦服务相关工作资料档案管理方案；⑧保密方案。以上内容完整、符合实际情况的得48分，每有一项方案缺项或未涉及的扣6分；每项有一处缺陷扣3分，直至本项分值扣完为止；不提供方案或方案与本项目不相关的不得分。（注：“缺陷”是指以下任一情形：内容不完整或缺少关键节点、内容无法连贯；套用其他项目内容、不具备实施的可能性；照搬磋商文件内容未进一步描述；项目名称、实施地点、提供的方案与项目无关或方案内容不满足项目实际需求。）</w:t>
            </w:r>
          </w:p>
        </w:tc>
        <w:tc>
          <w:tcPr>
            <w:tcW w:type="dxa" w:w="831"/>
          </w:tcPr>
          <w:p>
            <w:pPr>
              <w:pStyle w:val="null3"/>
              <w:jc w:val="center"/>
            </w:pPr>
            <w:r>
              <w:rPr>
                <w:rFonts w:ascii="仿宋_GB2312" w:hAnsi="仿宋_GB2312" w:cs="仿宋_GB2312" w:eastAsia="仿宋_GB2312"/>
              </w:rPr>
              <w:t>48.0000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供应商认为需要提交的资料（格式自拟）</w:t>
            </w:r>
          </w:p>
        </w:tc>
      </w:tr>
      <w:tr>
        <w:tc>
          <w:tcPr>
            <w:tcW w:type="dxa" w:w="831"/>
            <w:vMerge/>
          </w:tcPr>
          <w:p/>
        </w:tc>
        <w:tc>
          <w:tcPr>
            <w:tcW w:type="dxa" w:w="1661"/>
          </w:tcPr>
          <w:p>
            <w:pPr>
              <w:pStyle w:val="null3"/>
              <w:jc w:val="left"/>
            </w:pPr>
            <w:r>
              <w:rPr>
                <w:rFonts w:ascii="仿宋_GB2312" w:hAnsi="仿宋_GB2312" w:cs="仿宋_GB2312" w:eastAsia="仿宋_GB2312"/>
              </w:rPr>
              <w:t>应急方案</w:t>
            </w:r>
          </w:p>
        </w:tc>
        <w:tc>
          <w:tcPr>
            <w:tcW w:type="dxa" w:w="2575"/>
          </w:tcPr>
          <w:p>
            <w:pPr>
              <w:pStyle w:val="null3"/>
              <w:jc w:val="left"/>
            </w:pPr>
            <w:r>
              <w:rPr>
                <w:rFonts w:ascii="仿宋_GB2312" w:hAnsi="仿宋_GB2312" w:cs="仿宋_GB2312" w:eastAsia="仿宋_GB2312"/>
              </w:rPr>
              <w:t>根据供应商提供的应急方案进行综合评审，方案包括①突发事件应急处理措施；②临时安排应急预案；③人员意外事故应急预案；④劳动纠纷应急处理预案；⑤迎检和重大活动应急预案。以上内容完整、符合实际情况的得35分；每有一项方案缺项或未涉及的扣7分；每项有一处缺陷扣3.5分，直至本项分值扣完为止；不提供方案或方案与本项目不相关的不得分。（注：“缺陷”是指以下任一情形：内容不完整或缺少关键节点、内容无法连贯；套用其他项目内容、不具备实施的可能性；照搬磋商文件内容未进一步描述；项目名称、实施地点、提供的方案与项目无关或方案内容不满足项目实际需求。）</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供应商认为需要提交的资料（格式自拟）</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供应商自2023年1月1日（含）以来具有一个类似项目业绩得3.5分，本项最多得7分，未提供不得分。 （注：提供完整合同复印件证明，并加盖供应商公章，以合同签订时间为准）</w:t>
            </w:r>
          </w:p>
        </w:tc>
        <w:tc>
          <w:tcPr>
            <w:tcW w:type="dxa" w:w="831"/>
          </w:tcPr>
          <w:p>
            <w:pPr>
              <w:pStyle w:val="null3"/>
              <w:jc w:val="center"/>
            </w:pPr>
            <w:r>
              <w:rPr>
                <w:rFonts w:ascii="仿宋_GB2312" w:hAnsi="仿宋_GB2312" w:cs="仿宋_GB2312" w:eastAsia="仿宋_GB2312"/>
              </w:rPr>
              <w:t>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供应商类似项目业绩一览表</w:t>
            </w:r>
          </w:p>
          <w:p>
            <w:pPr>
              <w:pStyle w:val="null3"/>
              <w:jc w:val="left"/>
            </w:pPr>
            <w:r>
              <w:rPr>
                <w:rFonts w:ascii="仿宋_GB2312" w:hAnsi="仿宋_GB2312" w:cs="仿宋_GB2312" w:eastAsia="仿宋_GB2312"/>
              </w:rPr>
              <w:t>供应商认为需要提交的资料（格式自拟）</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以最低有效磋商报价为基准价，磋商报价得分=(基准价／磋商报价)*10*100%。</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详见附件：供应商类似项目业绩一览表</w:t>
      </w:r>
    </w:p>
    <w:p>
      <w:pPr>
        <w:pStyle w:val="null3"/>
        <w:ind w:firstLine="960"/>
        <w:jc w:val="left"/>
      </w:pPr>
      <w:r>
        <w:rPr>
          <w:rFonts w:ascii="仿宋_GB2312" w:hAnsi="仿宋_GB2312" w:cs="仿宋_GB2312" w:eastAsia="仿宋_GB2312"/>
        </w:rPr>
        <w:t>详见附件：供应商认为需要提交的资料（格式自拟）</w:t>
      </w:r>
    </w:p>
    <w:p>
      <w:pPr>
        <w:pStyle w:val="null3"/>
        <w:ind w:firstLine="960"/>
        <w:jc w:val="left"/>
      </w:pPr>
      <w:r>
        <w:rPr>
          <w:rFonts w:ascii="仿宋_GB2312" w:hAnsi="仿宋_GB2312" w:cs="仿宋_GB2312" w:eastAsia="仿宋_GB2312"/>
        </w:rPr>
        <w:t>详见附件：技术、服务及其他要求应答表</w:t>
      </w:r>
    </w:p>
    <w:p>
      <w:pPr>
        <w:pStyle w:val="null3"/>
        <w:ind w:firstLine="960"/>
        <w:jc w:val="left"/>
      </w:pPr>
      <w:r>
        <w:rPr>
          <w:rFonts w:ascii="仿宋_GB2312" w:hAnsi="仿宋_GB2312" w:cs="仿宋_GB2312" w:eastAsia="仿宋_GB2312"/>
        </w:rPr>
        <w:t>详见附件：商务应答表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