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版本号：N510101202600031520260507001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2026成都城市定向赛执行服务(二次)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N5101012026000315</w:t>
      </w:r>
    </w:p>
    <w:p>
      <w:pPr>
        <w:pStyle w:val="null3"/>
        <w:jc w:val="center"/>
        <w:outlineLvl w:val="2"/>
      </w:pPr>
      <w:r>
        <w:rPr>
          <w:rFonts w:ascii="仿宋_GB2312" w:hAnsi="仿宋_GB2312" w:cs="仿宋_GB2312" w:eastAsia="仿宋_GB2312"/>
          <w:sz w:val="28"/>
          <w:b/>
        </w:rPr>
        <w:t>成都市赛事运营中心</w:t>
      </w:r>
    </w:p>
    <w:p>
      <w:pPr>
        <w:pStyle w:val="null3"/>
        <w:jc w:val="center"/>
        <w:outlineLvl w:val="2"/>
      </w:pPr>
      <w:r>
        <w:rPr>
          <w:rFonts w:ascii="仿宋_GB2312" w:hAnsi="仿宋_GB2312" w:cs="仿宋_GB2312" w:eastAsia="仿宋_GB2312"/>
          <w:sz w:val="28"/>
          <w:b/>
        </w:rPr>
        <w:t>四川辰熠招标代理有限公司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四川辰熠招标代理有限公司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成都市赛事运营中心</w:t>
      </w:r>
      <w:r>
        <w:rPr>
          <w:rFonts w:ascii="仿宋_GB2312" w:hAnsi="仿宋_GB2312" w:cs="仿宋_GB2312" w:eastAsia="仿宋_GB2312"/>
        </w:rPr>
        <w:t xml:space="preserve"> 委托，拟对 </w:t>
      </w:r>
      <w:r>
        <w:rPr>
          <w:rFonts w:ascii="仿宋_GB2312" w:hAnsi="仿宋_GB2312" w:cs="仿宋_GB2312" w:eastAsia="仿宋_GB2312"/>
        </w:rPr>
        <w:t>2026成都城市定向赛执行服务(二次)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N5101012026000315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2026成都城市定向赛执行服务(二次)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成都城市定向赛自2020年创办以来，已连续成功举办六年，赛事以城市为赛场，巧妙串联地标景点、文化遗址、商业街区与公园绿道，是展示“雪山下的公园城市”独特魅力、推动“体育+”融合发展的重要载体，为推动世界赛事名城向世界体育名城加速跃升，深化“办赛、营城、兴业、惠民”理念，以激发市场活力为背景，持续举办并升级城市定向赛，促进文商旅体深度融合、拓展体育消费新场景。</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成都市赛事运营中心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成都市青羊区贝森北路1号1栋5层510-2号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610074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028-86582258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四川辰熠招标代理有限公司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四川省成都市武侯区星狮路711号1栋2单元7层706号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向女士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028-87716857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成本加合理利润的原则进行收取，由成交单位支付，成交单位在领取成交通知书时与代理机构结算招标代理服务费。本项目代理服务费9600.00元。收款单位：四川辰熠招标代理有限公司。开户行：中国民生银行股份有限公司新津支行。银行账号：639021824。联系人：向女士；联系电话：028-87716867（财务室）。特别注意：请在备注栏必须填写“采购文件项目编号”代理服务费!招标代理服务费交纳完成后，可按照以下温馨提示开具发票：供应商发送申请信息至Cyzb555@163.com邮箱，发票开具后将直接发送至原申请开票邮箱。（邮件名称：申请开具发票金额XX元；邮件内容需明确：项目名称、付款截图、联系人、联系电话，开票信息注明专票/普票）。</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成都市赛事运营中心</w:t>
      </w:r>
      <w:r>
        <w:rPr>
          <w:rFonts w:ascii="仿宋_GB2312" w:hAnsi="仿宋_GB2312" w:cs="仿宋_GB2312" w:eastAsia="仿宋_GB2312"/>
        </w:rPr>
        <w:t xml:space="preserve"> 和 </w:t>
      </w:r>
      <w:r>
        <w:rPr>
          <w:rFonts w:ascii="仿宋_GB2312" w:hAnsi="仿宋_GB2312" w:cs="仿宋_GB2312" w:eastAsia="仿宋_GB2312"/>
        </w:rPr>
        <w:t>四川辰熠招标代理有限公司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成都市赛事运营中心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四川辰熠招标代理有限公司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委托代理机构验收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供应商提出验收申请之日起30日内组织验收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按照本项目的技术及服务要求、中标（成交）供应商的响应文件及承诺进行验收。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按照本项目的商务要求、中标（成交）供应商的响应文件及承诺进行验收。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号)、《政府采购需求管理办法》（财库〔2021〕22号）、采购文件要求、中标（成交）供应商的响应文件及承诺、签订的合同及相关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成都市赛事运营中心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四川辰熠招标代理有限公司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四川辰熠招标代理有限公司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联系人：向女士</w:t>
      </w:r>
    </w:p>
    <w:p>
      <w:pPr>
        <w:pStyle w:val="null3"/>
        <w:jc w:val="left"/>
      </w:pPr>
      <w:r>
        <w:rPr>
          <w:rFonts w:ascii="仿宋_GB2312" w:hAnsi="仿宋_GB2312" w:cs="仿宋_GB2312" w:eastAsia="仿宋_GB2312"/>
        </w:rPr>
        <w:t>联系电话：028-87716857</w:t>
      </w:r>
    </w:p>
    <w:p>
      <w:pPr>
        <w:pStyle w:val="null3"/>
        <w:jc w:val="left"/>
      </w:pPr>
      <w:r>
        <w:rPr>
          <w:rFonts w:ascii="仿宋_GB2312" w:hAnsi="仿宋_GB2312" w:cs="仿宋_GB2312" w:eastAsia="仿宋_GB2312"/>
        </w:rPr>
        <w:t>地址：四川省成都市武侯区星狮路711号1栋2单元7层706号</w:t>
      </w:r>
    </w:p>
    <w:p>
      <w:pPr>
        <w:pStyle w:val="null3"/>
        <w:jc w:val="left"/>
      </w:pPr>
      <w:r>
        <w:rPr>
          <w:rFonts w:ascii="仿宋_GB2312" w:hAnsi="仿宋_GB2312" w:cs="仿宋_GB2312" w:eastAsia="仿宋_GB2312"/>
        </w:rPr>
        <w:t>邮编：610041</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联系电话：028-86582258</w:t>
      </w:r>
    </w:p>
    <w:p>
      <w:pPr>
        <w:pStyle w:val="null3"/>
        <w:jc w:val="left"/>
      </w:pPr>
      <w:r>
        <w:rPr>
          <w:rFonts w:ascii="仿宋_GB2312" w:hAnsi="仿宋_GB2312" w:cs="仿宋_GB2312" w:eastAsia="仿宋_GB2312"/>
        </w:rPr>
        <w:t>地址：成都市青羊区贝森北路1号西村大院3号楼5层510-2号</w:t>
      </w:r>
    </w:p>
    <w:p>
      <w:pPr>
        <w:pStyle w:val="null3"/>
        <w:jc w:val="left"/>
      </w:pPr>
      <w:r>
        <w:rPr>
          <w:rFonts w:ascii="仿宋_GB2312" w:hAnsi="仿宋_GB2312" w:cs="仿宋_GB2312" w:eastAsia="仿宋_GB2312"/>
        </w:rPr>
        <w:t>邮编：610074</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C06040100 体育组织服务</w:t>
            </w:r>
          </w:p>
        </w:tc>
        <w:tc>
          <w:tcPr>
            <w:tcW w:type="dxa" w:w="821"/>
          </w:tcPr>
          <w:p>
            <w:pPr>
              <w:pStyle w:val="null3"/>
              <w:jc w:val="left"/>
            </w:pPr>
            <w:r>
              <w:rPr>
                <w:rFonts w:ascii="仿宋_GB2312" w:hAnsi="仿宋_GB2312" w:cs="仿宋_GB2312" w:eastAsia="仿宋_GB2312"/>
              </w:rPr>
              <w:t>2026成都城市定向赛执行服务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2026成都城市定向赛执行服务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标的名称：2026成都城市定向赛执行服务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ind w:firstLine="560"/>
              <w:jc w:val="both"/>
            </w:pPr>
            <w:r>
              <w:rPr>
                <w:rFonts w:ascii="仿宋_GB2312" w:hAnsi="仿宋_GB2312" w:cs="仿宋_GB2312" w:eastAsia="仿宋_GB2312"/>
                <w:sz w:val="21"/>
              </w:rPr>
              <w:t>一、项目概述</w:t>
            </w:r>
          </w:p>
          <w:p>
            <w:pPr>
              <w:pStyle w:val="null3"/>
              <w:ind w:firstLine="560"/>
              <w:jc w:val="both"/>
            </w:pPr>
            <w:r>
              <w:rPr>
                <w:rFonts w:ascii="仿宋_GB2312" w:hAnsi="仿宋_GB2312" w:cs="仿宋_GB2312" w:eastAsia="仿宋_GB2312"/>
                <w:sz w:val="21"/>
              </w:rPr>
              <w:t>成都城市定向赛自2020年创办以来，已连续成功举办六年，赛事以城市为赛场，巧妙串联地标景点、文化遗址、商业街区与公园绿道，是展示“雪山下的公园城市”独特魅力、推动“体育+”融合发展的重要载体，为推动世界赛事名城向世界体育名城加速跃升，深化“办赛、营城、兴业、惠民”理念，以激发市场活力为背景，持续举办并升级城市定向赛，促进文商旅体深度融合、拓展体育消费新场景。</w:t>
            </w:r>
          </w:p>
          <w:p>
            <w:pPr>
              <w:pStyle w:val="null3"/>
              <w:ind w:firstLine="560"/>
              <w:jc w:val="both"/>
            </w:pPr>
            <w:r>
              <w:rPr>
                <w:rFonts w:ascii="仿宋_GB2312" w:hAnsi="仿宋_GB2312" w:cs="仿宋_GB2312" w:eastAsia="仿宋_GB2312"/>
                <w:sz w:val="21"/>
              </w:rPr>
              <w:t>二、赛事整体规划与规模</w:t>
            </w:r>
          </w:p>
          <w:p>
            <w:pPr>
              <w:pStyle w:val="null3"/>
              <w:ind w:firstLine="560"/>
              <w:jc w:val="both"/>
            </w:pPr>
            <w:r>
              <w:rPr>
                <w:rFonts w:ascii="仿宋_GB2312" w:hAnsi="仿宋_GB2312" w:cs="仿宋_GB2312" w:eastAsia="仿宋_GB2312"/>
                <w:sz w:val="21"/>
              </w:rPr>
              <w:t>1.赛事总参与规模不低于3500人，覆盖成都市民、在蓉高校学生、外地体育爱好者等群体，确保参与广泛性。</w:t>
            </w:r>
          </w:p>
          <w:p>
            <w:pPr>
              <w:pStyle w:val="null3"/>
              <w:ind w:firstLine="560"/>
              <w:jc w:val="both"/>
            </w:pPr>
            <w:r>
              <w:rPr>
                <w:rFonts w:ascii="仿宋_GB2312" w:hAnsi="仿宋_GB2312" w:cs="仿宋_GB2312" w:eastAsia="仿宋_GB2312"/>
                <w:sz w:val="21"/>
              </w:rPr>
              <w:t>2.赛事主题紧扣雪山下的公园城市、文商旅体融合，线路设计串联成都地标景点、文化遗址、商业街区、公园绿道，彰显城市特色。</w:t>
            </w:r>
          </w:p>
          <w:p>
            <w:pPr>
              <w:pStyle w:val="null3"/>
              <w:ind w:firstLine="560"/>
              <w:jc w:val="both"/>
            </w:pPr>
            <w:r>
              <w:rPr>
                <w:rFonts w:ascii="仿宋_GB2312" w:hAnsi="仿宋_GB2312" w:cs="仿宋_GB2312" w:eastAsia="仿宋_GB2312"/>
                <w:sz w:val="21"/>
              </w:rPr>
              <w:t>3.设置不少于2条主题线路，均位于成都市主城区，单条线路里程不低于15公里，线路规划科学、无安全隐患，兼顾趣味性与体验感。</w:t>
            </w:r>
          </w:p>
          <w:p>
            <w:pPr>
              <w:pStyle w:val="null3"/>
              <w:ind w:firstLine="560"/>
              <w:jc w:val="both"/>
            </w:pPr>
            <w:r>
              <w:rPr>
                <w:rFonts w:ascii="仿宋_GB2312" w:hAnsi="仿宋_GB2312" w:cs="仿宋_GB2312" w:eastAsia="仿宋_GB2312"/>
                <w:sz w:val="21"/>
              </w:rPr>
              <w:t>4.赛事设置不少于30个任务点，任务设计结合城市文化、体育互动、趣味挑战，符合定向赛规则，具备可执行性。</w:t>
            </w:r>
          </w:p>
          <w:p>
            <w:pPr>
              <w:pStyle w:val="null3"/>
              <w:ind w:firstLine="560"/>
              <w:jc w:val="both"/>
            </w:pPr>
            <w:r>
              <w:rPr>
                <w:rFonts w:ascii="仿宋_GB2312" w:hAnsi="仿宋_GB2312" w:cs="仿宋_GB2312" w:eastAsia="仿宋_GB2312"/>
                <w:sz w:val="21"/>
              </w:rPr>
              <w:t>三、开闭幕式策划与执行</w:t>
            </w:r>
          </w:p>
          <w:p>
            <w:pPr>
              <w:pStyle w:val="null3"/>
              <w:ind w:firstLine="560"/>
              <w:jc w:val="both"/>
            </w:pPr>
            <w:r>
              <w:rPr>
                <w:rFonts w:ascii="仿宋_GB2312" w:hAnsi="仿宋_GB2312" w:cs="仿宋_GB2312" w:eastAsia="仿宋_GB2312"/>
                <w:sz w:val="21"/>
              </w:rPr>
              <w:t>1.负责开闭幕式全流程策划、落地执行，含流程设计、环节串联、现场调度。</w:t>
            </w:r>
          </w:p>
          <w:p>
            <w:pPr>
              <w:pStyle w:val="null3"/>
              <w:ind w:firstLine="560"/>
              <w:jc w:val="both"/>
            </w:pPr>
            <w:r>
              <w:rPr>
                <w:rFonts w:ascii="仿宋_GB2312" w:hAnsi="仿宋_GB2312" w:cs="仿宋_GB2312" w:eastAsia="仿宋_GB2312"/>
                <w:sz w:val="21"/>
              </w:rPr>
              <w:t>2.完成开幕式动线规划：嘉宾入场/离场路线、观众集结区、嘉宾休息区、媒体拍照区、选手候场区布局，明确人员分工与联络方式。</w:t>
            </w:r>
          </w:p>
          <w:p>
            <w:pPr>
              <w:pStyle w:val="null3"/>
              <w:ind w:firstLine="560"/>
              <w:jc w:val="both"/>
            </w:pPr>
            <w:r>
              <w:rPr>
                <w:rFonts w:ascii="仿宋_GB2312" w:hAnsi="仿宋_GB2312" w:cs="仿宋_GB2312" w:eastAsia="仿宋_GB2312"/>
                <w:sz w:val="21"/>
              </w:rPr>
              <w:t>3.开幕式舞台搭建：主会场位于主城区，距离地铁站不超过1公里；舞台背景LED屏不低于4m×6m，配备全套专业音响、麦克风、调音设备。</w:t>
            </w:r>
          </w:p>
          <w:p>
            <w:pPr>
              <w:pStyle w:val="null3"/>
              <w:ind w:firstLine="560"/>
              <w:jc w:val="both"/>
            </w:pPr>
            <w:r>
              <w:rPr>
                <w:rFonts w:ascii="仿宋_GB2312" w:hAnsi="仿宋_GB2312" w:cs="仿宋_GB2312" w:eastAsia="仿宋_GB2312"/>
                <w:sz w:val="21"/>
              </w:rPr>
              <w:t>4.开闭幕式配套：暖场节目1个（贴合城市主题）、专业主持人1 名；礼仪人员不低于2名，负责嘉宾引导、颁奖协助等工作。</w:t>
            </w:r>
          </w:p>
          <w:p>
            <w:pPr>
              <w:pStyle w:val="null3"/>
              <w:ind w:firstLine="560"/>
              <w:jc w:val="both"/>
            </w:pPr>
            <w:r>
              <w:rPr>
                <w:rFonts w:ascii="仿宋_GB2312" w:hAnsi="仿宋_GB2312" w:cs="仿宋_GB2312" w:eastAsia="仿宋_GB2312"/>
                <w:sz w:val="21"/>
              </w:rPr>
              <w:t>5.完成起跑鸣枪、终点关门、颁奖仪式等核心环节执行，保障流程顺畅、仪式感充足。</w:t>
            </w:r>
          </w:p>
          <w:p>
            <w:pPr>
              <w:pStyle w:val="null3"/>
              <w:ind w:firstLine="560"/>
              <w:jc w:val="both"/>
            </w:pPr>
            <w:r>
              <w:rPr>
                <w:rFonts w:ascii="仿宋_GB2312" w:hAnsi="仿宋_GB2312" w:cs="仿宋_GB2312" w:eastAsia="仿宋_GB2312"/>
                <w:sz w:val="21"/>
              </w:rPr>
              <w:t>四、竞赛组织与执行</w:t>
            </w:r>
          </w:p>
          <w:p>
            <w:pPr>
              <w:pStyle w:val="null3"/>
              <w:ind w:firstLine="560"/>
              <w:jc w:val="both"/>
            </w:pPr>
            <w:r>
              <w:rPr>
                <w:rFonts w:ascii="仿宋_GB2312" w:hAnsi="仿宋_GB2312" w:cs="仿宋_GB2312" w:eastAsia="仿宋_GB2312"/>
                <w:sz w:val="21"/>
              </w:rPr>
              <w:t>1.负责赛事报名全流程：线上报名、信息审核、名单统计、参赛资格核验，确保报名数据准确。</w:t>
            </w:r>
          </w:p>
          <w:p>
            <w:pPr>
              <w:pStyle w:val="null3"/>
              <w:ind w:firstLine="560"/>
              <w:jc w:val="both"/>
            </w:pPr>
            <w:r>
              <w:rPr>
                <w:rFonts w:ascii="仿宋_GB2312" w:hAnsi="仿宋_GB2312" w:cs="仿宋_GB2312" w:eastAsia="仿宋_GB2312"/>
                <w:sz w:val="21"/>
              </w:rPr>
              <w:t>2.配置专业竞赛器材：电子计时系统、发令枪、竞赛桌椅、3m×3m功能篷房、200米警戒线、铁马等硬件隔离设施。</w:t>
            </w:r>
          </w:p>
          <w:p>
            <w:pPr>
              <w:pStyle w:val="null3"/>
              <w:ind w:firstLine="560"/>
              <w:jc w:val="both"/>
            </w:pPr>
            <w:r>
              <w:rPr>
                <w:rFonts w:ascii="仿宋_GB2312" w:hAnsi="仿宋_GB2312" w:cs="仿宋_GB2312" w:eastAsia="仿宋_GB2312"/>
                <w:sz w:val="21"/>
              </w:rPr>
              <w:t>3.配备不少于20名专业裁判，由供应商统一培训考核合格后上岗，熟悉定向赛规则，负责赛道执裁、成绩判定、现场秩序维护。</w:t>
            </w:r>
          </w:p>
          <w:p>
            <w:pPr>
              <w:pStyle w:val="null3"/>
              <w:ind w:firstLine="560"/>
              <w:jc w:val="both"/>
            </w:pPr>
            <w:r>
              <w:rPr>
                <w:rFonts w:ascii="仿宋_GB2312" w:hAnsi="仿宋_GB2312" w:cs="仿宋_GB2312" w:eastAsia="仿宋_GB2312"/>
                <w:sz w:val="21"/>
              </w:rPr>
              <w:t>4.提供打卡设备、打卡装置、与参赛人数匹配的计时手环，保障打卡、计时数据精准无误。</w:t>
            </w:r>
          </w:p>
          <w:p>
            <w:pPr>
              <w:pStyle w:val="null3"/>
              <w:ind w:firstLine="560"/>
              <w:jc w:val="both"/>
            </w:pPr>
            <w:r>
              <w:rPr>
                <w:rFonts w:ascii="仿宋_GB2312" w:hAnsi="仿宋_GB2312" w:cs="仿宋_GB2312" w:eastAsia="仿宋_GB2312"/>
                <w:sz w:val="21"/>
              </w:rPr>
              <w:t>5.完成参赛者信息核对、实时成绩公示、最终成绩统计与排名，出具正式成绩榜单。</w:t>
            </w:r>
          </w:p>
          <w:p>
            <w:pPr>
              <w:pStyle w:val="null3"/>
              <w:ind w:firstLine="560"/>
              <w:jc w:val="both"/>
            </w:pPr>
            <w:r>
              <w:rPr>
                <w:rFonts w:ascii="仿宋_GB2312" w:hAnsi="仿宋_GB2312" w:cs="仿宋_GB2312" w:eastAsia="仿宋_GB2312"/>
                <w:sz w:val="21"/>
              </w:rPr>
              <w:t>6.负责奖项设置与奖品发放：定制锌合金+珐琅彩绘奖牌不少于 3500个；每个组别前三名奖品总价值不低于2000元，配合采购人完成颁奖流程。</w:t>
            </w:r>
          </w:p>
          <w:p>
            <w:pPr>
              <w:pStyle w:val="null3"/>
              <w:ind w:firstLine="560"/>
              <w:jc w:val="both"/>
            </w:pPr>
            <w:r>
              <w:rPr>
                <w:rFonts w:ascii="仿宋_GB2312" w:hAnsi="仿宋_GB2312" w:cs="仿宋_GB2312" w:eastAsia="仿宋_GB2312"/>
                <w:sz w:val="21"/>
              </w:rPr>
              <w:t>五、物料设计、制作与配置</w:t>
            </w:r>
          </w:p>
          <w:p>
            <w:pPr>
              <w:pStyle w:val="null3"/>
              <w:ind w:firstLine="560"/>
              <w:jc w:val="both"/>
            </w:pPr>
            <w:r>
              <w:rPr>
                <w:rFonts w:ascii="仿宋_GB2312" w:hAnsi="仿宋_GB2312" w:cs="仿宋_GB2312" w:eastAsia="仿宋_GB2312"/>
                <w:sz w:val="21"/>
              </w:rPr>
              <w:t>1.赛事视觉与氛围物料：赛事LOGO优化、标识标牌、路线指引牌、工作证件不少于30个、起终点拱门各1个、5 米道旗8个、A 板20个、参赛指南、参赛号码布等，设计贴合赛事主题，制作质量达标。</w:t>
            </w:r>
          </w:p>
          <w:p>
            <w:pPr>
              <w:pStyle w:val="null3"/>
              <w:ind w:firstLine="560"/>
              <w:jc w:val="both"/>
            </w:pPr>
            <w:r>
              <w:rPr>
                <w:rFonts w:ascii="仿宋_GB2312" w:hAnsi="仿宋_GB2312" w:cs="仿宋_GB2312" w:eastAsia="仿宋_GB2312"/>
                <w:sz w:val="21"/>
              </w:rPr>
              <w:t>2.人员服装：提供工作人员、嘉宾服装不少于20套，材质为长袖运动服或冲锋衣，尺码齐全、标识统一。</w:t>
            </w:r>
          </w:p>
          <w:p>
            <w:pPr>
              <w:pStyle w:val="null3"/>
              <w:ind w:firstLine="560"/>
              <w:jc w:val="both"/>
            </w:pPr>
            <w:r>
              <w:rPr>
                <w:rFonts w:ascii="仿宋_GB2312" w:hAnsi="仿宋_GB2312" w:cs="仿宋_GB2312" w:eastAsia="仿宋_GB2312"/>
                <w:sz w:val="21"/>
              </w:rPr>
              <w:t>3.参赛物资：为3500名参赛选手配备参赛包，内含饮水补给、参赛手册、赛事文创品等，物资足量、安全合规。</w:t>
            </w:r>
          </w:p>
          <w:p>
            <w:pPr>
              <w:pStyle w:val="null3"/>
              <w:ind w:firstLine="560"/>
              <w:jc w:val="both"/>
            </w:pPr>
            <w:r>
              <w:rPr>
                <w:rFonts w:ascii="仿宋_GB2312" w:hAnsi="仿宋_GB2312" w:cs="仿宋_GB2312" w:eastAsia="仿宋_GB2312"/>
                <w:sz w:val="21"/>
              </w:rPr>
              <w:t>六、宣传推广与媒体服务</w:t>
            </w:r>
          </w:p>
          <w:p>
            <w:pPr>
              <w:pStyle w:val="null3"/>
              <w:ind w:firstLine="560"/>
              <w:jc w:val="both"/>
            </w:pPr>
            <w:r>
              <w:rPr>
                <w:rFonts w:ascii="仿宋_GB2312" w:hAnsi="仿宋_GB2312" w:cs="仿宋_GB2312" w:eastAsia="仿宋_GB2312"/>
                <w:sz w:val="21"/>
              </w:rPr>
              <w:t>1.负责赛事全周期宣传推广，含预热、赛中、赛后传播，覆盖线上线下渠道。</w:t>
            </w:r>
          </w:p>
          <w:p>
            <w:pPr>
              <w:pStyle w:val="null3"/>
              <w:ind w:firstLine="560"/>
              <w:jc w:val="both"/>
            </w:pPr>
            <w:r>
              <w:rPr>
                <w:rFonts w:ascii="仿宋_GB2312" w:hAnsi="仿宋_GB2312" w:cs="仿宋_GB2312" w:eastAsia="仿宋_GB2312"/>
                <w:sz w:val="21"/>
              </w:rPr>
              <w:t>2.确保省市级主流媒体宣传报道不少于20篇，含电视、报纸、官方新媒体等，提升赛事影响力。</w:t>
            </w:r>
          </w:p>
          <w:p>
            <w:pPr>
              <w:pStyle w:val="null3"/>
              <w:ind w:firstLine="560"/>
              <w:jc w:val="both"/>
            </w:pPr>
            <w:r>
              <w:rPr>
                <w:rFonts w:ascii="仿宋_GB2312" w:hAnsi="仿宋_GB2312" w:cs="仿宋_GB2312" w:eastAsia="仿宋_GB2312"/>
                <w:sz w:val="21"/>
              </w:rPr>
              <w:t>3.配备摄影摄像团队不少于2人，提供全程图片直播、视频花絮拍摄与简剪，赛后7个工作日内交付完整影像资料。</w:t>
            </w:r>
          </w:p>
          <w:p>
            <w:pPr>
              <w:pStyle w:val="null3"/>
              <w:ind w:firstLine="560"/>
              <w:jc w:val="both"/>
            </w:pPr>
            <w:r>
              <w:rPr>
                <w:rFonts w:ascii="仿宋_GB2312" w:hAnsi="仿宋_GB2312" w:cs="仿宋_GB2312" w:eastAsia="仿宋_GB2312"/>
                <w:sz w:val="21"/>
              </w:rPr>
              <w:t>4.负责媒体、嘉宾接待：对接媒体采访、安排嘉宾行程、提供媒体工作区与物料，保障媒体报道顺畅。</w:t>
            </w:r>
          </w:p>
          <w:p>
            <w:pPr>
              <w:pStyle w:val="null3"/>
              <w:ind w:firstLine="560"/>
              <w:jc w:val="both"/>
            </w:pPr>
            <w:r>
              <w:rPr>
                <w:rFonts w:ascii="仿宋_GB2312" w:hAnsi="仿宋_GB2312" w:cs="仿宋_GB2312" w:eastAsia="仿宋_GB2312"/>
                <w:sz w:val="21"/>
              </w:rPr>
              <w:t>七、人员配置与培训</w:t>
            </w:r>
          </w:p>
          <w:p>
            <w:pPr>
              <w:pStyle w:val="null3"/>
              <w:ind w:firstLine="560"/>
              <w:jc w:val="both"/>
            </w:pPr>
            <w:r>
              <w:rPr>
                <w:rFonts w:ascii="仿宋_GB2312" w:hAnsi="仿宋_GB2312" w:cs="仿宋_GB2312" w:eastAsia="仿宋_GB2312"/>
                <w:sz w:val="21"/>
              </w:rPr>
              <w:t>1.核心团队：项目负责人1名、专职工作人员不少于4人，岗位职责明确，具备体育赛事执行经验与应急处置能力。</w:t>
            </w:r>
          </w:p>
          <w:p>
            <w:pPr>
              <w:pStyle w:val="null3"/>
              <w:ind w:firstLine="560"/>
              <w:jc w:val="both"/>
            </w:pPr>
            <w:r>
              <w:rPr>
                <w:rFonts w:ascii="仿宋_GB2312" w:hAnsi="仿宋_GB2312" w:cs="仿宋_GB2312" w:eastAsia="仿宋_GB2312"/>
                <w:sz w:val="21"/>
              </w:rPr>
              <w:t>2.保障人员：秩序维护人员不少于20人、志愿者不少于20人，供应商负责统一招聘、岗前培训、分工安排、考勤管理。</w:t>
            </w:r>
          </w:p>
          <w:p>
            <w:pPr>
              <w:pStyle w:val="null3"/>
              <w:ind w:firstLine="560"/>
              <w:jc w:val="both"/>
            </w:pPr>
            <w:r>
              <w:rPr>
                <w:rFonts w:ascii="仿宋_GB2312" w:hAnsi="仿宋_GB2312" w:cs="仿宋_GB2312" w:eastAsia="仿宋_GB2312"/>
                <w:sz w:val="21"/>
              </w:rPr>
              <w:t>3.所有上岗人员需完成赛事规则、安全规范、服务流程、应急处置等专项培训，考核合格后方可上岗。</w:t>
            </w:r>
          </w:p>
          <w:p>
            <w:pPr>
              <w:pStyle w:val="null3"/>
              <w:ind w:firstLine="560"/>
              <w:jc w:val="both"/>
            </w:pPr>
            <w:r>
              <w:rPr>
                <w:rFonts w:ascii="仿宋_GB2312" w:hAnsi="仿宋_GB2312" w:cs="仿宋_GB2312" w:eastAsia="仿宋_GB2312"/>
                <w:sz w:val="21"/>
              </w:rPr>
              <w:t>八、赛事保障</w:t>
            </w:r>
          </w:p>
          <w:p>
            <w:pPr>
              <w:pStyle w:val="null3"/>
              <w:ind w:firstLine="560"/>
              <w:jc w:val="both"/>
            </w:pPr>
            <w:r>
              <w:rPr>
                <w:rFonts w:ascii="仿宋_GB2312" w:hAnsi="仿宋_GB2312" w:cs="仿宋_GB2312" w:eastAsia="仿宋_GB2312"/>
                <w:sz w:val="21"/>
              </w:rPr>
              <w:t>1.医疗保障：赛事期间配备救护车1辆、医生1名、护士2名，配备相应的医疗急救设备和药品。</w:t>
            </w:r>
          </w:p>
          <w:p>
            <w:pPr>
              <w:pStyle w:val="null3"/>
              <w:ind w:firstLine="560"/>
              <w:jc w:val="both"/>
            </w:pPr>
            <w:r>
              <w:rPr>
                <w:rFonts w:ascii="仿宋_GB2312" w:hAnsi="仿宋_GB2312" w:cs="仿宋_GB2312" w:eastAsia="仿宋_GB2312"/>
                <w:sz w:val="21"/>
              </w:rPr>
              <w:t>2.保险配置：为所有参赛人员、工作人员购买个人意外伤害险及公众责任险，累计保额不低于1000万元。</w:t>
            </w:r>
          </w:p>
          <w:p>
            <w:pPr>
              <w:pStyle w:val="null3"/>
              <w:ind w:firstLine="560"/>
              <w:jc w:val="both"/>
            </w:pPr>
            <w:r>
              <w:rPr>
                <w:rFonts w:ascii="仿宋_GB2312" w:hAnsi="仿宋_GB2312" w:cs="仿宋_GB2312" w:eastAsia="仿宋_GB2312"/>
                <w:sz w:val="21"/>
              </w:rPr>
              <w:t>3.补给：设置赛道补给点，提供饮水、功能饮料、简易食品，保障选手体力补给。</w:t>
            </w:r>
          </w:p>
          <w:p>
            <w:pPr>
              <w:pStyle w:val="null3"/>
              <w:ind w:firstLine="560"/>
              <w:jc w:val="both"/>
            </w:pPr>
            <w:r>
              <w:rPr>
                <w:rFonts w:ascii="仿宋_GB2312" w:hAnsi="仿宋_GB2312" w:cs="仿宋_GB2312" w:eastAsia="仿宋_GB2312"/>
                <w:sz w:val="21"/>
              </w:rPr>
              <w:t>九、后勤与配套服务</w:t>
            </w:r>
          </w:p>
          <w:p>
            <w:pPr>
              <w:pStyle w:val="null3"/>
              <w:ind w:firstLine="560"/>
              <w:jc w:val="both"/>
            </w:pPr>
            <w:r>
              <w:rPr>
                <w:rFonts w:ascii="仿宋_GB2312" w:hAnsi="仿宋_GB2312" w:cs="仿宋_GB2312" w:eastAsia="仿宋_GB2312"/>
                <w:sz w:val="21"/>
              </w:rPr>
              <w:t>1.负责选手集结、存包、卫生间、饮水点等后勤服务保障。</w:t>
            </w:r>
          </w:p>
          <w:p>
            <w:pPr>
              <w:pStyle w:val="null3"/>
              <w:ind w:firstLine="560"/>
              <w:jc w:val="both"/>
            </w:pPr>
            <w:r>
              <w:rPr>
                <w:rFonts w:ascii="仿宋_GB2312" w:hAnsi="仿宋_GB2312" w:cs="仿宋_GB2312" w:eastAsia="仿宋_GB2312"/>
                <w:sz w:val="21"/>
              </w:rPr>
              <w:t>2.配合采购人完成市场开发、招商对接、品牌露出等相关工作。</w:t>
            </w:r>
          </w:p>
          <w:p>
            <w:pPr>
              <w:pStyle w:val="null3"/>
              <w:ind w:firstLine="560"/>
              <w:jc w:val="both"/>
            </w:pPr>
            <w:r>
              <w:rPr>
                <w:rFonts w:ascii="仿宋_GB2312" w:hAnsi="仿宋_GB2312" w:cs="仿宋_GB2312" w:eastAsia="仿宋_GB2312"/>
                <w:sz w:val="21"/>
              </w:rPr>
              <w:t>3.项目结束后，提交不少于100份参赛人员满意度调查问卷，形成调研分析报告。</w:t>
            </w:r>
          </w:p>
          <w:p>
            <w:pPr>
              <w:pStyle w:val="null3"/>
              <w:ind w:firstLine="560"/>
              <w:jc w:val="both"/>
            </w:pPr>
            <w:r>
              <w:rPr>
                <w:rFonts w:ascii="仿宋_GB2312" w:hAnsi="仿宋_GB2312" w:cs="仿宋_GB2312" w:eastAsia="仿宋_GB2312"/>
                <w:sz w:val="21"/>
              </w:rPr>
              <w:t>十、安全管理要求及法律责任</w:t>
            </w:r>
          </w:p>
          <w:p>
            <w:pPr>
              <w:pStyle w:val="null3"/>
              <w:ind w:firstLine="482"/>
              <w:jc w:val="both"/>
            </w:pPr>
            <w:r>
              <w:rPr>
                <w:rFonts w:ascii="仿宋_GB2312" w:hAnsi="仿宋_GB2312" w:cs="仿宋_GB2312" w:eastAsia="仿宋_GB2312"/>
                <w:sz w:val="21"/>
                <w:b/>
              </w:rPr>
              <w:t>★</w:t>
            </w:r>
            <w:r>
              <w:rPr>
                <w:rFonts w:ascii="仿宋_GB2312" w:hAnsi="仿宋_GB2312" w:cs="仿宋_GB2312" w:eastAsia="仿宋_GB2312"/>
                <w:sz w:val="21"/>
              </w:rPr>
              <w:t>1.供应商承担在本项目实施过程中由供应商造成的安全事故责任、法律责任和赔偿责任。包括：其聘用的所有工作人员劳动用工安全事故；因工作不规范等因素造成的安全责任事故；与本赛事相关的安全事故等。</w:t>
            </w:r>
            <w:r>
              <w:rPr>
                <w:rFonts w:ascii="仿宋_GB2312" w:hAnsi="仿宋_GB2312" w:cs="仿宋_GB2312" w:eastAsia="仿宋_GB2312"/>
                <w:sz w:val="21"/>
                <w:b/>
              </w:rPr>
              <w:t>（提供承诺函加盖供应商公章）</w:t>
            </w:r>
          </w:p>
          <w:p>
            <w:pPr>
              <w:pStyle w:val="null3"/>
              <w:ind w:firstLine="560"/>
              <w:jc w:val="both"/>
            </w:pPr>
            <w:r>
              <w:rPr>
                <w:rFonts w:ascii="仿宋_GB2312" w:hAnsi="仿宋_GB2312" w:cs="仿宋_GB2312" w:eastAsia="仿宋_GB2312"/>
                <w:sz w:val="21"/>
              </w:rPr>
              <w:t>2.切实做好活动期间的安全保卫工作，精心组织、周密部署、统一指挥，做到人员落实、装备落实，严格落实相关制度和措施，确保比赛顺利进行。</w:t>
            </w:r>
          </w:p>
          <w:p>
            <w:pPr>
              <w:pStyle w:val="null3"/>
              <w:ind w:firstLine="560"/>
              <w:jc w:val="both"/>
            </w:pPr>
            <w:r>
              <w:rPr>
                <w:rFonts w:ascii="仿宋_GB2312" w:hAnsi="仿宋_GB2312" w:cs="仿宋_GB2312" w:eastAsia="仿宋_GB2312"/>
                <w:sz w:val="21"/>
              </w:rPr>
              <w:t>3.本项目实施过程中的安全由成交供应商负责，供应商应结合本项目的特点及自身管理经验，拟定详尽、科学、合理、可操作性强的安全措施。</w:t>
            </w:r>
          </w:p>
          <w:p>
            <w:pPr>
              <w:pStyle w:val="null3"/>
              <w:ind w:firstLine="560"/>
              <w:jc w:val="both"/>
            </w:pPr>
            <w:r>
              <w:rPr>
                <w:rFonts w:ascii="仿宋_GB2312" w:hAnsi="仿宋_GB2312" w:cs="仿宋_GB2312" w:eastAsia="仿宋_GB2312"/>
                <w:sz w:val="21"/>
              </w:rPr>
              <w:t>十一、其他要求</w:t>
            </w:r>
          </w:p>
          <w:p>
            <w:pPr>
              <w:pStyle w:val="null3"/>
              <w:ind w:firstLine="560"/>
              <w:jc w:val="both"/>
            </w:pPr>
            <w:r>
              <w:rPr>
                <w:rFonts w:ascii="仿宋_GB2312" w:hAnsi="仿宋_GB2312" w:cs="仿宋_GB2312" w:eastAsia="仿宋_GB2312"/>
                <w:sz w:val="21"/>
              </w:rPr>
              <w:t>★1.成交供应商拟派本项目的所有人员须有合法合规的劳务或劳动关系，若产生的劳务纠纷均由成交供应商负责。供应商拟派的项目负责人和服务团队成员在成交后不得随意更换，如确需更换须取得采购人同意。</w:t>
            </w:r>
            <w:r>
              <w:rPr>
                <w:rFonts w:ascii="仿宋_GB2312" w:hAnsi="仿宋_GB2312" w:cs="仿宋_GB2312" w:eastAsia="仿宋_GB2312"/>
                <w:sz w:val="21"/>
                <w:b/>
              </w:rPr>
              <w:t>（提供承诺函加盖供应商公章）</w:t>
            </w:r>
          </w:p>
          <w:p>
            <w:pPr>
              <w:pStyle w:val="null3"/>
              <w:ind w:firstLine="560"/>
              <w:jc w:val="both"/>
            </w:pPr>
            <w:r>
              <w:rPr>
                <w:rFonts w:ascii="仿宋_GB2312" w:hAnsi="仿宋_GB2312" w:cs="仿宋_GB2312" w:eastAsia="仿宋_GB2312"/>
                <w:sz w:val="21"/>
              </w:rPr>
              <w:t>★2.所有物料的租赁和制作需本着节能环保的原则进行，提供的所有设备或货物需符合国家相关的节能或强制性标准要求，环保无毒、安全。所有设备的组装和铺设均需避免安全隐患，符合消防要求。（注：舞台搭建若涉及特种作业，相关人员需按国家规定持有特种操作的许可证。）</w:t>
            </w:r>
          </w:p>
          <w:p>
            <w:pPr>
              <w:pStyle w:val="null3"/>
              <w:ind w:firstLine="560"/>
              <w:jc w:val="both"/>
            </w:pPr>
            <w:r>
              <w:rPr>
                <w:rFonts w:ascii="仿宋_GB2312" w:hAnsi="仿宋_GB2312" w:cs="仿宋_GB2312" w:eastAsia="仿宋_GB2312"/>
                <w:sz w:val="21"/>
              </w:rPr>
              <w:t>3.供应商需做好项目监督与安全管理工作，及时向采购人反馈项目进度及实施项目的其他相关信息。</w:t>
            </w:r>
          </w:p>
          <w:p>
            <w:pPr>
              <w:pStyle w:val="null3"/>
              <w:ind w:firstLine="560"/>
              <w:jc w:val="both"/>
            </w:pPr>
            <w:r>
              <w:rPr>
                <w:rFonts w:ascii="仿宋_GB2312" w:hAnsi="仿宋_GB2312" w:cs="仿宋_GB2312" w:eastAsia="仿宋_GB2312"/>
                <w:sz w:val="21"/>
              </w:rPr>
              <w:t>4.供应商应严格按照国家、省、市相关规章制度开展项目，所提供的服务、文字影像、宣传文案、设计物料等均需符合国家及当地的相关要求。活动开展如需要取得当地相关主管部门许可的，供应商需在活动开展前报相关部门审核批准。</w:t>
            </w:r>
          </w:p>
          <w:p>
            <w:pPr>
              <w:pStyle w:val="null3"/>
              <w:ind w:firstLine="560"/>
              <w:jc w:val="both"/>
            </w:pPr>
            <w:r>
              <w:rPr>
                <w:rFonts w:ascii="仿宋_GB2312" w:hAnsi="仿宋_GB2312" w:cs="仿宋_GB2312" w:eastAsia="仿宋_GB2312"/>
                <w:sz w:val="21"/>
              </w:rPr>
              <w:t>5.成交供应商在开展比赛前7个工作日内，应当向采购人提供细化后的赛事实施方案（含竞赛规程、氛围营造、应急预案、宣传方案等），赛事方案经采购人审核通过后方可实施。本项目中涉及的各项物料、图文材料等需经采购人审定才能开始制作。供应商须按经采购人确认的最终服务方案实施，不得擅自修改方案和更换材料。确需修改或更换的，须经采购人同意。</w:t>
            </w:r>
          </w:p>
          <w:p>
            <w:pPr>
              <w:pStyle w:val="null3"/>
              <w:ind w:firstLine="482"/>
              <w:jc w:val="both"/>
            </w:pPr>
            <w:r>
              <w:rPr>
                <w:rFonts w:ascii="仿宋_GB2312" w:hAnsi="仿宋_GB2312" w:cs="仿宋_GB2312" w:eastAsia="仿宋_GB2312"/>
                <w:sz w:val="21"/>
                <w:b/>
              </w:rPr>
              <w:t>注：1.以上“★”项内容为实质性要求，负偏离作无效响应处理。</w:t>
            </w:r>
          </w:p>
          <w:p>
            <w:pPr>
              <w:pStyle w:val="null3"/>
              <w:ind w:firstLine="482"/>
              <w:jc w:val="both"/>
            </w:pPr>
            <w:r>
              <w:rPr>
                <w:rFonts w:ascii="仿宋_GB2312" w:hAnsi="仿宋_GB2312" w:cs="仿宋_GB2312" w:eastAsia="仿宋_GB2312"/>
                <w:sz w:val="21"/>
                <w:b/>
              </w:rPr>
              <w:t>2.本项目所涉及的所有国家标准、地方标准、行业标准等如有最新的标准以最新标准为准。</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付款进度安排（以此为准）</w:t>
            </w:r>
          </w:p>
        </w:tc>
        <w:tc>
          <w:tcPr>
            <w:tcW w:type="dxa" w:w="5814"/>
          </w:tcPr>
          <w:p>
            <w:pPr>
              <w:pStyle w:val="null3"/>
              <w:jc w:val="left"/>
            </w:pPr>
            <w:r>
              <w:rPr>
                <w:rFonts w:ascii="仿宋_GB2312" w:hAnsi="仿宋_GB2312" w:cs="仿宋_GB2312" w:eastAsia="仿宋_GB2312"/>
                <w:sz w:val="21"/>
              </w:rPr>
              <w:t>因系统固化原因，3.3.2商务要求中付款进度安排不适用于本项目，付款进度安排以此为准：双方签订合同并生效后，采购人收到成交供应商出具合法有效完整的等额完税发票之日起10个工作日内支付合同总金额的60%；项目完成并经采购人验收合格后，采购人收到成交供应商出具合法有效完整的等额完税发票之日起10个工作日内支付合同总金额的40%。注：若供应商未及时提交增值税发票，采购人付款时间顺延且对此不承担任何责任。</w:t>
            </w:r>
          </w:p>
          <w:p>
            <w:pPr>
              <w:pStyle w:val="null3"/>
              <w:jc w:val="left"/>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合同签订之日起200日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四川省成都市主城区，具体地点由采购人指定。</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号)、《政府采购需求管理办法》（财库〔2021〕22号）、采购文件要求、中标（成交）供应商的响应文件及承诺、签订的合同及相关要求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双方签订合同并生效后，采购人收到成交供应商出具合法有效完整的等额完税发票之日起10个工作日内支付合同总金额的60%（注：若供应商未及时提交增值税发票，采购人付款时间顺延且对此不承担任何责任），达到付款条件起10日内，支付合同总金额的60.00%</w:t>
            </w:r>
          </w:p>
          <w:p>
            <w:pPr>
              <w:pStyle w:val="null3"/>
              <w:jc w:val="left"/>
            </w:pPr>
            <w:r>
              <w:rPr>
                <w:rFonts w:ascii="仿宋_GB2312" w:hAnsi="仿宋_GB2312" w:cs="仿宋_GB2312" w:eastAsia="仿宋_GB2312"/>
              </w:rPr>
              <w:t>2、项目完成并经采购人验收合格后，采购人收到成交供应商出具合法有效完整的等额完税发票之日起10个工作日内支付合同总金额的40%（注：若供应商未及时提交增值税发票，采购人付款时间顺延且对此不承担任何责任），达到付款条件起10日内，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①双方必须遵守本合同并执行合同中的各项规定，保证本合同的正常履行。②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（2）解决争议的方法：合同履行期间，若双方发生争议，可协商或由有关部门调解解决，协商或调解不成的，由当事人依法向采购人所在地人民法院起诉。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2.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提供复印件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供应商认为其他需要提供的文件和资料,供应商应提交的相关证明材料,投标（响应）函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供应商响应文件符合采购文件的全部实质性要求</w:t>
            </w:r>
          </w:p>
        </w:tc>
        <w:tc>
          <w:tcPr>
            <w:tcW w:type="dxa" w:w="1661"/>
          </w:tcPr>
          <w:p>
            <w:pPr>
              <w:pStyle w:val="null3"/>
              <w:jc w:val="left"/>
            </w:pPr>
            <w:r>
              <w:rPr>
                <w:rFonts w:ascii="仿宋_GB2312" w:hAnsi="仿宋_GB2312" w:cs="仿宋_GB2312" w:eastAsia="仿宋_GB2312"/>
              </w:rPr>
              <w:t>技术要求、服务要求及其他要求应答表,供应商认为其他需要提供的文件和资料,供应商应提交的相关证明材料,报价表,投标（响应）函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根据本项目需求编制服务方案，包含：①活动宣传推广方案；②活动组织执行方案（含开、闭幕式；安全风险防控；医疗保障）；③视觉设计方案；④应急预案。以上方案内容完整的得30分，每缺漏一项扣7.5分，所提供的方案中每有一处缺陷的扣3.75分，扣完为止。（注：内容缺陷是指存在项目名称错误、地点区域错误、方案内容与本项目需求无关或不满足本项目需求、方案内容矛盾、仅有框架或标题、适用的标准（方法）错误、明显复制其他项目内容中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供应商认为其他需要提供的文件和资料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供应商提供从2023年1月1日（含）以来承担过类似体育赛事活动业绩，每提供1个得5分。本项最多得20分。 注：须提供相应合同复印件，时间以合同签订时间为准（复印件加盖供应商公章）。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供应商认为其他需要提供的文件和资料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供应商在为本项目配备工作团队5人的基础上，每多提供一名具有体育赛事从业经历的人员得7分。本项最多得35分。未提供不得分。注：①须提供人员配置表及承诺函，须提供人员身份证复印件并加盖供应商公章。②供应商须对其在响应文件中提供的承诺函中承诺的内容的真实性负责，并承担由此带来的一切法律责任和后果。</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供应商认为其他需要提供的文件和资料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详见附件：技术要求、服务要求及其他要求应答表</w:t>
      </w:r>
    </w:p>
    <w:p>
      <w:pPr>
        <w:pStyle w:val="null3"/>
        <w:ind w:firstLine="960"/>
        <w:jc w:val="left"/>
      </w:pPr>
      <w:r>
        <w:rPr>
          <w:rFonts w:ascii="仿宋_GB2312" w:hAnsi="仿宋_GB2312" w:cs="仿宋_GB2312" w:eastAsia="仿宋_GB2312"/>
        </w:rPr>
        <w:t>详见附件：供应商认为其他需要提供的文件和资料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