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0027A84">
      <w:pPr>
        <w:shd w:val="clear" w:color="auto" w:fill="auto"/>
        <w:spacing w:line="500" w:lineRule="exact"/>
        <w:ind w:firstLine="482" w:firstLineChars="200"/>
        <w:rPr>
          <w:rFonts w:hint="eastAsia" w:ascii="宋体" w:hAnsi="宋体" w:eastAsia="宋体" w:cs="宋体"/>
          <w:b/>
          <w:bCs/>
          <w:color w:val="000000"/>
          <w:sz w:val="24"/>
          <w:szCs w:val="24"/>
          <w:lang w:val="en-US" w:eastAsia="zh-CN" w:bidi="zh-TW"/>
        </w:rPr>
      </w:pPr>
      <w:r>
        <w:rPr>
          <w:rFonts w:hint="eastAsia" w:ascii="宋体" w:hAnsi="宋体" w:eastAsia="宋体" w:cs="宋体"/>
          <w:b/>
          <w:bCs/>
          <w:color w:val="000000"/>
          <w:sz w:val="24"/>
          <w:szCs w:val="24"/>
          <w:lang w:val="en-US" w:eastAsia="zh-CN" w:bidi="zh-TW"/>
        </w:rPr>
        <w:t>一、总体服务要求</w:t>
      </w:r>
    </w:p>
    <w:p w14:paraId="1F62ACB2">
      <w:pPr>
        <w:spacing w:line="500" w:lineRule="exact"/>
        <w:ind w:firstLine="480" w:firstLineChars="200"/>
        <w:rPr>
          <w:rFonts w:hint="eastAsia" w:ascii="宋体" w:hAnsi="宋体" w:eastAsia="宋体" w:cs="宋体"/>
          <w:b w:val="0"/>
          <w:bCs w:val="0"/>
          <w:color w:val="000000"/>
          <w:sz w:val="24"/>
          <w:szCs w:val="24"/>
          <w:lang w:val="en-US" w:eastAsia="zh-CN"/>
        </w:rPr>
      </w:pPr>
      <w:r>
        <w:rPr>
          <w:rFonts w:hint="eastAsia" w:ascii="宋体" w:hAnsi="宋体" w:eastAsia="宋体" w:cs="宋体"/>
          <w:b w:val="0"/>
          <w:bCs w:val="0"/>
          <w:color w:val="000000"/>
          <w:sz w:val="24"/>
          <w:szCs w:val="24"/>
          <w:lang w:val="en-US" w:eastAsia="zh-CN"/>
        </w:rPr>
        <w:t>1.修剪作业需由专业人员操作，严格遵循树木生长习性，避免过度修剪导致树木衰弱或死亡；修剪切口需平整光滑，不劈裂、不留残桩，截口直径大于5cm的需进行防腐处理，防止病虫害滋生和树体损伤。</w:t>
      </w:r>
    </w:p>
    <w:p w14:paraId="31BA25AB">
      <w:pPr>
        <w:spacing w:line="500" w:lineRule="exact"/>
        <w:ind w:firstLine="480" w:firstLineChars="200"/>
        <w:rPr>
          <w:rFonts w:hint="eastAsia" w:ascii="宋体" w:hAnsi="宋体" w:eastAsia="宋体" w:cs="宋体"/>
          <w:b w:val="0"/>
          <w:bCs w:val="0"/>
          <w:color w:val="000000"/>
          <w:sz w:val="24"/>
          <w:szCs w:val="24"/>
          <w:lang w:val="en-US" w:eastAsia="zh-CN"/>
        </w:rPr>
      </w:pPr>
      <w:r>
        <w:rPr>
          <w:rFonts w:hint="eastAsia" w:ascii="宋体" w:hAnsi="宋体" w:eastAsia="宋体" w:cs="宋体"/>
          <w:b w:val="0"/>
          <w:bCs w:val="0"/>
          <w:color w:val="000000"/>
          <w:sz w:val="24"/>
          <w:szCs w:val="24"/>
          <w:lang w:val="en-US" w:eastAsia="zh-CN"/>
        </w:rPr>
        <w:t>2.修剪过程中需做好安全防护措施，设置安全警示标志、围蔽作业区域，划定安全警戒距离，安排专人值守，禁止无关人员、车辆进入作业区域，确保行人、车辆及作业人员自身安全，作业风速超过5级时严禁高空作业。</w:t>
      </w:r>
    </w:p>
    <w:p w14:paraId="2FD455EB">
      <w:pPr>
        <w:spacing w:line="500" w:lineRule="exact"/>
        <w:ind w:firstLine="480" w:firstLineChars="200"/>
        <w:rPr>
          <w:rFonts w:hint="eastAsia" w:ascii="宋体" w:hAnsi="宋体" w:eastAsia="宋体" w:cs="宋体"/>
          <w:b w:val="0"/>
          <w:bCs w:val="0"/>
          <w:color w:val="000000"/>
          <w:sz w:val="24"/>
          <w:szCs w:val="24"/>
          <w:lang w:val="en-US" w:eastAsia="zh-CN"/>
        </w:rPr>
      </w:pPr>
      <w:r>
        <w:rPr>
          <w:rFonts w:hint="eastAsia" w:ascii="宋体" w:hAnsi="宋体" w:eastAsia="宋体" w:cs="宋体"/>
          <w:b w:val="0"/>
          <w:bCs w:val="0"/>
          <w:color w:val="000000"/>
          <w:sz w:val="24"/>
          <w:szCs w:val="24"/>
          <w:lang w:val="en-US" w:eastAsia="zh-CN"/>
        </w:rPr>
        <w:t>3.供应商负责场地的入场清理、断道、秩序的维护、小三线的协调处理、停电协调事宜、所有安全责任、工具机械的组织等，并将所有修剪下来的枝叶、树干等绿化弃料及时清运，按相关规定自行堆放并进行无害化处理。严禁随意丢弃、堆放于道路两侧或绿化带内。作业完成后需清理作业现场，恢复场地整洁，无废弃物残留。</w:t>
      </w:r>
    </w:p>
    <w:p w14:paraId="2CA383B2">
      <w:pPr>
        <w:spacing w:line="500" w:lineRule="exact"/>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4.</w:t>
      </w:r>
      <w:r>
        <w:rPr>
          <w:rFonts w:hint="eastAsia" w:ascii="宋体" w:hAnsi="宋体" w:eastAsia="宋体" w:cs="宋体"/>
          <w:color w:val="000000"/>
          <w:sz w:val="24"/>
          <w:szCs w:val="24"/>
          <w:lang w:bidi="zh-TW"/>
        </w:rPr>
        <w:t>供应商须完成</w:t>
      </w:r>
      <w:r>
        <w:rPr>
          <w:rFonts w:hint="eastAsia" w:ascii="宋体" w:hAnsi="宋体" w:eastAsia="宋体" w:cs="宋体"/>
          <w:color w:val="000000"/>
          <w:sz w:val="24"/>
          <w:szCs w:val="24"/>
        </w:rPr>
        <w:t>采购人及上级临时交办的相关修剪任务、应急任务、排险任务</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遮挡路灯交通信号灯修剪任务</w:t>
      </w:r>
      <w:r>
        <w:rPr>
          <w:rFonts w:hint="eastAsia" w:ascii="宋体" w:hAnsi="宋体" w:eastAsia="宋体" w:cs="宋体"/>
          <w:color w:val="000000"/>
          <w:sz w:val="24"/>
          <w:szCs w:val="24"/>
        </w:rPr>
        <w:t>等按造型修剪成交单价计费</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费用包含在合同金额中，采购人不再另行支付</w:t>
      </w:r>
      <w:r>
        <w:rPr>
          <w:rFonts w:hint="eastAsia" w:ascii="宋体" w:hAnsi="宋体" w:eastAsia="宋体" w:cs="宋体"/>
          <w:color w:val="000000"/>
          <w:sz w:val="24"/>
          <w:szCs w:val="24"/>
        </w:rPr>
        <w:t>。</w:t>
      </w:r>
    </w:p>
    <w:p w14:paraId="5F79E216">
      <w:pPr>
        <w:spacing w:line="500" w:lineRule="exact"/>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5.</w:t>
      </w:r>
      <w:r>
        <w:rPr>
          <w:rFonts w:hint="eastAsia" w:ascii="宋体" w:hAnsi="宋体" w:eastAsia="宋体" w:cs="宋体"/>
          <w:color w:val="000000"/>
          <w:sz w:val="24"/>
          <w:szCs w:val="24"/>
        </w:rPr>
        <w:t>符合国家现行法规、技术规范。</w:t>
      </w:r>
    </w:p>
    <w:p w14:paraId="27BC891E">
      <w:pPr>
        <w:spacing w:line="500" w:lineRule="exact"/>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6.</w:t>
      </w:r>
      <w:r>
        <w:rPr>
          <w:rFonts w:hint="eastAsia" w:ascii="宋体" w:hAnsi="宋体" w:eastAsia="宋体" w:cs="宋体"/>
          <w:color w:val="000000"/>
          <w:sz w:val="24"/>
          <w:szCs w:val="24"/>
        </w:rPr>
        <w:t>满足采购文件和修剪造型样式</w:t>
      </w:r>
      <w:r>
        <w:rPr>
          <w:rFonts w:hint="eastAsia" w:ascii="宋体" w:hAnsi="宋体" w:eastAsia="宋体" w:cs="宋体"/>
          <w:color w:val="000000"/>
          <w:sz w:val="24"/>
          <w:szCs w:val="24"/>
          <w:lang w:val="en-US" w:eastAsia="zh-CN"/>
        </w:rPr>
        <w:t>要求</w:t>
      </w:r>
      <w:r>
        <w:rPr>
          <w:rFonts w:hint="eastAsia" w:ascii="宋体" w:hAnsi="宋体" w:eastAsia="宋体" w:cs="宋体"/>
          <w:color w:val="000000"/>
          <w:sz w:val="24"/>
          <w:szCs w:val="24"/>
        </w:rPr>
        <w:t>。</w:t>
      </w:r>
    </w:p>
    <w:p w14:paraId="1629CAA2">
      <w:pPr>
        <w:spacing w:line="500" w:lineRule="exact"/>
        <w:ind w:firstLine="480" w:firstLineChars="200"/>
        <w:rPr>
          <w:rFonts w:hint="eastAsia" w:ascii="宋体" w:hAnsi="宋体" w:eastAsia="宋体" w:cs="宋体"/>
          <w:b/>
          <w:bCs/>
          <w:color w:val="000000"/>
          <w:sz w:val="24"/>
          <w:szCs w:val="24"/>
          <w:lang w:val="en-US" w:eastAsia="zh-CN"/>
        </w:rPr>
      </w:pPr>
      <w:r>
        <w:rPr>
          <w:rFonts w:hint="eastAsia" w:ascii="宋体" w:hAnsi="宋体" w:eastAsia="宋体" w:cs="宋体"/>
          <w:b w:val="0"/>
          <w:bCs w:val="0"/>
          <w:color w:val="000000"/>
          <w:sz w:val="24"/>
          <w:szCs w:val="24"/>
          <w:lang w:val="en-US" w:eastAsia="zh-CN"/>
        </w:rPr>
        <w:t>7.成交供应商所提供的设施设备，须是经过相关部门检测合格能投入正常使用的设施设备。</w:t>
      </w:r>
    </w:p>
    <w:p w14:paraId="0C1CB428">
      <w:pPr>
        <w:spacing w:line="500" w:lineRule="exact"/>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8.</w:t>
      </w:r>
      <w:r>
        <w:rPr>
          <w:rFonts w:hint="eastAsia" w:ascii="宋体" w:hAnsi="宋体" w:eastAsia="宋体" w:cs="宋体"/>
          <w:color w:val="000000"/>
          <w:sz w:val="24"/>
          <w:szCs w:val="24"/>
        </w:rPr>
        <w:t>根据采购人工作需要提出的其他要求。</w:t>
      </w:r>
    </w:p>
    <w:p w14:paraId="1899C367">
      <w:pPr>
        <w:spacing w:line="500" w:lineRule="exact"/>
        <w:ind w:firstLine="480" w:firstLineChars="200"/>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9.合同签订后7日内成交供应商须进场服务。</w:t>
      </w:r>
    </w:p>
    <w:p w14:paraId="4AB7286E">
      <w:pPr>
        <w:spacing w:line="500" w:lineRule="exact"/>
        <w:ind w:firstLine="480" w:firstLineChars="200"/>
        <w:rPr>
          <w:rFonts w:hint="eastAsia" w:ascii="宋体" w:hAnsi="宋体" w:eastAsia="宋体" w:cs="宋体"/>
          <w:b/>
          <w:bCs/>
          <w:color w:val="000000"/>
          <w:sz w:val="24"/>
          <w:szCs w:val="24"/>
        </w:rPr>
      </w:pPr>
      <w:r>
        <w:rPr>
          <w:rFonts w:hint="eastAsia" w:ascii="宋体" w:hAnsi="宋体" w:eastAsia="宋体" w:cs="宋体"/>
          <w:color w:val="000000"/>
          <w:sz w:val="24"/>
          <w:szCs w:val="24"/>
          <w:lang w:val="en-US" w:eastAsia="zh-CN"/>
        </w:rPr>
        <w:t>二、</w:t>
      </w:r>
      <w:r>
        <w:rPr>
          <w:rFonts w:hint="eastAsia" w:ascii="宋体" w:hAnsi="宋体" w:eastAsia="宋体" w:cs="宋体"/>
          <w:b/>
          <w:bCs/>
          <w:color w:val="000000"/>
          <w:sz w:val="24"/>
          <w:szCs w:val="24"/>
        </w:rPr>
        <w:t>具体技术服务要求</w:t>
      </w:r>
    </w:p>
    <w:p w14:paraId="32FEBAB2">
      <w:pPr>
        <w:pStyle w:val="2"/>
        <w:spacing w:line="400" w:lineRule="exact"/>
        <w:ind w:firstLine="480" w:firstLineChars="200"/>
        <w:rPr>
          <w:rFonts w:hint="eastAsia" w:ascii="宋体" w:hAnsi="宋体" w:eastAsia="宋体" w:cs="宋体"/>
          <w:b w:val="0"/>
          <w:bCs w:val="0"/>
          <w:color w:val="000000"/>
          <w:sz w:val="24"/>
          <w:szCs w:val="24"/>
          <w:highlight w:val="none"/>
        </w:rPr>
      </w:pPr>
      <w:r>
        <w:rPr>
          <w:rFonts w:hint="eastAsia" w:ascii="宋体" w:hAnsi="宋体" w:eastAsia="宋体" w:cs="宋体"/>
          <w:b w:val="0"/>
          <w:bCs w:val="0"/>
          <w:color w:val="000000"/>
          <w:sz w:val="24"/>
          <w:szCs w:val="24"/>
          <w:highlight w:val="none"/>
        </w:rPr>
        <w:t>修剪方式分为云层式</w:t>
      </w:r>
      <w:r>
        <w:rPr>
          <w:rFonts w:hint="eastAsia" w:ascii="宋体" w:hAnsi="宋体" w:eastAsia="宋体" w:cs="宋体"/>
          <w:color w:val="000000"/>
          <w:sz w:val="24"/>
          <w:szCs w:val="24"/>
          <w:highlight w:val="none"/>
        </w:rPr>
        <w:t>造型</w:t>
      </w:r>
      <w:r>
        <w:rPr>
          <w:rFonts w:hint="eastAsia" w:ascii="宋体" w:hAnsi="宋体" w:eastAsia="宋体" w:cs="宋体"/>
          <w:b w:val="0"/>
          <w:bCs w:val="0"/>
          <w:color w:val="000000"/>
          <w:sz w:val="24"/>
          <w:szCs w:val="24"/>
          <w:highlight w:val="none"/>
        </w:rPr>
        <w:t>修剪</w:t>
      </w:r>
      <w:r>
        <w:rPr>
          <w:rFonts w:hint="eastAsia" w:ascii="宋体" w:hAnsi="宋体" w:eastAsia="宋体" w:cs="宋体"/>
          <w:b w:val="0"/>
          <w:bCs w:val="0"/>
          <w:color w:val="000000"/>
          <w:sz w:val="24"/>
          <w:szCs w:val="24"/>
          <w:highlight w:val="none"/>
          <w:lang w:val="en-US" w:eastAsia="zh-CN"/>
        </w:rPr>
        <w:t>和常规造型修剪</w:t>
      </w:r>
      <w:r>
        <w:rPr>
          <w:rFonts w:hint="eastAsia" w:ascii="宋体" w:hAnsi="宋体" w:eastAsia="宋体" w:cs="宋体"/>
          <w:b w:val="0"/>
          <w:bCs w:val="0"/>
          <w:color w:val="000000"/>
          <w:sz w:val="24"/>
          <w:szCs w:val="24"/>
          <w:highlight w:val="none"/>
        </w:rPr>
        <w:t>。</w:t>
      </w:r>
    </w:p>
    <w:p w14:paraId="1E66C80B">
      <w:pPr>
        <w:pStyle w:val="2"/>
        <w:numPr>
          <w:ilvl w:val="0"/>
          <w:numId w:val="0"/>
        </w:numPr>
        <w:spacing w:line="400" w:lineRule="exact"/>
        <w:ind w:firstLine="480" w:firstLineChars="200"/>
        <w:rPr>
          <w:rFonts w:hint="eastAsia" w:ascii="宋体" w:hAnsi="宋体" w:eastAsia="宋体" w:cs="宋体"/>
          <w:b w:val="0"/>
          <w:bCs w:val="0"/>
          <w:color w:val="000000"/>
          <w:sz w:val="24"/>
          <w:szCs w:val="24"/>
          <w:highlight w:val="none"/>
        </w:rPr>
      </w:pPr>
      <w:r>
        <w:rPr>
          <w:rFonts w:hint="eastAsia" w:ascii="宋体" w:hAnsi="宋体" w:eastAsia="宋体" w:cs="宋体"/>
          <w:b w:val="0"/>
          <w:bCs w:val="0"/>
          <w:color w:val="000000"/>
          <w:kern w:val="2"/>
          <w:sz w:val="24"/>
          <w:szCs w:val="24"/>
          <w:lang w:val="en-US" w:eastAsia="zh-CN" w:bidi="ar-SA"/>
        </w:rPr>
        <w:t>1.</w:t>
      </w:r>
      <w:r>
        <w:rPr>
          <w:rFonts w:hint="eastAsia" w:ascii="宋体" w:hAnsi="宋体" w:eastAsia="宋体" w:cs="宋体"/>
          <w:b w:val="0"/>
          <w:bCs w:val="0"/>
          <w:color w:val="000000"/>
          <w:sz w:val="24"/>
          <w:szCs w:val="24"/>
          <w:highlight w:val="none"/>
        </w:rPr>
        <w:t>云层式</w:t>
      </w:r>
      <w:r>
        <w:rPr>
          <w:rFonts w:hint="eastAsia" w:ascii="宋体" w:hAnsi="宋体" w:eastAsia="宋体" w:cs="宋体"/>
          <w:color w:val="000000"/>
          <w:sz w:val="24"/>
          <w:szCs w:val="24"/>
          <w:highlight w:val="none"/>
        </w:rPr>
        <w:t>造型</w:t>
      </w:r>
      <w:r>
        <w:rPr>
          <w:rFonts w:hint="eastAsia" w:ascii="宋体" w:hAnsi="宋体" w:eastAsia="宋体" w:cs="宋体"/>
          <w:b w:val="0"/>
          <w:bCs w:val="0"/>
          <w:color w:val="000000"/>
          <w:sz w:val="24"/>
          <w:szCs w:val="24"/>
          <w:highlight w:val="none"/>
        </w:rPr>
        <w:t>修剪</w:t>
      </w:r>
    </w:p>
    <w:p w14:paraId="3EC88838">
      <w:pPr>
        <w:spacing w:line="500" w:lineRule="exact"/>
        <w:ind w:firstLine="480" w:firstLineChars="200"/>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1.1树形要求：修剪后形成“云层式”造型，树冠层次清晰，呈云朵状分层分布，整体造型规整、对称，同一路段小叶榕的树形、分枝点高度、树冠下缘线需保持基本一致。</w:t>
      </w:r>
    </w:p>
    <w:p w14:paraId="6B041402">
      <w:pPr>
        <w:spacing w:line="500" w:lineRule="exact"/>
        <w:ind w:firstLine="480" w:firstLineChars="200"/>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1.2修剪细节：保留主干与主枝的自然伸展态势，疏剪内膛枝、交叉枝、重叠枝、下垂枝、病虫枝、枯死枝及衰弱枝，控制树冠高度，确保冠下净空符合要求，避免枝条遮挡交通信号灯、指示牌及架空管线。</w:t>
      </w:r>
    </w:p>
    <w:p w14:paraId="122DBAF6">
      <w:pPr>
        <w:spacing w:line="500" w:lineRule="exact"/>
        <w:ind w:firstLine="480" w:firstLineChars="200"/>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1.3枝条处理：保留三级及以上分枝，对过长枝条进行短截，短截后枝条切口需平整，与枝条生长方向一致，促进侧枝萌发，形成饱满的云层造型；避免过度短截，防止树势衰弱。</w:t>
      </w:r>
    </w:p>
    <w:p w14:paraId="45606C8F">
      <w:pPr>
        <w:spacing w:line="500" w:lineRule="exact"/>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1.4特殊处理：对靠近建筑物、架空线路的枝条，需精准修剪，确保枝条与建筑物、线路保持安全距离，避免安全隐患；对病虫害枝条，需集中收集并妥善处置，防止病虫害扩散。</w:t>
      </w:r>
    </w:p>
    <w:p w14:paraId="49A209E1">
      <w:pPr>
        <w:spacing w:line="500" w:lineRule="exact"/>
        <w:ind w:firstLine="480" w:firstLineChars="200"/>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1.5供应商需参照以下《行道树修剪造型实景》图，按照造型进行修剪。</w:t>
      </w:r>
    </w:p>
    <w:p w14:paraId="053EE042">
      <w:pPr>
        <w:spacing w:line="500" w:lineRule="exact"/>
        <w:ind w:firstLine="480" w:firstLineChars="200"/>
        <w:rPr>
          <w:rFonts w:hint="eastAsia" w:ascii="宋体" w:hAnsi="宋体" w:eastAsia="宋体" w:cs="宋体"/>
          <w:color w:val="000000"/>
          <w:kern w:val="0"/>
          <w:sz w:val="24"/>
        </w:rPr>
      </w:pPr>
      <w:r>
        <w:rPr>
          <w:rFonts w:hint="eastAsia" w:ascii="宋体" w:hAnsi="宋体" w:eastAsia="宋体" w:cs="宋体"/>
          <w:b w:val="0"/>
          <w:bCs w:val="0"/>
          <w:color w:val="000000"/>
          <w:sz w:val="24"/>
          <w:szCs w:val="24"/>
          <w:highlight w:val="none"/>
          <w:lang w:val="en-US" w:eastAsia="zh-CN"/>
        </w:rPr>
        <w:t>1.6</w:t>
      </w:r>
      <w:r>
        <w:rPr>
          <w:rFonts w:hint="eastAsia" w:ascii="宋体" w:hAnsi="宋体" w:eastAsia="宋体" w:cs="宋体"/>
          <w:b w:val="0"/>
          <w:bCs w:val="0"/>
          <w:color w:val="000000"/>
          <w:sz w:val="24"/>
          <w:szCs w:val="24"/>
          <w:highlight w:val="none"/>
        </w:rPr>
        <w:t>云层式造型修剪</w:t>
      </w:r>
      <w:r>
        <w:rPr>
          <w:rFonts w:hint="eastAsia" w:ascii="宋体" w:hAnsi="宋体" w:eastAsia="宋体" w:cs="宋体"/>
          <w:color w:val="000000"/>
          <w:kern w:val="0"/>
          <w:sz w:val="24"/>
        </w:rPr>
        <w:t>对比图片</w:t>
      </w:r>
    </w:p>
    <w:p w14:paraId="41F725DD">
      <w:pPr>
        <w:jc w:val="center"/>
        <w:rPr>
          <w:rFonts w:hint="eastAsia" w:ascii="宋体" w:hAnsi="宋体" w:eastAsia="宋体" w:cs="宋体"/>
          <w:bCs/>
          <w:color w:val="000000"/>
          <w:kern w:val="0"/>
          <w:szCs w:val="21"/>
        </w:rPr>
      </w:pPr>
      <w:r>
        <w:rPr>
          <w:rFonts w:hint="eastAsia" w:ascii="宋体" w:hAnsi="宋体" w:eastAsia="宋体" w:cs="宋体"/>
          <w:color w:val="000000"/>
          <w:kern w:val="0"/>
          <w:szCs w:val="21"/>
          <w:lang w:eastAsia="zh-CN"/>
        </w:rPr>
        <w:drawing>
          <wp:inline distT="0" distB="0" distL="114300" distR="114300">
            <wp:extent cx="4446905" cy="3333750"/>
            <wp:effectExtent l="0" t="0" r="10795" b="0"/>
            <wp:docPr id="1" name="图片 1" descr="_cgi-bin_mmwebwx-bin_webwxgetmsgimg__&amp;MsgID=193121626663814822&amp;skey=@crypt_d76f58cb_79415a645b136f4edc454586414c09da&amp;mmweb_appid=wx_webfilehel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_cgi-bin_mmwebwx-bin_webwxgetmsgimg__&amp;MsgID=193121626663814822&amp;skey=@crypt_d76f58cb_79415a645b136f4edc454586414c09da&amp;mmweb_appid=wx_webfilehelper"/>
                    <pic:cNvPicPr>
                      <a:picLocks noChangeAspect="1"/>
                    </pic:cNvPicPr>
                  </pic:nvPicPr>
                  <pic:blipFill>
                    <a:blip r:embed="rId4"/>
                    <a:stretch>
                      <a:fillRect/>
                    </a:stretch>
                  </pic:blipFill>
                  <pic:spPr>
                    <a:xfrm>
                      <a:off x="0" y="0"/>
                      <a:ext cx="4446905" cy="3333750"/>
                    </a:xfrm>
                    <a:prstGeom prst="rect">
                      <a:avLst/>
                    </a:prstGeom>
                    <a:noFill/>
                    <a:ln>
                      <a:noFill/>
                    </a:ln>
                  </pic:spPr>
                </pic:pic>
              </a:graphicData>
            </a:graphic>
          </wp:inline>
        </w:drawing>
      </w:r>
    </w:p>
    <w:p w14:paraId="6FDE6366">
      <w:pPr>
        <w:jc w:val="center"/>
        <w:rPr>
          <w:rFonts w:hint="eastAsia" w:ascii="宋体" w:hAnsi="宋体" w:eastAsia="宋体" w:cs="宋体"/>
          <w:bCs/>
          <w:color w:val="000000"/>
          <w:kern w:val="0"/>
          <w:szCs w:val="21"/>
        </w:rPr>
      </w:pPr>
      <w:r>
        <w:rPr>
          <w:rFonts w:hint="eastAsia" w:ascii="宋体" w:hAnsi="宋体" w:eastAsia="宋体" w:cs="宋体"/>
          <w:bCs/>
          <w:color w:val="000000"/>
          <w:kern w:val="0"/>
          <w:szCs w:val="21"/>
        </w:rPr>
        <w:t>修剪前</w:t>
      </w:r>
    </w:p>
    <w:p w14:paraId="5B3A1782">
      <w:pPr>
        <w:pStyle w:val="2"/>
        <w:jc w:val="center"/>
        <w:rPr>
          <w:rFonts w:hint="eastAsia" w:ascii="宋体" w:hAnsi="宋体" w:eastAsia="宋体" w:cs="宋体"/>
          <w:color w:val="000000"/>
          <w:lang w:eastAsia="zh-CN"/>
        </w:rPr>
      </w:pPr>
      <w:r>
        <w:rPr>
          <w:rFonts w:hint="eastAsia" w:ascii="宋体" w:hAnsi="宋体" w:eastAsia="宋体" w:cs="宋体"/>
          <w:color w:val="000000"/>
          <w:lang w:eastAsia="zh-CN"/>
        </w:rPr>
        <w:drawing>
          <wp:inline distT="0" distB="0" distL="114300" distR="114300">
            <wp:extent cx="4411345" cy="4420870"/>
            <wp:effectExtent l="0" t="0" r="8255" b="17780"/>
            <wp:docPr id="2" name="图片 2" descr="_cgi-bin_mmwebwx-bin_webwxgetmsgimg__&amp;MsgID=1493290111484339322&amp;skey=@crypt_d76f58cb_79415a645b136f4edc454586414c09da&amp;mmweb_appid=wx_webfilehel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_cgi-bin_mmwebwx-bin_webwxgetmsgimg__&amp;MsgID=1493290111484339322&amp;skey=@crypt_d76f58cb_79415a645b136f4edc454586414c09da&amp;mmweb_appid=wx_webfilehelper"/>
                    <pic:cNvPicPr>
                      <a:picLocks noChangeAspect="1"/>
                    </pic:cNvPicPr>
                  </pic:nvPicPr>
                  <pic:blipFill>
                    <a:blip r:embed="rId5"/>
                    <a:stretch>
                      <a:fillRect/>
                    </a:stretch>
                  </pic:blipFill>
                  <pic:spPr>
                    <a:xfrm>
                      <a:off x="0" y="0"/>
                      <a:ext cx="4411345" cy="4420870"/>
                    </a:xfrm>
                    <a:prstGeom prst="rect">
                      <a:avLst/>
                    </a:prstGeom>
                    <a:noFill/>
                    <a:ln>
                      <a:noFill/>
                    </a:ln>
                  </pic:spPr>
                </pic:pic>
              </a:graphicData>
            </a:graphic>
          </wp:inline>
        </w:drawing>
      </w:r>
    </w:p>
    <w:p w14:paraId="0434D5EA">
      <w:pPr>
        <w:pStyle w:val="2"/>
        <w:jc w:val="center"/>
        <w:rPr>
          <w:rFonts w:hint="eastAsia" w:ascii="宋体" w:hAnsi="宋体" w:eastAsia="宋体" w:cs="宋体"/>
          <w:b/>
          <w:color w:val="000000"/>
          <w:kern w:val="0"/>
          <w:sz w:val="24"/>
        </w:rPr>
      </w:pPr>
      <w:r>
        <w:rPr>
          <w:rFonts w:hint="eastAsia" w:ascii="宋体" w:hAnsi="宋体" w:eastAsia="宋体" w:cs="宋体"/>
          <w:bCs/>
          <w:color w:val="000000"/>
          <w:kern w:val="0"/>
          <w:szCs w:val="21"/>
        </w:rPr>
        <w:t>修剪中</w:t>
      </w:r>
    </w:p>
    <w:p w14:paraId="5456C17B">
      <w:pPr>
        <w:jc w:val="center"/>
        <w:rPr>
          <w:rFonts w:hint="eastAsia" w:ascii="宋体" w:hAnsi="宋体" w:eastAsia="宋体" w:cs="宋体"/>
          <w:b/>
          <w:bCs/>
          <w:color w:val="000000"/>
          <w:kern w:val="0"/>
          <w:sz w:val="24"/>
        </w:rPr>
      </w:pPr>
      <w:r>
        <w:rPr>
          <w:rFonts w:hint="eastAsia" w:ascii="宋体" w:hAnsi="宋体" w:eastAsia="宋体" w:cs="宋体"/>
          <w:color w:val="000000"/>
          <w:sz w:val="32"/>
          <w:szCs w:val="32"/>
        </w:rPr>
        <w:drawing>
          <wp:inline distT="0" distB="0" distL="114300" distR="114300">
            <wp:extent cx="4357370" cy="3267710"/>
            <wp:effectExtent l="0" t="0" r="5080" b="8890"/>
            <wp:docPr id="3" name="图片 3" descr="a9b29c832115edbe5443c632cf6f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9b29c832115edbe5443c632cf6f083"/>
                    <pic:cNvPicPr>
                      <a:picLocks noChangeAspect="1"/>
                    </pic:cNvPicPr>
                  </pic:nvPicPr>
                  <pic:blipFill>
                    <a:blip r:embed="rId6"/>
                    <a:stretch>
                      <a:fillRect/>
                    </a:stretch>
                  </pic:blipFill>
                  <pic:spPr>
                    <a:xfrm>
                      <a:off x="0" y="0"/>
                      <a:ext cx="4357370" cy="3267710"/>
                    </a:xfrm>
                    <a:prstGeom prst="rect">
                      <a:avLst/>
                    </a:prstGeom>
                    <a:noFill/>
                    <a:ln>
                      <a:noFill/>
                    </a:ln>
                  </pic:spPr>
                </pic:pic>
              </a:graphicData>
            </a:graphic>
          </wp:inline>
        </w:drawing>
      </w:r>
    </w:p>
    <w:p w14:paraId="5A6FE8E1">
      <w:pPr>
        <w:jc w:val="center"/>
        <w:rPr>
          <w:rFonts w:hint="eastAsia" w:ascii="宋体" w:hAnsi="宋体" w:eastAsia="宋体" w:cs="宋体"/>
          <w:color w:val="000000"/>
        </w:rPr>
      </w:pPr>
      <w:r>
        <w:rPr>
          <w:rFonts w:hint="eastAsia" w:ascii="宋体" w:hAnsi="宋体" w:eastAsia="宋体" w:cs="宋体"/>
          <w:bCs/>
          <w:color w:val="000000"/>
          <w:kern w:val="0"/>
          <w:szCs w:val="21"/>
        </w:rPr>
        <w:t>修剪后</w:t>
      </w:r>
    </w:p>
    <w:p w14:paraId="7FF643BD">
      <w:pPr>
        <w:numPr>
          <w:ilvl w:val="0"/>
          <w:numId w:val="0"/>
        </w:numPr>
        <w:shd w:val="clear" w:color="auto" w:fill="auto"/>
        <w:spacing w:line="500" w:lineRule="exact"/>
        <w:ind w:left="0" w:leftChars="0" w:firstLine="480" w:firstLineChars="200"/>
        <w:rPr>
          <w:rFonts w:hint="eastAsia" w:ascii="宋体" w:hAnsi="宋体" w:eastAsia="宋体" w:cs="宋体"/>
          <w:b w:val="0"/>
          <w:bCs w:val="0"/>
          <w:color w:val="000000"/>
          <w:sz w:val="24"/>
          <w:szCs w:val="24"/>
          <w:highlight w:val="none"/>
          <w:lang w:eastAsia="zh-CN"/>
        </w:rPr>
      </w:pPr>
      <w:r>
        <w:rPr>
          <w:rFonts w:hint="eastAsia" w:ascii="宋体" w:hAnsi="宋体" w:eastAsia="宋体" w:cs="宋体"/>
          <w:b w:val="0"/>
          <w:bCs w:val="0"/>
          <w:color w:val="000000"/>
          <w:kern w:val="2"/>
          <w:sz w:val="24"/>
          <w:szCs w:val="24"/>
          <w:lang w:val="en-US" w:eastAsia="zh-CN" w:bidi="ar-SA"/>
        </w:rPr>
        <w:t>2.</w:t>
      </w:r>
      <w:r>
        <w:rPr>
          <w:rFonts w:hint="eastAsia" w:ascii="宋体" w:hAnsi="宋体" w:eastAsia="宋体" w:cs="宋体"/>
          <w:color w:val="000000"/>
          <w:sz w:val="24"/>
          <w:szCs w:val="24"/>
          <w:highlight w:val="none"/>
          <w:lang w:eastAsia="zh-CN"/>
        </w:rPr>
        <w:t>常规造型修剪</w:t>
      </w:r>
    </w:p>
    <w:p w14:paraId="318EE497">
      <w:pPr>
        <w:spacing w:line="500" w:lineRule="exact"/>
        <w:ind w:firstLine="480" w:firstLineChars="200"/>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2.1树形要求：修剪后保持树木自然生长形态，主干挺拔，主枝分布均匀，树冠完整，无明显偏冠、空缺，同一街道、同一树种的修剪分枝点高度保持一致，林冠下缘线高度保持一致、林冠边缘线保持一致，树冠高度保持一致，符合城市绿化景观整体要求。</w:t>
      </w:r>
    </w:p>
    <w:p w14:paraId="5826AA8C">
      <w:pPr>
        <w:spacing w:line="500" w:lineRule="exact"/>
        <w:ind w:firstLine="480" w:firstLineChars="200"/>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2.2修剪细节：剪除病虫枝、枯萎枝、伤残枝、萌蘖枝、交叉枝、平行枝、重叠枝、过密枝及下垂枝、修剪气生根、疏剪内膛枝条，改善树冠通风透光条件，促进树木健康生长；控制树冠高度和冠幅，避免枝条遮挡交通设施、行人视线及架空管线，确保通行安全。</w:t>
      </w:r>
    </w:p>
    <w:p w14:paraId="2C67BE95">
      <w:pPr>
        <w:spacing w:line="500" w:lineRule="exact"/>
        <w:ind w:firstLine="480" w:firstLineChars="200"/>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2.3枝条处理：对影响通行、景观的过长枝条进行适度短截，切口平整，做好防腐处理；对生长过旺、扰乱树形的枝条进行疏除，保留健壮枝条，维持树体平衡；对于偏冠、倾斜行道树修剪时要考虑树的整体中心，避免大风大雨天气倒伏。</w:t>
      </w:r>
    </w:p>
    <w:p w14:paraId="0D5BAC39">
      <w:pPr>
        <w:spacing w:line="500" w:lineRule="exact"/>
        <w:ind w:firstLine="480" w:firstLineChars="200"/>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2.4常规造型修剪前后对比图片</w:t>
      </w:r>
    </w:p>
    <w:p w14:paraId="28B9FC3C">
      <w:pPr>
        <w:rPr>
          <w:rFonts w:hint="eastAsia" w:ascii="宋体" w:hAnsi="宋体" w:eastAsia="宋体" w:cs="宋体"/>
          <w:color w:val="000000"/>
          <w:kern w:val="0"/>
          <w:sz w:val="24"/>
        </w:rPr>
      </w:pPr>
      <w:r>
        <w:rPr>
          <w:rFonts w:hint="eastAsia" w:ascii="宋体" w:hAnsi="宋体" w:eastAsia="宋体" w:cs="宋体"/>
          <w:color w:val="000000"/>
          <w:sz w:val="32"/>
          <w:szCs w:val="32"/>
        </w:rPr>
        <w:drawing>
          <wp:inline distT="0" distB="0" distL="114300" distR="114300">
            <wp:extent cx="4402455" cy="2667635"/>
            <wp:effectExtent l="0" t="0" r="17145" b="18415"/>
            <wp:docPr id="5" name="图片 4" descr="微信图片_20230520104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微信图片_20230520104616"/>
                    <pic:cNvPicPr>
                      <a:picLocks noChangeAspect="1"/>
                    </pic:cNvPicPr>
                  </pic:nvPicPr>
                  <pic:blipFill>
                    <a:blip r:embed="rId7"/>
                    <a:srcRect b="26233"/>
                    <a:stretch>
                      <a:fillRect/>
                    </a:stretch>
                  </pic:blipFill>
                  <pic:spPr>
                    <a:xfrm>
                      <a:off x="0" y="0"/>
                      <a:ext cx="4402455" cy="2667635"/>
                    </a:xfrm>
                    <a:prstGeom prst="rect">
                      <a:avLst/>
                    </a:prstGeom>
                    <a:noFill/>
                    <a:ln>
                      <a:noFill/>
                    </a:ln>
                  </pic:spPr>
                </pic:pic>
              </a:graphicData>
            </a:graphic>
          </wp:inline>
        </w:drawing>
      </w:r>
      <w:r>
        <w:rPr>
          <w:rFonts w:hint="eastAsia" w:ascii="宋体" w:hAnsi="宋体" w:eastAsia="宋体" w:cs="宋体"/>
          <w:color w:val="000000"/>
          <w:kern w:val="0"/>
          <w:sz w:val="24"/>
        </w:rPr>
        <w:t xml:space="preserve"> </w:t>
      </w:r>
    </w:p>
    <w:p w14:paraId="6977CD8C">
      <w:pPr>
        <w:jc w:val="center"/>
        <w:rPr>
          <w:rFonts w:hint="eastAsia" w:ascii="宋体" w:hAnsi="宋体" w:eastAsia="宋体" w:cs="宋体"/>
          <w:bCs/>
          <w:color w:val="000000"/>
          <w:kern w:val="0"/>
          <w:szCs w:val="21"/>
          <w:lang w:val="en-US" w:eastAsia="zh-CN"/>
        </w:rPr>
      </w:pPr>
      <w:r>
        <w:rPr>
          <w:rFonts w:hint="eastAsia" w:ascii="宋体" w:hAnsi="宋体" w:eastAsia="宋体" w:cs="宋体"/>
          <w:bCs/>
          <w:color w:val="000000"/>
          <w:kern w:val="0"/>
          <w:szCs w:val="21"/>
          <w:lang w:val="en-US" w:eastAsia="zh-CN"/>
        </w:rPr>
        <w:t>修剪前</w:t>
      </w:r>
    </w:p>
    <w:p w14:paraId="4EC19A92">
      <w:pPr>
        <w:jc w:val="left"/>
        <w:rPr>
          <w:rFonts w:hint="eastAsia" w:ascii="宋体" w:hAnsi="宋体" w:eastAsia="宋体" w:cs="宋体"/>
          <w:color w:val="000000"/>
          <w:sz w:val="32"/>
          <w:szCs w:val="32"/>
        </w:rPr>
      </w:pPr>
      <w:r>
        <w:rPr>
          <w:rFonts w:hint="eastAsia" w:ascii="宋体" w:hAnsi="宋体" w:eastAsia="宋体" w:cs="宋体"/>
          <w:color w:val="000000"/>
          <w:sz w:val="32"/>
          <w:szCs w:val="32"/>
        </w:rPr>
        <w:drawing>
          <wp:inline distT="0" distB="0" distL="114300" distR="114300">
            <wp:extent cx="4443730" cy="2470150"/>
            <wp:effectExtent l="0" t="0" r="13970" b="6350"/>
            <wp:docPr id="4" name="图片 5" descr="微信图片_20230520104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descr="微信图片_20230520104624"/>
                    <pic:cNvPicPr>
                      <a:picLocks noChangeAspect="1"/>
                    </pic:cNvPicPr>
                  </pic:nvPicPr>
                  <pic:blipFill>
                    <a:blip r:embed="rId8"/>
                    <a:srcRect b="27357"/>
                    <a:stretch>
                      <a:fillRect/>
                    </a:stretch>
                  </pic:blipFill>
                  <pic:spPr>
                    <a:xfrm>
                      <a:off x="0" y="0"/>
                      <a:ext cx="4443730" cy="2470150"/>
                    </a:xfrm>
                    <a:prstGeom prst="rect">
                      <a:avLst/>
                    </a:prstGeom>
                    <a:noFill/>
                    <a:ln>
                      <a:noFill/>
                    </a:ln>
                  </pic:spPr>
                </pic:pic>
              </a:graphicData>
            </a:graphic>
          </wp:inline>
        </w:drawing>
      </w:r>
    </w:p>
    <w:p w14:paraId="43182DBB">
      <w:pPr>
        <w:jc w:val="center"/>
        <w:rPr>
          <w:rFonts w:hint="eastAsia" w:ascii="宋体" w:hAnsi="宋体" w:eastAsia="宋体" w:cs="宋体"/>
          <w:color w:val="000000"/>
          <w:lang w:val="en-US" w:eastAsia="zh-CN"/>
        </w:rPr>
      </w:pPr>
      <w:r>
        <w:rPr>
          <w:rFonts w:hint="eastAsia" w:ascii="宋体" w:hAnsi="宋体" w:eastAsia="宋体" w:cs="宋体"/>
          <w:bCs/>
          <w:color w:val="000000"/>
          <w:kern w:val="0"/>
          <w:szCs w:val="21"/>
          <w:lang w:val="en-US" w:eastAsia="zh-CN"/>
        </w:rPr>
        <w:t>修剪中</w:t>
      </w:r>
    </w:p>
    <w:p w14:paraId="137B8FC7">
      <w:pPr>
        <w:spacing w:line="360" w:lineRule="auto"/>
        <w:rPr>
          <w:rFonts w:hint="eastAsia" w:ascii="宋体" w:hAnsi="宋体" w:eastAsia="宋体" w:cs="宋体"/>
          <w:color w:val="000000"/>
          <w:sz w:val="32"/>
          <w:szCs w:val="32"/>
        </w:rPr>
      </w:pPr>
      <w:r>
        <w:rPr>
          <w:rFonts w:hint="eastAsia" w:ascii="宋体" w:hAnsi="宋体" w:eastAsia="宋体" w:cs="宋体"/>
          <w:color w:val="000000"/>
          <w:sz w:val="32"/>
          <w:szCs w:val="32"/>
        </w:rPr>
        <w:drawing>
          <wp:inline distT="0" distB="0" distL="114300" distR="114300">
            <wp:extent cx="4396740" cy="2509520"/>
            <wp:effectExtent l="0" t="0" r="3810" b="5080"/>
            <wp:docPr id="6" name="图片 6" descr="微信图片_20230520104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微信图片_20230520104629"/>
                    <pic:cNvPicPr>
                      <a:picLocks noChangeAspect="1"/>
                    </pic:cNvPicPr>
                  </pic:nvPicPr>
                  <pic:blipFill>
                    <a:blip r:embed="rId9"/>
                    <a:srcRect r="116" b="26733"/>
                    <a:stretch>
                      <a:fillRect/>
                    </a:stretch>
                  </pic:blipFill>
                  <pic:spPr>
                    <a:xfrm>
                      <a:off x="0" y="0"/>
                      <a:ext cx="4396740" cy="2509520"/>
                    </a:xfrm>
                    <a:prstGeom prst="rect">
                      <a:avLst/>
                    </a:prstGeom>
                    <a:noFill/>
                    <a:ln>
                      <a:noFill/>
                    </a:ln>
                  </pic:spPr>
                </pic:pic>
              </a:graphicData>
            </a:graphic>
          </wp:inline>
        </w:drawing>
      </w:r>
    </w:p>
    <w:p w14:paraId="5EEE71FC">
      <w:pPr>
        <w:jc w:val="center"/>
        <w:rPr>
          <w:rFonts w:hint="eastAsia" w:ascii="宋体" w:hAnsi="宋体" w:eastAsia="宋体" w:cs="宋体"/>
          <w:color w:val="000000"/>
          <w:lang w:val="en-US" w:eastAsia="zh-CN"/>
        </w:rPr>
      </w:pPr>
    </w:p>
    <w:p w14:paraId="6B536B02">
      <w:pPr>
        <w:spacing w:line="400" w:lineRule="exact"/>
        <w:ind w:firstLine="0" w:firstLineChars="0"/>
        <w:rPr>
          <w:rFonts w:hint="eastAsia" w:ascii="宋体" w:hAnsi="宋体" w:eastAsia="宋体" w:cs="宋体"/>
          <w:b/>
          <w:bCs/>
          <w:color w:val="000000"/>
          <w:sz w:val="28"/>
          <w:szCs w:val="28"/>
          <w:lang w:val="en-US" w:eastAsia="zh-CN" w:bidi="en-US"/>
        </w:rPr>
      </w:pPr>
      <w:r>
        <w:rPr>
          <w:rFonts w:hint="eastAsia" w:ascii="宋体" w:hAnsi="宋体" w:eastAsia="宋体" w:cs="宋体"/>
          <w:b/>
          <w:bCs/>
          <w:color w:val="000000"/>
          <w:sz w:val="28"/>
          <w:szCs w:val="28"/>
          <w:lang w:val="en-US" w:eastAsia="zh-CN" w:bidi="en-US"/>
        </w:rPr>
        <w:t>三、其他要求</w:t>
      </w:r>
    </w:p>
    <w:p w14:paraId="39481F8A">
      <w:pPr>
        <w:spacing w:line="400" w:lineRule="exact"/>
        <w:ind w:firstLine="480" w:firstLineChars="200"/>
        <w:rPr>
          <w:rFonts w:hint="eastAsia" w:ascii="宋体" w:hAnsi="宋体" w:eastAsia="宋体" w:cs="宋体"/>
          <w:color w:val="000000"/>
          <w:sz w:val="24"/>
          <w:szCs w:val="24"/>
          <w:lang w:bidi="en-US"/>
        </w:rPr>
      </w:pPr>
      <w:r>
        <w:rPr>
          <w:rFonts w:hint="eastAsia" w:ascii="宋体" w:hAnsi="宋体" w:eastAsia="宋体" w:cs="宋体"/>
          <w:color w:val="000000"/>
          <w:sz w:val="24"/>
          <w:szCs w:val="24"/>
          <w:lang w:val="en-US" w:eastAsia="zh-CN"/>
        </w:rPr>
        <w:t>1.</w:t>
      </w:r>
      <w:r>
        <w:rPr>
          <w:rFonts w:hint="eastAsia" w:ascii="宋体" w:hAnsi="宋体" w:eastAsia="宋体" w:cs="宋体"/>
          <w:color w:val="000000"/>
          <w:sz w:val="24"/>
          <w:szCs w:val="24"/>
        </w:rPr>
        <w:t>本采购项目性质特殊,需由供应商在响应文件中根据自身技术能力及行业经验提供切实可行的</w:t>
      </w:r>
      <w:r>
        <w:rPr>
          <w:rFonts w:hint="eastAsia" w:ascii="宋体" w:hAnsi="宋体" w:eastAsia="宋体" w:cs="宋体"/>
          <w:color w:val="000000"/>
          <w:spacing w:val="-8"/>
          <w:sz w:val="24"/>
          <w:szCs w:val="24"/>
        </w:rPr>
        <w:t>项目组织方案</w:t>
      </w:r>
      <w:r>
        <w:rPr>
          <w:rFonts w:hint="eastAsia" w:ascii="宋体" w:hAnsi="宋体" w:eastAsia="宋体" w:cs="宋体"/>
          <w:color w:val="000000"/>
          <w:sz w:val="24"/>
          <w:szCs w:val="24"/>
        </w:rPr>
        <w:t>，包括但不限于</w:t>
      </w:r>
      <w:r>
        <w:rPr>
          <w:rFonts w:hint="eastAsia" w:ascii="宋体" w:hAnsi="宋体" w:eastAsia="宋体" w:cs="宋体"/>
          <w:color w:val="000000"/>
          <w:sz w:val="24"/>
          <w:szCs w:val="24"/>
          <w:lang w:bidi="en-US"/>
        </w:rPr>
        <w:t>①</w:t>
      </w:r>
      <w:r>
        <w:rPr>
          <w:rFonts w:hint="eastAsia" w:ascii="宋体" w:hAnsi="宋体" w:eastAsia="宋体" w:cs="宋体"/>
          <w:color w:val="000000"/>
          <w:kern w:val="0"/>
          <w:sz w:val="24"/>
          <w:szCs w:val="24"/>
        </w:rPr>
        <w:t>项目实施的重点和难点分析及应对措施；</w:t>
      </w:r>
      <w:r>
        <w:rPr>
          <w:rFonts w:hint="eastAsia" w:ascii="宋体" w:hAnsi="宋体" w:eastAsia="宋体" w:cs="宋体"/>
          <w:color w:val="000000"/>
          <w:sz w:val="24"/>
          <w:szCs w:val="24"/>
          <w:lang w:bidi="en-US"/>
        </w:rPr>
        <w:t>②项目管理机构及其职能职责；③人员配置及职责分工；④项目实施的具体路径和技术措施；⑤项目安全管理及环境保护措施；⑥项目服务质量保证及措施；⑦临时性突击、应急、上级交办及其他涉及本项目的应急情况处理措施。</w:t>
      </w:r>
    </w:p>
    <w:p w14:paraId="15705443">
      <w:pPr>
        <w:spacing w:line="400" w:lineRule="exact"/>
        <w:ind w:firstLine="480" w:firstLineChars="200"/>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2.作业人员需具备相应的专业技能，确保作业安全规范。项目负责人需具有园林绿化类中级及以上职称。</w:t>
      </w:r>
    </w:p>
    <w:p w14:paraId="6A29B7C3">
      <w:pPr>
        <w:spacing w:line="400" w:lineRule="exact"/>
        <w:ind w:firstLine="480" w:firstLineChars="200"/>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3.供应商需配备充足的专业作业设备，至少包括高枝剪、手锯、高空作业车至少2台（配备驾驶员）、脚手架、安全防护设施、绿化垃圾清运车辆至少2台（配备驾驶员）等，所有设备需符合安全标准，能够满足本项目修剪及清运需求。</w:t>
      </w:r>
    </w:p>
    <w:p w14:paraId="7730BFF2">
      <w:pPr>
        <w:spacing w:line="400" w:lineRule="exact"/>
        <w:ind w:firstLine="420" w:firstLineChars="200"/>
        <w:rPr>
          <w:rFonts w:hint="eastAsia" w:ascii="宋体" w:hAnsi="宋体" w:eastAsia="宋体" w:cs="宋体"/>
          <w:color w:val="000000"/>
          <w:sz w:val="24"/>
          <w:szCs w:val="24"/>
          <w:lang w:val="en-US" w:eastAsia="zh-CN"/>
        </w:rPr>
      </w:pPr>
      <w:r>
        <w:rPr>
          <w:rFonts w:hint="eastAsia" w:ascii="宋体" w:hAnsi="宋体" w:eastAsia="宋体" w:cs="宋体"/>
          <w:color w:val="000000"/>
        </w:rPr>
        <w:t>★</w:t>
      </w:r>
      <w:r>
        <w:rPr>
          <w:rFonts w:hint="eastAsia" w:ascii="宋体" w:hAnsi="宋体" w:eastAsia="宋体" w:cs="宋体"/>
          <w:color w:val="000000"/>
          <w:sz w:val="24"/>
          <w:szCs w:val="24"/>
          <w:lang w:val="en-US" w:eastAsia="zh-CN"/>
        </w:rPr>
        <w:t>4.高空作业人员提供应急管理部门颁发的有效期内的中华人民共和国特种作业操作证（高空作业）。驾驶人员提供相关部门颁发的有效期内的驾驶证。</w:t>
      </w:r>
      <w:r>
        <w:rPr>
          <w:rFonts w:hint="eastAsia" w:ascii="宋体" w:hAnsi="宋体" w:eastAsia="宋体" w:cs="宋体"/>
          <w:b/>
          <w:bCs/>
          <w:color w:val="000000"/>
          <w:sz w:val="24"/>
          <w:szCs w:val="24"/>
          <w:lang w:val="en-US" w:eastAsia="zh-CN"/>
        </w:rPr>
        <w:t>（人员提供证书扫描件并进行电子签章）</w:t>
      </w:r>
    </w:p>
    <w:p w14:paraId="2197CC2E">
      <w:pPr>
        <w:spacing w:line="400" w:lineRule="exact"/>
        <w:ind w:firstLine="480" w:firstLineChars="200"/>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5.近三年内，供应商需具有类似行道树修剪或园林绿化养护服务项目业绩。</w:t>
      </w:r>
    </w:p>
    <w:p w14:paraId="3DDDE6A3">
      <w:pPr>
        <w:spacing w:line="400" w:lineRule="exact"/>
        <w:ind w:firstLine="0" w:firstLineChars="0"/>
        <w:rPr>
          <w:rFonts w:hint="eastAsia" w:ascii="宋体" w:hAnsi="宋体" w:eastAsia="宋体" w:cs="宋体"/>
          <w:b/>
          <w:bCs/>
          <w:color w:val="000000"/>
          <w:sz w:val="28"/>
          <w:szCs w:val="28"/>
          <w:lang w:val="en-US" w:eastAsia="zh-CN" w:bidi="en-US"/>
        </w:rPr>
      </w:pPr>
      <w:r>
        <w:rPr>
          <w:rFonts w:hint="eastAsia" w:ascii="宋体" w:hAnsi="宋体" w:eastAsia="宋体" w:cs="宋体"/>
          <w:color w:val="000000"/>
        </w:rPr>
        <w:t>★</w:t>
      </w:r>
      <w:r>
        <w:rPr>
          <w:rFonts w:hint="eastAsia" w:ascii="宋体" w:hAnsi="宋体" w:eastAsia="宋体" w:cs="宋体"/>
          <w:b/>
          <w:bCs/>
          <w:color w:val="000000"/>
          <w:sz w:val="28"/>
          <w:szCs w:val="28"/>
          <w:lang w:val="en-US" w:eastAsia="zh-CN" w:bidi="en-US"/>
        </w:rPr>
        <w:t>四、报价要求</w:t>
      </w:r>
    </w:p>
    <w:p w14:paraId="38595F24">
      <w:pPr>
        <w:spacing w:line="400" w:lineRule="exact"/>
        <w:ind w:firstLine="480" w:firstLineChars="200"/>
        <w:rPr>
          <w:rFonts w:hint="eastAsia" w:ascii="宋体" w:hAnsi="宋体" w:eastAsia="宋体" w:cs="宋体"/>
          <w:b w:val="0"/>
          <w:bCs w:val="0"/>
          <w:color w:val="000000"/>
          <w:sz w:val="24"/>
          <w:szCs w:val="24"/>
          <w:highlight w:val="none"/>
          <w:lang w:bidi="en-US"/>
        </w:rPr>
      </w:pPr>
      <w:r>
        <w:rPr>
          <w:rFonts w:hint="eastAsia" w:ascii="宋体" w:hAnsi="宋体" w:eastAsia="宋体" w:cs="宋体"/>
          <w:b w:val="0"/>
          <w:bCs w:val="0"/>
          <w:color w:val="000000"/>
          <w:kern w:val="2"/>
          <w:sz w:val="24"/>
          <w:szCs w:val="24"/>
          <w:highlight w:val="none"/>
          <w:lang w:val="en-US" w:eastAsia="zh-CN" w:bidi="en-US"/>
        </w:rPr>
        <w:t>1、报价要求：供应商对单价作统一下浮率进行报价，即供应商报出的所有修剪形式</w:t>
      </w:r>
      <w:r>
        <w:rPr>
          <w:rFonts w:hint="eastAsia" w:ascii="宋体" w:hAnsi="宋体" w:eastAsia="宋体" w:cs="宋体"/>
          <w:color w:val="000000"/>
          <w:sz w:val="24"/>
          <w:szCs w:val="24"/>
          <w:highlight w:val="none"/>
          <w:lang w:bidi="en-US"/>
        </w:rPr>
        <w:t>单价</w:t>
      </w:r>
      <w:r>
        <w:rPr>
          <w:rFonts w:hint="eastAsia" w:ascii="宋体" w:hAnsi="宋体" w:eastAsia="宋体" w:cs="宋体"/>
          <w:color w:val="000000"/>
          <w:sz w:val="24"/>
          <w:szCs w:val="24"/>
          <w:highlight w:val="none"/>
          <w:lang w:eastAsia="zh-CN" w:bidi="en-US"/>
        </w:rPr>
        <w:t>下浮率</w:t>
      </w:r>
      <w:r>
        <w:rPr>
          <w:rFonts w:hint="eastAsia" w:ascii="宋体" w:hAnsi="宋体" w:eastAsia="宋体" w:cs="宋体"/>
          <w:color w:val="000000"/>
          <w:sz w:val="24"/>
          <w:szCs w:val="24"/>
          <w:highlight w:val="none"/>
          <w:lang w:val="en-US" w:eastAsia="zh-CN" w:bidi="en-US"/>
        </w:rPr>
        <w:t>相</w:t>
      </w:r>
      <w:r>
        <w:rPr>
          <w:rFonts w:hint="eastAsia" w:ascii="宋体" w:hAnsi="宋体" w:eastAsia="宋体" w:cs="宋体"/>
          <w:color w:val="000000"/>
          <w:sz w:val="24"/>
          <w:szCs w:val="24"/>
          <w:highlight w:val="none"/>
          <w:lang w:bidi="en-US"/>
        </w:rPr>
        <w:t>同。（例如：供应商</w:t>
      </w:r>
      <w:r>
        <w:rPr>
          <w:rFonts w:hint="eastAsia" w:ascii="宋体" w:hAnsi="宋体" w:eastAsia="宋体" w:cs="宋体"/>
          <w:color w:val="000000"/>
          <w:sz w:val="24"/>
          <w:szCs w:val="24"/>
          <w:highlight w:val="none"/>
          <w:lang w:val="en-US" w:eastAsia="zh-CN" w:bidi="en-US"/>
        </w:rPr>
        <w:t>其中1个修剪形式</w:t>
      </w:r>
      <w:r>
        <w:rPr>
          <w:rFonts w:hint="eastAsia" w:ascii="宋体" w:hAnsi="宋体" w:eastAsia="宋体" w:cs="宋体"/>
          <w:color w:val="000000"/>
          <w:sz w:val="24"/>
          <w:szCs w:val="24"/>
          <w:highlight w:val="none"/>
          <w:lang w:bidi="en-US"/>
        </w:rPr>
        <w:t>单价</w:t>
      </w:r>
      <w:r>
        <w:rPr>
          <w:rFonts w:hint="eastAsia" w:ascii="宋体" w:hAnsi="宋体" w:eastAsia="宋体" w:cs="宋体"/>
          <w:color w:val="000000"/>
          <w:sz w:val="24"/>
          <w:szCs w:val="24"/>
          <w:highlight w:val="none"/>
          <w:lang w:eastAsia="zh-CN" w:bidi="en-US"/>
        </w:rPr>
        <w:t>下浮率</w:t>
      </w:r>
      <w:r>
        <w:rPr>
          <w:rFonts w:hint="eastAsia" w:ascii="宋体" w:hAnsi="宋体" w:eastAsia="宋体" w:cs="宋体"/>
          <w:color w:val="000000"/>
          <w:sz w:val="24"/>
          <w:szCs w:val="24"/>
          <w:highlight w:val="none"/>
          <w:lang w:bidi="en-US"/>
        </w:rPr>
        <w:t>为10%，</w:t>
      </w:r>
      <w:r>
        <w:rPr>
          <w:rFonts w:hint="eastAsia" w:ascii="宋体" w:hAnsi="宋体" w:eastAsia="宋体" w:cs="宋体"/>
          <w:b w:val="0"/>
          <w:bCs w:val="0"/>
          <w:color w:val="000000"/>
          <w:sz w:val="24"/>
          <w:szCs w:val="24"/>
          <w:highlight w:val="none"/>
          <w:lang w:val="en-US" w:eastAsia="zh-CN" w:bidi="en-US"/>
        </w:rPr>
        <w:t>则其他</w:t>
      </w:r>
      <w:r>
        <w:rPr>
          <w:rFonts w:hint="eastAsia" w:ascii="宋体" w:hAnsi="宋体" w:eastAsia="宋体" w:cs="宋体"/>
          <w:color w:val="000000"/>
          <w:sz w:val="24"/>
          <w:szCs w:val="24"/>
          <w:highlight w:val="none"/>
          <w:lang w:val="en-US" w:eastAsia="zh-CN" w:bidi="en-US"/>
        </w:rPr>
        <w:t>修剪形式</w:t>
      </w:r>
      <w:r>
        <w:rPr>
          <w:rFonts w:hint="eastAsia" w:ascii="宋体" w:hAnsi="宋体" w:eastAsia="宋体" w:cs="宋体"/>
          <w:b w:val="0"/>
          <w:bCs w:val="0"/>
          <w:color w:val="000000"/>
          <w:sz w:val="24"/>
          <w:szCs w:val="24"/>
          <w:highlight w:val="none"/>
          <w:lang w:val="en-US" w:eastAsia="zh-CN" w:bidi="en-US"/>
        </w:rPr>
        <w:t>的单价下浮率均为10%</w:t>
      </w:r>
      <w:r>
        <w:rPr>
          <w:rFonts w:hint="eastAsia" w:ascii="宋体" w:hAnsi="宋体" w:eastAsia="宋体" w:cs="宋体"/>
          <w:color w:val="000000"/>
          <w:sz w:val="24"/>
          <w:szCs w:val="24"/>
          <w:highlight w:val="none"/>
          <w:lang w:bidi="en-US"/>
        </w:rPr>
        <w:t>）</w:t>
      </w:r>
    </w:p>
    <w:p w14:paraId="178121E2">
      <w:pPr>
        <w:pStyle w:val="2"/>
        <w:shd w:val="clear" w:color="auto" w:fill="auto"/>
        <w:spacing w:line="400" w:lineRule="exact"/>
        <w:ind w:firstLine="480" w:firstLineChars="200"/>
        <w:rPr>
          <w:rFonts w:hint="eastAsia" w:ascii="宋体" w:hAnsi="宋体" w:eastAsia="宋体" w:cs="宋体"/>
          <w:b w:val="0"/>
          <w:bCs w:val="0"/>
          <w:color w:val="000000"/>
          <w:sz w:val="24"/>
          <w:szCs w:val="24"/>
          <w:highlight w:val="none"/>
          <w:lang w:val="en-US" w:eastAsia="zh-CN" w:bidi="en-US"/>
        </w:rPr>
      </w:pPr>
      <w:r>
        <w:rPr>
          <w:rFonts w:hint="eastAsia" w:ascii="宋体" w:hAnsi="宋体" w:eastAsia="宋体" w:cs="宋体"/>
          <w:b w:val="0"/>
          <w:bCs w:val="0"/>
          <w:color w:val="000000"/>
          <w:sz w:val="24"/>
          <w:szCs w:val="24"/>
          <w:highlight w:val="none"/>
          <w:lang w:val="en-US" w:eastAsia="zh-CN" w:bidi="en-US"/>
        </w:rPr>
        <w:t>2、报价包含：报价包含且不限于</w:t>
      </w:r>
      <w:r>
        <w:rPr>
          <w:rFonts w:hint="eastAsia" w:ascii="宋体" w:hAnsi="宋体" w:eastAsia="宋体" w:cs="宋体"/>
          <w:color w:val="000000"/>
          <w:sz w:val="24"/>
          <w:szCs w:val="24"/>
          <w:lang w:val="en-US" w:eastAsia="zh-CN"/>
        </w:rPr>
        <w:t>高空作业车等设备费</w:t>
      </w:r>
      <w:r>
        <w:rPr>
          <w:rFonts w:hint="eastAsia" w:ascii="宋体" w:hAnsi="宋体" w:eastAsia="宋体" w:cs="宋体"/>
          <w:b w:val="0"/>
          <w:bCs w:val="0"/>
          <w:color w:val="000000"/>
          <w:sz w:val="24"/>
          <w:szCs w:val="24"/>
          <w:highlight w:val="none"/>
          <w:lang w:val="en-US" w:eastAsia="zh-CN" w:bidi="en-US"/>
        </w:rPr>
        <w:t>、人工费、垃圾清运费、卫生打扫费、税费等费用。</w:t>
      </w:r>
    </w:p>
    <w:p w14:paraId="3A9F1C4A">
      <w:pPr>
        <w:shd w:val="clear" w:color="auto" w:fill="auto"/>
        <w:spacing w:line="400" w:lineRule="exact"/>
        <w:ind w:firstLine="0" w:firstLineChars="0"/>
        <w:rPr>
          <w:rFonts w:hint="eastAsia" w:ascii="宋体" w:hAnsi="宋体" w:eastAsia="宋体" w:cs="宋体"/>
          <w:b/>
          <w:bCs/>
          <w:color w:val="000000"/>
          <w:sz w:val="28"/>
          <w:szCs w:val="28"/>
          <w:highlight w:val="none"/>
          <w:lang w:val="en-US" w:eastAsia="zh-CN" w:bidi="en-US"/>
        </w:rPr>
      </w:pPr>
      <w:r>
        <w:rPr>
          <w:rFonts w:hint="eastAsia" w:ascii="宋体" w:hAnsi="宋体" w:eastAsia="宋体" w:cs="宋体"/>
          <w:color w:val="000000"/>
        </w:rPr>
        <w:t>★</w:t>
      </w:r>
      <w:r>
        <w:rPr>
          <w:rFonts w:hint="eastAsia" w:ascii="宋体" w:hAnsi="宋体" w:eastAsia="宋体" w:cs="宋体"/>
          <w:b/>
          <w:bCs/>
          <w:color w:val="000000"/>
          <w:sz w:val="28"/>
          <w:szCs w:val="28"/>
          <w:lang w:val="en-US" w:eastAsia="zh-CN" w:bidi="en-US"/>
        </w:rPr>
        <w:t>五、结算说明</w:t>
      </w:r>
    </w:p>
    <w:p w14:paraId="38D52A6D">
      <w:pPr>
        <w:shd w:val="clear" w:color="auto" w:fill="auto"/>
        <w:spacing w:line="400" w:lineRule="exact"/>
        <w:ind w:firstLine="480" w:firstLineChars="200"/>
        <w:rPr>
          <w:rFonts w:hint="eastAsia" w:ascii="宋体" w:hAnsi="宋体" w:eastAsia="宋体" w:cs="宋体"/>
          <w:b w:val="0"/>
          <w:bCs w:val="0"/>
          <w:color w:val="000000"/>
          <w:sz w:val="24"/>
          <w:szCs w:val="24"/>
          <w:highlight w:val="none"/>
          <w:lang w:bidi="en-US"/>
        </w:rPr>
      </w:pPr>
      <w:r>
        <w:rPr>
          <w:rFonts w:hint="eastAsia" w:ascii="宋体" w:hAnsi="宋体" w:eastAsia="宋体" w:cs="宋体"/>
          <w:b w:val="0"/>
          <w:bCs w:val="0"/>
          <w:color w:val="000000"/>
          <w:sz w:val="24"/>
          <w:szCs w:val="24"/>
          <w:highlight w:val="none"/>
          <w:lang w:val="en-US" w:eastAsia="zh-CN" w:bidi="en-US"/>
        </w:rPr>
        <w:t>成交供应商每</w:t>
      </w:r>
      <w:r>
        <w:rPr>
          <w:rFonts w:hint="eastAsia" w:ascii="宋体" w:hAnsi="宋体" w:eastAsia="宋体" w:cs="宋体"/>
          <w:b w:val="0"/>
          <w:bCs w:val="0"/>
          <w:color w:val="000000"/>
          <w:sz w:val="24"/>
          <w:szCs w:val="24"/>
          <w:highlight w:val="none"/>
          <w:lang w:bidi="en-US"/>
        </w:rPr>
        <w:t>次</w:t>
      </w:r>
      <w:r>
        <w:rPr>
          <w:rFonts w:hint="eastAsia" w:ascii="宋体" w:hAnsi="宋体" w:eastAsia="宋体" w:cs="宋体"/>
          <w:b w:val="0"/>
          <w:bCs w:val="0"/>
          <w:color w:val="000000"/>
          <w:sz w:val="24"/>
          <w:szCs w:val="24"/>
          <w:highlight w:val="none"/>
          <w:lang w:val="en-US" w:eastAsia="zh-CN" w:bidi="en-US"/>
        </w:rPr>
        <w:t>修剪服务费用</w:t>
      </w:r>
      <w:r>
        <w:rPr>
          <w:rFonts w:hint="eastAsia" w:ascii="宋体" w:hAnsi="宋体" w:eastAsia="宋体" w:cs="宋体"/>
          <w:b w:val="0"/>
          <w:bCs w:val="0"/>
          <w:color w:val="000000"/>
          <w:sz w:val="24"/>
          <w:szCs w:val="24"/>
          <w:highlight w:val="none"/>
          <w:lang w:bidi="en-US"/>
        </w:rPr>
        <w:t>结算按照</w:t>
      </w:r>
      <w:r>
        <w:rPr>
          <w:rFonts w:hint="eastAsia" w:ascii="宋体" w:hAnsi="宋体" w:eastAsia="宋体" w:cs="宋体"/>
          <w:b w:val="0"/>
          <w:bCs w:val="0"/>
          <w:color w:val="000000"/>
          <w:sz w:val="24"/>
          <w:szCs w:val="24"/>
          <w:highlight w:val="none"/>
          <w:lang w:val="en-US" w:eastAsia="zh-CN" w:bidi="en-US"/>
        </w:rPr>
        <w:t>成交单价</w:t>
      </w:r>
      <w:r>
        <w:rPr>
          <w:rFonts w:hint="eastAsia" w:ascii="宋体" w:hAnsi="宋体" w:eastAsia="宋体" w:cs="宋体"/>
          <w:b w:val="0"/>
          <w:bCs w:val="0"/>
          <w:color w:val="000000"/>
          <w:kern w:val="2"/>
          <w:sz w:val="24"/>
          <w:szCs w:val="24"/>
          <w:highlight w:val="none"/>
          <w:lang w:val="en-US" w:eastAsia="zh-CN" w:bidi="en-US"/>
        </w:rPr>
        <w:t>下浮率</w:t>
      </w:r>
      <w:r>
        <w:rPr>
          <w:rFonts w:hint="eastAsia" w:ascii="宋体" w:hAnsi="宋体" w:eastAsia="宋体" w:cs="宋体"/>
          <w:b w:val="0"/>
          <w:bCs w:val="0"/>
          <w:color w:val="000000"/>
          <w:sz w:val="24"/>
          <w:szCs w:val="24"/>
          <w:highlight w:val="none"/>
          <w:lang w:val="en-US" w:eastAsia="zh-CN" w:bidi="en-US"/>
        </w:rPr>
        <w:t>和</w:t>
      </w:r>
      <w:r>
        <w:rPr>
          <w:rFonts w:hint="eastAsia" w:ascii="宋体" w:hAnsi="宋体" w:eastAsia="宋体" w:cs="宋体"/>
          <w:b w:val="0"/>
          <w:bCs w:val="0"/>
          <w:color w:val="000000"/>
          <w:sz w:val="24"/>
          <w:szCs w:val="24"/>
          <w:highlight w:val="none"/>
          <w:lang w:bidi="en-US"/>
        </w:rPr>
        <w:t>数量据实结算。</w:t>
      </w:r>
      <w:r>
        <w:rPr>
          <w:rFonts w:hint="eastAsia" w:ascii="宋体" w:hAnsi="宋体" w:eastAsia="宋体" w:cs="宋体"/>
          <w:b w:val="0"/>
          <w:bCs w:val="0"/>
          <w:color w:val="000000"/>
          <w:sz w:val="24"/>
          <w:szCs w:val="24"/>
          <w:highlight w:val="none"/>
          <w:lang w:val="en-US" w:eastAsia="zh-CN" w:bidi="en-US"/>
        </w:rPr>
        <w:t>计算公式：</w:t>
      </w:r>
      <w:r>
        <w:rPr>
          <w:rFonts w:hint="eastAsia" w:ascii="宋体" w:hAnsi="宋体" w:eastAsia="宋体" w:cs="宋体"/>
          <w:b w:val="0"/>
          <w:bCs w:val="0"/>
          <w:color w:val="000000"/>
          <w:sz w:val="24"/>
          <w:szCs w:val="24"/>
          <w:highlight w:val="none"/>
          <w:lang w:bidi="en-US"/>
        </w:rPr>
        <w:t>结算</w:t>
      </w:r>
      <w:r>
        <w:rPr>
          <w:rFonts w:hint="eastAsia" w:ascii="宋体" w:hAnsi="宋体" w:eastAsia="宋体" w:cs="宋体"/>
          <w:b w:val="0"/>
          <w:bCs w:val="0"/>
          <w:color w:val="000000"/>
          <w:sz w:val="24"/>
          <w:szCs w:val="24"/>
          <w:highlight w:val="none"/>
          <w:lang w:val="en-US" w:eastAsia="zh-CN" w:bidi="en-US"/>
        </w:rPr>
        <w:t>服务费用=数量*单价限价*（1-投标</w:t>
      </w:r>
      <w:r>
        <w:rPr>
          <w:rFonts w:hint="eastAsia" w:ascii="宋体" w:hAnsi="宋体" w:eastAsia="宋体" w:cs="宋体"/>
          <w:b w:val="0"/>
          <w:bCs w:val="0"/>
          <w:color w:val="000000"/>
          <w:kern w:val="2"/>
          <w:sz w:val="24"/>
          <w:szCs w:val="24"/>
          <w:highlight w:val="none"/>
          <w:lang w:val="en-US" w:eastAsia="zh-CN" w:bidi="en-US"/>
        </w:rPr>
        <w:t>下浮率）</w:t>
      </w:r>
      <w:r>
        <w:rPr>
          <w:rFonts w:hint="eastAsia" w:ascii="宋体" w:hAnsi="宋体" w:eastAsia="宋体" w:cs="宋体"/>
          <w:b w:val="0"/>
          <w:bCs w:val="0"/>
          <w:color w:val="000000"/>
          <w:sz w:val="24"/>
          <w:szCs w:val="24"/>
          <w:highlight w:val="none"/>
          <w:lang w:val="en-US" w:eastAsia="zh-CN" w:bidi="en-US"/>
        </w:rPr>
        <w:t>。</w:t>
      </w:r>
      <w:r>
        <w:rPr>
          <w:rFonts w:hint="eastAsia" w:ascii="宋体" w:hAnsi="宋体" w:eastAsia="宋体" w:cs="宋体"/>
          <w:b w:val="0"/>
          <w:bCs w:val="0"/>
          <w:color w:val="000000"/>
          <w:sz w:val="24"/>
          <w:szCs w:val="24"/>
          <w:highlight w:val="none"/>
          <w:lang w:bidi="en-US"/>
        </w:rPr>
        <w:t>服务期内累计结算金额不得超过本项目预算价（最高限价）</w:t>
      </w:r>
      <w:r>
        <w:rPr>
          <w:rFonts w:hint="eastAsia" w:ascii="宋体" w:hAnsi="宋体" w:eastAsia="宋体" w:cs="宋体"/>
          <w:b w:val="0"/>
          <w:bCs w:val="0"/>
          <w:color w:val="000000"/>
          <w:sz w:val="24"/>
          <w:szCs w:val="24"/>
          <w:highlight w:val="none"/>
          <w:lang w:val="en-US" w:eastAsia="zh-CN" w:bidi="en-US"/>
        </w:rPr>
        <w:t>480000</w:t>
      </w:r>
      <w:r>
        <w:rPr>
          <w:rFonts w:hint="eastAsia" w:ascii="宋体" w:hAnsi="宋体" w:eastAsia="宋体" w:cs="宋体"/>
          <w:b w:val="0"/>
          <w:bCs w:val="0"/>
          <w:color w:val="000000"/>
          <w:sz w:val="24"/>
          <w:szCs w:val="24"/>
          <w:highlight w:val="none"/>
          <w:lang w:bidi="en-US"/>
        </w:rPr>
        <w:t>.00元整。</w:t>
      </w:r>
    </w:p>
    <w:p w14:paraId="4123CDDB">
      <w:pPr>
        <w:spacing w:line="400" w:lineRule="exact"/>
        <w:ind w:firstLine="0" w:firstLineChars="0"/>
        <w:rPr>
          <w:rFonts w:hint="eastAsia" w:ascii="宋体" w:hAnsi="宋体" w:eastAsia="宋体" w:cs="宋体"/>
          <w:b/>
          <w:bCs/>
          <w:color w:val="000000"/>
          <w:sz w:val="28"/>
          <w:szCs w:val="28"/>
          <w:lang w:val="en-US" w:eastAsia="zh-CN" w:bidi="en-US"/>
        </w:rPr>
      </w:pPr>
      <w:r>
        <w:rPr>
          <w:rFonts w:hint="eastAsia" w:ascii="宋体" w:hAnsi="宋体" w:eastAsia="宋体" w:cs="宋体"/>
          <w:color w:val="000000"/>
        </w:rPr>
        <w:t>★</w:t>
      </w:r>
      <w:r>
        <w:rPr>
          <w:rFonts w:hint="eastAsia" w:ascii="宋体" w:hAnsi="宋体" w:eastAsia="宋体" w:cs="宋体"/>
          <w:b/>
          <w:bCs/>
          <w:color w:val="000000"/>
          <w:sz w:val="28"/>
          <w:szCs w:val="28"/>
          <w:lang w:val="en-US" w:eastAsia="zh-CN" w:bidi="en-US"/>
        </w:rPr>
        <w:t>六、合同履约期限及续签要求：</w:t>
      </w:r>
    </w:p>
    <w:p w14:paraId="2DC3D8FC">
      <w:pPr>
        <w:spacing w:line="360" w:lineRule="auto"/>
        <w:ind w:firstLine="480" w:firstLineChars="200"/>
        <w:rPr>
          <w:rFonts w:hint="eastAsia" w:ascii="宋体" w:hAnsi="宋体" w:eastAsia="宋体" w:cs="宋体"/>
          <w:b w:val="0"/>
          <w:bCs w:val="0"/>
          <w:color w:val="000000"/>
          <w:sz w:val="24"/>
          <w:szCs w:val="24"/>
          <w:highlight w:val="none"/>
          <w:lang w:val="en-US" w:eastAsia="zh-CN" w:bidi="en-US"/>
        </w:rPr>
      </w:pPr>
      <w:r>
        <w:rPr>
          <w:rFonts w:hint="eastAsia" w:ascii="宋体" w:hAnsi="宋体" w:eastAsia="宋体" w:cs="宋体"/>
          <w:b w:val="0"/>
          <w:bCs w:val="0"/>
          <w:color w:val="000000"/>
          <w:sz w:val="24"/>
          <w:szCs w:val="24"/>
          <w:highlight w:val="none"/>
          <w:lang w:val="en-US" w:eastAsia="zh-CN" w:bidi="en-US"/>
        </w:rPr>
        <w:t>1、服务期限</w:t>
      </w:r>
      <w:r>
        <w:rPr>
          <w:rFonts w:hint="eastAsia" w:ascii="宋体" w:hAnsi="宋体" w:eastAsia="宋体" w:cs="宋体"/>
          <w:b w:val="0"/>
          <w:bCs w:val="0"/>
          <w:color w:val="000000"/>
          <w:sz w:val="24"/>
          <w:szCs w:val="24"/>
          <w:highlight w:val="none"/>
          <w:lang w:val="zh-CN" w:eastAsia="zh-CN" w:bidi="en-US"/>
        </w:rPr>
        <w:t>自政府采购合同签订之日起</w:t>
      </w:r>
      <w:r>
        <w:rPr>
          <w:rFonts w:hint="eastAsia" w:ascii="宋体" w:hAnsi="宋体" w:eastAsia="宋体" w:cs="宋体"/>
          <w:b w:val="0"/>
          <w:bCs w:val="0"/>
          <w:color w:val="000000"/>
          <w:sz w:val="24"/>
          <w:szCs w:val="24"/>
          <w:highlight w:val="none"/>
          <w:lang w:val="en-US" w:eastAsia="zh-CN" w:bidi="en-US"/>
        </w:rPr>
        <w:t>365日或合同金额用完之日止（以先到为准）</w:t>
      </w:r>
      <w:r>
        <w:rPr>
          <w:rFonts w:hint="eastAsia" w:ascii="宋体" w:hAnsi="宋体" w:eastAsia="宋体" w:cs="宋体"/>
          <w:b w:val="0"/>
          <w:bCs w:val="0"/>
          <w:color w:val="000000"/>
          <w:sz w:val="24"/>
          <w:szCs w:val="24"/>
          <w:highlight w:val="none"/>
          <w:lang w:val="zh-CN" w:eastAsia="zh-CN" w:bidi="en-US"/>
        </w:rPr>
        <w:t>。</w:t>
      </w:r>
    </w:p>
    <w:p w14:paraId="7F8D3F3C">
      <w:pPr>
        <w:spacing w:line="360" w:lineRule="auto"/>
        <w:ind w:firstLine="480" w:firstLineChars="200"/>
        <w:rPr>
          <w:rFonts w:hint="eastAsia" w:ascii="宋体" w:hAnsi="宋体" w:eastAsia="宋体" w:cs="宋体"/>
          <w:color w:val="000000"/>
          <w:lang w:val="en-US" w:eastAsia="zh-CN"/>
        </w:rPr>
      </w:pPr>
      <w:r>
        <w:rPr>
          <w:rFonts w:hint="eastAsia" w:ascii="宋体" w:hAnsi="宋体" w:eastAsia="宋体" w:cs="宋体"/>
          <w:b w:val="0"/>
          <w:bCs w:val="0"/>
          <w:color w:val="000000"/>
          <w:sz w:val="24"/>
          <w:szCs w:val="24"/>
          <w:highlight w:val="none"/>
          <w:lang w:val="en-US" w:eastAsia="zh-CN" w:bidi="en-US"/>
        </w:rPr>
        <w:t>2、成交供应商在合同履行期间，服务质量、响应时效、安全管理等全面达到采购文件约定标准，年度履约验收合格，可续签下一年合同。最多只能续签一年。</w:t>
      </w:r>
    </w:p>
    <w:p w14:paraId="0008A7FB">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7AA729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character" w:default="1" w:styleId="5">
    <w:name w:val="Default Paragraph Font"/>
    <w:semiHidden/>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Body Text"/>
    <w:basedOn w:val="1"/>
    <w:next w:val="1"/>
    <w:qFormat/>
    <w:uiPriority w:val="0"/>
    <w:pPr>
      <w:spacing w:after="120"/>
    </w:pPr>
    <w:rPr>
      <w:rFonts w:ascii="Calibri" w:hAnsi="Calibri"/>
    </w:rPr>
  </w:style>
  <w:style w:type="table" w:styleId="4">
    <w:name w:val="Table Grid"/>
    <w:basedOn w:val="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6</Pages>
  <Words>0</Words>
  <Characters>0</Characters>
  <Lines>0</Lines>
  <Paragraphs>0</Paragraphs>
  <TotalTime>0</TotalTime>
  <ScaleCrop>false</ScaleCrop>
  <LinksUpToDate>false</LinksUpToDate>
  <CharactersWithSpaces>0</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2026-05-06T01:48:57Z</dcterms:created>
  <dc:creator>Administrator</dc:creator>
  <cp:lastModifiedBy>Administrator</cp:lastModifiedBy>
  <dcterms:modified xsi:type="dcterms:W3CDTF">2026-05-06T01:49:19Z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KSOTemplateDocerSaveRecord">
    <vt:lpwstr>eyJoZGlkIjoiNTFjMDk5NGZjNjM4Y2UxMjE3ZTg3YjU3MzZlMzc2Y2MiLCJ1c2VySWQiOiI1NTc3MzY3NjkifQ==</vt:lpwstr>
  </property>
  <property fmtid="{D5CDD505-2E9C-101B-9397-08002B2CF9AE}" pid="4" name="ICV">
    <vt:lpwstr>2E524D299DB34FBAAF69F65A80DF5198_12</vt:lpwstr>
  </property>
</Properties>
</file>