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版本号：N511502202600007520260506001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翠屏区中心城区行道树专项造型修剪服务采购项目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N5115022026000075</w:t>
      </w:r>
    </w:p>
    <w:p>
      <w:pPr>
        <w:pStyle w:val="null3"/>
        <w:jc w:val="center"/>
        <w:outlineLvl w:val="2"/>
      </w:pPr>
      <w:r>
        <w:rPr>
          <w:rFonts w:ascii="仿宋_GB2312" w:hAnsi="仿宋_GB2312" w:cs="仿宋_GB2312" w:eastAsia="仿宋_GB2312"/>
          <w:sz w:val="28"/>
          <w:b/>
        </w:rPr>
        <w:t>宜宾市翠屏区城市绿化工程中心</w:t>
      </w:r>
    </w:p>
    <w:p>
      <w:pPr>
        <w:pStyle w:val="null3"/>
        <w:jc w:val="center"/>
        <w:outlineLvl w:val="2"/>
      </w:pPr>
      <w:r>
        <w:rPr>
          <w:rFonts w:ascii="仿宋_GB2312" w:hAnsi="仿宋_GB2312" w:cs="仿宋_GB2312" w:eastAsia="仿宋_GB2312"/>
          <w:sz w:val="28"/>
          <w:b/>
        </w:rPr>
        <w:t>四川寅子工程项目管理有限公司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四川寅子工程项目管理有限公司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宜宾市翠屏区城市绿化工程中心</w:t>
      </w:r>
      <w:r>
        <w:rPr>
          <w:rFonts w:ascii="仿宋_GB2312" w:hAnsi="仿宋_GB2312" w:cs="仿宋_GB2312" w:eastAsia="仿宋_GB2312"/>
        </w:rPr>
        <w:t xml:space="preserve"> 委托，拟对 </w:t>
      </w:r>
      <w:r>
        <w:rPr>
          <w:rFonts w:ascii="仿宋_GB2312" w:hAnsi="仿宋_GB2312" w:cs="仿宋_GB2312" w:eastAsia="仿宋_GB2312"/>
        </w:rPr>
        <w:t>翠屏区中心城区行道树专项造型修剪服务采购项目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宜宾市翠屏区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N5115022026000075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翠屏区中心城区行道树专项造型修剪服务采购项目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提升中心城区道路绿化景观品质，规范行道树生长形态，消除树木生长过程中存在的安全隐患，保障行人、车辆通行安全，改善城市生态环境与市容风貌，开展本次行道树专项造型修剪服务。本项目涉及中心城区北通道、中山街、东街、中心路、沿江路等多条街道/道路，修剪方式具体为常规造型修剪和云层式造型修剪两类，具体修剪范围及方式详见技术要求。本项目共计1个包，采购1名成交供应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宜宾市翠屏区城市绿化工程中心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宜宾市翠屏区兴盛路438号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18284869378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四川寅子工程项目管理有限公司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四川省宜宾市翠屏区西郊街道高庄桥231号办公楼一楼（201、202、203、204）</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19130751863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采购包1：480,000.00元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交款方式：以支票、汇票、本票或者金融机构出具的保函等非现金形式提交至采购人(包括网银转账，电汇等方式)。</w:t>
              <w:br/>
              <w:t>交款时间：政府采购合同签订生效后5个工作日内。</w:t>
              <w:br/>
              <w:t>特别约定：成交供应商无正当理由未按期缴纳履约保证金的，采购人有权追究违约责任，情节严重的可按规定解除合同并追究相关法律责任。</w:t>
              <w:br/>
              <w:t>其他约定：</w:t>
              <w:br/>
              <w:t>1.履约保证金的退还时间：履约保证金在验收合格完毕后5个工作日内无息退还。</w:t>
              <w:br/>
              <w:t>2.履约保证金不予退还情形：①成交供应商不履行合同义务或履行义务不符合约定致使合同目的无法实现的，履约保证金不予退还；②供应商因违约被强制退出的，履约保证金不予退还；给采购人造成的损失超过保证金数额的，还应赔偿超出部分。已完成不合格成果不予结算，已支付款项采购人有权追回；③服务质量不合格，经采购人书面催告限期整改后仍未达到合同要求的，履约保证金不予退还；④提供保函的担保机构必须是依法成立的具有相关资质和偿付能力的担保机构。保函是银行等金融机构出具的，保函必须要在中国人民银行征信系统能够进行查询。如履约担保非依法设立的金融机构出具，或无法在中国人民银行征信系统查询核验的，履约保证金不予退还，成交资格不予认可，并依法追究法律责任；⑤成交供应商擅自转包、违法分包，或擅自中止、解除合同的，履约保证金不予退还；⑥其他违反法律法规及合同约定的严重违约情形。</w:t>
              <w:br/>
              <w:t>3.履约保证金不予退还的，将按照有关规定上缴国库。逾期退还履约保证金的，将依法承担法律责任，并赔偿供应商损失。</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四川省财政厅关于印发《四川省政府采购营商环境指标提升专项行动工作方案》的通知(川财采〔2020〕74号)规定以及招标代理委托协议约定，以成本支出加合理利润为原则，本项目招标代理服务费7200.00元由中标供应商支付，供应商的报价应当包含招标代理服务费。收款单位：四川寅子工程项目管理有限公司。 开户银行：中国建设银行股份有限公司宜宾外江路支行（行号1056 7106 1625）。 账 号：5105 0172 0047 0000 0162。</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宜宾市翠屏区城市绿化工程中心</w:t>
      </w:r>
      <w:r>
        <w:rPr>
          <w:rFonts w:ascii="仿宋_GB2312" w:hAnsi="仿宋_GB2312" w:cs="仿宋_GB2312" w:eastAsia="仿宋_GB2312"/>
        </w:rPr>
        <w:t xml:space="preserve"> 和 </w:t>
      </w:r>
      <w:r>
        <w:rPr>
          <w:rFonts w:ascii="仿宋_GB2312" w:hAnsi="仿宋_GB2312" w:cs="仿宋_GB2312" w:eastAsia="仿宋_GB2312"/>
        </w:rPr>
        <w:t>四川寅子工程项目管理有限公司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宜宾市翠屏区城市绿化工程中心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四川寅子工程项目管理有限公司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和供应商响应情况验收。验收时如发现所交付的服务质量不符合标准及本项目规定之情形者，采购人应做出详尽的现场记录，或由双方签署备忘录，此现场记录或备忘录可用作整改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按照采购文件要求和供应商响应情况验收。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 号）第二十四条等政府采购相关法律法规的要求进行。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宜宾市翠屏区城市绿化工程中心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四川寅子工程项目管理有限公司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四川寅子工程项目管理有限公司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联系人：冯老师</w:t>
      </w:r>
    </w:p>
    <w:p>
      <w:pPr>
        <w:pStyle w:val="null3"/>
        <w:jc w:val="left"/>
      </w:pPr>
      <w:r>
        <w:rPr>
          <w:rFonts w:ascii="仿宋_GB2312" w:hAnsi="仿宋_GB2312" w:cs="仿宋_GB2312" w:eastAsia="仿宋_GB2312"/>
        </w:rPr>
        <w:t>联系电话：18284869378</w:t>
      </w:r>
    </w:p>
    <w:p>
      <w:pPr>
        <w:pStyle w:val="null3"/>
        <w:jc w:val="left"/>
      </w:pPr>
      <w:r>
        <w:rPr>
          <w:rFonts w:ascii="仿宋_GB2312" w:hAnsi="仿宋_GB2312" w:cs="仿宋_GB2312" w:eastAsia="仿宋_GB2312"/>
        </w:rPr>
        <w:t>地址：宜宾市翠屏区兴盛路438号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联系电话：0831-6162833</w:t>
      </w:r>
    </w:p>
    <w:p>
      <w:pPr>
        <w:pStyle w:val="null3"/>
        <w:jc w:val="left"/>
      </w:pPr>
      <w:r>
        <w:rPr>
          <w:rFonts w:ascii="仿宋_GB2312" w:hAnsi="仿宋_GB2312" w:cs="仿宋_GB2312" w:eastAsia="仿宋_GB2312"/>
        </w:rPr>
        <w:t>地址：宜宾市翠屏区西郊街道高庄桥231号办公楼三楼（靠江边公交车旁）</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480,000.00</w:t>
      </w:r>
    </w:p>
    <w:p>
      <w:pPr>
        <w:pStyle w:val="null3"/>
        <w:jc w:val="left"/>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C13030000 园林绿化管理服务</w:t>
            </w:r>
          </w:p>
        </w:tc>
        <w:tc>
          <w:tcPr>
            <w:tcW w:type="dxa" w:w="821"/>
          </w:tcPr>
          <w:p>
            <w:pPr>
              <w:pStyle w:val="null3"/>
              <w:jc w:val="left"/>
            </w:pPr>
            <w:r>
              <w:rPr>
                <w:rFonts w:ascii="仿宋_GB2312" w:hAnsi="仿宋_GB2312" w:cs="仿宋_GB2312" w:eastAsia="仿宋_GB2312"/>
              </w:rPr>
              <w:t>翠屏区中心城区行道树专项造型修剪服务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翠屏区中心城区行道树专项造型修剪服务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下浮率</w:t>
            </w:r>
          </w:p>
        </w:tc>
        <w:tc>
          <w:tcPr>
            <w:tcW w:type="dxa" w:w="1466"/>
          </w:tcPr>
          <w:p>
            <w:pPr>
              <w:pStyle w:val="null3"/>
              <w:jc w:val="left"/>
            </w:pPr>
            <w:r>
              <w:rPr>
                <w:rFonts w:ascii="仿宋_GB2312" w:hAnsi="仿宋_GB2312" w:cs="仿宋_GB2312" w:eastAsia="仿宋_GB2312"/>
              </w:rPr>
              <w:t>本项目采取下浮率方式报价。按实结算，结算服务费用=数量*单价限价*（1-投标下浮率）。</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标的名称：翠屏区中心城区行道树专项造型修剪服务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 服务清单</w:t>
            </w:r>
          </w:p>
        </w:tc>
        <w:tc>
          <w:tcPr>
            <w:tcW w:type="dxa" w:w="5814"/>
          </w:tcPr>
          <w:p>
            <w:pPr>
              <w:pStyle w:val="null3"/>
              <w:ind w:firstLine="480"/>
              <w:jc w:val="both"/>
            </w:pPr>
            <w:r>
              <w:rPr>
                <w:rFonts w:ascii="仿宋_GB2312" w:hAnsi="仿宋_GB2312" w:cs="仿宋_GB2312" w:eastAsia="仿宋_GB2312"/>
                <w:sz w:val="24"/>
                <w:color w:val="000000"/>
              </w:rPr>
              <w:t>一、服务内容</w:t>
            </w:r>
          </w:p>
          <w:p>
            <w:pPr>
              <w:pStyle w:val="null3"/>
              <w:ind w:firstLine="480"/>
              <w:jc w:val="both"/>
            </w:pPr>
            <w:r>
              <w:rPr>
                <w:rFonts w:ascii="仿宋_GB2312" w:hAnsi="仿宋_GB2312" w:cs="仿宋_GB2312" w:eastAsia="仿宋_GB2312"/>
                <w:sz w:val="24"/>
                <w:color w:val="000000"/>
              </w:rPr>
              <w:t>完成岷江桥南行道树约</w:t>
            </w:r>
            <w:r>
              <w:rPr>
                <w:rFonts w:ascii="仿宋_GB2312" w:hAnsi="仿宋_GB2312" w:cs="仿宋_GB2312" w:eastAsia="仿宋_GB2312"/>
                <w:sz w:val="24"/>
                <w:color w:val="000000"/>
              </w:rPr>
              <w:t>2884株修剪；完成岷江桥北行道树约1694株（含道路中央分隔带内52株小叶榕桩头）修剪，常规造型修剪原则上每年每株不少于1次，云层式造型修剪原则上每年每株不少于3次。并且负责树枝清运、场地清扫，负责场地的入场清理、断道、秩序的维护、小三线的协调处理、停电协调事宜、所有安全责任等，将所有修剪下来的枝叶、树干等绿化弃料及时清运，按相关规定自行堆放并进行无害化处理。</w:t>
            </w:r>
          </w:p>
          <w:p>
            <w:pPr>
              <w:pStyle w:val="null3"/>
              <w:ind w:firstLine="480"/>
              <w:jc w:val="both"/>
            </w:pPr>
            <w:r>
              <w:rPr>
                <w:rFonts w:ascii="仿宋_GB2312" w:hAnsi="仿宋_GB2312" w:cs="仿宋_GB2312" w:eastAsia="仿宋_GB2312"/>
                <w:sz w:val="24"/>
                <w:color w:val="000000"/>
              </w:rPr>
              <w:t>二、修剪形式及单价限价</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常规造型修剪</w:t>
            </w:r>
            <w:r>
              <w:rPr>
                <w:rFonts w:ascii="仿宋_GB2312" w:hAnsi="仿宋_GB2312" w:cs="仿宋_GB2312" w:eastAsia="仿宋_GB2312"/>
                <w:sz w:val="24"/>
                <w:color w:val="000000"/>
              </w:rPr>
              <w:t>80元/株/次。</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云层式造型修剪</w:t>
            </w:r>
            <w:r>
              <w:rPr>
                <w:rFonts w:ascii="仿宋_GB2312" w:hAnsi="仿宋_GB2312" w:cs="仿宋_GB2312" w:eastAsia="仿宋_GB2312"/>
                <w:sz w:val="24"/>
                <w:color w:val="000000"/>
              </w:rPr>
              <w:t>118元/株/次。</w:t>
            </w:r>
          </w:p>
          <w:p>
            <w:pPr>
              <w:pStyle w:val="null3"/>
              <w:ind w:firstLine="480"/>
              <w:jc w:val="both"/>
            </w:pPr>
            <w:r>
              <w:rPr>
                <w:rFonts w:ascii="仿宋_GB2312" w:hAnsi="仿宋_GB2312" w:cs="仿宋_GB2312" w:eastAsia="仿宋_GB2312"/>
                <w:sz w:val="24"/>
                <w:color w:val="000000"/>
              </w:rPr>
              <w:t>三、具体修剪地点包括但不仅限于以下街道</w:t>
            </w:r>
            <w:r>
              <w:rPr>
                <w:rFonts w:ascii="仿宋_GB2312" w:hAnsi="仿宋_GB2312" w:cs="仿宋_GB2312" w:eastAsia="仿宋_GB2312"/>
                <w:sz w:val="24"/>
                <w:color w:val="000000"/>
              </w:rPr>
              <w:t>/道路，每条街道/道路具体修剪以采购人通知为准。</w:t>
            </w:r>
          </w:p>
          <w:tbl>
            <w:tblPr>
              <w:tblInd w:type="dxa" w:w="210"/>
              <w:tblBorders>
                <w:top w:val="none" w:color="000000" w:sz="4"/>
                <w:left w:val="none" w:color="000000" w:sz="4"/>
                <w:bottom w:val="none" w:color="000000" w:sz="4"/>
                <w:right w:val="none" w:color="000000" w:sz="4"/>
                <w:insideH w:val="none"/>
                <w:insideV w:val="none"/>
              </w:tblBorders>
            </w:tblPr>
            <w:tblGrid>
              <w:gridCol w:w="660"/>
              <w:gridCol w:w="1134"/>
              <w:gridCol w:w="1259"/>
              <w:gridCol w:w="822"/>
              <w:gridCol w:w="1683"/>
            </w:tblGrid>
            <w:tr>
              <w:tc>
                <w:tcPr>
                  <w:tcW w:type="dxa" w:w="5558"/>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一、岷江桥南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序号</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街道名称</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树种</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数量（株）</w:t>
                  </w:r>
                </w:p>
              </w:tc>
              <w:tc>
                <w:tcPr>
                  <w:tcW w:type="dxa" w:w="1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南门桥两侧（外南街）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民主路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北通道</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中山街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中心路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沿江路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158</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慈善路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专署街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大南街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131</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民生街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仁和街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小北街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将军街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涌泉街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水井街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县府街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文星街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拱星街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东楼街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光复街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忠孝街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建设路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中坝路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羊蹄甲</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西郊路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都长街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衣服街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南街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青年街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翠柏大道</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142</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天竺桂</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463</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翠屏路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前进路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苗圃路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11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滨江路四期</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vMerge/>
                  <w:tcBorders>
                    <w:top w:val="none" w:color="000000" w:sz="4"/>
                    <w:left w:val="single" w:color="000000" w:sz="4"/>
                    <w:bottom w:val="single" w:color="000000" w:sz="4"/>
                    <w:right w:val="single" w:color="000000" w:sz="4"/>
                  </w:tcBorders>
                </w:tcPr>
                <w:p/>
              </w:tc>
              <w:tc>
                <w:tcPr>
                  <w:tcW w:type="dxa" w:w="1134"/>
                  <w:vMerge/>
                  <w:tcBorders>
                    <w:top w:val="none" w:color="000000" w:sz="4"/>
                    <w:left w:val="none" w:color="000000" w:sz="4"/>
                    <w:bottom w:val="single" w:color="000000" w:sz="4"/>
                    <w:right w:val="single" w:color="000000" w:sz="4"/>
                  </w:tcBorders>
                </w:tcP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黄葛树</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岳武里、</w:t>
                  </w:r>
                  <w:r>
                    <w:br/>
                  </w:r>
                  <w:r>
                    <w:rPr>
                      <w:rFonts w:ascii="仿宋_GB2312" w:hAnsi="仿宋_GB2312" w:cs="仿宋_GB2312" w:eastAsia="仿宋_GB2312"/>
                      <w:sz w:val="24"/>
                      <w:color w:val="000000"/>
                    </w:rPr>
                    <w:t>青皮树</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30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2884</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5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二、岷江桥北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序号</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街道名称</w:t>
                  </w:r>
                </w:p>
              </w:tc>
              <w:tc>
                <w:tcPr>
                  <w:tcW w:type="dxa" w:w="1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树种</w:t>
                  </w:r>
                </w:p>
              </w:tc>
              <w:tc>
                <w:tcPr>
                  <w:tcW w:type="dxa" w:w="8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数量（株）</w:t>
                  </w:r>
                </w:p>
              </w:tc>
              <w:tc>
                <w:tcPr>
                  <w:tcW w:type="dxa" w:w="16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顺达街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建新东路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康泰路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铁肩街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丹山路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红丰西路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致远路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创新街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安康街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青云路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广厦西路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123</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旧州路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267</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红丰东路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151</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敬业路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174</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广厦东路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116</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岷江西路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兴盛路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羊蹄甲</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文化街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常规造型修剪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学院路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小叶榕桩头</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金台街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小叶榕桩头</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翠微路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小叶榕桩头</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恒通街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小叶榕桩头</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盛达街</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小叶榕桩头</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东山路</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小叶榕桩头</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迎宾大道</w:t>
                  </w:r>
                </w:p>
              </w:tc>
              <w:tc>
                <w:tcPr>
                  <w:tcW w:type="dxa" w:w="1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小叶榕桩头</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云层式造型修剪</w:t>
                  </w:r>
                </w:p>
              </w:tc>
            </w:tr>
            <w:tr>
              <w:tc>
                <w:tcPr>
                  <w:tcW w:type="dxa" w:w="30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小计</w:t>
                  </w:r>
                </w:p>
              </w:tc>
              <w:tc>
                <w:tcPr>
                  <w:tcW w:type="dxa" w:w="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1694</w:t>
                  </w:r>
                </w:p>
              </w:tc>
              <w:tc>
                <w:tcPr>
                  <w:tcW w:type="dxa" w:w="16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详见附件服务要求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服务期限自政府采购合同签订之日起365日或合同金额用完之日止（以先到为准）。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宜宾市翠屏区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2）其他未尽事宜采购人与供应商应严格按照《财政部关于进一步加强政府采购需求和履约验收管理的指导意见》（财库〔2016〕205号）文件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成交供应商每次结算时根据采购人财务制度要求提供正式税票及相关报账资料，采购人收到合格票证资料后，达到付款条件起10日内，据实结算说明为本项目服务款项由采购人根据实际修剪数量*单价限价*（1-投标下浮率）据实结算支付</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成交供应商应保证服务质量及相关要求达到采购文件、响应文件及合同约定的要求。若履约过程中发现与采购文件、响应文件及合同约定的要求不符，须无条件于5日内完成整改，超过此期间或整改后依然不符合要求的，视为成交供应商违约,除不予拨付当次服务款外，成交供应商还应承担造成损失的赔偿等全部经济责任以及其他可能的责任。成交供应商发生违约并承担相应违约责任后，采购方有选择要求成交供应商继续履行合同或单方面解除合同的权利。 3.若成交供应商严重违反国家有关政策法规或多次履职不到位或因工作不力，给采购人造成了较大（2万元及以上）的物质损失和声誉损失（被上级通报批评、处分或是被媒体负面报道），采购人有权解除合同。 4.违约处理：采购人将违约事实报送财政部门，由财政部门按相关规定处理。供应商有可能受到记入政府采购不良行为记录，依法实施信用惩戒及市场禁入的处罚，涉嫌违法犯罪的，移交相关部门处理。 5.合同履行期间，若双方发生争议，可协商或由有关部门调解解决，协商或调解不成的，由当事人依法向法院提起诉讼维护其合法权益。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根据项目实际情况，采购人在项目实际实施中有权调整各品种和街道修剪数量。2、政府采购合同签订时间及要求：成交供应商自成交通知书发出之日起30日内与采购人签订政府采购合同。3、服务人员工资保障：由成交供应商负责发放投入相关服务人员的工资和为其购买社保，若因服务人员年龄超龄不能购买社保的，可由成交供应商根据工作量核定相应工资待遇。成交供应商应保障其工资的按时发放，杜绝发生拖欠民工工资或不按时足额发放民工工资的情况，若有发生，采购人有权从成交供应商的服务费中直接支付民工工资，因此而导致的任何责任均由成交供应商自行承担。4、服务人员安全保障：供应商应加强本项目服务过程中的安全管理，为自身投入的服务人员购买意外保险（如团体责任险或雇主责任险等），服务过程中导致的任何安全责任均由供应商自行独立承担。5、成交供应商须及时向采购人通告本项目有关重大事项及其工作进度，接受项目行业管理部门及政府有关部门的指导，接受采购人的监督，本项目采购过程和合同履行过程中的风险严格按照采购人的风险控制管理要求执行。6、成交供应商在提供服务过程中应严格遵守交通法律法规，服从交警指挥，因成交供应商原因造成的交通堵塞、证件、设施设备被扣等社会负面影响，相关责任由成交供应商全权承担。7、成交供应商在项目履约过程中，必须遵守采购人各场所进入、作息、现场管理的规定，如不服从管理，造成不良后果的，依法追究造成的经济、行政责任，构成犯罪的依法追究刑事责任。如因相关人员不具备相应资质导致采购人和任何第三方的法律责任等，成交供应商对此均应承担全部的责任。8、本项目采购人不组织集中现场踏勘，供应商需要现场踏勘的，由供应商向采购人申请，并按采购人现场管理规定自行踏勘。无论供应商是否对项目实行踏勘，供应商提交本项目响应文件即表示供应商已对本项目现场实际情况及采购人本项目履约场所的特殊性有充分的认知与了解，其响应文件及报价是其已充分认知与了解的结果体现。供应商因此可能带来的风险或各类损失，由供应商自行承担。9.供应商退出机制：供应商存在包括但不限于逾期履约、质量不达标、拒不整改、擅自转包分包、提供虚假材料、丧失履约能力等严重或根本违约情形，导致合同目的无法实现的，采购人有权单方解除合同，供应商须在收到解除通知后 5 个工作日内无条件退场并完成工作及资料交接。合同解除后，采购人保留追究法律责任的权利。10.其他未尽事宜，采购双方在合同中约定。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其他符合性（实质性）审查内容</w:t>
            </w:r>
          </w:p>
        </w:tc>
        <w:tc>
          <w:tcPr>
            <w:tcW w:type="dxa" w:w="3322"/>
          </w:tcPr>
          <w:p>
            <w:pPr>
              <w:pStyle w:val="null3"/>
              <w:jc w:val="left"/>
            </w:pPr>
            <w:r>
              <w:rPr>
                <w:rFonts w:ascii="仿宋_GB2312" w:hAnsi="仿宋_GB2312" w:cs="仿宋_GB2312" w:eastAsia="仿宋_GB2312"/>
              </w:rPr>
              <w:t>包含竞争性磋商文件第三章带“★”号在内的，其他符合性（实质性）审查内容。</w:t>
            </w:r>
          </w:p>
        </w:tc>
        <w:tc>
          <w:tcPr>
            <w:tcW w:type="dxa" w:w="1661"/>
          </w:tcPr>
          <w:p>
            <w:pPr>
              <w:pStyle w:val="null3"/>
              <w:jc w:val="left"/>
            </w:pPr>
            <w:r>
              <w:rPr>
                <w:rFonts w:ascii="仿宋_GB2312" w:hAnsi="仿宋_GB2312" w:cs="仿宋_GB2312" w:eastAsia="仿宋_GB2312"/>
              </w:rPr>
              <w:t>供应商应提交的相关证明材料,关于符合本国产品标准的声明函,服务应答表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根据供应商针对本项目提供的服务方案，包括但不限于： ①项目实施的重点和难点分析及应对措施；②项目管理机构及其职能职责；③人员配置及职责分工；④项目实施的具体路径和技术措施；⑤项目安全管理及环境保护措施；⑥项目服务质量保证及措施；⑦临时性突击、应急、上级交办及其他涉及本项目的应急情况处理措施。 具体评审标准: （1）供应商无以下扣分情形的得满分42分;供应商有本项以下扣分情形的,本项得分按以下公式计算:供应商本项得分=42分-本项合计扣分。 （2）本项扣分情形：以上7项内容每缺少1项内容扣6分，每项内容每有一处存在缺陷(缺陷指：项目名称错误、实施地点错误、语言文字错误或存在明显与本项目无关的文字内容、内容不完整或虽有内容但缺少关键节点、与本项目采购内容和技术、商务要求相关的错误、引用的依据及规范标准与本项目实际情况和要求不符、阐述内容不能满足实现本项目采购需求等任意一种情形)扣3分，每项最多扣6分。</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专业技术能力</w:t>
            </w:r>
          </w:p>
        </w:tc>
        <w:tc>
          <w:tcPr>
            <w:tcW w:type="dxa" w:w="2575"/>
          </w:tcPr>
          <w:p>
            <w:pPr>
              <w:pStyle w:val="null3"/>
              <w:jc w:val="left"/>
            </w:pPr>
            <w:r>
              <w:rPr>
                <w:rFonts w:ascii="仿宋_GB2312" w:hAnsi="仿宋_GB2312" w:cs="仿宋_GB2312" w:eastAsia="仿宋_GB2312"/>
              </w:rPr>
              <w:t>（1）配置项目负责人（1名），项目负责人具有园林绿化类中级职称得3分，具有园林绿化类高级及以上职称得7分。最多得7分（提供有效期内的身份证和职称证书扫描件并进行电子签章） （2）供应商在配置2辆垃圾运输车的基础上，每增加1辆得3分，最多得6分。（提供车辆购买发票或租赁合同扫描件并进行电子签章） （3）供应商在配置2辆高空作业车的基础上，每增加1辆得3分，最多得6分。（提供车辆购买发票或租赁合同扫描件并进行电子签章）</w:t>
            </w:r>
          </w:p>
        </w:tc>
        <w:tc>
          <w:tcPr>
            <w:tcW w:type="dxa" w:w="831"/>
          </w:tcPr>
          <w:p>
            <w:pPr>
              <w:pStyle w:val="null3"/>
              <w:jc w:val="center"/>
            </w:pPr>
            <w:r>
              <w:rPr>
                <w:rFonts w:ascii="仿宋_GB2312" w:hAnsi="仿宋_GB2312" w:cs="仿宋_GB2312" w:eastAsia="仿宋_GB2312"/>
              </w:rPr>
              <w:t>19.0000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2023年1月1日至递交文件截止之日，供应商具有类似行道树修剪或园林绿化养护服务项目业绩，提供1个得3分，最多得9分。不提供不得分。注：供应商须提供合同扫描件和履约完成证明材料（证明材料是指有效的发票或甲方付款凭证或甲方出具的完工证明等）扫描件并进行电子签章。</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翠屏区中心城区行道树专项造型修剪服务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