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版本号：N510185202600000320260403001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2025年第七批医疗设备采购项目(二次)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N5101852026000003</w:t>
      </w:r>
    </w:p>
    <w:p>
      <w:pPr>
        <w:pStyle w:val="null3"/>
        <w:jc w:val="left"/>
        <w:outlineLvl w:val="2"/>
      </w:pPr>
      <w:r>
        <w:rPr>
          <w:rFonts w:ascii="仿宋_GB2312" w:hAnsi="仿宋_GB2312" w:cs="仿宋_GB2312" w:eastAsia="仿宋_GB2312"/>
          <w:sz w:val="28"/>
          <w:b/>
        </w:rPr>
        <w:t>简阳市人民医院</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简阳市人民医院</w:t>
      </w:r>
      <w:r>
        <w:rPr>
          <w:rFonts w:ascii="仿宋_GB2312" w:hAnsi="仿宋_GB2312" w:cs="仿宋_GB2312" w:eastAsia="仿宋_GB2312"/>
        </w:rPr>
        <w:t xml:space="preserve"> 委托，拟对 </w:t>
      </w:r>
      <w:r>
        <w:rPr>
          <w:rFonts w:ascii="仿宋_GB2312" w:hAnsi="仿宋_GB2312" w:cs="仿宋_GB2312" w:eastAsia="仿宋_GB2312"/>
        </w:rPr>
        <w:t>2025年第七批医疗设备采购项目(二次)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成都市简阳市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N5101852026000003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2025年第七批医疗设备采购项目(二次)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为保障医院科室临床使用，简阳市人民医院拟采购双能X射线骨密度仪。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若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 2.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描述：1.若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 2.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成都市中小企业政府采购信用融资暂行办法》和《成都市级支持中小企业政府采购信用融资实施方案》的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简阳市人民医院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四川省成都市简阳市花园街医院路180号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028-27238026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1.项目负责：伍毅、邱涛；2.技术审核：李嘉星、刘洋。3.项目负责：028-81132550</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公司监察合规部（投诉、举报）电话：028-62306011。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成交）金额为计费基数，按照原国家计委《关于印发招标代理服务收费管理暂行办法的通知》（计价格[2002]1980号）和国家发展改革委办公厅《关于招标代理服务收费有关问题的通知》（发改办价格［2003］857号）文件规定的招标收费费率和方式下浮 20% 执行。招标代理服务费由中标人（成交供应商）承担，由中标人（成交供应商）在领取中标（成交）通知书前向采购代理机构支付。本项目为货物类项目，100万元以下的收费费率为：1.5%；100万元-500万元的收费费率为：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简阳市人民医院</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简阳市人民医院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设备安装后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质保期满后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（因系统格式固化原因，上述“履约验收时间”按照招标文件第三章商务要求执行）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投标产品配置清单，与生产厂家技术资料（医疗器械注册证、说明书、装箱清单等，至少其中之一）相符合，采购人将以此为依据进行验收。其他未尽事宜，严格按照《财政部关于进一步加强政府采购需求和履约验收管理的指导意见》（财库〔2016〕205号)、《政府采购需求管理办法》（财库〔2021〕22号)要求以及招标文件要求、投标文件、合同约定等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货时间：自合同签订之日起60日内完成安装调试。（2）交货地点：简阳市人民医院。（3）支付方式：分期付款。（4）产品质保期。（5）其他未尽事宜，严格按照《财政部关于进一步加强政府采购需求和履约验收管理的指导意见》（财库〔2016〕205号)、《政府采购需求管理办法》（财库〔2021〕22号)要求以及招标文件要求、投标文件、合同约定等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（1）按照投标产品配置清单，与生产厂家技术资料（医疗器械注册证、说明书、装箱清单等，至少其中之一）相符合，采购人将以此为依据进行验收。 （2）技术参数与性能验证：①参数准确性：设备实际参数需与合同约定一致，使用标准检测工具逐项对比；②功能完整性：设备应具备合同约定的所有功能模块，供应商需现场演示并确认。 （3）安全与合规性审查：设备需具备有效的注册证、生产许可证、经营许可证等资质。 （4）其他未尽事宜，严格按照《财政部关于进一步加强政府采购需求和履约验收管理的指导意见》（财库〔2016〕205号)、《政府采购需求管理办法》（财库〔2021〕22号)要求以及招标文件要求、投标文件、合同约定等相关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验收由采购单位组织，中标供应商配合进行： （1）设备在中标供应商通知安装调试完毕后10日内初步验收。初步验收合格后，进入30日试用期；试用期间发生设备故障，修复后试用相应顺延；试用期结束后7日内完成最终验收；试用期间发生重大质量问题，中标供应商无条件退货换新，由此产生的一切经济损失，由中标供应商负责。 （2）中标供应商安排产品生产厂家技术人员应就设备的安装、调试、操作、维修、保养等对采购单位操作、技术人员进行培训和技术支持，直至采购单位的技术人员能独立操作，同时能完成一般常见故障的维修工作。 （3）验收标准以招投标文件技术参数及要求、投标文件响应、采购合同和相关行业标准为准。 双方如对质量要求和技术指标的约定标准有相互抵触或异议的事项，由采购人在招标与投标文件中按质量要求和技术指标比较优胜的原则确定该项的约定标准进行验收。 （4）中标供应商应将所提供设备的装箱清单、配件、随机工具、用户使用手册、原厂保修卡、产品合格证明、维修手册、软件备份、故障代码表、维修密码等资料交付给采购单位，同时提供电子版的设备规范操作流程、设备日常保养流程、设备使用及日常保养注意事项1套；中标供应商不能完整交付设备及本款规定的单证和工具的，必须负责补齐，否则视为未按合同约定交货。验收时如发现所交付的货物有短装、次品、损坏或其它不符合标准及合同规定之情形者，采购人应做出详尽的现场记录，或由双方签署备忘录，此现场记录或备忘录可用作补充、缺失和更换损坏部件的有效证据，由此产生的时间延误与有关费用由中标供应商承担，验收期限相应顺延。如质量验收合格，双方签署质量验收报告。 （5）其他未尽事宜按照政府采购相关法律法规以及《财政部关于进一步加强政府采购需求和履约验收管理的指导意见》（财库〔2016〕205 号）和《政府采购需求管理办法》（财库〔2021〕22号）的要求、招标文件的要求以及中标人投标文件、采购合同进行验收。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简阳市人民医院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联系人：汪老师</w:t>
      </w:r>
    </w:p>
    <w:p>
      <w:pPr>
        <w:pStyle w:val="null3"/>
        <w:jc w:val="left"/>
      </w:pPr>
      <w:r>
        <w:rPr>
          <w:rFonts w:ascii="仿宋_GB2312" w:hAnsi="仿宋_GB2312" w:cs="仿宋_GB2312" w:eastAsia="仿宋_GB2312"/>
        </w:rPr>
        <w:t>联系电话：028-27238026</w:t>
      </w:r>
    </w:p>
    <w:p>
      <w:pPr>
        <w:pStyle w:val="null3"/>
        <w:jc w:val="left"/>
      </w:pPr>
      <w:r>
        <w:rPr>
          <w:rFonts w:ascii="仿宋_GB2312" w:hAnsi="仿宋_GB2312" w:cs="仿宋_GB2312" w:eastAsia="仿宋_GB2312"/>
        </w:rPr>
        <w:t>地址：四川省成都市简阳市花园街医院路180号</w:t>
      </w:r>
    </w:p>
    <w:p>
      <w:pPr>
        <w:pStyle w:val="null3"/>
        <w:jc w:val="left"/>
      </w:pPr>
      <w:r>
        <w:rPr>
          <w:rFonts w:ascii="仿宋_GB2312" w:hAnsi="仿宋_GB2312" w:cs="仿宋_GB2312" w:eastAsia="仿宋_GB2312"/>
        </w:rPr>
        <w:t>邮编：641400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联系人：邱先生</w:t>
      </w:r>
    </w:p>
    <w:p>
      <w:pPr>
        <w:pStyle w:val="null3"/>
        <w:jc w:val="left"/>
      </w:pPr>
      <w:r>
        <w:rPr>
          <w:rFonts w:ascii="仿宋_GB2312" w:hAnsi="仿宋_GB2312" w:cs="仿宋_GB2312" w:eastAsia="仿宋_GB2312"/>
        </w:rPr>
        <w:t>联系电话：028-81132550</w:t>
      </w:r>
    </w:p>
    <w:p>
      <w:pPr>
        <w:pStyle w:val="null3"/>
        <w:jc w:val="left"/>
      </w:pPr>
      <w:r>
        <w:rPr>
          <w:rFonts w:ascii="仿宋_GB2312" w:hAnsi="仿宋_GB2312" w:cs="仿宋_GB2312" w:eastAsia="仿宋_GB2312"/>
        </w:rPr>
        <w:t>地址：四川省成都市金牛区茶店子西街36号金璐天下1栋2单元18层19室</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双能X射线骨密度仪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双能X射线骨密度仪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双能X射线骨密度仪</w:t>
            </w:r>
          </w:p>
        </w:tc>
        <w:tc>
          <w:tcPr>
            <w:tcW w:type="dxa" w:w="2492"/>
          </w:tcPr>
          <w:p>
            <w:pPr>
              <w:pStyle w:val="null3"/>
              <w:jc w:val="left"/>
            </w:pPr>
            <w:r>
              <w:rPr>
                <w:rFonts w:ascii="仿宋_GB2312" w:hAnsi="仿宋_GB2312" w:cs="仿宋_GB2312" w:eastAsia="仿宋_GB2312"/>
              </w:rPr>
              <w:t>双能X射线骨密度仪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标的名称：双能X射线骨密度仪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★（一）用途：用于骨质疏松的临床诊断、治疗效果观察、以及骨折危险性的预测。</w:t>
            </w:r>
          </w:p>
          <w:p>
            <w:pPr>
              <w:pStyle w:val="null3"/>
              <w:jc w:val="both"/>
            </w:pPr>
            <w:r>
              <w:rPr>
                <w:rFonts w:ascii="仿宋_GB2312" w:hAnsi="仿宋_GB2312" w:cs="仿宋_GB2312" w:eastAsia="仿宋_GB2312"/>
                <w:sz w:val="24"/>
              </w:rPr>
              <w:t>（二）技术参数：</w:t>
            </w:r>
          </w:p>
          <w:p>
            <w:pPr>
              <w:pStyle w:val="null3"/>
              <w:jc w:val="both"/>
            </w:pPr>
            <w:r>
              <w:rPr>
                <w:rFonts w:ascii="仿宋_GB2312" w:hAnsi="仿宋_GB2312" w:cs="仿宋_GB2312" w:eastAsia="仿宋_GB2312"/>
                <w:sz w:val="24"/>
              </w:rPr>
              <w:t>1.X线源：</w:t>
            </w:r>
          </w:p>
          <w:p>
            <w:pPr>
              <w:pStyle w:val="null3"/>
              <w:jc w:val="both"/>
            </w:pPr>
            <w:r>
              <w:rPr>
                <w:rFonts w:ascii="仿宋_GB2312" w:hAnsi="仿宋_GB2312" w:cs="仿宋_GB2312" w:eastAsia="仿宋_GB2312"/>
                <w:sz w:val="24"/>
              </w:rPr>
              <w:t>1.1 K缘过滤，同时产生高低双能X线。</w:t>
            </w:r>
          </w:p>
          <w:p>
            <w:pPr>
              <w:pStyle w:val="null3"/>
              <w:jc w:val="both"/>
            </w:pPr>
            <w:r>
              <w:rPr>
                <w:rFonts w:ascii="仿宋_GB2312" w:hAnsi="仿宋_GB2312" w:cs="仿宋_GB2312" w:eastAsia="仿宋_GB2312"/>
                <w:sz w:val="24"/>
              </w:rPr>
              <w:t>▲1.2 X线扫描线束：窄角扇形且扇形开角≤4.5°。（提供产品制造商公开发行的技术白皮书（或产品说明书）或者产品制造商公开发行的彩页资料或者国家认可的检验（检测）机构出具的检验（检测）报告）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1.3 采集成像方式：连续扫描式。</w:t>
            </w:r>
          </w:p>
          <w:p>
            <w:pPr>
              <w:pStyle w:val="null3"/>
              <w:jc w:val="both"/>
            </w:pPr>
            <w:r>
              <w:rPr>
                <w:rFonts w:ascii="仿宋_GB2312" w:hAnsi="仿宋_GB2312" w:cs="仿宋_GB2312" w:eastAsia="仿宋_GB2312"/>
                <w:sz w:val="24"/>
              </w:rPr>
              <w:t>★1.4 球管靶角≥12°。（提供产品制造商公开发行的技术白皮书（或产品说明书）或者产品制造商公开发行的彩页资料或者国家认可的检验（检测）机构出具的检验（检测）报告）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1.5 具备自动智能扫描功能：</w:t>
            </w:r>
          </w:p>
          <w:p>
            <w:pPr>
              <w:pStyle w:val="null3"/>
              <w:jc w:val="both"/>
            </w:pPr>
            <w:r>
              <w:rPr>
                <w:rFonts w:ascii="仿宋_GB2312" w:hAnsi="仿宋_GB2312" w:cs="仿宋_GB2312" w:eastAsia="仿宋_GB2312"/>
                <w:sz w:val="24"/>
              </w:rPr>
              <w:t>1.5.1无需预扫描，配置激光定位系统。</w:t>
            </w:r>
          </w:p>
          <w:p>
            <w:pPr>
              <w:pStyle w:val="null3"/>
              <w:jc w:val="both"/>
            </w:pPr>
            <w:r>
              <w:rPr>
                <w:rFonts w:ascii="仿宋_GB2312" w:hAnsi="仿宋_GB2312" w:cs="仿宋_GB2312" w:eastAsia="仿宋_GB2312"/>
                <w:sz w:val="24"/>
              </w:rPr>
              <w:t>1.5.2具备根据骨骼结构，适形扫描，自动调整扫描宽度功能。</w:t>
            </w:r>
          </w:p>
          <w:p>
            <w:pPr>
              <w:pStyle w:val="null3"/>
              <w:jc w:val="both"/>
            </w:pPr>
            <w:r>
              <w:rPr>
                <w:rFonts w:ascii="仿宋_GB2312" w:hAnsi="仿宋_GB2312" w:cs="仿宋_GB2312" w:eastAsia="仿宋_GB2312"/>
                <w:sz w:val="24"/>
              </w:rPr>
              <w:t>▲1.6 高压发生器和球管与设备主机均为同一生产厂家，非采购后拼装。（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2.探测器系统：</w:t>
            </w:r>
          </w:p>
          <w:p>
            <w:pPr>
              <w:pStyle w:val="null3"/>
              <w:jc w:val="both"/>
            </w:pPr>
            <w:r>
              <w:rPr>
                <w:rFonts w:ascii="仿宋_GB2312" w:hAnsi="仿宋_GB2312" w:cs="仿宋_GB2312" w:eastAsia="仿宋_GB2312"/>
                <w:sz w:val="24"/>
              </w:rPr>
              <w:t>★2.1 光子计数探测器，探测器材质为LYSO。（提供产品制造商公开发行的技术白皮书（或产品说明书）或者产品制造商公开发行的彩页资料或者国家认可的检验（检测）机构出具的检验（检测）报告）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2.2 探测器通道数量：≥16个。</w:t>
            </w:r>
          </w:p>
          <w:p>
            <w:pPr>
              <w:pStyle w:val="null3"/>
              <w:jc w:val="both"/>
            </w:pPr>
            <w:r>
              <w:rPr>
                <w:rFonts w:ascii="仿宋_GB2312" w:hAnsi="仿宋_GB2312" w:cs="仿宋_GB2312" w:eastAsia="仿宋_GB2312"/>
                <w:sz w:val="24"/>
              </w:rPr>
              <w:t>▲2.3 探测器与设备主机均为同一生产厂家，非采购后拼装。（提供产品制造商公开发行的技术白皮书（或产品说明书）或者产品制造商公开发行的彩页资料或者国家认可的检验（检测）机构出具的检验（检测）报告）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3.扫描：</w:t>
            </w:r>
          </w:p>
          <w:p>
            <w:pPr>
              <w:pStyle w:val="null3"/>
              <w:jc w:val="both"/>
            </w:pPr>
            <w:r>
              <w:rPr>
                <w:rFonts w:ascii="仿宋_GB2312" w:hAnsi="仿宋_GB2312" w:cs="仿宋_GB2312" w:eastAsia="仿宋_GB2312"/>
                <w:sz w:val="24"/>
              </w:rPr>
              <w:t>▲3.1 适用于全身的扫描床，长度：＞250cm。（提供产品制造商公开发行的技术白皮书（或产品说明书）或者产品制造商公开发行的彩页资料或者国家认可的检验（检测）机构出具的检验（检测）报告）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▲3.2 适用于全身的扫描床，宽度：＞100cm。（提供产品制造商公开发行的技术白皮书（或产品说明书）或者产品制造商公开发行的彩页资料或者国家认可的检验（检测）机构出具的检验（检测）报告）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★3.3 最大有效扫描视野,长度＞190cm；宽度≥60cm。（提供产品制造商公开发行的技术白皮书（或产品说明书）或者产品制造商公开发行的彩页资料或者国家认可的检验（检测）机构出具的检验（检测）报告）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3.4 病人最大承重：＞150kg。</w:t>
            </w:r>
          </w:p>
          <w:p>
            <w:pPr>
              <w:pStyle w:val="null3"/>
              <w:jc w:val="both"/>
            </w:pPr>
            <w:r>
              <w:rPr>
                <w:rFonts w:ascii="仿宋_GB2312" w:hAnsi="仿宋_GB2312" w:cs="仿宋_GB2312" w:eastAsia="仿宋_GB2312"/>
                <w:sz w:val="24"/>
              </w:rPr>
              <w:t>3.5 具备快速扫描功能，最快扫描时间：</w:t>
            </w:r>
          </w:p>
          <w:p>
            <w:pPr>
              <w:pStyle w:val="null3"/>
              <w:jc w:val="both"/>
            </w:pPr>
            <w:r>
              <w:rPr>
                <w:rFonts w:ascii="仿宋_GB2312" w:hAnsi="仿宋_GB2312" w:cs="仿宋_GB2312" w:eastAsia="仿宋_GB2312"/>
                <w:sz w:val="24"/>
              </w:rPr>
              <w:t>▲3.5.1腰椎：≤30秒，股骨：≤30秒。（提供产品制造商公开发行的技术白皮书（或产品说明书）或者产品制造商公开发行的彩页资料或者国家认可的检验（检测）机构出具的检验（检测）报告）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3.5.2全身：≤5分钟。</w:t>
            </w:r>
          </w:p>
          <w:p>
            <w:pPr>
              <w:pStyle w:val="null3"/>
              <w:jc w:val="both"/>
            </w:pPr>
            <w:r>
              <w:rPr>
                <w:rFonts w:ascii="仿宋_GB2312" w:hAnsi="仿宋_GB2312" w:cs="仿宋_GB2312" w:eastAsia="仿宋_GB2312"/>
                <w:sz w:val="24"/>
              </w:rPr>
              <w:t>3.5.3侧位腰椎BMD测量扫描时间： ≤1分钟。</w:t>
            </w:r>
          </w:p>
          <w:p>
            <w:pPr>
              <w:pStyle w:val="null3"/>
              <w:jc w:val="both"/>
            </w:pPr>
            <w:r>
              <w:rPr>
                <w:rFonts w:ascii="仿宋_GB2312" w:hAnsi="仿宋_GB2312" w:cs="仿宋_GB2312" w:eastAsia="仿宋_GB2312"/>
                <w:sz w:val="24"/>
              </w:rPr>
              <w:t>3.6 具备精确激光定位灯。</w:t>
            </w:r>
          </w:p>
          <w:p>
            <w:pPr>
              <w:pStyle w:val="null3"/>
              <w:jc w:val="both"/>
            </w:pPr>
            <w:r>
              <w:rPr>
                <w:rFonts w:ascii="仿宋_GB2312" w:hAnsi="仿宋_GB2312" w:cs="仿宋_GB2312" w:eastAsia="仿宋_GB2312"/>
                <w:sz w:val="24"/>
              </w:rPr>
              <w:t>3.7 具备全配套扫描定位器（包括腰椎、髋关节）。</w:t>
            </w:r>
          </w:p>
          <w:p>
            <w:pPr>
              <w:pStyle w:val="null3"/>
              <w:jc w:val="both"/>
            </w:pPr>
            <w:r>
              <w:rPr>
                <w:rFonts w:ascii="仿宋_GB2312" w:hAnsi="仿宋_GB2312" w:cs="仿宋_GB2312" w:eastAsia="仿宋_GB2312"/>
                <w:sz w:val="24"/>
              </w:rPr>
              <w:t>3.8 对腰椎质控模块扫描的精度(重复性误差)：≤1.0%。</w:t>
            </w:r>
          </w:p>
          <w:p>
            <w:pPr>
              <w:pStyle w:val="null3"/>
              <w:jc w:val="both"/>
            </w:pPr>
            <w:r>
              <w:rPr>
                <w:rFonts w:ascii="仿宋_GB2312" w:hAnsi="仿宋_GB2312" w:cs="仿宋_GB2312" w:eastAsia="仿宋_GB2312"/>
                <w:sz w:val="24"/>
              </w:rPr>
              <w:t>3.9 对活体常规部位扫描精度(重复性误差)：</w:t>
            </w:r>
          </w:p>
          <w:p>
            <w:pPr>
              <w:pStyle w:val="null3"/>
              <w:jc w:val="both"/>
            </w:pPr>
            <w:r>
              <w:rPr>
                <w:rFonts w:ascii="仿宋_GB2312" w:hAnsi="仿宋_GB2312" w:cs="仿宋_GB2312" w:eastAsia="仿宋_GB2312"/>
                <w:sz w:val="24"/>
              </w:rPr>
              <w:t>3.9.1腰椎、股骨：≤1.0% 。</w:t>
            </w:r>
          </w:p>
          <w:p>
            <w:pPr>
              <w:pStyle w:val="null3"/>
              <w:jc w:val="both"/>
            </w:pPr>
            <w:r>
              <w:rPr>
                <w:rFonts w:ascii="仿宋_GB2312" w:hAnsi="仿宋_GB2312" w:cs="仿宋_GB2312" w:eastAsia="仿宋_GB2312"/>
                <w:sz w:val="24"/>
              </w:rPr>
              <w:t>3.9.2双侧股骨：≤0.6% 。</w:t>
            </w:r>
          </w:p>
          <w:p>
            <w:pPr>
              <w:pStyle w:val="null3"/>
              <w:jc w:val="both"/>
            </w:pPr>
            <w:r>
              <w:rPr>
                <w:rFonts w:ascii="仿宋_GB2312" w:hAnsi="仿宋_GB2312" w:cs="仿宋_GB2312" w:eastAsia="仿宋_GB2312"/>
                <w:sz w:val="24"/>
              </w:rPr>
              <w:t>3.9.3全身脂肪含量：≤1.2% 。</w:t>
            </w:r>
          </w:p>
          <w:p>
            <w:pPr>
              <w:pStyle w:val="null3"/>
              <w:jc w:val="both"/>
            </w:pPr>
            <w:r>
              <w:rPr>
                <w:rFonts w:ascii="仿宋_GB2312" w:hAnsi="仿宋_GB2312" w:cs="仿宋_GB2312" w:eastAsia="仿宋_GB2312"/>
                <w:sz w:val="24"/>
              </w:rPr>
              <w:t>3.9.4全身肌肉组织：≤0.7% 。</w:t>
            </w:r>
          </w:p>
          <w:p>
            <w:pPr>
              <w:pStyle w:val="null3"/>
              <w:jc w:val="both"/>
            </w:pPr>
            <w:r>
              <w:rPr>
                <w:rFonts w:ascii="仿宋_GB2312" w:hAnsi="仿宋_GB2312" w:cs="仿宋_GB2312" w:eastAsia="仿宋_GB2312"/>
                <w:sz w:val="24"/>
              </w:rPr>
              <w:t>3.10 具备MVIR多视角影像重建技术。</w:t>
            </w:r>
          </w:p>
          <w:p>
            <w:pPr>
              <w:pStyle w:val="null3"/>
              <w:jc w:val="both"/>
            </w:pPr>
            <w:r>
              <w:rPr>
                <w:rFonts w:ascii="仿宋_GB2312" w:hAnsi="仿宋_GB2312" w:cs="仿宋_GB2312" w:eastAsia="仿宋_GB2312"/>
                <w:sz w:val="24"/>
              </w:rPr>
              <w:t>3.11 具备分辨率≥1280×720像素的骨骼影像。</w:t>
            </w:r>
          </w:p>
          <w:p>
            <w:pPr>
              <w:pStyle w:val="null3"/>
              <w:jc w:val="both"/>
            </w:pPr>
            <w:r>
              <w:rPr>
                <w:rFonts w:ascii="仿宋_GB2312" w:hAnsi="仿宋_GB2312" w:cs="仿宋_GB2312" w:eastAsia="仿宋_GB2312"/>
                <w:sz w:val="24"/>
              </w:rPr>
              <w:t>▲3.12 在扫描之后，系统能够自动检测脊柱、髋关节、前臂部位是否存在摆位异常或分析异常，并能给出提示和纠正建议。（提供软件界面截图或者国家认可的检验（检测）机构出具的检验（检测）报告）</w:t>
            </w:r>
          </w:p>
          <w:p>
            <w:pPr>
              <w:pStyle w:val="null3"/>
              <w:jc w:val="both"/>
            </w:pPr>
            <w:r>
              <w:rPr>
                <w:rFonts w:ascii="仿宋_GB2312" w:hAnsi="仿宋_GB2312" w:cs="仿宋_GB2312" w:eastAsia="仿宋_GB2312"/>
                <w:sz w:val="24"/>
              </w:rPr>
              <w:t>4.扫描部位及临床应用功能：</w:t>
            </w:r>
          </w:p>
          <w:p>
            <w:pPr>
              <w:pStyle w:val="null3"/>
              <w:jc w:val="both"/>
            </w:pPr>
            <w:r>
              <w:rPr>
                <w:rFonts w:ascii="仿宋_GB2312" w:hAnsi="仿宋_GB2312" w:cs="仿宋_GB2312" w:eastAsia="仿宋_GB2312"/>
                <w:sz w:val="24"/>
              </w:rPr>
              <w:t>4.1 具备正位腰椎扫描、评估。</w:t>
            </w:r>
          </w:p>
          <w:p>
            <w:pPr>
              <w:pStyle w:val="null3"/>
              <w:jc w:val="both"/>
            </w:pPr>
            <w:r>
              <w:rPr>
                <w:rFonts w:ascii="仿宋_GB2312" w:hAnsi="仿宋_GB2312" w:cs="仿宋_GB2312" w:eastAsia="仿宋_GB2312"/>
                <w:sz w:val="24"/>
              </w:rPr>
              <w:t>4.2 具备单侧股骨扫描、评估。</w:t>
            </w:r>
          </w:p>
          <w:p>
            <w:pPr>
              <w:pStyle w:val="null3"/>
              <w:jc w:val="both"/>
            </w:pPr>
            <w:r>
              <w:rPr>
                <w:rFonts w:ascii="仿宋_GB2312" w:hAnsi="仿宋_GB2312" w:cs="仿宋_GB2312" w:eastAsia="仿宋_GB2312"/>
                <w:sz w:val="24"/>
              </w:rPr>
              <w:t>4.3 具备双侧股骨自动扫描、评估：具备一次定位，自动扫描完成，同屏显示双侧髋关节影像。具备自动提供双侧股骨平均骨密度值以及差异分析功能并提供检测联合结果。</w:t>
            </w:r>
          </w:p>
          <w:p>
            <w:pPr>
              <w:pStyle w:val="null3"/>
              <w:jc w:val="both"/>
            </w:pPr>
            <w:r>
              <w:rPr>
                <w:rFonts w:ascii="仿宋_GB2312" w:hAnsi="仿宋_GB2312" w:cs="仿宋_GB2312" w:eastAsia="仿宋_GB2312"/>
                <w:sz w:val="24"/>
              </w:rPr>
              <w:t>4.4 具备前臂测量和分析。</w:t>
            </w:r>
          </w:p>
          <w:p>
            <w:pPr>
              <w:pStyle w:val="null3"/>
              <w:jc w:val="both"/>
            </w:pPr>
            <w:r>
              <w:rPr>
                <w:rFonts w:ascii="仿宋_GB2312" w:hAnsi="仿宋_GB2312" w:cs="仿宋_GB2312" w:eastAsia="仿宋_GB2312"/>
                <w:sz w:val="24"/>
              </w:rPr>
              <w:t>4.5 具备全身骨密度扫描，并可进行四肢、躯干部位的单独分析测量。</w:t>
            </w:r>
          </w:p>
          <w:p>
            <w:pPr>
              <w:pStyle w:val="null3"/>
              <w:jc w:val="both"/>
            </w:pPr>
            <w:r>
              <w:rPr>
                <w:rFonts w:ascii="仿宋_GB2312" w:hAnsi="仿宋_GB2312" w:cs="仿宋_GB2312" w:eastAsia="仿宋_GB2312"/>
                <w:sz w:val="24"/>
              </w:rPr>
              <w:t>▲4.6 具备全身肌肉和脂肪成分分析，具备中国人体成分参考数据库，产品可适用于脂肪肌肉组织测量和分析。（提供产品制造商公开发行的技术白皮书（或产品说明书）或者产品制造商公开发行的彩页资料或者国家认可的检验（检测）机构出具的检验（检测）报告）</w:t>
            </w:r>
          </w:p>
          <w:p>
            <w:pPr>
              <w:pStyle w:val="null3"/>
              <w:jc w:val="both"/>
            </w:pPr>
            <w:r>
              <w:rPr>
                <w:rFonts w:ascii="仿宋_GB2312" w:hAnsi="仿宋_GB2312" w:cs="仿宋_GB2312" w:eastAsia="仿宋_GB2312"/>
                <w:sz w:val="24"/>
              </w:rPr>
              <w:t>4.7 具备WHO体重指数评估。</w:t>
            </w:r>
          </w:p>
          <w:p>
            <w:pPr>
              <w:pStyle w:val="null3"/>
              <w:jc w:val="both"/>
            </w:pPr>
            <w:r>
              <w:rPr>
                <w:rFonts w:ascii="仿宋_GB2312" w:hAnsi="仿宋_GB2312" w:cs="仿宋_GB2312" w:eastAsia="仿宋_GB2312"/>
                <w:sz w:val="24"/>
              </w:rPr>
              <w:t>4.8 具备人工膝关节置换后的自动扫描、评估：具备增强型骨科专用软件（膝关节），用于人工膝关节置换术后假体周围骨量测量及变化评估。</w:t>
            </w:r>
          </w:p>
          <w:p>
            <w:pPr>
              <w:pStyle w:val="null3"/>
              <w:jc w:val="both"/>
            </w:pPr>
            <w:r>
              <w:rPr>
                <w:rFonts w:ascii="仿宋_GB2312" w:hAnsi="仿宋_GB2312" w:cs="仿宋_GB2312" w:eastAsia="仿宋_GB2312"/>
                <w:sz w:val="24"/>
              </w:rPr>
              <w:t>4.9 具备一次定位，自动完成腰椎、双侧股骨扫描检测功能。</w:t>
            </w:r>
          </w:p>
          <w:p>
            <w:pPr>
              <w:pStyle w:val="null3"/>
              <w:jc w:val="both"/>
            </w:pPr>
            <w:r>
              <w:rPr>
                <w:rFonts w:ascii="仿宋_GB2312" w:hAnsi="仿宋_GB2312" w:cs="仿宋_GB2312" w:eastAsia="仿宋_GB2312"/>
                <w:sz w:val="24"/>
              </w:rPr>
              <w:t>4.10 具备骨折风险评估软件。</w:t>
            </w:r>
          </w:p>
          <w:p>
            <w:pPr>
              <w:pStyle w:val="null3"/>
              <w:jc w:val="both"/>
            </w:pPr>
            <w:r>
              <w:rPr>
                <w:rFonts w:ascii="仿宋_GB2312" w:hAnsi="仿宋_GB2312" w:cs="仿宋_GB2312" w:eastAsia="仿宋_GB2312"/>
                <w:sz w:val="24"/>
              </w:rPr>
              <w:t>4.11 具备计算机自动辅助诊断分析软件。</w:t>
            </w:r>
          </w:p>
          <w:p>
            <w:pPr>
              <w:pStyle w:val="null3"/>
              <w:jc w:val="both"/>
            </w:pPr>
            <w:r>
              <w:rPr>
                <w:rFonts w:ascii="仿宋_GB2312" w:hAnsi="仿宋_GB2312" w:cs="仿宋_GB2312" w:eastAsia="仿宋_GB2312"/>
                <w:sz w:val="24"/>
              </w:rPr>
              <w:t>4.12 具备流程管理工具，提供患者数据检索功能，可按照BMD、BMC、T值、Z值、肌肉含量、脂肪含量字段进行数据筛选并导出报表。可将患者数据导出txt文档或者excel文件。</w:t>
            </w:r>
          </w:p>
          <w:p>
            <w:pPr>
              <w:pStyle w:val="null3"/>
              <w:jc w:val="both"/>
            </w:pPr>
            <w:r>
              <w:rPr>
                <w:rFonts w:ascii="仿宋_GB2312" w:hAnsi="仿宋_GB2312" w:cs="仿宋_GB2312" w:eastAsia="仿宋_GB2312"/>
                <w:sz w:val="24"/>
              </w:rPr>
              <w:t>4.13 具备LSC最小有意义变化值辅助计算工具。</w:t>
            </w:r>
          </w:p>
          <w:p>
            <w:pPr>
              <w:pStyle w:val="null3"/>
              <w:jc w:val="both"/>
            </w:pPr>
            <w:r>
              <w:rPr>
                <w:rFonts w:ascii="仿宋_GB2312" w:hAnsi="仿宋_GB2312" w:cs="仿宋_GB2312" w:eastAsia="仿宋_GB2312"/>
                <w:sz w:val="24"/>
              </w:rPr>
              <w:t>5.临床应用软件包：</w:t>
            </w:r>
          </w:p>
          <w:p>
            <w:pPr>
              <w:pStyle w:val="null3"/>
              <w:jc w:val="both"/>
            </w:pPr>
            <w:r>
              <w:rPr>
                <w:rFonts w:ascii="仿宋_GB2312" w:hAnsi="仿宋_GB2312" w:cs="仿宋_GB2312" w:eastAsia="仿宋_GB2312"/>
                <w:sz w:val="24"/>
              </w:rPr>
              <w:t>5.1 运行环境：预装中文正版操作系统。</w:t>
            </w:r>
          </w:p>
          <w:p>
            <w:pPr>
              <w:pStyle w:val="null3"/>
              <w:jc w:val="both"/>
            </w:pPr>
            <w:r>
              <w:rPr>
                <w:rFonts w:ascii="仿宋_GB2312" w:hAnsi="仿宋_GB2312" w:cs="仿宋_GB2312" w:eastAsia="仿宋_GB2312"/>
                <w:sz w:val="24"/>
              </w:rPr>
              <w:t>5.2 具备骨密度仪中文操作软件及骨密度结果中文影像数据检测报告。（非第三方汉化）</w:t>
            </w:r>
          </w:p>
          <w:p>
            <w:pPr>
              <w:pStyle w:val="null3"/>
              <w:jc w:val="both"/>
            </w:pPr>
            <w:r>
              <w:rPr>
                <w:rFonts w:ascii="仿宋_GB2312" w:hAnsi="仿宋_GB2312" w:cs="仿宋_GB2312" w:eastAsia="仿宋_GB2312"/>
                <w:sz w:val="24"/>
              </w:rPr>
              <w:t>5.3 具备骨密度计算软件包。</w:t>
            </w:r>
          </w:p>
          <w:p>
            <w:pPr>
              <w:pStyle w:val="null3"/>
              <w:jc w:val="both"/>
            </w:pPr>
            <w:r>
              <w:rPr>
                <w:rFonts w:ascii="仿宋_GB2312" w:hAnsi="仿宋_GB2312" w:cs="仿宋_GB2312" w:eastAsia="仿宋_GB2312"/>
                <w:sz w:val="24"/>
              </w:rPr>
              <w:t>5.4 具备NHANES III参照数据库。</w:t>
            </w:r>
          </w:p>
          <w:p>
            <w:pPr>
              <w:pStyle w:val="null3"/>
              <w:jc w:val="both"/>
            </w:pPr>
            <w:r>
              <w:rPr>
                <w:rFonts w:ascii="仿宋_GB2312" w:hAnsi="仿宋_GB2312" w:cs="仿宋_GB2312" w:eastAsia="仿宋_GB2312"/>
                <w:sz w:val="24"/>
              </w:rPr>
              <w:t>▲5.5具备中国大陆人数据库：数据库由国内机构建立，全国多点采集，样本量＞10000 。（提供软件界面截图）</w:t>
            </w:r>
          </w:p>
          <w:p>
            <w:pPr>
              <w:pStyle w:val="null3"/>
              <w:jc w:val="both"/>
            </w:pPr>
            <w:r>
              <w:rPr>
                <w:rFonts w:ascii="仿宋_GB2312" w:hAnsi="仿宋_GB2312" w:cs="仿宋_GB2312" w:eastAsia="仿宋_GB2312"/>
                <w:sz w:val="24"/>
              </w:rPr>
              <w:t>5.6 具备智能自动确定骨边缘软件。</w:t>
            </w:r>
          </w:p>
          <w:p>
            <w:pPr>
              <w:pStyle w:val="null3"/>
              <w:jc w:val="both"/>
            </w:pPr>
            <w:r>
              <w:rPr>
                <w:rFonts w:ascii="仿宋_GB2312" w:hAnsi="仿宋_GB2312" w:cs="仿宋_GB2312" w:eastAsia="仿宋_GB2312"/>
                <w:sz w:val="24"/>
              </w:rPr>
              <w:t>5.7 具备与前一次扫描结果对比分析。</w:t>
            </w:r>
          </w:p>
          <w:p>
            <w:pPr>
              <w:pStyle w:val="null3"/>
              <w:jc w:val="both"/>
            </w:pPr>
            <w:r>
              <w:rPr>
                <w:rFonts w:ascii="仿宋_GB2312" w:hAnsi="仿宋_GB2312" w:cs="仿宋_GB2312" w:eastAsia="仿宋_GB2312"/>
                <w:sz w:val="24"/>
              </w:rPr>
              <w:t>5.8 具备异常骨密度区域或金属自动排除软件。</w:t>
            </w:r>
          </w:p>
          <w:p>
            <w:pPr>
              <w:pStyle w:val="null3"/>
              <w:jc w:val="both"/>
            </w:pPr>
            <w:r>
              <w:rPr>
                <w:rFonts w:ascii="仿宋_GB2312" w:hAnsi="仿宋_GB2312" w:cs="仿宋_GB2312" w:eastAsia="仿宋_GB2312"/>
                <w:sz w:val="24"/>
              </w:rPr>
              <w:t>5.9 屏具备幕上扫描部位调整（可以通过软件，在屏幕上对扫描部位做精细调整，保证测量的精确性）。</w:t>
            </w:r>
          </w:p>
          <w:p>
            <w:pPr>
              <w:pStyle w:val="null3"/>
              <w:jc w:val="both"/>
            </w:pPr>
            <w:r>
              <w:rPr>
                <w:rFonts w:ascii="仿宋_GB2312" w:hAnsi="仿宋_GB2312" w:cs="仿宋_GB2312" w:eastAsia="仿宋_GB2312"/>
                <w:sz w:val="24"/>
              </w:rPr>
              <w:t>5.10 具备体重、种族差异校正软件。</w:t>
            </w:r>
          </w:p>
          <w:p>
            <w:pPr>
              <w:pStyle w:val="null3"/>
              <w:jc w:val="both"/>
            </w:pPr>
            <w:r>
              <w:rPr>
                <w:rFonts w:ascii="仿宋_GB2312" w:hAnsi="仿宋_GB2312" w:cs="仿宋_GB2312" w:eastAsia="仿宋_GB2312"/>
                <w:sz w:val="24"/>
              </w:rPr>
              <w:t>5.11 具备T值和Z值分析软件。</w:t>
            </w:r>
          </w:p>
          <w:p>
            <w:pPr>
              <w:pStyle w:val="null3"/>
              <w:jc w:val="both"/>
            </w:pPr>
            <w:r>
              <w:rPr>
                <w:rFonts w:ascii="仿宋_GB2312" w:hAnsi="仿宋_GB2312" w:cs="仿宋_GB2312" w:eastAsia="仿宋_GB2312"/>
                <w:sz w:val="24"/>
              </w:rPr>
              <w:t>5.12 具备检测质量控制系统（含质量检测程序，QA态势分析）。</w:t>
            </w:r>
          </w:p>
          <w:p>
            <w:pPr>
              <w:pStyle w:val="null3"/>
              <w:jc w:val="both"/>
            </w:pPr>
            <w:r>
              <w:rPr>
                <w:rFonts w:ascii="仿宋_GB2312" w:hAnsi="仿宋_GB2312" w:cs="仿宋_GB2312" w:eastAsia="仿宋_GB2312"/>
                <w:sz w:val="24"/>
              </w:rPr>
              <w:t>5.13 具备检测结果趋势分析功能。</w:t>
            </w:r>
          </w:p>
          <w:p>
            <w:pPr>
              <w:pStyle w:val="null3"/>
              <w:jc w:val="both"/>
            </w:pPr>
            <w:r>
              <w:rPr>
                <w:rFonts w:ascii="仿宋_GB2312" w:hAnsi="仿宋_GB2312" w:cs="仿宋_GB2312" w:eastAsia="仿宋_GB2312"/>
                <w:sz w:val="24"/>
              </w:rPr>
              <w:t>5.14 具备多部位集成报告软件-多部位集成报告系统，将所有检测结果打印在一张报告上进行联合评估。</w:t>
            </w:r>
          </w:p>
          <w:p>
            <w:pPr>
              <w:pStyle w:val="null3"/>
              <w:jc w:val="both"/>
            </w:pPr>
            <w:r>
              <w:rPr>
                <w:rFonts w:ascii="仿宋_GB2312" w:hAnsi="仿宋_GB2312" w:cs="仿宋_GB2312" w:eastAsia="仿宋_GB2312"/>
                <w:sz w:val="24"/>
              </w:rPr>
              <w:t>5.15 具备自动化报告编辑书写软件。</w:t>
            </w:r>
          </w:p>
          <w:p>
            <w:pPr>
              <w:pStyle w:val="null3"/>
              <w:jc w:val="both"/>
            </w:pPr>
            <w:r>
              <w:rPr>
                <w:rFonts w:ascii="仿宋_GB2312" w:hAnsi="仿宋_GB2312" w:cs="仿宋_GB2312" w:eastAsia="仿宋_GB2312"/>
                <w:sz w:val="24"/>
              </w:rPr>
              <w:t>5.16 具备DICOM 协议接口。（存储、传输、检索/查询、Worklist、打印）。</w:t>
            </w:r>
          </w:p>
          <w:p>
            <w:pPr>
              <w:pStyle w:val="null3"/>
              <w:jc w:val="both"/>
            </w:pPr>
            <w:r>
              <w:rPr>
                <w:rFonts w:ascii="仿宋_GB2312" w:hAnsi="仿宋_GB2312" w:cs="仿宋_GB2312" w:eastAsia="仿宋_GB2312"/>
                <w:sz w:val="24"/>
              </w:rPr>
              <w:t>5.17 具备HL7协议接口。</w:t>
            </w:r>
          </w:p>
          <w:p>
            <w:pPr>
              <w:pStyle w:val="null3"/>
              <w:jc w:val="both"/>
            </w:pPr>
            <w:r>
              <w:rPr>
                <w:rFonts w:ascii="仿宋_GB2312" w:hAnsi="仿宋_GB2312" w:cs="仿宋_GB2312" w:eastAsia="仿宋_GB2312"/>
                <w:sz w:val="24"/>
              </w:rPr>
              <w:t>6.放射剂量：</w:t>
            </w:r>
          </w:p>
          <w:p>
            <w:pPr>
              <w:pStyle w:val="null3"/>
              <w:jc w:val="both"/>
            </w:pPr>
            <w:r>
              <w:rPr>
                <w:rFonts w:ascii="仿宋_GB2312" w:hAnsi="仿宋_GB2312" w:cs="仿宋_GB2312" w:eastAsia="仿宋_GB2312"/>
                <w:sz w:val="24"/>
              </w:rPr>
              <w:t>6.1 脊柱/股骨扫描放射剂量：≤37μGy。</w:t>
            </w:r>
          </w:p>
          <w:p>
            <w:pPr>
              <w:pStyle w:val="null3"/>
              <w:jc w:val="both"/>
            </w:pPr>
            <w:r>
              <w:rPr>
                <w:rFonts w:ascii="仿宋_GB2312" w:hAnsi="仿宋_GB2312" w:cs="仿宋_GB2312" w:eastAsia="仿宋_GB2312"/>
                <w:sz w:val="24"/>
              </w:rPr>
              <w:t>6.2 全身扫描放射剂量：≤0.4μGy。</w:t>
            </w:r>
          </w:p>
          <w:p>
            <w:pPr>
              <w:pStyle w:val="null3"/>
              <w:jc w:val="both"/>
            </w:pPr>
            <w:r>
              <w:rPr>
                <w:rFonts w:ascii="仿宋_GB2312" w:hAnsi="仿宋_GB2312" w:cs="仿宋_GB2312" w:eastAsia="仿宋_GB2312"/>
                <w:sz w:val="24"/>
              </w:rPr>
              <w:t>6.3 操作者散射剂量：距扫描床1米处外溢剂量≤6μSv/Hr。</w:t>
            </w:r>
          </w:p>
          <w:p>
            <w:pPr>
              <w:pStyle w:val="null3"/>
              <w:jc w:val="both"/>
            </w:pPr>
            <w:r>
              <w:rPr>
                <w:rFonts w:ascii="仿宋_GB2312" w:hAnsi="仿宋_GB2312" w:cs="仿宋_GB2312" w:eastAsia="仿宋_GB2312"/>
                <w:sz w:val="24"/>
              </w:rPr>
              <w:t>7.校准系统：</w:t>
            </w:r>
          </w:p>
          <w:p>
            <w:pPr>
              <w:pStyle w:val="null3"/>
              <w:jc w:val="both"/>
            </w:pPr>
            <w:r>
              <w:rPr>
                <w:rFonts w:ascii="仿宋_GB2312" w:hAnsi="仿宋_GB2312" w:cs="仿宋_GB2312" w:eastAsia="仿宋_GB2312"/>
                <w:sz w:val="24"/>
              </w:rPr>
              <w:t>7.1 具备自动质控测试程序；具备自动质控趋势分析。</w:t>
            </w:r>
          </w:p>
          <w:p>
            <w:pPr>
              <w:pStyle w:val="null3"/>
              <w:jc w:val="both"/>
            </w:pPr>
            <w:r>
              <w:rPr>
                <w:rFonts w:ascii="仿宋_GB2312" w:hAnsi="仿宋_GB2312" w:cs="仿宋_GB2312" w:eastAsia="仿宋_GB2312"/>
                <w:sz w:val="24"/>
              </w:rPr>
              <w:t>7.2 具备质控模块（含大、中、小三种骨密度及肌肉脂肪校准，适合不同人群）。（提供软件功能界面截图或者国家认可的检验（检测）机构出具的检验（检测）报告）</w:t>
            </w:r>
          </w:p>
          <w:p>
            <w:pPr>
              <w:pStyle w:val="null3"/>
              <w:jc w:val="both"/>
            </w:pPr>
            <w:r>
              <w:rPr>
                <w:rFonts w:ascii="仿宋_GB2312" w:hAnsi="仿宋_GB2312" w:cs="仿宋_GB2312" w:eastAsia="仿宋_GB2312"/>
                <w:sz w:val="24"/>
              </w:rPr>
              <w:t>★8.网络接口服务：由中标供应商提供PACS网络接口服务。鉴于保密性原则，中标供应商与采购人签订完采购合同和保密协议后，开展本项目具体工作时再与采购人明确具体接口信息，对接事宜由采购人统筹协调，对接过程中产生的接口费用包含在投标报价中。</w:t>
            </w:r>
          </w:p>
          <w:p>
            <w:pPr>
              <w:pStyle w:val="null3"/>
              <w:jc w:val="both"/>
            </w:pPr>
            <w:r>
              <w:rPr>
                <w:rFonts w:ascii="仿宋_GB2312" w:hAnsi="仿宋_GB2312" w:cs="仿宋_GB2312" w:eastAsia="仿宋_GB2312"/>
                <w:sz w:val="24"/>
              </w:rPr>
              <w:t>★9.配置要求（</w:t>
            </w:r>
            <w:r>
              <w:rPr>
                <w:rFonts w:ascii="仿宋_GB2312" w:hAnsi="仿宋_GB2312" w:cs="仿宋_GB2312" w:eastAsia="仿宋_GB2312"/>
                <w:sz w:val="24"/>
              </w:rPr>
              <w:t>不低于以下配置</w:t>
            </w:r>
            <w:r>
              <w:rPr>
                <w:rFonts w:ascii="仿宋_GB2312" w:hAnsi="仿宋_GB2312" w:cs="仿宋_GB2312" w:eastAsia="仿宋_GB2312"/>
                <w:sz w:val="24"/>
              </w:rPr>
              <w:t>）</w:t>
            </w:r>
            <w:r>
              <w:rPr>
                <w:rFonts w:ascii="仿宋_GB2312" w:hAnsi="仿宋_GB2312" w:cs="仿宋_GB2312" w:eastAsia="仿宋_GB2312"/>
                <w:sz w:val="24"/>
              </w:rPr>
              <w:t>：主机1台。</w:t>
            </w:r>
            <w:r>
              <w:rPr>
                <w:rFonts w:ascii="仿宋_GB2312" w:hAnsi="仿宋_GB2312" w:cs="仿宋_GB2312" w:eastAsia="仿宋_GB2312"/>
                <w:sz w:val="24"/>
                <w:b/>
              </w:rPr>
              <w:t>（提供配置承诺函（承诺函格式自拟）和投标产品配置清单（格式详见附件））</w:t>
            </w:r>
          </w:p>
          <w:p>
            <w:pPr>
              <w:pStyle w:val="null3"/>
              <w:jc w:val="left"/>
            </w:pPr>
            <w:r>
              <w:rPr>
                <w:rFonts w:ascii="仿宋_GB2312" w:hAnsi="仿宋_GB2312" w:cs="仿宋_GB2312" w:eastAsia="仿宋_GB2312"/>
                <w:sz w:val="24"/>
              </w:rPr>
              <w:t>★10.整机质保期≥3年。</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若投标产品及其配置产品为医疗器械的，投标产品及其配置产品须符合《医疗器械注册与备案管理办法》要求并提供中华人民共和国医疗器械注册证或备案凭证。</w:t>
            </w:r>
            <w:r>
              <w:rPr>
                <w:rFonts w:ascii="仿宋_GB2312" w:hAnsi="仿宋_GB2312" w:cs="仿宋_GB2312" w:eastAsia="仿宋_GB2312"/>
                <w:sz w:val="24"/>
                <w:b/>
              </w:rPr>
              <w:t>（提供</w:t>
            </w:r>
            <w:r>
              <w:rPr>
                <w:rFonts w:ascii="仿宋_GB2312" w:hAnsi="仿宋_GB2312" w:cs="仿宋_GB2312" w:eastAsia="仿宋_GB2312"/>
                <w:sz w:val="24"/>
                <w:b/>
              </w:rPr>
              <w:t>医疗器械注册证或备案凭证</w:t>
            </w:r>
            <w:r>
              <w:rPr>
                <w:rFonts w:ascii="仿宋_GB2312" w:hAnsi="仿宋_GB2312" w:cs="仿宋_GB2312" w:eastAsia="仿宋_GB2312"/>
                <w:sz w:val="24"/>
                <w:b/>
              </w:rPr>
              <w:t>扫描件，并加盖投标人公章）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自合同签订之日起60日内完成安装调试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简阳市人民医院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1、进度款，设备安装完成且最终验收合格后，并收到正式发票，达到付款条件起15日内，支付合同总金额的95.00%</w:t>
            </w:r>
          </w:p>
          <w:p>
            <w:pPr>
              <w:pStyle w:val="null3"/>
              <w:jc w:val="left"/>
            </w:pPr>
            <w:r>
              <w:rPr>
                <w:rFonts w:ascii="仿宋_GB2312" w:hAnsi="仿宋_GB2312" w:cs="仿宋_GB2312" w:eastAsia="仿宋_GB2312"/>
              </w:rPr>
              <w:t>2、尾款，设备质保期满验收合格后，并收到正式发票，达到付款条件起15日内，支付合同总金额的5.00%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验收由采购单位组织，中标供应商配合进行： （1）设备在中标供应商通知安装调试完毕后10日内初步验收。初步验收合格后，进入30日试用期；试用期间发生设备故障，修复后试用相应顺延；试用期结束后7日内完成最终验收；试用期间发生重大质量问题，中标供应商无条件退货换新，由此产生的一切经济损失，由中标供应商负责。 （2）中标供应商安排产品生产厂家技术人员应就设备的安装、调试、操作、维修、保养等对采购单位操作、技术人员进行培训和技术支持，直至采购单位的技术人员能独立操作，同时能完成一般常见故障的维修工作。 （3）验收标准以招投标文件技术参数及要求、投标文件响应、采购合同和相关行业标准为准。 双方如对质量要求和技术指标的约定标准有相互抵触或异议的事项，由采购人在招标与投标文件中按质量要求和技术指标比较优胜的原则确定该项的约定标准进行验收。 （4）中标供应商应将所提供设备的装箱清单、配件、随机工具、用户使用手册、原厂保修卡、产品合格证明、维修手册、软件备份、故障代码表、维修密码等资料交付给采购单位，同时提供电子版的设备规范操作流程、设备日常保养流程、设备使用及日常保养注意事项1套；中标供应商不能完整交付设备及本款规定的单证和工具的，必须负责补齐，否则视为未按合同约定交货。验收时如发现所交付的货物有短装、次品、损坏或其它不符合标准及合同规定之情形者，采购人应做出详尽的现场记录，或由双方签署备忘录，此现场记录或备忘录可用作补充、缺失和更换损坏部件的有效证据，由此产生的时间延误与有关费用由中标供应商承担，验收期限相应顺延。如质量验收合格，双方签署质量验收报告。 （5）其他未尽事宜按照政府采购相关法律法规以及《财政部关于进一步加强政府采购需求和履约验收管理的指导意见》（财库〔2016〕205 号）和《政府采购需求管理办法》（财库〔2021〕22号）的要求、招标文件的要求以及中标人投标文件、采购合同进行验收。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自设备最终验收合格之日起整机保修3年（包含主机及配套设备设施）。质保期内出现故障问题，中标供应商接到设备故障报告后，2个小时内作出维修方案响应，作出维修响应后，应在24小时内电话解决问题，如电话不能解决问题，则维修人员应在24小时之内到达现场（含节假日、公休日）进行维修。如设备需返厂维修，维修期间须提供备用样机。质保期内设备维保维修及更换配件所涉及的费用均包含在投标报价中。 2.质保期内设备开机率≥98%（按全年365天计，每年停机时间不超过7天），因维修所耽误时间应顺延质保时间，按每耽误1天顺延20天计。在质保期内每年提供 4 次预防性保养及维护服务（每季度1次），每年度提交年度保养维护总结。 3.如设备经中标供应商 3 次维修仍不能达到合同约定的质量标准，视作中标供应商未能按时交货，采购人有权退货并追究供应商的违约责任。货到现场后由于采购人保管不当造成的问题，中标供应商亦应负责修复，但费用由采购人负担。 4.质保期满后若设备故障，中标供应商无条件先负责修理好设备，经采购人使用正常后支付相关维修费用。质保期满后修复设备涉及更换的配件费用，只收取厂家规定的最优成本费，产生的其它费用均由中标供应商支付。 5.设备维修期间应提供合格备机，所涉及相关费用均包含在投标报价中。 6.设备全生命周期提供系统软件的升级维护服务（不包含新增功能性升级），所涉及相关费用均包含在投标报价中。</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（以下内容中“甲方”指采购人，“乙方”指中标供应商） ： 一、违约责任： 1.甲方违约责任： （1）甲方无正当理由拒收货物的，甲方应偿付合同总价百分之一的违约金； （2）甲方逾期支付货款的，除应及时付足货款外，应向乙方偿付欠款总额万分之一/天的违约金；逾期付款超过三十天的，乙方有权终止合同； 2.乙方违约责任： （1）乙方交付的设备质量不符合合同规定的，乙方应向甲方支付合同总价的百分之一的违约金，并须在合同规定的交货时间内更换合格的设备给甲方，否则，视作乙方不能交付设备而违约，由乙方偿付违约赔偿金给甲方。 （2）乙方不能交付设备或逾期交付设备而违约的，除应及时交足设备外，应向甲方偿付逾期交货部分货款总额的万分之一/天的违约金；逾期交货超过30天，甲方有权终止合同，乙方除应向甲方返还已收款项外，乙方还应按合同总价的百分之一的款额向甲方偿付赔偿金，同时甲方有权没收履约保证金。 （3）乙方设备经甲方送交具有法定资格条件的质量技术监督机构检测后，如检测结果认定设备质量不符合本合同规定标准的，则视为乙方没有按时交货而违约，乙方须在7天内无条件更换合格的设备，如逾期不能更换合格的设备，甲方有权终止本合同，乙方除应向甲方返还已收款项外，乙方还应另付合同总价的百分之一的赔偿金给甲方。 （4）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 二、解决争议办法： 1.因设备的质量问题发生争议，由质量技术监督部门或其指定的质量鉴定机构进行质量鉴定。设备符合标准的，鉴定费由采购方承担；设备不符合质量标准的，鉴定费由供应商承担。 2.合同履行期间,若双方发生争议，可协商或由有关部门调解解决，协商或调解不成的，双方均可依法向本合同履行地法院提起诉讼。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★一、投标人及其现任法定代表人、主要负责人没有行贿犯罪记录。（提供承诺函）。 ★二、各供应商需提供非围标串标承诺函（格式已提供）。 ★三、告供应商书需盖公章上传（格式已提供）。 四、其他（仅为评审依据，未完全满足仅按要求进行扣分，不影响其投标文件有效性）：（一）投标人针对本项目制定售后服务方案，售后服务方案包含：（1）质量保障措施、（2）安装及调试进度计划、（3）维修更换流程、（4）售后人员配置方案、（5）培训方案（至少含培训内容、培训计划、培训人员安排）。 （二）履约经验：2022年1月1日（含1日）至递交投标文件截止时间，投标人具有类似项目业绩。 五、本国产品价格扣除（如涉及）：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格式见附件《关于符合本国产品标准的声明函》）或财政部会同有关部门规定的有关证明文件，未提供的，视为放弃享受本国产品价格扣除优惠政策。供应商提供虚假《关于符合本国产品标准的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①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⑥也可提供承诺函（供应商需在项目电子化交易系统中按要求填写《投标（响应）函》完成承诺并进行电子签章）。以上第①-⑥项要求，供应商可根据自身实际情况选择提供其中任意一项。</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若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 2.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tc>
        <w:tc>
          <w:tcPr>
            <w:tcW w:type="dxa" w:w="3322"/>
          </w:tcPr>
          <w:p>
            <w:pPr>
              <w:pStyle w:val="null3"/>
              <w:jc w:val="left"/>
            </w:pPr>
            <w:r>
              <w:rPr>
                <w:rFonts w:ascii="仿宋_GB2312" w:hAnsi="仿宋_GB2312" w:cs="仿宋_GB2312" w:eastAsia="仿宋_GB2312"/>
              </w:rPr>
              <w:t>1.若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 2.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关于招标文件第二章中实质性要求的承诺函.docx,投标（响应）函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异常低价投标审查（实质性要求）</w:t>
            </w:r>
          </w:p>
        </w:tc>
        <w:tc>
          <w:tcPr>
            <w:tcW w:type="dxa" w:w="3322"/>
          </w:tcPr>
          <w:p>
            <w:pPr>
              <w:pStyle w:val="null3"/>
              <w:jc w:val="left"/>
            </w:pPr>
            <w:r>
              <w:rPr>
                <w:rFonts w:ascii="仿宋_GB2312" w:hAnsi="仿宋_GB2312" w:cs="仿宋_GB2312" w:eastAsia="仿宋_GB2312"/>
              </w:rPr>
              <w:t>评标过程中出现下列情形之一的，评标委员会应当启动异常低价投标审查程序： 1.投标报价低于全部通过符合性审查供应商投标报价平均值 50%的，即投标报价&lt;全部通过符合性审查供应商投标报价平均值× 50%； 2.投标报价低于通过符合性审查的次低报价供应商投标报价50%的，即投标报价&lt;通过符合性审查的次低报价供应商投标报价× 50%； 3.投标报价低于采购项目（采购包）最高限价45%的，即投标报价&lt;采购项目（采购包）最高限价× 45%； 4.评标委员会基于专业判断，认为供应商报价过低，有可能影响产品质量或者不能诚信履约的其他情形。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第三章“3.2.技术要求”中标注★的要求</w:t>
            </w:r>
          </w:p>
        </w:tc>
        <w:tc>
          <w:tcPr>
            <w:tcW w:type="dxa" w:w="3322"/>
          </w:tcPr>
          <w:p>
            <w:pPr>
              <w:pStyle w:val="null3"/>
              <w:jc w:val="left"/>
            </w:pPr>
            <w:r>
              <w:rPr>
                <w:rFonts w:ascii="仿宋_GB2312" w:hAnsi="仿宋_GB2312" w:cs="仿宋_GB2312" w:eastAsia="仿宋_GB2312"/>
              </w:rPr>
              <w:t>招标文件第三章“3.2.技术要求”中标注★的要求为实质性要求，不允许有负偏离。</w:t>
            </w:r>
          </w:p>
        </w:tc>
        <w:tc>
          <w:tcPr>
            <w:tcW w:type="dxa" w:w="1661"/>
          </w:tcPr>
          <w:p>
            <w:pPr>
              <w:pStyle w:val="null3"/>
              <w:jc w:val="left"/>
            </w:pPr>
            <w:r>
              <w:rPr>
                <w:rFonts w:ascii="仿宋_GB2312" w:hAnsi="仿宋_GB2312" w:cs="仿宋_GB2312" w:eastAsia="仿宋_GB2312"/>
              </w:rPr>
              <w:t>技术要求应答表.docx,投标产品配置清单.docx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第三章“3.3.2.商务要求”中标注★的要求</w:t>
            </w:r>
          </w:p>
        </w:tc>
        <w:tc>
          <w:tcPr>
            <w:tcW w:type="dxa" w:w="3322"/>
          </w:tcPr>
          <w:p>
            <w:pPr>
              <w:pStyle w:val="null3"/>
              <w:jc w:val="left"/>
            </w:pPr>
            <w:r>
              <w:rPr>
                <w:rFonts w:ascii="仿宋_GB2312" w:hAnsi="仿宋_GB2312" w:cs="仿宋_GB2312" w:eastAsia="仿宋_GB2312"/>
              </w:rPr>
              <w:t>招标文件第三章“3.3.2.商务要求”中标注★的要求为实质性要求，不允许有负偏离。</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第三章“3.4.其他要求”中标注★的要求</w:t>
            </w:r>
          </w:p>
        </w:tc>
        <w:tc>
          <w:tcPr>
            <w:tcW w:type="dxa" w:w="3322"/>
          </w:tcPr>
          <w:p>
            <w:pPr>
              <w:pStyle w:val="null3"/>
              <w:jc w:val="left"/>
            </w:pPr>
            <w:r>
              <w:rPr>
                <w:rFonts w:ascii="仿宋_GB2312" w:hAnsi="仿宋_GB2312" w:cs="仿宋_GB2312" w:eastAsia="仿宋_GB2312"/>
              </w:rPr>
              <w:t>招标文件第三章“3.4.其他要求”中标注★的要求为实质性要求，不允许有负偏离。</w:t>
            </w:r>
          </w:p>
        </w:tc>
        <w:tc>
          <w:tcPr>
            <w:tcW w:type="dxa" w:w="1661"/>
          </w:tcPr>
          <w:p>
            <w:pPr>
              <w:pStyle w:val="null3"/>
              <w:jc w:val="left"/>
            </w:pPr>
            <w:r>
              <w:rPr>
                <w:rFonts w:ascii="仿宋_GB2312" w:hAnsi="仿宋_GB2312" w:cs="仿宋_GB2312" w:eastAsia="仿宋_GB2312"/>
              </w:rPr>
              <w:t>告供应商书.docx,非围标串标承诺函.docx,其他要求应答表.docx,无行贿犯罪承诺函.docx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标委员会依据本招标文件要求的其他实质性要求，对符合资格的投标文件进行审查，以确定其是否满足本招标文件的其他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tc>
        <w:tc>
          <w:tcPr>
            <w:tcW w:type="dxa" w:w="1661"/>
          </w:tcPr>
          <w:p>
            <w:pPr>
              <w:pStyle w:val="null3"/>
              <w:jc w:val="left"/>
            </w:pPr>
            <w:r>
              <w:rPr>
                <w:rFonts w:ascii="仿宋_GB2312" w:hAnsi="仿宋_GB2312" w:cs="仿宋_GB2312" w:eastAsia="仿宋_GB2312"/>
              </w:rPr>
              <w:t>投标人应提供的其他相关证明材料.docx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制定的售后服务方案进行评审，售后服务方案包含：（1）质量保障措施、（2）安装及调试进度计划、（3）维修更换流程、（4）售后人员配置方案、（5）培训方案（至少含培训内容、培训计划、培训人员安排）；涵盖以上内容且不存在缺陷得8分，在此基础上，每缺少一项内容扣1.6分，每有一项内容存在任一缺陷的，在1.6分的基础上扣0.8分，扣完为止。 （注：“内容存在缺陷”是指：①本项目提供的方案中引用法律法规、规范、标准或其他规范性文件存在失效或错误；②非专门针对本项目；或内容与本项目需求无关；或复制（或套用）其他项目内容。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2022年1月1日（含1日）至递交投标文件截止时间，投标人每具有一个类似项目业绩得1分，本项最多得3分。 注： （1）类似项目业绩是指：至少包含采购标的的业绩； （2）业绩证明材料：提供完整、清楚、无涂改的合同；或提供完整、清楚、无涂改的中标（成交或中选）通知书。 （3）提供合同的以合同签订时间为准，提供中标（成交或中选）通知书的以中标（成交或中选）通知书落款时间为准，同时提供中标（成交或中选）通知书和合同的以合同签订时间为准。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vMerge/>
          </w:tcPr>
          <w:p/>
        </w:tc>
        <w:tc>
          <w:tcPr>
            <w:tcW w:type="dxa" w:w="1661"/>
          </w:tcPr>
          <w:p>
            <w:pPr>
              <w:pStyle w:val="null3"/>
              <w:jc w:val="left"/>
            </w:pPr>
            <w:r>
              <w:rPr>
                <w:rFonts w:ascii="仿宋_GB2312" w:hAnsi="仿宋_GB2312" w:cs="仿宋_GB2312" w:eastAsia="仿宋_GB2312"/>
              </w:rPr>
              <w:t>技术参数应答</w:t>
            </w:r>
          </w:p>
        </w:tc>
        <w:tc>
          <w:tcPr>
            <w:tcW w:type="dxa" w:w="2575"/>
          </w:tcPr>
          <w:p>
            <w:pPr>
              <w:pStyle w:val="null3"/>
              <w:jc w:val="left"/>
            </w:pPr>
            <w:r>
              <w:rPr>
                <w:rFonts w:ascii="仿宋_GB2312" w:hAnsi="仿宋_GB2312" w:cs="仿宋_GB2312" w:eastAsia="仿宋_GB2312"/>
              </w:rPr>
              <w:t>1.完全符合招标文件第三章“3.2.技术要求”中的全部技术参数与性能指标要求，没有负偏离得59分。 2.带“▲”技术参数为重要参数（共计9条），每有一条存在负偏离扣4分，36分扣完为止。 3.非带“▲”、非带“★”技术参数为一般参数（共计50条），每有一条存在负偏离扣0.46分，23分扣完为止。 注： （1）带“▲”的重要技术参数与性能指标要求的证明材料招标文件有具体要求的，按要求提供；非带“▲”、非带“★”的技术参数与性能指标要求的证明材料招标文件如有具体要求的，按要求提供；带“★”的技术参数与性能指标要求的证明材料招标文件如有具体要求的，按要求提供。否则将视为负偏离。（如证明材料与技术参数应答存在自相矛盾或未按要求提供证明材料视为负偏离）。 （2）本项目的技术参数与性能指标要求较多，若投标人本项分值扣完，不能认定其未实质性响应。 （3）数量的计算：招标文件第三章的“3.2.技术要求”中的全部技术参数与性能指标要求条款中：“1.”“2.”“3.”…或“1.1”“1.2”“1.3”…或“1.1.1”“1.1.2”“1.1.3”…最末端标号作为计算条数。（注：以最低级别编号（例如“1.1.1”“1.1.2”“1.1.3”等）为一条参数，若无最低等级编号，则以上一级别编号（例如“1.1”“1.2”“1.3”等）计算，以此类推。</w:t>
            </w:r>
          </w:p>
        </w:tc>
        <w:tc>
          <w:tcPr>
            <w:tcW w:type="dxa" w:w="831"/>
          </w:tcPr>
          <w:p>
            <w:pPr>
              <w:pStyle w:val="null3"/>
              <w:jc w:val="center"/>
            </w:pPr>
            <w:r>
              <w:rPr>
                <w:rFonts w:ascii="仿宋_GB2312" w:hAnsi="仿宋_GB2312" w:cs="仿宋_GB2312" w:eastAsia="仿宋_GB2312"/>
              </w:rPr>
              <w:t>59.0000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扣除比例）；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详见附件：关于招标文件第二章中实质性要求的承诺函.docx</w:t>
      </w:r>
    </w:p>
    <w:p>
      <w:pPr>
        <w:pStyle w:val="null3"/>
        <w:ind w:firstLine="960"/>
        <w:jc w:val="left"/>
      </w:pPr>
      <w:r>
        <w:rPr>
          <w:rFonts w:ascii="仿宋_GB2312" w:hAnsi="仿宋_GB2312" w:cs="仿宋_GB2312" w:eastAsia="仿宋_GB2312"/>
        </w:rPr>
        <w:t>详见附件：无行贿犯罪承诺函.docx</w:t>
      </w:r>
    </w:p>
    <w:p>
      <w:pPr>
        <w:pStyle w:val="null3"/>
        <w:ind w:firstLine="960"/>
        <w:jc w:val="left"/>
      </w:pPr>
      <w:r>
        <w:rPr>
          <w:rFonts w:ascii="仿宋_GB2312" w:hAnsi="仿宋_GB2312" w:cs="仿宋_GB2312" w:eastAsia="仿宋_GB2312"/>
        </w:rPr>
        <w:t>详见附件：非围标串标承诺函.docx</w:t>
      </w:r>
    </w:p>
    <w:p>
      <w:pPr>
        <w:pStyle w:val="null3"/>
        <w:ind w:firstLine="960"/>
        <w:jc w:val="left"/>
      </w:pPr>
      <w:r>
        <w:rPr>
          <w:rFonts w:ascii="仿宋_GB2312" w:hAnsi="仿宋_GB2312" w:cs="仿宋_GB2312" w:eastAsia="仿宋_GB2312"/>
        </w:rPr>
        <w:t>详见附件：告供应商书.docx</w:t>
      </w:r>
    </w:p>
    <w:p>
      <w:pPr>
        <w:pStyle w:val="null3"/>
        <w:ind w:firstLine="960"/>
        <w:jc w:val="left"/>
      </w:pPr>
      <w:r>
        <w:rPr>
          <w:rFonts w:ascii="仿宋_GB2312" w:hAnsi="仿宋_GB2312" w:cs="仿宋_GB2312" w:eastAsia="仿宋_GB2312"/>
        </w:rPr>
        <w:t>详见附件：投标人应提供的其他相关证明材料.docx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详见附件：投标产品配置清单.docx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