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版本号：N510422202600002420260430001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盐边县2026年广播电视运行维护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N5104222026000024</w:t>
      </w:r>
    </w:p>
    <w:p>
      <w:pPr>
        <w:pStyle w:val="null3"/>
        <w:jc w:val="center"/>
        <w:outlineLvl w:val="2"/>
      </w:pPr>
      <w:r>
        <w:rPr>
          <w:rFonts w:ascii="仿宋_GB2312" w:hAnsi="仿宋_GB2312" w:cs="仿宋_GB2312" w:eastAsia="仿宋_GB2312"/>
          <w:sz w:val="28"/>
          <w:b/>
        </w:rPr>
        <w:t>盐边县文化广播电视和旅游局</w:t>
      </w:r>
    </w:p>
    <w:p>
      <w:pPr>
        <w:pStyle w:val="null3"/>
        <w:jc w:val="center"/>
        <w:outlineLvl w:val="2"/>
      </w:pPr>
      <w:r>
        <w:rPr>
          <w:rFonts w:ascii="仿宋_GB2312" w:hAnsi="仿宋_GB2312" w:cs="仿宋_GB2312" w:eastAsia="仿宋_GB2312"/>
          <w:sz w:val="28"/>
          <w:b/>
        </w:rPr>
        <w:t>四川百瑞全过程工程项目管理有限公司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四川百瑞全过程工程项目管理有限公司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盐边县文化广播电视和旅游局</w:t>
      </w:r>
      <w:r>
        <w:rPr>
          <w:rFonts w:ascii="仿宋_GB2312" w:hAnsi="仿宋_GB2312" w:cs="仿宋_GB2312" w:eastAsia="仿宋_GB2312"/>
        </w:rPr>
        <w:t xml:space="preserve"> 委托，拟对 </w:t>
      </w:r>
      <w:r>
        <w:rPr>
          <w:rFonts w:ascii="仿宋_GB2312" w:hAnsi="仿宋_GB2312" w:cs="仿宋_GB2312" w:eastAsia="仿宋_GB2312"/>
        </w:rPr>
        <w:t>盐边县2026年广播电视运行维护</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攀枝花市盐边县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N5104222026000024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盐边县2026年广播电视运行维护</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辖区群众提供突发事件应急广播服务，保障广播电视户户通工程建设及运行维护，广播电视公共服务网点服务正常运行，实现全县1706个村村通向户户通升级后的正常运行和应急广播村村响系统的正常维护，实现全县电视户户通设施能够正常接收，12个乡（镇）88个村（居）应急广播村村响正常播放，232个应急广播终端，54个地面数字电视机站正常运行，广播电视公共服务网点的规范服务，确保全县广播村村响，电视户户通，人民群众享受便捷高效的广播电视公共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盐边县文化广播电视和旅游局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盐边县桐子林镇西环南路3号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王程</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18113861413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四川百瑞全过程工程项目管理有限公司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四川省攀枝花市盐边县四川省攀枝花市盐边县桐子林镇文华小区40幢房屋1楼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617100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15308144777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采购包1：2,161,000.00元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代理服务费收费标准：采购代理机构按照成本加合理利润原则及与采购人签订的委托代理协议之相关规定，本项目按包干价25932元收取。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盐边县文化广播电视和旅游局</w:t>
      </w:r>
      <w:r>
        <w:rPr>
          <w:rFonts w:ascii="仿宋_GB2312" w:hAnsi="仿宋_GB2312" w:cs="仿宋_GB2312" w:eastAsia="仿宋_GB2312"/>
        </w:rPr>
        <w:t xml:space="preserve"> 和 </w:t>
      </w:r>
      <w:r>
        <w:rPr>
          <w:rFonts w:ascii="仿宋_GB2312" w:hAnsi="仿宋_GB2312" w:cs="仿宋_GB2312" w:eastAsia="仿宋_GB2312"/>
        </w:rPr>
        <w:t>四川百瑞全过程工程项目管理有限公司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盐边县文化广播电视和旅游局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四川百瑞全过程工程项目管理有限公司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项目初步验收，自供应商提出验收申请且项目达到验收条件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项目最终验收，自供应商提出验收申请且项目达到验收条件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根据具体合同约定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根据竞争性磋商文件的技术要求履约内容验收。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根据竞争性磋商文件的商务履约内容验收。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严格按照《财政部关于进一步加强政府采购需求和履约验收管理的指导意见》（财库〔2016〕205号）的意见要求以及采购文件的质量要求和技术指标、成交供应商的响应文件、承诺及合同约定标准进行验收进行验收。 2）根据项目实施进度，盐边县广播电视公共服务体系运行维护领导小组将对运行维护单位开展运行维护工作分阶段进行考核验收，根据考核情况，按照资金支付进度要求分阶段支付项目资金 3）验收组深入各乡（镇）、村、户了解运行维护机构维护工作情况、群众满意度情况，到运行维护单位查看工作台账、运行维护记录，全面了解运行维护工作情况。 4）验收条件：项目验收以项目合同、竞争性磋商文件、投标文件、项目验收资料等文档为参考依据。验收申请由成交供应商提出申请，采购人按阶段进行验收。 5）最终验收资料不得少于4份，主要内容包括但不限于以下内容:项目合同、中标（成交）通知书、招、投标文件(由承接单位提供)、项目人员到岗一览表、运行维护计划方案、项目实施时间计划、设备清单、质量安全管理方案、项目阶段性报告、运行维护记录及台账、会议纪要、设备到货报验单、设备合格证、设备更新安装记录、相关图片印证资料等。</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合同履行期限:合同签订之日起至2026年度结束（本次采购拟采用一次采购三年沿用方式进行，实行一年一考核一签合同的办法，每年合同期满后，根据当年预算情况及中标人服务质量可以同其续签下一年合同，最多续签两年）；2、业绩（类似业绩是指：广播电视行业类建设或维护项目等）；3、项目人员配备（①项目负责人（1人）：须具有广播电视行业或电子信息或通信工程相关专业职称；②拟投入本项目团队其他人员（3人）：须具有广播电视行业或电子信息或通信工程相关专业级职称）。4、项目实施方案（项目实施方案包含但不限于：①项目重难点分析；②项目进度控制方案；③人员配备；④现状分析；⑤运行维护方案；⑥安装方案；⑦调试方案；⑧服务质量保障措施；⑨运维材料保障方案等）。5、服务保障方案（1.供应商在项目所在县辖乡镇承诺成交后设立售后运维网点；2.服务保障方案包含但不限于：①售后服务方案；②售后服务保证措施；③售后服务响应措施等）。6、验收条件说明: 自供应商提出验收申请且项目达到验收条件之日起7个工作日内完成验收，验收合格后按照合同约定进度支付款项。7、其他具体事项合同约定。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盐边县文化广播电视和旅游局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四川百瑞全过程工程项目管理有限公司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四川百瑞全过程工程项目管理有限公司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联系人：郑女士</w:t>
      </w:r>
    </w:p>
    <w:p>
      <w:pPr>
        <w:pStyle w:val="null3"/>
        <w:jc w:val="left"/>
      </w:pPr>
      <w:r>
        <w:rPr>
          <w:rFonts w:ascii="仿宋_GB2312" w:hAnsi="仿宋_GB2312" w:cs="仿宋_GB2312" w:eastAsia="仿宋_GB2312"/>
        </w:rPr>
        <w:t>联系电话：18982386316</w:t>
      </w:r>
    </w:p>
    <w:p>
      <w:pPr>
        <w:pStyle w:val="null3"/>
        <w:jc w:val="left"/>
      </w:pPr>
      <w:r>
        <w:rPr>
          <w:rFonts w:ascii="仿宋_GB2312" w:hAnsi="仿宋_GB2312" w:cs="仿宋_GB2312" w:eastAsia="仿宋_GB2312"/>
        </w:rPr>
        <w:t>地址：攀枝花市东区新视窗五楼</w:t>
      </w:r>
    </w:p>
    <w:p>
      <w:pPr>
        <w:pStyle w:val="null3"/>
        <w:jc w:val="left"/>
      </w:pPr>
      <w:r>
        <w:rPr>
          <w:rFonts w:ascii="仿宋_GB2312" w:hAnsi="仿宋_GB2312" w:cs="仿宋_GB2312" w:eastAsia="仿宋_GB2312"/>
        </w:rPr>
        <w:t>邮编：617000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2,161,000.00</w:t>
      </w:r>
    </w:p>
    <w:p>
      <w:pPr>
        <w:pStyle w:val="null3"/>
        <w:jc w:val="left"/>
      </w:pPr>
      <w:r>
        <w:rPr>
          <w:rFonts w:ascii="仿宋_GB2312" w:hAnsi="仿宋_GB2312" w:cs="仿宋_GB2312" w:eastAsia="仿宋_GB2312"/>
        </w:rPr>
        <w:t>采购包最高限价（元）: 2,161,000.00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C06020500 广播电视传输服务</w:t>
            </w:r>
          </w:p>
        </w:tc>
        <w:tc>
          <w:tcPr>
            <w:tcW w:type="dxa" w:w="821"/>
          </w:tcPr>
          <w:p>
            <w:pPr>
              <w:pStyle w:val="null3"/>
              <w:jc w:val="left"/>
            </w:pPr>
            <w:r>
              <w:rPr>
                <w:rFonts w:ascii="仿宋_GB2312" w:hAnsi="仿宋_GB2312" w:cs="仿宋_GB2312" w:eastAsia="仿宋_GB2312"/>
              </w:rPr>
              <w:t>盐边县2026年广播电视运行维护</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2,161,000.00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盐边县2026年广播电视运行维护</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2,161,000.00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标的名称：盐边县2026年广播电视运行维护</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技术、服务内容及要求</w:t>
            </w:r>
          </w:p>
        </w:tc>
        <w:tc>
          <w:tcPr>
            <w:tcW w:type="dxa" w:w="5814"/>
          </w:tcPr>
          <w:p>
            <w:pPr>
              <w:pStyle w:val="null3"/>
              <w:ind w:firstLine="480"/>
              <w:jc w:val="both"/>
            </w:pPr>
            <w:r>
              <w:rPr>
                <w:rFonts w:ascii="仿宋_GB2312" w:hAnsi="仿宋_GB2312" w:cs="仿宋_GB2312" w:eastAsia="仿宋_GB2312"/>
                <w:sz w:val="28"/>
                <w:b/>
              </w:rPr>
              <w:t>（一）运维建设</w:t>
            </w:r>
          </w:p>
          <w:p>
            <w:pPr>
              <w:pStyle w:val="null3"/>
              <w:ind w:firstLine="640"/>
              <w:jc w:val="both"/>
            </w:pPr>
            <w:r>
              <w:rPr>
                <w:rFonts w:ascii="仿宋_GB2312" w:hAnsi="仿宋_GB2312" w:cs="仿宋_GB2312" w:eastAsia="仿宋_GB2312"/>
                <w:sz w:val="28"/>
              </w:rPr>
              <w:t>1.升级盐边县应急广播平台软件，确保应急广播平台运行安全可靠。</w:t>
            </w:r>
          </w:p>
          <w:p>
            <w:pPr>
              <w:pStyle w:val="null3"/>
              <w:ind w:firstLine="640"/>
              <w:jc w:val="both"/>
            </w:pPr>
            <w:r>
              <w:rPr>
                <w:rFonts w:ascii="仿宋_GB2312" w:hAnsi="仿宋_GB2312" w:cs="仿宋_GB2312" w:eastAsia="仿宋_GB2312"/>
                <w:sz w:val="28"/>
              </w:rPr>
              <w:t>2.升级12个乡镇播出平台。</w:t>
            </w:r>
          </w:p>
          <w:p>
            <w:pPr>
              <w:pStyle w:val="null3"/>
              <w:ind w:firstLine="640"/>
              <w:jc w:val="both"/>
            </w:pPr>
            <w:r>
              <w:rPr>
                <w:rFonts w:ascii="仿宋_GB2312" w:hAnsi="仿宋_GB2312" w:cs="仿宋_GB2312" w:eastAsia="仿宋_GB2312"/>
                <w:sz w:val="28"/>
              </w:rPr>
              <w:t>3.扩大应急广播终端覆盖，建设60套应急广播终端。</w:t>
            </w:r>
          </w:p>
          <w:p>
            <w:pPr>
              <w:pStyle w:val="null3"/>
              <w:ind w:firstLine="640"/>
              <w:jc w:val="both"/>
            </w:pPr>
            <w:r>
              <w:rPr>
                <w:rFonts w:ascii="仿宋_GB2312" w:hAnsi="仿宋_GB2312" w:cs="仿宋_GB2312" w:eastAsia="仿宋_GB2312"/>
                <w:sz w:val="28"/>
              </w:rPr>
              <w:t>4.更换红格机房及渔门机房UPS电源2套。</w:t>
            </w:r>
          </w:p>
          <w:p>
            <w:pPr>
              <w:pStyle w:val="null3"/>
              <w:ind w:firstLine="640"/>
              <w:jc w:val="both"/>
            </w:pPr>
            <w:r>
              <w:rPr>
                <w:rFonts w:ascii="仿宋_GB2312" w:hAnsi="仿宋_GB2312" w:cs="仿宋_GB2312" w:eastAsia="仿宋_GB2312"/>
                <w:sz w:val="28"/>
              </w:rPr>
              <w:t>5.维修国胜新村、惠民杀牛坪基站围墙及地板。</w:t>
            </w:r>
          </w:p>
          <w:p>
            <w:pPr>
              <w:pStyle w:val="null3"/>
              <w:ind w:firstLine="640"/>
              <w:jc w:val="both"/>
            </w:pPr>
            <w:r>
              <w:rPr>
                <w:rFonts w:ascii="仿宋_GB2312" w:hAnsi="仿宋_GB2312" w:cs="仿宋_GB2312" w:eastAsia="仿宋_GB2312"/>
                <w:sz w:val="28"/>
              </w:rPr>
              <w:t>6.新建渔门镇双龙村核桃箐组地面数字电视机站。</w:t>
            </w:r>
          </w:p>
          <w:p>
            <w:pPr>
              <w:pStyle w:val="null3"/>
              <w:ind w:firstLine="480"/>
              <w:jc w:val="both"/>
            </w:pPr>
            <w:r>
              <w:rPr>
                <w:rFonts w:ascii="仿宋_GB2312" w:hAnsi="仿宋_GB2312" w:cs="仿宋_GB2312" w:eastAsia="仿宋_GB2312"/>
                <w:sz w:val="28"/>
                <w:b/>
              </w:rPr>
              <w:t>（二）运行维护</w:t>
            </w:r>
          </w:p>
          <w:p>
            <w:pPr>
              <w:pStyle w:val="null3"/>
              <w:ind w:firstLine="640"/>
              <w:jc w:val="both"/>
            </w:pPr>
            <w:r>
              <w:rPr>
                <w:rFonts w:ascii="仿宋_GB2312" w:hAnsi="仿宋_GB2312" w:cs="仿宋_GB2312" w:eastAsia="仿宋_GB2312"/>
                <w:sz w:val="28"/>
              </w:rPr>
              <w:t>1.应急广播平台日常播出管理，准确播出日常及各类应急信息。</w:t>
            </w:r>
          </w:p>
          <w:p>
            <w:pPr>
              <w:pStyle w:val="null3"/>
              <w:ind w:firstLine="640"/>
              <w:jc w:val="both"/>
            </w:pPr>
            <w:r>
              <w:rPr>
                <w:rFonts w:ascii="仿宋_GB2312" w:hAnsi="仿宋_GB2312" w:cs="仿宋_GB2312" w:eastAsia="仿宋_GB2312"/>
                <w:sz w:val="28"/>
              </w:rPr>
              <w:t>2.县级应急广播平台、村村响管理平台，12个乡镇广播站，88个村（社区）广播室，232个广播终端的运行维护。</w:t>
            </w:r>
          </w:p>
          <w:p>
            <w:pPr>
              <w:pStyle w:val="null3"/>
              <w:ind w:firstLine="640"/>
              <w:jc w:val="both"/>
            </w:pPr>
            <w:r>
              <w:rPr>
                <w:rFonts w:ascii="仿宋_GB2312" w:hAnsi="仿宋_GB2312" w:cs="仿宋_GB2312" w:eastAsia="仿宋_GB2312"/>
                <w:sz w:val="28"/>
              </w:rPr>
              <w:t>3.地面数字电视维护（含电力线路、光纤覆盖网络、基站费用、地面数字电视直放站及用户的维护）。</w:t>
            </w:r>
          </w:p>
          <w:p>
            <w:pPr>
              <w:pStyle w:val="null3"/>
              <w:ind w:firstLine="640"/>
              <w:jc w:val="both"/>
            </w:pPr>
            <w:r>
              <w:rPr>
                <w:rFonts w:ascii="仿宋_GB2312" w:hAnsi="仿宋_GB2312" w:cs="仿宋_GB2312" w:eastAsia="仿宋_GB2312"/>
                <w:sz w:val="28"/>
              </w:rPr>
              <w:t>4.直播卫星电视户户通电视用户的维护和广播电视公共服务网点的规范运行。</w:t>
            </w:r>
          </w:p>
          <w:p>
            <w:pPr>
              <w:pStyle w:val="null3"/>
              <w:ind w:firstLine="640"/>
              <w:jc w:val="both"/>
            </w:pPr>
            <w:r>
              <w:rPr>
                <w:rFonts w:ascii="仿宋_GB2312" w:hAnsi="仿宋_GB2312" w:cs="仿宋_GB2312" w:eastAsia="仿宋_GB2312"/>
                <w:sz w:val="28"/>
              </w:rPr>
              <w:t>5. 电台发射站运行维护，确保电台发射站正常工作，12个乡镇盐边广播电台补点站工作正常。</w:t>
            </w:r>
          </w:p>
          <w:p>
            <w:pPr>
              <w:pStyle w:val="null3"/>
              <w:ind w:firstLine="640"/>
              <w:jc w:val="both"/>
            </w:pPr>
            <w:r>
              <w:rPr>
                <w:rFonts w:ascii="仿宋_GB2312" w:hAnsi="仿宋_GB2312" w:cs="仿宋_GB2312" w:eastAsia="仿宋_GB2312"/>
                <w:sz w:val="28"/>
              </w:rPr>
              <w:t>6.开展好已建成应急广播系统的维护（含流量卡、网络）工作，确保应急广播系统正常运行，无安全播出事故。</w:t>
            </w:r>
          </w:p>
          <w:p>
            <w:pPr>
              <w:pStyle w:val="null3"/>
              <w:ind w:firstLine="640"/>
              <w:jc w:val="both"/>
            </w:pPr>
            <w:r>
              <w:rPr>
                <w:rFonts w:ascii="仿宋_GB2312" w:hAnsi="仿宋_GB2312" w:cs="仿宋_GB2312" w:eastAsia="仿宋_GB2312"/>
                <w:sz w:val="28"/>
              </w:rPr>
              <w:t>7.传输线路维护，对传输网络进行巡查维护，对有隐患的线路及时进行整改，发生突发线路终断事故能够最迟在3小时（北部乡镇）内到达现场，并进行及时有效的处理。</w:t>
            </w:r>
          </w:p>
          <w:p>
            <w:pPr>
              <w:pStyle w:val="null3"/>
              <w:ind w:firstLine="640"/>
              <w:jc w:val="both"/>
            </w:pPr>
            <w:r>
              <w:rPr>
                <w:rFonts w:ascii="仿宋_GB2312" w:hAnsi="仿宋_GB2312" w:cs="仿宋_GB2312" w:eastAsia="仿宋_GB2312"/>
                <w:sz w:val="28"/>
              </w:rPr>
              <w:t>8.全面筑牢广播电视安全播出防线，确保实现零插播、零停播、零差错。</w:t>
            </w:r>
          </w:p>
          <w:p>
            <w:pPr>
              <w:pStyle w:val="null3"/>
              <w:ind w:firstLine="640"/>
              <w:jc w:val="both"/>
            </w:pPr>
            <w:r>
              <w:rPr>
                <w:rFonts w:ascii="仿宋_GB2312" w:hAnsi="仿宋_GB2312" w:cs="仿宋_GB2312" w:eastAsia="仿宋_GB2312"/>
                <w:sz w:val="28"/>
              </w:rPr>
              <w:t>9.基站维护：全县地面数字电视基站开展日常保养和维护工作，对自建铁塔10KV高压变压器系统进行维护，对自建铁塔进行加固和维保。按照县森林防灭火要求开展基站防火清理工作，开展10KV线路进行清理养护，确保基站的运行维护正常。</w:t>
            </w:r>
          </w:p>
          <w:p>
            <w:pPr>
              <w:pStyle w:val="null3"/>
              <w:ind w:firstLine="640"/>
              <w:jc w:val="both"/>
            </w:pPr>
            <w:r>
              <w:rPr>
                <w:rFonts w:ascii="仿宋_GB2312" w:hAnsi="仿宋_GB2312" w:cs="仿宋_GB2312" w:eastAsia="仿宋_GB2312"/>
                <w:sz w:val="28"/>
              </w:rPr>
              <w:t>10.相应设施设备维护：对平台、线路、基站、终端等设施设备进行检修维护，对因自然或人为等各方面原因造成损坏的设施设备及时进行更新、更换。</w:t>
            </w:r>
          </w:p>
          <w:p>
            <w:pPr>
              <w:pStyle w:val="null3"/>
              <w:ind w:firstLine="640"/>
              <w:jc w:val="both"/>
            </w:pPr>
            <w:r>
              <w:rPr>
                <w:rFonts w:ascii="仿宋_GB2312" w:hAnsi="仿宋_GB2312" w:cs="仿宋_GB2312" w:eastAsia="仿宋_GB2312"/>
                <w:sz w:val="28"/>
              </w:rPr>
              <w:t>11.向特殊群体提供有线电视收视减免服务</w:t>
            </w:r>
          </w:p>
          <w:p>
            <w:pPr>
              <w:pStyle w:val="null3"/>
              <w:ind w:firstLine="640"/>
              <w:jc w:val="both"/>
            </w:pPr>
            <w:r>
              <w:rPr>
                <w:rFonts w:ascii="仿宋_GB2312" w:hAnsi="仿宋_GB2312" w:cs="仿宋_GB2312" w:eastAsia="仿宋_GB2312"/>
                <w:sz w:val="28"/>
                <w:b/>
              </w:rPr>
              <w:t>12.新增的更新的地面数字电视终端发射机和应急广播终端，必须与原有地面数字电视管理系统和应急广播管理平台对接并进行统一管理，产生的软件二次开发、协议接口等相关费用投标方自行承担（提供承诺函）</w:t>
            </w:r>
            <w:r>
              <w:rPr>
                <w:rFonts w:ascii="仿宋_GB2312" w:hAnsi="仿宋_GB2312" w:cs="仿宋_GB2312" w:eastAsia="仿宋_GB2312"/>
                <w:sz w:val="28"/>
              </w:rPr>
              <w:t>。</w:t>
            </w:r>
          </w:p>
          <w:p>
            <w:pPr>
              <w:pStyle w:val="null3"/>
              <w:ind w:firstLine="480"/>
              <w:jc w:val="both"/>
            </w:pPr>
            <w:r>
              <w:rPr>
                <w:rFonts w:ascii="仿宋_GB2312" w:hAnsi="仿宋_GB2312" w:cs="仿宋_GB2312" w:eastAsia="仿宋_GB2312"/>
                <w:sz w:val="28"/>
                <w:b/>
              </w:rPr>
              <w:t>（三）运维服务效果要求</w:t>
            </w:r>
          </w:p>
          <w:p>
            <w:pPr>
              <w:pStyle w:val="null3"/>
              <w:ind w:firstLine="640"/>
              <w:jc w:val="both"/>
            </w:pPr>
            <w:r>
              <w:rPr>
                <w:rFonts w:ascii="仿宋_GB2312" w:hAnsi="仿宋_GB2312" w:cs="仿宋_GB2312" w:eastAsia="仿宋_GB2312"/>
                <w:sz w:val="28"/>
              </w:rPr>
              <w:t>1.村级应急广播系统。应急广播村村响网络传输中断率≤0.05%，应急广播村村响工程按规定做到按时播放率≥95%，村村响日播放时长≥3小时，日播放频次≥3次，应急广播村村响终端接收正常率≥98%。</w:t>
            </w:r>
          </w:p>
          <w:p>
            <w:pPr>
              <w:pStyle w:val="null3"/>
              <w:ind w:firstLine="640"/>
              <w:jc w:val="both"/>
            </w:pPr>
            <w:r>
              <w:rPr>
                <w:rFonts w:ascii="仿宋_GB2312" w:hAnsi="仿宋_GB2312" w:cs="仿宋_GB2312" w:eastAsia="仿宋_GB2312"/>
                <w:sz w:val="28"/>
              </w:rPr>
              <w:t>2.电视户户通。实现全县电视户户通工程正常运行≥95%，广播电视公共服务能力得到提升，群众满意率≥90%。</w:t>
            </w:r>
          </w:p>
          <w:p>
            <w:pPr>
              <w:pStyle w:val="null3"/>
              <w:ind w:firstLine="640"/>
              <w:jc w:val="both"/>
            </w:pPr>
            <w:r>
              <w:rPr>
                <w:rFonts w:ascii="仿宋_GB2312" w:hAnsi="仿宋_GB2312" w:cs="仿宋_GB2312" w:eastAsia="仿宋_GB2312"/>
                <w:sz w:val="28"/>
              </w:rPr>
              <w:t>3.地面数字电视直放站。直放站设备完好和运行正常，停播率≤0.05%，保障群众正常免费收听收看广播电视节目，群众满意率≥95%。</w:t>
            </w:r>
          </w:p>
          <w:p>
            <w:pPr>
              <w:pStyle w:val="null3"/>
              <w:ind w:firstLine="640"/>
              <w:jc w:val="both"/>
            </w:pPr>
            <w:r>
              <w:rPr>
                <w:rFonts w:ascii="仿宋_GB2312" w:hAnsi="仿宋_GB2312" w:cs="仿宋_GB2312" w:eastAsia="仿宋_GB2312"/>
                <w:sz w:val="28"/>
              </w:rPr>
              <w:t>4.广播电视公共服务网点。确保广播电视公共服务网点的规范运行，做好各类台帐的登记、数据上报。</w:t>
            </w:r>
          </w:p>
          <w:p>
            <w:pPr>
              <w:pStyle w:val="null3"/>
              <w:ind w:firstLine="640"/>
              <w:jc w:val="both"/>
            </w:pPr>
            <w:r>
              <w:rPr>
                <w:rFonts w:ascii="仿宋_GB2312" w:hAnsi="仿宋_GB2312" w:cs="仿宋_GB2312" w:eastAsia="仿宋_GB2312"/>
                <w:sz w:val="28"/>
              </w:rPr>
              <w:t>6.传输线路畅通：发生突发线路终断事故能够在3小时内到达现场，并进行及时有效的处理，一般性故障能够在24小时内处理完成，重大故障48小时内处理完。</w:t>
            </w:r>
          </w:p>
          <w:p>
            <w:pPr>
              <w:pStyle w:val="null3"/>
              <w:ind w:firstLine="640"/>
              <w:jc w:val="both"/>
            </w:pPr>
            <w:r>
              <w:rPr>
                <w:rFonts w:ascii="仿宋_GB2312" w:hAnsi="仿宋_GB2312" w:cs="仿宋_GB2312" w:eastAsia="仿宋_GB2312"/>
                <w:sz w:val="28"/>
              </w:rPr>
              <w:t>7.确保重要时期安全播出。全面筑牢广播电视安全播出防线，确保实现零插播、零停播、零差错。</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）其它要求：其它未尽事宜由采购人与中标单位在采购合同中约定。</w:t>
            </w:r>
          </w:p>
          <w:p>
            <w:pPr>
              <w:pStyle w:val="null3"/>
              <w:ind w:firstLine="480"/>
              <w:jc w:val="both"/>
            </w:pPr>
            <w:r>
              <w:rPr>
                <w:rFonts w:ascii="仿宋_GB2312" w:hAnsi="仿宋_GB2312" w:cs="仿宋_GB2312" w:eastAsia="仿宋_GB2312"/>
                <w:sz w:val="28"/>
                <w:b/>
              </w:rPr>
              <w:t>（</w:t>
            </w:r>
            <w:r>
              <w:rPr>
                <w:rFonts w:ascii="仿宋_GB2312" w:hAnsi="仿宋_GB2312" w:cs="仿宋_GB2312" w:eastAsia="仿宋_GB2312"/>
                <w:sz w:val="28"/>
                <w:b/>
              </w:rPr>
              <w:t>五）</w:t>
            </w:r>
            <w:r>
              <w:rPr>
                <w:rFonts w:ascii="仿宋_GB2312" w:hAnsi="仿宋_GB2312" w:cs="仿宋_GB2312" w:eastAsia="仿宋_GB2312"/>
                <w:sz w:val="28"/>
                <w:b/>
              </w:rPr>
              <w:t>运维材料保障</w:t>
            </w:r>
          </w:p>
          <w:p>
            <w:pPr>
              <w:pStyle w:val="null3"/>
              <w:ind w:firstLine="480"/>
              <w:jc w:val="both"/>
            </w:pPr>
            <w:r>
              <w:rPr>
                <w:rFonts w:ascii="仿宋_GB2312" w:hAnsi="仿宋_GB2312" w:cs="仿宋_GB2312" w:eastAsia="仿宋_GB2312"/>
                <w:sz w:val="28"/>
              </w:rPr>
              <w:t>1、</w:t>
            </w:r>
            <w:r>
              <w:rPr>
                <w:rFonts w:ascii="仿宋_GB2312" w:hAnsi="仿宋_GB2312" w:cs="仿宋_GB2312" w:eastAsia="仿宋_GB2312"/>
                <w:sz w:val="28"/>
              </w:rPr>
              <w:t>为确保做好</w:t>
            </w:r>
            <w:r>
              <w:rPr>
                <w:rFonts w:ascii="仿宋_GB2312" w:hAnsi="仿宋_GB2312" w:cs="仿宋_GB2312" w:eastAsia="仿宋_GB2312"/>
                <w:sz w:val="28"/>
              </w:rPr>
              <w:t>2026年安全播出工作，开展有针对性的运维材料备品保障,随时做好保障安全播出相应设施设备准备工作。（详见运行维护保障设施设备材料目录）</w:t>
            </w:r>
          </w:p>
          <w:p>
            <w:pPr>
              <w:pStyle w:val="null3"/>
              <w:ind w:firstLine="480"/>
              <w:jc w:val="both"/>
            </w:pPr>
            <w:r>
              <w:rPr>
                <w:rFonts w:ascii="仿宋_GB2312" w:hAnsi="仿宋_GB2312" w:cs="仿宋_GB2312" w:eastAsia="仿宋_GB2312"/>
                <w:sz w:val="28"/>
              </w:rPr>
              <w:t>2、运行维护保障设施设备材料目录</w:t>
            </w:r>
          </w:p>
          <w:tbl>
            <w:tblPr>
              <w:tblInd w:type="dxa" w:w="105"/>
              <w:tblBorders>
                <w:top w:val="none" w:color="000000" w:sz="4"/>
                <w:left w:val="none" w:color="000000" w:sz="4"/>
                <w:bottom w:val="none" w:color="000000" w:sz="4"/>
                <w:right w:val="none" w:color="000000" w:sz="4"/>
                <w:insideH w:val="none"/>
                <w:insideV w:val="none"/>
              </w:tblBorders>
            </w:tblPr>
            <w:tblGrid>
              <w:gridCol w:w="755"/>
              <w:gridCol w:w="1848"/>
              <w:gridCol w:w="1362"/>
              <w:gridCol w:w="849"/>
              <w:gridCol w:w="755"/>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序号</w:t>
                  </w:r>
                </w:p>
              </w:tc>
              <w:tc>
                <w:tcPr>
                  <w:tcW w:type="dxa" w:w="18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备品备件名称</w:t>
                  </w:r>
                </w:p>
              </w:tc>
              <w:tc>
                <w:tcPr>
                  <w:tcW w:type="dxa" w:w="13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规格</w:t>
                  </w:r>
                  <w:r>
                    <w:rPr>
                      <w:rFonts w:ascii="仿宋_GB2312" w:hAnsi="仿宋_GB2312" w:cs="仿宋_GB2312" w:eastAsia="仿宋_GB2312"/>
                      <w:sz w:val="28"/>
                    </w:rPr>
                    <w:t>/型号</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数量</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单位</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1</w:t>
                  </w:r>
                </w:p>
              </w:tc>
              <w:tc>
                <w:tcPr>
                  <w:tcW w:type="dxa" w:w="1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户户通机顶盒</w:t>
                  </w:r>
                  <w:r>
                    <w:rPr>
                      <w:rFonts w:ascii="仿宋_GB2312" w:hAnsi="仿宋_GB2312" w:cs="仿宋_GB2312" w:eastAsia="仿宋_GB2312"/>
                      <w:sz w:val="28"/>
                    </w:rPr>
                    <w:t>(北斗定位）</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北斗定位</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200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w:t>
                  </w:r>
                </w:p>
              </w:tc>
              <w:tc>
                <w:tcPr>
                  <w:tcW w:type="dxa" w:w="1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地面数字电视机顶盒</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国标</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套</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w:t>
                  </w:r>
                </w:p>
              </w:tc>
              <w:tc>
                <w:tcPr>
                  <w:tcW w:type="dxa" w:w="1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r>
                    <w:rPr>
                      <w:rFonts w:ascii="仿宋_GB2312" w:hAnsi="仿宋_GB2312" w:cs="仿宋_GB2312" w:eastAsia="仿宋_GB2312"/>
                      <w:sz w:val="28"/>
                    </w:rPr>
                    <w:t>25W高音喇叭</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25W</w:t>
                  </w: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只</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6</w:t>
                  </w:r>
                </w:p>
              </w:tc>
              <w:tc>
                <w:tcPr>
                  <w:tcW w:type="dxa" w:w="1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光缆</w:t>
                  </w:r>
                </w:p>
              </w:tc>
              <w:tc>
                <w:tcPr>
                  <w:tcW w:type="dxa" w:w="13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60"/>
                    <w:jc w:val="center"/>
                  </w:p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50</w:t>
                  </w:r>
                  <w:r>
                    <w:rPr>
                      <w:rFonts w:ascii="仿宋_GB2312" w:hAnsi="仿宋_GB2312" w:cs="仿宋_GB2312" w:eastAsia="仿宋_GB2312"/>
                      <w:sz w:val="28"/>
                    </w:rPr>
                    <w:t>00</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米</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合同签订之日起至2026年度结束（本次采购拟采用一次采购三年沿用方式进行，实行一年一考核一签合同的办法，每年合同期满后，根据当年预算情况及中标人服务质量可以同其续签下一年合同，最多续签两年）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四川省攀枝花市盐边县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财政部关于进一步加强政府采购需求和履约验收管理的指导意见》（财库〔2016〕205号）的意见要求以及采购文件的质量要求和技术指标、成交供应商的响应文件、承诺及合同约定标准进行验收进行验收。 2）根据项目实施进度，盐边县广播电视公共服务体系运行维护领导小组将对运行维护单位开展运行维护工作分阶段进行考核验收，根据考核情况，按照资金支付进度要求分阶段支付项目资金 3）验收组深入各乡（镇）、村、户了解运行维护机构维护工作情况、群众满意度情况，到运行维护单位查看工作台账、运行维护记录，全面了解运行维护工作情况。 4）验收条件：项目验收以项目合同、竞争性磋商文件、投标文件、项目验收资料等文档为参考依据。验收申请由成交供应商提出申请，采购人按阶段进行验收。 5）最终验收资料不得少于4份，主要内容包括但不限于以下内容:项目合同、中标（成交）通知书、招、投标文件(由承接单位提供)、项目人员到岗一览表、运行维护计划方案、项目实施时间计划、设备清单、质量安全管理方案、项目阶段性报告、运行维护记录及台账、会议纪要、设备到货报验单、设备合格证、设备更新安装记录、相关图片印证资料等。</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1、项目初步验收通过后，达到付款条件起30日内，支付合同总金额的80.00%</w:t>
            </w:r>
          </w:p>
          <w:p>
            <w:pPr>
              <w:pStyle w:val="null3"/>
              <w:jc w:val="left"/>
            </w:pPr>
            <w:r>
              <w:rPr>
                <w:rFonts w:ascii="仿宋_GB2312" w:hAnsi="仿宋_GB2312" w:cs="仿宋_GB2312" w:eastAsia="仿宋_GB2312"/>
              </w:rPr>
              <w:t>2、项目最终验收通过后，达到付款条件起30日内，支付合同总金额的20.00%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1、成交供应商必须遵守采购合同并执行合同中的各项规定，保证采购合同的正常履行。 2、成交供应商应当遵守采购人的相关项目需求及相关技术要求及实质性条款，实施完成采购合同应当完全满足相关项目需求及相关技术要求及实质性条款，若成交供应商瑕疵履行采购合同，采购人有权向成交供应商要求赔偿违约金（金额以采购合同约定为准），若造成相关损失的，采购人有权要求成交供应商承担所有赔偿责任。 3、有下列情形之一的，当事人可解除合同： （1）因不可抗力致使不能实现合同目的（由于非成交供应商或采购人原因，致使合同实质性条款无法实现的）； （2）当事人一方迟延履行主要债务，经催告后在合理期限内仍未履行； （3）当事人一方迟延履行债务或者其他违约行为致使不能实现合同目的； （4）法律规定或合同约定的其他情形； 二、解决争议的方法 1、因服务质量问题发生争议，由采购人或其指定的第三方机构进行质量鉴定。质量符合标准的，鉴定费由采购人承担；质量不符合质量标准的，鉴定费由成交供应商承担。本合同在履行过程中发生的争议，由双方当事人协商解决，协商不成的，任何一方可依法向项目所在地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业绩（类似业绩是指：广播电视行业类建设或维护项目等）；2、项目人员配备（①项目负责人：须具有广播电视行业或电子信息或通信工程相关专业职称；②拟投入本项目团队其他人员：须具有广播电视行业或电子信息或通信工程相关专业级职称）。3、项目实施方案（项目实施方案包含但不限于：①项目重难点分析；②项目进度控制方案；③人员配备；④现状分析；⑤运行维护方案；⑥安装方案；⑦调试方案；⑧服务质量保障措施；⑨运维材料保障方案等）。4、服务保障方案（①供应商在项目所在县辖乡镇承诺成交后设立售后运维网点；②服务保障方案包含但不限于：①售后服务方案；②售后服务保证措施；③售后服务响应措施等）。5、其他具体事项合同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①投标人若为企业法人或国企依法在当地设置的分支机构：提供“统一社会 信用代码营业执照”；未换证的提供“营业执照、税务登记证、组织机构代 码证或三证合一的营业执照”；②若为事业法人：提供“统一社会信用代码 法人登记证书”；未换证的提交“事业法人登记证书、组织机构代码证”； ③若为其他组织：提供“对应主管部门颁发的准许执业证明文件或营业执 照”；④若为自然人：提供“身份证明材料”。以上均提供复印件并进行电子签章。</w:t>
            </w:r>
          </w:p>
        </w:tc>
        <w:tc>
          <w:tcPr>
            <w:tcW w:type="dxa" w:w="1661"/>
          </w:tcPr>
          <w:p>
            <w:pPr>
              <w:pStyle w:val="null3"/>
              <w:jc w:val="left"/>
            </w:pPr>
            <w:r>
              <w:rPr>
                <w:rFonts w:ascii="仿宋_GB2312" w:hAnsi="仿宋_GB2312" w:cs="仿宋_GB2312" w:eastAsia="仿宋_GB2312"/>
              </w:rPr>
              <w:t>响应文件封面,具有独立承担民事责任的能力.docx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①可提供2024或2025年度经审计的财务报告复印件（包含审计报告和审计报 告中所涉及的财务报表和报表附注），②也可提供2024或2025年度投标人内 部的财务报表复印件（至少包含资产负债表），③也可提供截至响应文件递 交截止日一年内银行出具的资信证明（复印件），④投标人注册时间截至响 应文件递交截止日不足一年的，也可提供公司章程复印件，按要求上传相应证明材料并进行电子签章。</w:t>
            </w:r>
          </w:p>
        </w:tc>
        <w:tc>
          <w:tcPr>
            <w:tcW w:type="dxa" w:w="1661"/>
          </w:tcPr>
          <w:p>
            <w:pPr>
              <w:pStyle w:val="null3"/>
              <w:jc w:val="left"/>
            </w:pPr>
            <w:r>
              <w:rPr>
                <w:rFonts w:ascii="仿宋_GB2312" w:hAnsi="仿宋_GB2312" w:cs="仿宋_GB2312" w:eastAsia="仿宋_GB2312"/>
              </w:rPr>
              <w:t>具有健全的财务会计制度.docx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商务要求要求应答情况</w:t>
            </w:r>
          </w:p>
        </w:tc>
        <w:tc>
          <w:tcPr>
            <w:tcW w:type="dxa" w:w="3322"/>
          </w:tcPr>
          <w:p>
            <w:pPr>
              <w:pStyle w:val="null3"/>
              <w:jc w:val="left"/>
            </w:pPr>
            <w:r>
              <w:rPr>
                <w:rFonts w:ascii="仿宋_GB2312" w:hAnsi="仿宋_GB2312" w:cs="仿宋_GB2312" w:eastAsia="仿宋_GB2312"/>
              </w:rPr>
              <w:t>商务要求应答内容是否完全满足竞争性磋商文件的实质性要求。</w:t>
            </w:r>
          </w:p>
        </w:tc>
        <w:tc>
          <w:tcPr>
            <w:tcW w:type="dxa" w:w="1661"/>
          </w:tcPr>
          <w:p>
            <w:pPr>
              <w:pStyle w:val="null3"/>
              <w:jc w:val="left"/>
            </w:pPr>
            <w:r>
              <w:rPr>
                <w:rFonts w:ascii="仿宋_GB2312" w:hAnsi="仿宋_GB2312" w:cs="仿宋_GB2312" w:eastAsia="仿宋_GB2312"/>
              </w:rPr>
              <w:t>商务要求应答表.docx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技术、服务内容及要求应答情况</w:t>
            </w:r>
          </w:p>
        </w:tc>
        <w:tc>
          <w:tcPr>
            <w:tcW w:type="dxa" w:w="3322"/>
          </w:tcPr>
          <w:p>
            <w:pPr>
              <w:pStyle w:val="null3"/>
              <w:jc w:val="left"/>
            </w:pPr>
            <w:r>
              <w:rPr>
                <w:rFonts w:ascii="仿宋_GB2312" w:hAnsi="仿宋_GB2312" w:cs="仿宋_GB2312" w:eastAsia="仿宋_GB2312"/>
              </w:rPr>
              <w:t>技术、服务内容及要求应答内容是否完全满足采购文件的实质性要求。</w:t>
            </w:r>
          </w:p>
        </w:tc>
        <w:tc>
          <w:tcPr>
            <w:tcW w:type="dxa" w:w="1661"/>
          </w:tcPr>
          <w:p>
            <w:pPr>
              <w:pStyle w:val="null3"/>
              <w:jc w:val="left"/>
            </w:pPr>
            <w:r>
              <w:rPr>
                <w:rFonts w:ascii="仿宋_GB2312" w:hAnsi="仿宋_GB2312" w:cs="仿宋_GB2312" w:eastAsia="仿宋_GB2312"/>
              </w:rPr>
              <w:t>技术.、服务要求应答表docx.docx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供应商认为需提供的其他资料</w:t>
            </w:r>
          </w:p>
        </w:tc>
        <w:tc>
          <w:tcPr>
            <w:tcW w:type="dxa" w:w="3322"/>
          </w:tcPr>
          <w:p>
            <w:pPr>
              <w:pStyle w:val="null3"/>
              <w:jc w:val="left"/>
            </w:pPr>
            <w:r>
              <w:rPr>
                <w:rFonts w:ascii="仿宋_GB2312" w:hAnsi="仿宋_GB2312" w:cs="仿宋_GB2312" w:eastAsia="仿宋_GB2312"/>
              </w:rPr>
              <w:t>供应商认为需提供的其他资料</w:t>
            </w:r>
          </w:p>
        </w:tc>
        <w:tc>
          <w:tcPr>
            <w:tcW w:type="dxa" w:w="1661"/>
          </w:tcPr>
          <w:p>
            <w:pPr>
              <w:pStyle w:val="null3"/>
              <w:jc w:val="left"/>
            </w:pPr>
            <w:r>
              <w:rPr>
                <w:rFonts w:ascii="仿宋_GB2312" w:hAnsi="仿宋_GB2312" w:cs="仿宋_GB2312" w:eastAsia="仿宋_GB2312"/>
              </w:rPr>
              <w:t>供应商认为需提供的其他资料.docx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1.项目实施方案（项目实施方案包含但不限于：①项目重难点分析；②项目进度控制方案；③人员配备；④现状分析；⑤运行维护方案；⑥安装方案；⑦调试方案；⑧服务质量保障措施；⑨运维材料保障方案等）。2.服务保障方案（①供应商在项目所在县辖乡镇承诺成交后设立售后运维网点；②服务保障方案包含但不限于：①售后服务方案；②售后服务保证措施；③售后服务响应措施等）。</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详细评审75.00分</w:t>
            </w:r>
          </w:p>
          <w:p>
            <w:pPr>
              <w:pStyle w:val="null3"/>
              <w:jc w:val="left"/>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提供的项目实施方案进行评分，项目实施方案包含但不限于：①项目重难点分析；②项目进度控制方案；③人员配备；④现状分析；⑤运行维护方案；⑥安装方案；⑦调试方案；⑧服务质量保障措施；⑨运维材料保障方案等，内容完整清晰的得36分，每缺一项扣4分，每有一项内容有缺陷或不符合采购需求的扣2分，扣完为止。 注：缺陷或不符合采购需求是指：内容与实际情况不符、套用其他项目方案或内容与项目无关、内容表述错误、内容前后表述矛盾、内容与项目不匹配、项目信息错误、不符合本项目涉及的相关规范或标准要求的任意一种情形。</w:t>
            </w:r>
          </w:p>
        </w:tc>
        <w:tc>
          <w:tcPr>
            <w:tcW w:type="dxa" w:w="831"/>
          </w:tcPr>
          <w:p>
            <w:pPr>
              <w:pStyle w:val="null3"/>
              <w:jc w:val="center"/>
            </w:pPr>
            <w:r>
              <w:rPr>
                <w:rFonts w:ascii="仿宋_GB2312" w:hAnsi="仿宋_GB2312" w:cs="仿宋_GB2312" w:eastAsia="仿宋_GB2312"/>
              </w:rPr>
              <w:t>36.0000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项目实施方案.docx</w:t>
            </w:r>
          </w:p>
        </w:tc>
      </w:tr>
      <w:tr>
        <w:tc>
          <w:tcPr>
            <w:tcW w:type="dxa" w:w="831"/>
            <w:vMerge/>
          </w:tcPr>
          <w:p/>
        </w:tc>
        <w:tc>
          <w:tcPr>
            <w:tcW w:type="dxa" w:w="1661"/>
          </w:tcPr>
          <w:p>
            <w:pPr>
              <w:pStyle w:val="null3"/>
              <w:jc w:val="left"/>
            </w:pPr>
            <w:r>
              <w:rPr>
                <w:rFonts w:ascii="仿宋_GB2312" w:hAnsi="仿宋_GB2312" w:cs="仿宋_GB2312" w:eastAsia="仿宋_GB2312"/>
              </w:rPr>
              <w:t>服务保障方案</w:t>
            </w:r>
          </w:p>
        </w:tc>
        <w:tc>
          <w:tcPr>
            <w:tcW w:type="dxa" w:w="2575"/>
          </w:tcPr>
          <w:p>
            <w:pPr>
              <w:pStyle w:val="null3"/>
              <w:jc w:val="left"/>
            </w:pPr>
            <w:r>
              <w:rPr>
                <w:rFonts w:ascii="仿宋_GB2312" w:hAnsi="仿宋_GB2312" w:cs="仿宋_GB2312" w:eastAsia="仿宋_GB2312"/>
              </w:rPr>
              <w:t>1.供应商在项目所在县辖乡镇承诺成交后设立售后运维网点得4分，本项最多得4分，（提供承诺函）未提供不得分。 2.根据供应商提供的服务保障方案进行评分，服务保障方案包含但不限于：①安全播出应急预案；②售后服务方案；③售后服务保证措施；④售后服务响应措施等，内容完整的得16分，每缺一项扣4分，每有一项内容有缺陷或不符合采购需求的扣2分，扣完为止。 注：缺陷或不符合采购需求是指：内容与实际情况不符、套用其他项目方案或内容与项目无关、内容表述错误、内容前后表述矛盾、内容与项目不匹配、项目信息错误、不符合本项目涉及的相关规范或标准要求的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服务保障方案.docx</w:t>
            </w:r>
          </w:p>
        </w:tc>
      </w:tr>
      <w:tr>
        <w:tc>
          <w:tcPr>
            <w:tcW w:type="dxa" w:w="831"/>
            <w:vMerge/>
          </w:tcPr>
          <w:p/>
        </w:tc>
        <w:tc>
          <w:tcPr>
            <w:tcW w:type="dxa" w:w="1661"/>
          </w:tcPr>
          <w:p>
            <w:pPr>
              <w:pStyle w:val="null3"/>
              <w:jc w:val="left"/>
            </w:pPr>
            <w:r>
              <w:rPr>
                <w:rFonts w:ascii="仿宋_GB2312" w:hAnsi="仿宋_GB2312" w:cs="仿宋_GB2312" w:eastAsia="仿宋_GB2312"/>
              </w:rPr>
              <w:t>项目人员配备</w:t>
            </w:r>
          </w:p>
        </w:tc>
        <w:tc>
          <w:tcPr>
            <w:tcW w:type="dxa" w:w="2575"/>
          </w:tcPr>
          <w:p>
            <w:pPr>
              <w:pStyle w:val="null3"/>
              <w:jc w:val="left"/>
            </w:pPr>
            <w:r>
              <w:rPr>
                <w:rFonts w:ascii="仿宋_GB2312" w:hAnsi="仿宋_GB2312" w:cs="仿宋_GB2312" w:eastAsia="仿宋_GB2312"/>
              </w:rPr>
              <w:t>1、供应商拟投入本项目的项目负责人具有广播电视行业或电子信息或通信工程相关专业中级职称得2分，具有广播电视行业或电子信息或通信工程相关专业高级职称得4分。此项分值最高4分。 2、供应商拟投入本项目团队其他人员：每提供一位具有广播电视行业或电子信息或通信工程相关专业中级职称及以上职称的得3分，此项分值最高9分。 注：1.以上人员须提供相关证书及证明材料复印件并加盖公章 2.以上同一人员不累计计算分值。</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项目人员配备表.docx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供应商自2023年1月1日至今具有一个已完成类似项目业绩得2分，最多得6分。（类似业绩是指：广播电视行业类建设或维护项目等） 注：业绩证明材料提供合同复印件或中标（成交）通知书（业绩时间以合同签订时间或中标/成交通知书日期为准），未提供不得分。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详见附件：服务保障方案.docx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详见附件：供应商认为需提供的其他资料.docx</w:t>
      </w:r>
    </w:p>
    <w:p>
      <w:pPr>
        <w:pStyle w:val="null3"/>
        <w:ind w:firstLine="960"/>
        <w:jc w:val="left"/>
      </w:pPr>
      <w:r>
        <w:rPr>
          <w:rFonts w:ascii="仿宋_GB2312" w:hAnsi="仿宋_GB2312" w:cs="仿宋_GB2312" w:eastAsia="仿宋_GB2312"/>
        </w:rPr>
        <w:t>详见附件：技术.、服务要求应答表docx.docx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详见附件：具有健全的财务会计制度.docx</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详见附件：项目人员配备表.docx</w:t>
      </w:r>
    </w:p>
    <w:p>
      <w:pPr>
        <w:pStyle w:val="null3"/>
        <w:ind w:firstLine="960"/>
        <w:jc w:val="left"/>
      </w:pPr>
      <w:r>
        <w:rPr>
          <w:rFonts w:ascii="仿宋_GB2312" w:hAnsi="仿宋_GB2312" w:cs="仿宋_GB2312" w:eastAsia="仿宋_GB2312"/>
        </w:rPr>
        <w:t>详见附件：项目实施方案.docx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