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版本号：N511402202600007620260508001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等离子切割刀头单一来源采购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N5114022026000076</w:t>
      </w:r>
    </w:p>
    <w:p>
      <w:pPr>
        <w:pStyle w:val="null3"/>
        <w:jc w:val="left"/>
        <w:outlineLvl w:val="2"/>
      </w:pPr>
      <w:r>
        <w:rPr>
          <w:rFonts w:ascii="仿宋_GB2312" w:hAnsi="仿宋_GB2312" w:cs="仿宋_GB2312" w:eastAsia="仿宋_GB2312"/>
          <w:sz w:val="28"/>
          <w:b/>
        </w:rPr>
        <w:t>眉山市中医医院</w:t>
      </w:r>
    </w:p>
    <w:p>
      <w:pPr>
        <w:pStyle w:val="null3"/>
        <w:jc w:val="center"/>
        <w:outlineLvl w:val="2"/>
      </w:pPr>
      <w:r>
        <w:rPr>
          <w:rFonts w:ascii="仿宋_GB2312" w:hAnsi="仿宋_GB2312" w:cs="仿宋_GB2312" w:eastAsia="仿宋_GB2312"/>
          <w:sz w:val="28"/>
          <w:b/>
        </w:rPr>
        <w:t>四川金瑞程工程管理咨询有限公司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四川金瑞程工程管理咨询有限公司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眉山市中医医院</w:t>
      </w:r>
      <w:r>
        <w:rPr>
          <w:rFonts w:ascii="仿宋_GB2312" w:hAnsi="仿宋_GB2312" w:cs="仿宋_GB2312" w:eastAsia="仿宋_GB2312"/>
        </w:rPr>
        <w:t xml:space="preserve"> 委托，拟对 </w:t>
      </w:r>
      <w:r>
        <w:rPr>
          <w:rFonts w:ascii="仿宋_GB2312" w:hAnsi="仿宋_GB2312" w:cs="仿宋_GB2312" w:eastAsia="仿宋_GB2312"/>
        </w:rPr>
        <w:t>等离子切割刀头单一来源采购</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N5114022026000076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等离子切割刀头单一来源采购</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眉山市中医医院拟采购等离子刀头。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采购产品为医疗器械的，供应商须符合《医疗器械监督管理条例》要求，提供供应商经营该产品的经营许可或经营备案证明材料复印件。（描述：若采购产品为医疗器械的，供应商须符合《医疗器械监督管理条例》要求，提供供应商经营该产品的经营许可或经营备案证明材料复印件，并进行电子签章。）</w:t>
      </w:r>
    </w:p>
    <w:p>
      <w:pPr>
        <w:pStyle w:val="null3"/>
        <w:jc w:val="left"/>
      </w:pPr>
      <w:r>
        <w:rPr>
          <w:rFonts w:ascii="仿宋_GB2312" w:hAnsi="仿宋_GB2312" w:cs="仿宋_GB2312" w:eastAsia="仿宋_GB2312"/>
        </w:rPr>
        <w:t>2、投标产品及其配置产品为医疗器械的，投标产品及其配置产品须符合《医疗器械注册与备案管理办法》要求并提供中华人民共和国医疗器械注册证或备案凭证（提供相应证明材料并进行电子签章）（描述：投标产品及其配置产品为医疗器械的，投标产品及其配置产品须符合《医疗器械注册与备案管理办法》要求并提供中华人民共和国医疗器械注册证或备案凭证（提供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眉山市中医医院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眉山市东坡区岷东大道北段9号住院北楼11楼A区1106采购管理办公室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028-38280036</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四川金瑞程工程管理咨询有限公司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眉山市东坡区裴城路69号1幢1单元15层3号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18180020245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预算金额为基数按照2002年10月15日国家计委印发的《招标代理服务收费管理暂行办法》（计价格【2002】1980号）之附件《招标代理服务收费标准》中规定的收费标准下浮20%（最低收费为5000元）。开户银行及账户:中国银行股份有限公司眉山分行128025410300</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眉山市中医医院</w:t>
      </w:r>
      <w:r>
        <w:rPr>
          <w:rFonts w:ascii="仿宋_GB2312" w:hAnsi="仿宋_GB2312" w:cs="仿宋_GB2312" w:eastAsia="仿宋_GB2312"/>
        </w:rPr>
        <w:t xml:space="preserve"> 和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眉山市中医医院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每批次配送完成，中标人提出验收申请，达到验收条件起30日内，验收批次货款金额的100%。（因系统版本固化问题）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号）的规定，采购人组织验收人员组成验收小组，中标人予以配合，结合本项目采购文件、响应文件及采购合同的要求进行技术履约验收。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号）的规定，采购人组织验收人员组成验收小组，中标人予以配合，结合本项目采购文件、响应文件及采购合同的要求进行商务履约验收。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 (2016) 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未尽事宜将按照《财政部关于进一步加强政府采购需求和履约验收管理的指导意见》(财库(2016) 205号)、《政府采购需求管理办法》(财库(2021) 22号)的要求及国家行业主管部门规定的标准、方法和内容进行验收，中标人履约验收不通过的，采购人有权终止合同。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眉山市中医医院</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联系人：万女士</w:t>
      </w:r>
    </w:p>
    <w:p>
      <w:pPr>
        <w:pStyle w:val="null3"/>
        <w:jc w:val="left"/>
      </w:pPr>
      <w:r>
        <w:rPr>
          <w:rFonts w:ascii="仿宋_GB2312" w:hAnsi="仿宋_GB2312" w:cs="仿宋_GB2312" w:eastAsia="仿宋_GB2312"/>
        </w:rPr>
        <w:t>联系电话：028-38280036</w:t>
      </w:r>
    </w:p>
    <w:p>
      <w:pPr>
        <w:pStyle w:val="null3"/>
        <w:jc w:val="left"/>
      </w:pPr>
      <w:r>
        <w:rPr>
          <w:rFonts w:ascii="仿宋_GB2312" w:hAnsi="仿宋_GB2312" w:cs="仿宋_GB2312" w:eastAsia="仿宋_GB2312"/>
        </w:rPr>
        <w:t>地址：眉山市东坡区岷东大道北段9号住院北楼11楼A区1106采购管理办公室</w:t>
      </w:r>
    </w:p>
    <w:p>
      <w:pPr>
        <w:pStyle w:val="null3"/>
        <w:jc w:val="left"/>
      </w:pPr>
      <w:r>
        <w:rPr>
          <w:rFonts w:ascii="仿宋_GB2312" w:hAnsi="仿宋_GB2312" w:cs="仿宋_GB2312" w:eastAsia="仿宋_GB2312"/>
        </w:rPr>
        <w:t>邮编：620020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联系电话：18180020245</w:t>
      </w:r>
    </w:p>
    <w:p>
      <w:pPr>
        <w:pStyle w:val="null3"/>
        <w:jc w:val="left"/>
      </w:pPr>
      <w:r>
        <w:rPr>
          <w:rFonts w:ascii="仿宋_GB2312" w:hAnsi="仿宋_GB2312" w:cs="仿宋_GB2312" w:eastAsia="仿宋_GB2312"/>
        </w:rPr>
        <w:t>地址：眉山市东坡区裴城路69号1幢1单元15层3号</w:t>
      </w:r>
    </w:p>
    <w:p>
      <w:pPr>
        <w:pStyle w:val="null3"/>
        <w:jc w:val="left"/>
      </w:pPr>
      <w:r>
        <w:rPr>
          <w:rFonts w:ascii="仿宋_GB2312" w:hAnsi="仿宋_GB2312" w:cs="仿宋_GB2312" w:eastAsia="仿宋_GB2312"/>
        </w:rPr>
        <w:t>邮编：620020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A02320100 手术器械</w:t>
            </w:r>
          </w:p>
        </w:tc>
        <w:tc>
          <w:tcPr>
            <w:tcW w:type="dxa" w:w="821"/>
          </w:tcPr>
          <w:p>
            <w:pPr>
              <w:pStyle w:val="null3"/>
              <w:jc w:val="left"/>
            </w:pPr>
            <w:r>
              <w:rPr>
                <w:rFonts w:ascii="仿宋_GB2312" w:hAnsi="仿宋_GB2312" w:cs="仿宋_GB2312" w:eastAsia="仿宋_GB2312"/>
              </w:rPr>
              <w:t>等离子切割刀头</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等离子切割刀头</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下浮比例</w:t>
            </w:r>
          </w:p>
        </w:tc>
        <w:tc>
          <w:tcPr>
            <w:tcW w:type="dxa" w:w="1466"/>
          </w:tcPr>
          <w:p>
            <w:pPr>
              <w:pStyle w:val="null3"/>
              <w:jc w:val="left"/>
            </w:pPr>
            <w:r>
              <w:rPr>
                <w:rFonts w:ascii="仿宋_GB2312" w:hAnsi="仿宋_GB2312" w:cs="仿宋_GB2312" w:eastAsia="仿宋_GB2312"/>
              </w:rPr>
              <w:t>1.本次采购项目报价为按采购清单各标的单价最高限价的统一下浮比例报价，供应商须根据自身情况，在采购人所给定的采购清单中每一项标的的单价最高限价的基础上报出统一的下浮比例，上浮比例的报价或者采购清单中每一项标的的下浮比例不一致将被视为无效投标，报价范围：0%≤统一下浮比例报价＜100%，不在规定范围内的报价视为无效投标。 2.最终结算金额以单价最高限价×（1-统一下浮比例）和实际发生的数量进行结算。</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A02320100 手术器械</w:t>
            </w:r>
          </w:p>
        </w:tc>
        <w:tc>
          <w:tcPr>
            <w:tcW w:type="dxa" w:w="2492"/>
          </w:tcPr>
          <w:p>
            <w:pPr>
              <w:pStyle w:val="null3"/>
              <w:jc w:val="left"/>
            </w:pPr>
            <w:r>
              <w:rPr>
                <w:rFonts w:ascii="仿宋_GB2312" w:hAnsi="仿宋_GB2312" w:cs="仿宋_GB2312" w:eastAsia="仿宋_GB2312"/>
              </w:rPr>
              <w:t>等离子切割刀头</w:t>
            </w:r>
          </w:p>
        </w:tc>
        <w:tc>
          <w:tcPr>
            <w:tcW w:type="dxa" w:w="2492"/>
          </w:tcPr>
          <w:p>
            <w:pPr>
              <w:pStyle w:val="null3"/>
              <w:jc w:val="left"/>
            </w:pPr>
            <w:r>
              <w:rPr>
                <w:rFonts w:ascii="仿宋_GB2312" w:hAnsi="仿宋_GB2312" w:cs="仿宋_GB2312" w:eastAsia="仿宋_GB2312"/>
              </w:rPr>
              <w:t>软组织弯面（等离子体）切割刀头</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标的名称：等离子切割刀头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等离子切割刀头</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0"/>
              <w:gridCol w:w="762"/>
              <w:gridCol w:w="743"/>
              <w:gridCol w:w="2890"/>
              <w:gridCol w:w="400"/>
              <w:gridCol w:w="409"/>
            </w:tblGrid>
            <w:tr>
              <w:tc>
                <w:tcPr>
                  <w:tcW w:type="dxa" w:w="390"/>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标的名称</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2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是否进口</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单价</w:t>
                  </w:r>
                  <w:r>
                    <w:rPr>
                      <w:rFonts w:ascii="仿宋_GB2312" w:hAnsi="仿宋_GB2312" w:cs="仿宋_GB2312" w:eastAsia="仿宋_GB2312"/>
                      <w:sz w:val="20"/>
                      <w:color w:val="000000"/>
                    </w:rPr>
                    <w:t>最高</w:t>
                  </w:r>
                  <w:r>
                    <w:rPr>
                      <w:rFonts w:ascii="仿宋_GB2312" w:hAnsi="仿宋_GB2312" w:cs="仿宋_GB2312" w:eastAsia="仿宋_GB2312"/>
                      <w:sz w:val="20"/>
                      <w:color w:val="000000"/>
                    </w:rPr>
                    <w:t>限价（元）</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软组织弯面（等离子体）切割刀头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2.8mm，角度20°，长度120mm。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适应症：适应于难于达到的软组织，如半月板后角、滑膜、软骨等。</w:t>
                  </w:r>
                  <w:r>
                    <w:br/>
                  </w:r>
                  <w:r>
                    <w:rPr>
                      <w:rFonts w:ascii="仿宋_GB2312" w:hAnsi="仿宋_GB2312" w:cs="仿宋_GB2312" w:eastAsia="仿宋_GB2312"/>
                      <w:sz w:val="20"/>
                      <w:color w:val="000000"/>
                    </w:rPr>
                    <w:t>专为半月板或弯度组织结构设计的刀杆及斜度切割面；</w:t>
                  </w:r>
                  <w:r>
                    <w:br/>
                  </w:r>
                  <w:r>
                    <w:rPr>
                      <w:rFonts w:ascii="仿宋_GB2312" w:hAnsi="仿宋_GB2312" w:cs="仿宋_GB2312" w:eastAsia="仿宋_GB2312"/>
                      <w:sz w:val="20"/>
                      <w:color w:val="000000"/>
                    </w:rPr>
                    <w:t>电极平面倾斜</w:t>
                  </w:r>
                  <w:r>
                    <w:rPr>
                      <w:rFonts w:ascii="仿宋_GB2312" w:hAnsi="仿宋_GB2312" w:cs="仿宋_GB2312" w:eastAsia="仿宋_GB2312"/>
                      <w:sz w:val="20"/>
                      <w:color w:val="000000"/>
                    </w:rPr>
                    <w:t>20°，以便最大程度接触半月板；</w:t>
                  </w:r>
                  <w:r>
                    <w:br/>
                  </w:r>
                  <w:r>
                    <w:rPr>
                      <w:rFonts w:ascii="仿宋_GB2312" w:hAnsi="仿宋_GB2312" w:cs="仿宋_GB2312" w:eastAsia="仿宋_GB2312"/>
                      <w:sz w:val="20"/>
                      <w:color w:val="000000"/>
                    </w:rPr>
                    <w:t>高效、低温的多点式工作电极。</w:t>
                  </w:r>
                  <w:r>
                    <w:br/>
                  </w:r>
                  <w:r>
                    <w:rPr>
                      <w:rFonts w:ascii="仿宋_GB2312" w:hAnsi="仿宋_GB2312" w:cs="仿宋_GB2312" w:eastAsia="仿宋_GB2312"/>
                      <w:sz w:val="20"/>
                      <w:color w:val="000000"/>
                    </w:rPr>
                    <w:t>刀头正前方和侧面均具有切割、汽化、消融、止血功能。</w:t>
                  </w:r>
                  <w:r>
                    <w:br/>
                  </w:r>
                  <w:r>
                    <w:rPr>
                      <w:rFonts w:ascii="仿宋_GB2312" w:hAnsi="仿宋_GB2312" w:cs="仿宋_GB2312" w:eastAsia="仿宋_GB2312"/>
                      <w:sz w:val="20"/>
                      <w:color w:val="000000"/>
                    </w:rPr>
                    <w:t>刀头前端直径</w:t>
                  </w:r>
                  <w:r>
                    <w:rPr>
                      <w:rFonts w:ascii="仿宋_GB2312" w:hAnsi="仿宋_GB2312" w:cs="仿宋_GB2312" w:eastAsia="仿宋_GB2312"/>
                      <w:sz w:val="20"/>
                      <w:color w:val="000000"/>
                    </w:rPr>
                    <w:t>2.8mm，切割深度1.5mm，适用于狭小的关节间隙，能够完成膝关节、肩关节镜手术中遇到的各类组织。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r>
                    <w:rPr>
                      <w:rFonts w:ascii="仿宋_GB2312" w:hAnsi="仿宋_GB2312" w:cs="仿宋_GB2312" w:eastAsia="仿宋_GB2312"/>
                      <w:sz w:val="20"/>
                      <w:color w:val="000000"/>
                    </w:rPr>
                    <w:t>66</w:t>
                  </w:r>
                  <w:r>
                    <w:rPr>
                      <w:rFonts w:ascii="仿宋_GB2312" w:hAnsi="仿宋_GB2312" w:cs="仿宋_GB2312" w:eastAsia="仿宋_GB2312"/>
                      <w:sz w:val="20"/>
                      <w:color w:val="000000"/>
                    </w:rPr>
                    <w:t>.66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软组织直面（等离子体）切割刀头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4.1mm，角度90°，长度120mm。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适应症：适应于膝关节、肩关节的滑膜的清理、切除。</w:t>
                  </w:r>
                  <w:r>
                    <w:br/>
                  </w:r>
                  <w:r>
                    <w:rPr>
                      <w:rFonts w:ascii="仿宋_GB2312" w:hAnsi="仿宋_GB2312" w:cs="仿宋_GB2312" w:eastAsia="仿宋_GB2312"/>
                      <w:sz w:val="20"/>
                      <w:color w:val="000000"/>
                    </w:rPr>
                    <w:t>90°直角设计，刀杆直径4.1mm，刀面4组电极；</w:t>
                  </w:r>
                  <w:r>
                    <w:br/>
                  </w:r>
                  <w:r>
                    <w:rPr>
                      <w:rFonts w:ascii="仿宋_GB2312" w:hAnsi="仿宋_GB2312" w:cs="仿宋_GB2312" w:eastAsia="仿宋_GB2312"/>
                      <w:sz w:val="20"/>
                      <w:color w:val="000000"/>
                    </w:rPr>
                    <w:t>组织切割、消融、止血快，是目前最合理、最有效的平面汽化、修复、消融刀头，能平整的前、后、左、右修补关节面的软组织、无凹痕，工作时间短、效率高。</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3666.66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软组织斜面（等离子体）切割刀头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3.5mm，角度30°，长度120mm。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适应症：适应于外侧带松懈，盂唇撕裂，三角纤维软骨等的切除、修补。</w:t>
                  </w:r>
                  <w:r>
                    <w:br/>
                  </w:r>
                  <w:r>
                    <w:rPr>
                      <w:rFonts w:ascii="仿宋_GB2312" w:hAnsi="仿宋_GB2312" w:cs="仿宋_GB2312" w:eastAsia="仿宋_GB2312"/>
                      <w:sz w:val="20"/>
                      <w:color w:val="000000"/>
                    </w:rPr>
                    <w:t>7极切割修补刀头，切割深度1mm；</w:t>
                  </w:r>
                  <w:r>
                    <w:br/>
                  </w:r>
                  <w:r>
                    <w:rPr>
                      <w:rFonts w:ascii="仿宋_GB2312" w:hAnsi="仿宋_GB2312" w:cs="仿宋_GB2312" w:eastAsia="仿宋_GB2312"/>
                      <w:sz w:val="20"/>
                      <w:color w:val="000000"/>
                    </w:rPr>
                    <w:t>弯度斜面设计，更有效的贴紧组织，提高工作效率。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3666.66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软组织斜面（等离子体）切割刀头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3.0mm，角度20°，长度120mm。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适应症：适应于半月板、外侧带松懈等膝关节、肩关节手术的切开。</w:t>
                  </w:r>
                  <w:r>
                    <w:br/>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0.6mm的切割电极，90°的拉钩，具有最佳的切割附着力和效果；</w:t>
                  </w:r>
                  <w:r>
                    <w:br/>
                  </w:r>
                  <w:r>
                    <w:rPr>
                      <w:rFonts w:ascii="仿宋_GB2312" w:hAnsi="仿宋_GB2312" w:cs="仿宋_GB2312" w:eastAsia="仿宋_GB2312"/>
                      <w:sz w:val="20"/>
                      <w:color w:val="000000"/>
                    </w:rPr>
                    <w:t>30°斜面设计有效的贴紧组织面上保证了电极的切割安全性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3666.66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软组织弯面（等离子体）消融刀头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2.5mm，角度25°，长度130mm。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适应症：适应于韧带、肌腱或关节囊的皱缩。</w:t>
                  </w:r>
                  <w:r>
                    <w:br/>
                  </w:r>
                  <w:r>
                    <w:rPr>
                      <w:rFonts w:ascii="仿宋_GB2312" w:hAnsi="仿宋_GB2312" w:cs="仿宋_GB2312" w:eastAsia="仿宋_GB2312"/>
                      <w:sz w:val="20"/>
                      <w:color w:val="000000"/>
                    </w:rPr>
                    <w:t>球形刀尖设计，组织接触面积大，工作效率高；</w:t>
                  </w:r>
                  <w:r>
                    <w:br/>
                  </w:r>
                  <w:r>
                    <w:rPr>
                      <w:rFonts w:ascii="仿宋_GB2312" w:hAnsi="仿宋_GB2312" w:cs="仿宋_GB2312" w:eastAsia="仿宋_GB2312"/>
                      <w:sz w:val="20"/>
                      <w:color w:val="000000"/>
                    </w:rPr>
                    <w:t>外径</w:t>
                  </w:r>
                  <w:r>
                    <w:rPr>
                      <w:rFonts w:ascii="仿宋_GB2312" w:hAnsi="仿宋_GB2312" w:cs="仿宋_GB2312" w:eastAsia="仿宋_GB2312"/>
                      <w:sz w:val="20"/>
                      <w:color w:val="000000"/>
                    </w:rPr>
                    <w:t>2.5mm，30度，可以达到组织深部，角度可自弯；</w:t>
                  </w:r>
                  <w:r>
                    <w:br/>
                  </w:r>
                  <w:r>
                    <w:rPr>
                      <w:rFonts w:ascii="仿宋_GB2312" w:hAnsi="仿宋_GB2312" w:cs="仿宋_GB2312" w:eastAsia="仿宋_GB2312"/>
                      <w:sz w:val="20"/>
                      <w:color w:val="000000"/>
                    </w:rPr>
                    <w:t>穿透深度可控在</w:t>
                  </w:r>
                  <w:r>
                    <w:rPr>
                      <w:rFonts w:ascii="仿宋_GB2312" w:hAnsi="仿宋_GB2312" w:cs="仿宋_GB2312" w:eastAsia="仿宋_GB2312"/>
                      <w:sz w:val="20"/>
                      <w:color w:val="000000"/>
                    </w:rPr>
                    <w:t>1～3mm，恒定的能量释放：不会形成瞬间的高温。</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3666.66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软组织平面（等离子体）消融刀头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2.8mm，角度20°，长度120mm。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适应症：针对关节软组织的特性而设计，适用于</w:t>
                  </w:r>
                  <w:r>
                    <w:rPr>
                      <w:rFonts w:ascii="仿宋_GB2312" w:hAnsi="仿宋_GB2312" w:cs="仿宋_GB2312" w:eastAsia="仿宋_GB2312"/>
                      <w:sz w:val="20"/>
                      <w:color w:val="000000"/>
                    </w:rPr>
                    <w:t>2-3度软骨软化症。也可以对滑膜表面进行汽化、消融、修补。</w:t>
                  </w:r>
                  <w:r>
                    <w:br/>
                  </w:r>
                  <w:r>
                    <w:rPr>
                      <w:rFonts w:ascii="仿宋_GB2312" w:hAnsi="仿宋_GB2312" w:cs="仿宋_GB2312" w:eastAsia="仿宋_GB2312"/>
                      <w:sz w:val="20"/>
                      <w:color w:val="000000"/>
                    </w:rPr>
                    <w:t>可最大程度减少对正常关节软骨的损伤，并形成具有稳定边缘的光滑表面，对健康的关节软骨影响最小；</w:t>
                  </w:r>
                  <w:r>
                    <w:br/>
                  </w:r>
                  <w:r>
                    <w:rPr>
                      <w:rFonts w:ascii="仿宋_GB2312" w:hAnsi="仿宋_GB2312" w:cs="仿宋_GB2312" w:eastAsia="仿宋_GB2312"/>
                      <w:sz w:val="20"/>
                      <w:color w:val="000000"/>
                    </w:rPr>
                    <w:t>比机械刨刀的切割更加精确和深度控制；</w:t>
                  </w:r>
                  <w:r>
                    <w:br/>
                  </w:r>
                  <w:r>
                    <w:rPr>
                      <w:rFonts w:ascii="仿宋_GB2312" w:hAnsi="仿宋_GB2312" w:cs="仿宋_GB2312" w:eastAsia="仿宋_GB2312"/>
                      <w:sz w:val="20"/>
                      <w:color w:val="000000"/>
                    </w:rPr>
                    <w:t>环形刀头设计，按照物理学中的文丘里效应，利用压力使汽泡仅从环中逸出，有效的提高等离子体的工作效率，视野更清晰；</w:t>
                  </w:r>
                  <w:r>
                    <w:br/>
                  </w:r>
                  <w:r>
                    <w:rPr>
                      <w:rFonts w:ascii="仿宋_GB2312" w:hAnsi="仿宋_GB2312" w:cs="仿宋_GB2312" w:eastAsia="仿宋_GB2312"/>
                      <w:sz w:val="20"/>
                      <w:color w:val="000000"/>
                    </w:rPr>
                    <w:t>凹形的刀头设计，有利于保持与关节软骨的表面的距离。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3666.66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软组织分离（等离子体）切割刀头</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4.6mm，角度30°，长度130mm。</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适应症：适应于膝关节滑膜、狭窄处和软骨的切开、止血、分离、修补。</w:t>
                  </w:r>
                  <w:r>
                    <w:br/>
                  </w:r>
                  <w:r>
                    <w:rPr>
                      <w:rFonts w:ascii="仿宋_GB2312" w:hAnsi="仿宋_GB2312" w:cs="仿宋_GB2312" w:eastAsia="仿宋_GB2312"/>
                      <w:sz w:val="20"/>
                      <w:color w:val="000000"/>
                    </w:rPr>
                    <w:t>切口</w:t>
                  </w:r>
                  <w:r>
                    <w:rPr>
                      <w:rFonts w:ascii="仿宋_GB2312" w:hAnsi="仿宋_GB2312" w:cs="仿宋_GB2312" w:eastAsia="仿宋_GB2312"/>
                      <w:sz w:val="20"/>
                      <w:color w:val="000000"/>
                    </w:rPr>
                    <w:t>0.4mm，是膝关节下切口最小，狭窄处最小的安全汽化切割刀头；</w:t>
                  </w:r>
                  <w:r>
                    <w:br/>
                  </w:r>
                  <w:r>
                    <w:rPr>
                      <w:rFonts w:ascii="仿宋_GB2312" w:hAnsi="仿宋_GB2312" w:cs="仿宋_GB2312" w:eastAsia="仿宋_GB2312"/>
                      <w:sz w:val="20"/>
                      <w:color w:val="000000"/>
                    </w:rPr>
                    <w:t>具有边汽化，边切割，边分离，边吸引的多功能刀头，降低了对组织的热损伤。</w:t>
                  </w:r>
                  <w:r>
                    <w:br/>
                  </w:r>
                  <w:r>
                    <w:rPr>
                      <w:rFonts w:ascii="仿宋_GB2312" w:hAnsi="仿宋_GB2312" w:cs="仿宋_GB2312" w:eastAsia="仿宋_GB2312"/>
                      <w:sz w:val="20"/>
                      <w:color w:val="000000"/>
                    </w:rPr>
                    <w:t>四、刀头采用合金钛钢耐磨材料，激光焊接技术。</w:t>
                  </w:r>
                  <w:r>
                    <w:br/>
                  </w:r>
                  <w:r>
                    <w:rPr>
                      <w:rFonts w:ascii="仿宋_GB2312" w:hAnsi="仿宋_GB2312" w:cs="仿宋_GB2312" w:eastAsia="仿宋_GB2312"/>
                      <w:sz w:val="20"/>
                      <w:color w:val="000000"/>
                    </w:rPr>
                    <w:t>五、超薄纳米绝缘层技术，不粘连组织，三极一体化打孔、皱缩、消融、止血多功能刀头。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3666.66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c>
                <w:tcPr>
                  <w:tcW w:type="dxa" w:w="520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可以与西安外科医学科技有限公司等离子主机（</w:t>
                  </w:r>
                  <w:r>
                    <w:rPr>
                      <w:rFonts w:ascii="仿宋_GB2312" w:hAnsi="仿宋_GB2312" w:cs="仿宋_GB2312" w:eastAsia="仿宋_GB2312"/>
                      <w:sz w:val="20"/>
                      <w:color w:val="000000"/>
                    </w:rPr>
                    <w:t>sm-d380a型）相匹配，适用于膝关节、肩关节、肘关节、踝关节、腕关节等手术，能重复使用（非一次性使用耗材）。</w:t>
                  </w:r>
                </w:p>
              </w:tc>
            </w:tr>
          </w:tbl>
          <w:tbl>
            <w:tblPr>
              <w:tblBorders>
                <w:top w:val="none" w:color="000000" w:sz="4"/>
                <w:left w:val="none" w:color="000000" w:sz="4"/>
                <w:bottom w:val="none" w:color="000000" w:sz="4"/>
                <w:right w:val="none" w:color="000000" w:sz="4"/>
                <w:insideH w:val="none"/>
                <w:insideV w:val="none"/>
              </w:tblBorders>
            </w:tblPr>
            <w:tblGrid>
              <w:gridCol w:w="512"/>
              <w:gridCol w:w="679"/>
              <w:gridCol w:w="748"/>
              <w:gridCol w:w="3659"/>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符号标识</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要求名称</w:t>
                  </w:r>
                </w:p>
              </w:tc>
              <w:tc>
                <w:tcPr>
                  <w:tcW w:type="dxa" w:w="3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要求内容</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保险</w:t>
                  </w:r>
                </w:p>
              </w:tc>
              <w:tc>
                <w:tcPr>
                  <w:tcW w:type="dxa" w:w="3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按国家相关规定执行。</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不可抗力事件处理</w:t>
                  </w:r>
                </w:p>
              </w:tc>
              <w:tc>
                <w:tcPr>
                  <w:tcW w:type="dxa" w:w="3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在合同有效期内，任何一方因不可抗力事件导致不能履行合同，则合同履行期可延长，其延长期与不可抗力影响期相同。</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不可抗力事件发生后，应立即通知对方，并寄送有关权威机构出具的证明。</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不可抗力事件延续</w:t>
                  </w:r>
                  <w:r>
                    <w:rPr>
                      <w:rFonts w:ascii="仿宋_GB2312" w:hAnsi="仿宋_GB2312" w:cs="仿宋_GB2312" w:eastAsia="仿宋_GB2312"/>
                      <w:sz w:val="20"/>
                    </w:rPr>
                    <w:t>30天以上，双方应通过友好协商，确定是否继续履行合同。</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配送服务要求</w:t>
                  </w:r>
                </w:p>
              </w:tc>
              <w:tc>
                <w:tcPr>
                  <w:tcW w:type="dxa" w:w="3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必须按照采购合同要求保证产品供应，及时满足采购人的采购需要。采购人发出需求计划后，应在2个小时内响应采购人的订单，5个工作日内必须送达，特殊情况1个工作日内送到，紧急情况（急救）需立即配送（送达时间最多不超过2个小时），节假日及周末照常配送。</w:t>
                  </w:r>
                </w:p>
                <w:p>
                  <w:pPr>
                    <w:pStyle w:val="null3"/>
                    <w:jc w:val="left"/>
                  </w:pPr>
                  <w:r>
                    <w:rPr>
                      <w:rFonts w:ascii="仿宋_GB2312" w:hAnsi="仿宋_GB2312" w:cs="仿宋_GB2312" w:eastAsia="仿宋_GB2312"/>
                      <w:sz w:val="20"/>
                    </w:rPr>
                    <w:t>2.中标人须保证产品的储备量，在采购人有需求的时候，能及时按需足量配送，有加急配送需求，全力配合。</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供应商自行负责供应室全部国产设备相关的维修、维护、保养，确保相关的设施设备正常运行</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4.运输及提供服务过程中，中标人须遵循国家现行交通法规安全运输，服务过程中一切安全事项，均自行负责并承担责任，如发生安全事故与采购人无关。</w:t>
                  </w:r>
                </w:p>
                <w:p>
                  <w:pPr>
                    <w:pStyle w:val="null3"/>
                    <w:jc w:val="left"/>
                  </w:pPr>
                  <w:r>
                    <w:rPr>
                      <w:rFonts w:ascii="仿宋_GB2312" w:hAnsi="仿宋_GB2312" w:cs="仿宋_GB2312" w:eastAsia="仿宋_GB2312"/>
                      <w:sz w:val="20"/>
                    </w:rPr>
                    <w:t>5.配送的产品名称、规格、包装、组成成分等须与卫生行政部门公布的信息完全一致。保证产品质量，保证产品合法、正规的采购渠道，杜绝假劣产品流入医疗机构。所配送的产品，需满足医院临床使用要求以及国家、行业相关标准及采购文件要求。</w:t>
                  </w:r>
                </w:p>
                <w:p>
                  <w:pPr>
                    <w:pStyle w:val="null3"/>
                    <w:jc w:val="left"/>
                  </w:pPr>
                  <w:r>
                    <w:rPr>
                      <w:rFonts w:ascii="仿宋_GB2312" w:hAnsi="仿宋_GB2312" w:cs="仿宋_GB2312" w:eastAsia="仿宋_GB2312"/>
                      <w:sz w:val="20"/>
                    </w:rPr>
                    <w:t>6.在合同有效期内，中标人不得随意更换投标响应的产品规格、包装、生产企业等。供应不合格产品，将按合同条款进行承担违约责任。</w:t>
                  </w:r>
                </w:p>
                <w:p>
                  <w:pPr>
                    <w:pStyle w:val="null3"/>
                    <w:jc w:val="left"/>
                  </w:pPr>
                  <w:r>
                    <w:rPr>
                      <w:rFonts w:ascii="仿宋_GB2312" w:hAnsi="仿宋_GB2312" w:cs="仿宋_GB2312" w:eastAsia="仿宋_GB2312"/>
                      <w:sz w:val="20"/>
                    </w:rPr>
                    <w:t>7.若中标耗材停产或厂家停止供货，则由采购人和中标人协商选择替代产品；若中标耗材在使用过程中，因医保政策导致不能继续收费，同时可以找到可收费替代品，则采购人和中标人协商选择替代产品；若中标耗材在使用过程中，价格大幅上涨，同时可找到可收费替代品，则采购人和中标人协商选择价优替代产品。</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供货期内每季度末由采购人按照医院考核制度对中标人当季度的货品质量、服务情况、病患满意度等进行综合考核，对不</w:t>
                  </w:r>
                  <w:r>
                    <w:rPr>
                      <w:rFonts w:ascii="仿宋_GB2312" w:hAnsi="仿宋_GB2312" w:cs="仿宋_GB2312" w:eastAsia="仿宋_GB2312"/>
                      <w:sz w:val="20"/>
                    </w:rPr>
                    <w:t>合格的</w:t>
                  </w:r>
                  <w:r>
                    <w:rPr>
                      <w:rFonts w:ascii="仿宋_GB2312" w:hAnsi="仿宋_GB2312" w:cs="仿宋_GB2312" w:eastAsia="仿宋_GB2312"/>
                      <w:sz w:val="20"/>
                    </w:rPr>
                    <w:t>，可采取提出警告、限期整改、</w:t>
                  </w:r>
                  <w:r>
                    <w:rPr>
                      <w:rFonts w:ascii="仿宋_GB2312" w:hAnsi="仿宋_GB2312" w:cs="仿宋_GB2312" w:eastAsia="仿宋_GB2312"/>
                      <w:sz w:val="20"/>
                    </w:rPr>
                    <w:t>违约索赔</w:t>
                  </w:r>
                  <w:r>
                    <w:rPr>
                      <w:rFonts w:ascii="仿宋_GB2312" w:hAnsi="仿宋_GB2312" w:cs="仿宋_GB2312" w:eastAsia="仿宋_GB2312"/>
                      <w:sz w:val="20"/>
                    </w:rPr>
                    <w:t>、</w:t>
                  </w:r>
                  <w:r>
                    <w:rPr>
                      <w:rFonts w:ascii="仿宋_GB2312" w:hAnsi="仿宋_GB2312" w:cs="仿宋_GB2312" w:eastAsia="仿宋_GB2312"/>
                      <w:sz w:val="20"/>
                    </w:rPr>
                    <w:t>解除合同</w:t>
                  </w:r>
                  <w:r>
                    <w:rPr>
                      <w:rFonts w:ascii="仿宋_GB2312" w:hAnsi="仿宋_GB2312" w:cs="仿宋_GB2312" w:eastAsia="仿宋_GB2312"/>
                      <w:sz w:val="20"/>
                    </w:rPr>
                    <w:t>等措施。</w:t>
                  </w:r>
                </w:p>
                <w:p>
                  <w:pPr>
                    <w:pStyle w:val="null3"/>
                    <w:jc w:val="left"/>
                  </w:pPr>
                  <w:r>
                    <w:rPr>
                      <w:rFonts w:ascii="仿宋_GB2312" w:hAnsi="仿宋_GB2312" w:cs="仿宋_GB2312" w:eastAsia="仿宋_GB2312"/>
                      <w:sz w:val="20"/>
                    </w:rPr>
                    <w:t>9.中标人必须无条件满足采购人的供货需求，出现下列任一情形采购人有权终止合同：（1） 一年内有三次无法按时按质按量供货，（2）未按约定供货引起采购人医疗纠纷、行政处罚、医闹等</w:t>
                  </w:r>
                  <w:r>
                    <w:rPr>
                      <w:rFonts w:ascii="仿宋_GB2312" w:hAnsi="仿宋_GB2312" w:cs="仿宋_GB2312" w:eastAsia="仿宋_GB2312"/>
                      <w:sz w:val="20"/>
                    </w:rPr>
                    <w:t xml:space="preserve"> (3)</w:t>
                  </w:r>
                  <w:r>
                    <w:rPr>
                      <w:rFonts w:ascii="仿宋_GB2312" w:hAnsi="仿宋_GB2312" w:cs="仿宋_GB2312" w:eastAsia="仿宋_GB2312"/>
                      <w:sz w:val="20"/>
                    </w:rPr>
                    <w:t>逾期交货</w:t>
                  </w:r>
                  <w:r>
                    <w:rPr>
                      <w:rFonts w:ascii="仿宋_GB2312" w:hAnsi="仿宋_GB2312" w:cs="仿宋_GB2312" w:eastAsia="仿宋_GB2312"/>
                      <w:sz w:val="20"/>
                    </w:rPr>
                    <w:t>10日以上。</w:t>
                  </w:r>
                </w:p>
                <w:p>
                  <w:pPr>
                    <w:pStyle w:val="null3"/>
                    <w:jc w:val="left"/>
                  </w:pPr>
                  <w:r>
                    <w:rPr>
                      <w:rFonts w:ascii="仿宋_GB2312" w:hAnsi="仿宋_GB2312" w:cs="仿宋_GB2312" w:eastAsia="仿宋_GB2312"/>
                      <w:sz w:val="20"/>
                    </w:rPr>
                    <w:t>10.中标后严格自律、遏制医疗产品购销行动中的商业贿赂及不正当竞争的违法、违规行为。 实行阳光操作，保障购销行为公开、透明。</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售后服务要求</w:t>
                  </w:r>
                </w:p>
              </w:tc>
              <w:tc>
                <w:tcPr>
                  <w:tcW w:type="dxa" w:w="3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1.需为采购人提供全年365天×24小时售后服务，并针对本项目配备专业的售后服务团队，指定售后服务联络人，制定相关售后服务保障措施和计划。</w:t>
                  </w:r>
                </w:p>
                <w:p>
                  <w:pPr>
                    <w:pStyle w:val="null3"/>
                    <w:jc w:val="left"/>
                  </w:pPr>
                  <w:r>
                    <w:rPr>
                      <w:rFonts w:ascii="仿宋_GB2312" w:hAnsi="仿宋_GB2312" w:cs="仿宋_GB2312" w:eastAsia="仿宋_GB2312"/>
                      <w:sz w:val="20"/>
                    </w:rPr>
                    <w:t>2.需向采购人提供及时有效的临床技术支持，根据采购人需求对医务人员进行业务培训，培训费用包含在本次报价中。</w:t>
                  </w:r>
                </w:p>
                <w:p>
                  <w:pPr>
                    <w:pStyle w:val="null3"/>
                    <w:jc w:val="left"/>
                  </w:pPr>
                  <w:r>
                    <w:rPr>
                      <w:rFonts w:ascii="仿宋_GB2312" w:hAnsi="仿宋_GB2312" w:cs="仿宋_GB2312" w:eastAsia="仿宋_GB2312"/>
                      <w:sz w:val="20"/>
                    </w:rPr>
                    <w:t>3.在使用过程中，若发现产品有质量问题，须在接到采购人通知后3个工作日内解决。</w:t>
                  </w:r>
                </w:p>
                <w:p>
                  <w:pPr>
                    <w:pStyle w:val="null3"/>
                    <w:jc w:val="left"/>
                  </w:pPr>
                  <w:r>
                    <w:rPr>
                      <w:rFonts w:ascii="仿宋_GB2312" w:hAnsi="仿宋_GB2312" w:cs="仿宋_GB2312" w:eastAsia="仿宋_GB2312"/>
                      <w:sz w:val="20"/>
                    </w:rPr>
                    <w:t>4.若因产品质量问题或使用不当造成相关医疗事故或舆论事件，应积极配合采购人处理，消除负面影响，并赔偿由此给采购人造成的损失，若采购人因此进行赔偿的，有权向供应商进行追偿，且采购人有权解除合同。</w:t>
                  </w:r>
                </w:p>
                <w:p>
                  <w:pPr>
                    <w:pStyle w:val="null3"/>
                    <w:jc w:val="left"/>
                  </w:pPr>
                  <w:r>
                    <w:rPr>
                      <w:rFonts w:ascii="仿宋_GB2312" w:hAnsi="仿宋_GB2312" w:cs="仿宋_GB2312" w:eastAsia="仿宋_GB2312"/>
                      <w:sz w:val="20"/>
                    </w:rPr>
                    <w:t>5.商品送达采购人剩余有效期≥产品效期的2/3，并支持库存商品有效期＜3个月须无条件换货。</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质量要求</w:t>
                  </w:r>
                </w:p>
              </w:tc>
              <w:tc>
                <w:tcPr>
                  <w:tcW w:type="dxa" w:w="3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中标人提供的所有产品必须符合国家及行业相关质量要求。严格执行食品药品监督管理部门产品注册要求，供应合格生产的产品。产品包装应严密，包装袋（箱）应干净、结实、无破损、封口</w:t>
                  </w:r>
                  <w:r>
                    <w:rPr>
                      <w:rFonts w:ascii="仿宋_GB2312" w:hAnsi="仿宋_GB2312" w:cs="仿宋_GB2312" w:eastAsia="仿宋_GB2312"/>
                      <w:sz w:val="20"/>
                    </w:rPr>
                    <w:t>严密，方便储存、运输和使用，在每件包装上须注明：品名、制造厂商、批号、生产日期。</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中标后供应产品时须提供生产企业对其产品销售的书面授权，同时提供配送产品的生产企业完整资质材料。每批次产品都须提供质量检测报告。</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中标后，采购人有权对配送产品（产品注册证</w:t>
                  </w:r>
                  <w:r>
                    <w:rPr>
                      <w:rFonts w:ascii="仿宋_GB2312" w:hAnsi="仿宋_GB2312" w:cs="仿宋_GB2312" w:eastAsia="仿宋_GB2312"/>
                      <w:sz w:val="20"/>
                    </w:rPr>
                    <w:t>/一类产品备案凭证、生产企业许可证、经营企业许可证、营业执照）资质、票据、质量合格证明、中文说明书、生产企业对经营企业的书面授权书原件等信息进行查验，</w:t>
                  </w:r>
                  <w:r>
                    <w:rPr>
                      <w:rFonts w:ascii="仿宋_GB2312" w:hAnsi="仿宋_GB2312" w:cs="仿宋_GB2312" w:eastAsia="仿宋_GB2312"/>
                      <w:sz w:val="20"/>
                    </w:rPr>
                    <w:t>中标人</w:t>
                  </w:r>
                  <w:r>
                    <w:rPr>
                      <w:rFonts w:ascii="仿宋_GB2312" w:hAnsi="仿宋_GB2312" w:cs="仿宋_GB2312" w:eastAsia="仿宋_GB2312"/>
                      <w:sz w:val="20"/>
                    </w:rPr>
                    <w:t>应当无条件配合。</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报价要求</w:t>
                  </w:r>
                </w:p>
              </w:tc>
              <w:tc>
                <w:tcPr>
                  <w:tcW w:type="dxa" w:w="3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在中标后应当按（</w:t>
                  </w:r>
                  <w:r>
                    <w:rPr>
                      <w:rFonts w:ascii="仿宋_GB2312" w:hAnsi="仿宋_GB2312" w:cs="仿宋_GB2312" w:eastAsia="仿宋_GB2312"/>
                      <w:sz w:val="20"/>
                    </w:rPr>
                    <w:t>1-中标</w:t>
                  </w:r>
                  <w:r>
                    <w:rPr>
                      <w:rFonts w:ascii="仿宋_GB2312" w:hAnsi="仿宋_GB2312" w:cs="仿宋_GB2312" w:eastAsia="仿宋_GB2312"/>
                      <w:sz w:val="20"/>
                    </w:rPr>
                    <w:t>统一</w:t>
                  </w:r>
                  <w:r>
                    <w:rPr>
                      <w:rFonts w:ascii="仿宋_GB2312" w:hAnsi="仿宋_GB2312" w:cs="仿宋_GB2312" w:eastAsia="仿宋_GB2312"/>
                      <w:sz w:val="20"/>
                    </w:rPr>
                    <w:t>下浮</w:t>
                  </w:r>
                  <w:r>
                    <w:rPr>
                      <w:rFonts w:ascii="仿宋_GB2312" w:hAnsi="仿宋_GB2312" w:cs="仿宋_GB2312" w:eastAsia="仿宋_GB2312"/>
                      <w:sz w:val="20"/>
                    </w:rPr>
                    <w:t>比例</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清单中</w:t>
                  </w:r>
                  <w:r>
                    <w:rPr>
                      <w:rFonts w:ascii="仿宋_GB2312" w:hAnsi="仿宋_GB2312" w:cs="仿宋_GB2312" w:eastAsia="仿宋_GB2312"/>
                      <w:sz w:val="20"/>
                    </w:rPr>
                    <w:t>单价最高限价</w:t>
                  </w:r>
                  <w:r>
                    <w:rPr>
                      <w:rFonts w:ascii="仿宋_GB2312" w:hAnsi="仿宋_GB2312" w:cs="仿宋_GB2312" w:eastAsia="仿宋_GB2312"/>
                      <w:sz w:val="20"/>
                    </w:rPr>
                    <w:t>作为中标单价，与采购人签订合同；本次采购清单里对产品是否挂网系采购人目前采购产品的状态，若有未挂网产品在合同有效期内进入了药品和医用耗材招采管理系统平台挂网或实现了国家及省级集中采购的，则按不得高于平台中的联动参考价、本省最高参考价及该产品上月末全省医药机构采购平均价中的最低价执行采购，挂网采购平台的产品挂网价格与中标采购价存在冲突时，按照最低的价格执行采购（同一产品名称下有不同规格型号的挂网产品其挂网价格与中标采购价存在冲突时，则按照两者最低价格执行采购。），本次招标的价格即不再执行。（本次采购的产品价格包含从发货地点到采购人所在地点的运输、保险及</w:t>
                  </w:r>
                  <w:r>
                    <w:rPr>
                      <w:rFonts w:ascii="仿宋_GB2312" w:hAnsi="仿宋_GB2312" w:cs="仿宋_GB2312" w:eastAsia="仿宋_GB2312"/>
                      <w:sz w:val="20"/>
                    </w:rPr>
                    <w:t>SPD相关服务费、税费等和</w:t>
                  </w:r>
                  <w:r>
                    <w:rPr>
                      <w:rFonts w:ascii="仿宋_GB2312" w:hAnsi="仿宋_GB2312" w:cs="仿宋_GB2312" w:eastAsia="仿宋_GB2312"/>
                      <w:sz w:val="20"/>
                    </w:rPr>
                    <w:t>采购文件</w:t>
                  </w:r>
                  <w:r>
                    <w:rPr>
                      <w:rFonts w:ascii="仿宋_GB2312" w:hAnsi="仿宋_GB2312" w:cs="仿宋_GB2312" w:eastAsia="仿宋_GB2312"/>
                      <w:sz w:val="20"/>
                    </w:rPr>
                    <w:t>规定的其他一切费用。）</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甲方指定地点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支付，验收合格后中标人提供合法有效完整的完税发票及凭证资料后，达到付款条件起30日内支付，达到付款条件起30日内，据实结算说明为中标人按采购人需求，分批送货、按实结算，中标人配送货物后经采购人最终验收入库，以财务当月入账时间为准，8个月内付第1个月货款，9个月内付第2个月货款，以此类推。采购人每一次付款以收到供应商合法有效完整的完税发票及凭证资料为必要条件，未提供的，付款时间顺延（不视为违约）。</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1.本项目采购人将严格按照政府采购相关法律法规及采购文件的要求进行验收。 2. 验收结果合格的，中标人凭验收报告到采购人指定部门办理相关手续；验收结果不合格且经整改后仍不合格的，将不予支付采购资金，同时报告本项目同级财政部门按照政府采购法律法规的有关规定给予行政处罚或者以失信行为记入诚信档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符合国家有关规定、采购文件的质量要求和技术指标、供应商的响应文件及承诺以及合同条款。</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乙方交付的服务（货物）质量不符合合同规定的，乙方应向甲方支付合同总价的百分之五的违约金，并须在合同规定的交货时间内更换合格的服务（货物）给甲方，否则，视作乙方不能交付服务（货物）而违约，按本条本款下述第“（2）”项规定由乙方偿付违约赔偿金给甲方。 （2）乙方不能交付服务（货物）或逾期交付服务（货物）而违约的，除应及时交足服务（货物）外，应向甲方偿付逾期交货部分货款总额的万分之二/天的违约金；逾期交货超过45天，甲方有权终止合同，乙方则应按合同总价的百分之五的款额向甲方偿付赔偿金，并须全额退还甲方已经付给乙方的货款及其利息（按照全国银行间同业拆借中心公布的贷款市场报价利率标准计算）。 （3）乙方服务（货物）经甲方送交具有法定资格条件的质量技术监督机构检测后，如检测结果认定服务（货物）质量不符合本合同规定标准的，则视为乙方没有按时交服务（货物）而违约，乙方须在 15 天内无条件更换合格的服务（货物），如逾期不能更换合格的服务（货物），甲方有权终止本合同，乙方应另付合同总价的百分之五的赔偿金给甲方，并须全额退还甲方已经付给乙方的货款及其利息（按照全国银行间同行业拆借中心公布的贷款市场报价利率标准计算）。 （4）乙方保证本合同服务（货物）的权利无瑕疵，包括服务（货物）所有权及知识产权等权利无瑕疵。如任何第三方经法院（或仲裁机构）裁决有权对上述服务（货物）主张权利或国家机关依法对服务（货物）进行没收查处的，乙方除应向甲方返还已收款项外，还应另按合同总价的百分之五向甲方支付违约金并赔偿因此给甲方造成的一切损失。 （5）若乙方未按照合同约定提供售后服务的，每出现一次，甲方有权要求乙方支付合同价款1%的违约金。 （6）乙方偿付的违约金不足以弥补甲方损失的，还应按甲方损失尚未弥补的部分，支付赔偿金给甲方。 （7）乙方违约的，甲方除按本合同约定要求乙方承担违约责任外，甲方因此而产生的费用，包括但不限于诉讼费、保全费、律师费、评估费、拍卖费等均由乙方承担。合同履行期间,若双方发生争议，可协商或由有关部门调解解决，协商或调解不成的，采购人和中标人均可向采购人所在地有管辖权的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若采购产品为医疗器械的，供应商须符合《医疗器械监督管理条例》要求，提供供应商经营该产品的经营许可或经营备案证明材料复印件。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若采购产品为医疗器械的，供应商须符合《医疗器械监督管理条例》要求，提供供应商经营该产品的经营许可或经营备案证明材料复印件，并进行电子签章。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投标产品及其配置产品为医疗器械的，投标产品及其配置产品须符合《医疗器械注册与备案管理办法》要求并提供中华人民共和国医疗器械注册证或备案凭证（提供相应证明材料并进行电子签章）</w:t>
            </w:r>
          </w:p>
        </w:tc>
        <w:tc>
          <w:tcPr>
            <w:tcW w:type="dxa" w:w="3322"/>
          </w:tcPr>
          <w:p>
            <w:pPr>
              <w:pStyle w:val="null3"/>
              <w:jc w:val="left"/>
            </w:pPr>
            <w:r>
              <w:rPr>
                <w:rFonts w:ascii="仿宋_GB2312" w:hAnsi="仿宋_GB2312" w:cs="仿宋_GB2312" w:eastAsia="仿宋_GB2312"/>
              </w:rPr>
              <w:t>投标产品及其配置产品为医疗器械的，投标产品及其配置产品须符合《医疗器械注册与备案管理办法》要求并提供中华人民共和国医疗器械注册证或备案凭证（提供相应证明材料并进行电子签章）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采购文件中所有实质性要求 （包含但不限于所有★条款要求）</w:t>
            </w:r>
          </w:p>
        </w:tc>
        <w:tc>
          <w:tcPr>
            <w:tcW w:type="dxa" w:w="3322"/>
          </w:tcPr>
          <w:p>
            <w:pPr>
              <w:pStyle w:val="null3"/>
              <w:jc w:val="left"/>
            </w:pPr>
            <w:r>
              <w:rPr>
                <w:rFonts w:ascii="仿宋_GB2312" w:hAnsi="仿宋_GB2312" w:cs="仿宋_GB2312" w:eastAsia="仿宋_GB2312"/>
              </w:rPr>
              <w:t>采购文件中所有实质性要求 （包含但不限于所有★条款要求）</w:t>
            </w:r>
          </w:p>
        </w:tc>
        <w:tc>
          <w:tcPr>
            <w:tcW w:type="dxa" w:w="1661"/>
          </w:tcPr>
          <w:p>
            <w:pPr>
              <w:pStyle w:val="null3"/>
              <w:jc w:val="left"/>
            </w:pPr>
            <w:r>
              <w:rPr>
                <w:rFonts w:ascii="仿宋_GB2312" w:hAnsi="仿宋_GB2312" w:cs="仿宋_GB2312" w:eastAsia="仿宋_GB2312"/>
              </w:rPr>
              <w:t>技术要求应答表,供应商应提交的相关证明材料,商务要求应答表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等离子切割刀头</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 2.投标报价得分=(评标基准价／投标报价)×100。 3.符合《政府采购促进中小企业发展管理办法》（财库〔2020〕46号）规定的小微企业报价给予扣除，用扣除后的价格参加评审，价格扣除计算公式：评审价=响应报价×（1-10%）；监狱企业与残疾人福利性单位视同小型、微型企业，享受同等价格扣除，当企业属性重复时，不重复价格扣除。 4.实施本国产品标准:政府采购活动中既有本国产品⼜有⾮本国产品参与竞争的，依法对本国产品给予价格评审优惠，对本国产品的报价给予20%的价格扣除，⽤扣除后的价格参与评审。当采购项⽬或者采购包中含有多种产品，供应商为该采购项⽬或者采购包提供的符合本国产品标准的产品成本之和占该供应商提供的全部产品成本之和的⽐例达到80%以上时，依法对该供应商提供的全部产品给予价格评审优惠，即对该供应商提供的全部产品的总报价给予20%的价格扣除，⽤扣除后的价格参与评审。全部产品是指货物或服务采购项⽬或采购包中包含的全部货物、服务产品。</w:t>
            </w:r>
          </w:p>
        </w:tc>
        <w:tc>
          <w:tcPr>
            <w:tcW w:type="dxa" w:w="2123"/>
          </w:tcPr>
          <w:p>
            <w:pPr>
              <w:pStyle w:val="null3"/>
              <w:jc w:val="left"/>
            </w:pPr>
            <w:r>
              <w:rPr>
                <w:rFonts w:ascii="仿宋_GB2312" w:hAnsi="仿宋_GB2312" w:cs="仿宋_GB2312" w:eastAsia="仿宋_GB2312"/>
              </w:rPr>
              <w:t>中小企业声明函,残疾人福利性单位声明函,报价明细表,关于符合本国产品标准的声明函,报价表,监狱企业的证明文件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