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版本号：N513311202600011220260429001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“圣洁甘孜·走进德国”2026年甘孜州优势资源推介会</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N5133112026000112</w:t>
      </w:r>
    </w:p>
    <w:p>
      <w:pPr>
        <w:pStyle w:val="null3"/>
        <w:jc w:val="center"/>
        <w:outlineLvl w:val="2"/>
      </w:pPr>
      <w:r>
        <w:rPr>
          <w:rFonts w:ascii="仿宋_GB2312" w:hAnsi="仿宋_GB2312" w:cs="仿宋_GB2312" w:eastAsia="仿宋_GB2312"/>
          <w:sz w:val="28"/>
          <w:b/>
        </w:rPr>
        <w:t>甘孜藏族自治州商务经济合作和外事局</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甘孜藏族自治州商务经济合作和外事局</w:t>
      </w:r>
      <w:r>
        <w:rPr>
          <w:rFonts w:ascii="仿宋_GB2312" w:hAnsi="仿宋_GB2312" w:cs="仿宋_GB2312" w:eastAsia="仿宋_GB2312"/>
        </w:rPr>
        <w:t xml:space="preserve"> 委托，拟对 </w:t>
      </w:r>
      <w:r>
        <w:rPr>
          <w:rFonts w:ascii="仿宋_GB2312" w:hAnsi="仿宋_GB2312" w:cs="仿宋_GB2312" w:eastAsia="仿宋_GB2312"/>
        </w:rPr>
        <w:t>“圣洁甘孜·走进德国”2026年甘孜州优势资源推介会</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N5133112026000112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“圣洁甘孜·走进德国”2026年甘孜州优势资源推介会</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sz w:val="24"/>
        </w:rPr>
        <w:t>本项目分为1包，甘孜藏族自治州商务经济合作和外事局采购“圣洁甘孜·走进德国” 2026年甘孜州优势资源推介会服务供应商一名。具体需求详见采购文件第三章。</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甘孜藏族自治州商务经济合作和外事局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四川省康定市炉城镇沿河西街1号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0836-2877085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徐先生、李女士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18581547220、18428034957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采购包1：380,000.00元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代理服务费收费标准：（1）依照成本加合理利润的原则，本项目定额收取代理服务费6000元。 （2）收款单位：四川国际招标有限责任公司。 （3）开户行：中国民生银行股份有限公司成都分行营业部。 （4）银行账号：9902001850354042。 （5）采购合同签订前向代理机构交纳招标代理服务费。 （6）招标代理服务费交纳完成后，可按照以下温馨提示开具发票：方式①：供应商进入http://sale.scbid.net/home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甘孜藏族自治州商务经济合作和外事局</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甘孜藏族自治州商务经济合作和外事局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供应商向采购人提出验收申请后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按照本项目采购文件中“技术要求”及成交人响应文件进行验收。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按照本项目采购文件中“服务要求”及成交人响应文件进行验收。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严格按照《财政部关于进一步加强政府采购需求和履约验收管理的指导意见》（财库〔2016〕205号）的要求、采购文件的服务要求和技术指标、成交供应商的响应文件及承诺以及合同约定标准进行验收。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甘孜藏族自治州商务经济合作和外事局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380,000.00</w:t>
      </w:r>
    </w:p>
    <w:p>
      <w:pPr>
        <w:pStyle w:val="null3"/>
        <w:jc w:val="left"/>
      </w:pPr>
      <w:r>
        <w:rPr>
          <w:rFonts w:ascii="仿宋_GB2312" w:hAnsi="仿宋_GB2312" w:cs="仿宋_GB2312" w:eastAsia="仿宋_GB2312"/>
        </w:rPr>
        <w:t>采购包最高限价（元）: 380,000.00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C22990000 其他会议、展览、住宿和餐饮服务</w:t>
            </w:r>
          </w:p>
        </w:tc>
        <w:tc>
          <w:tcPr>
            <w:tcW w:type="dxa" w:w="821"/>
          </w:tcPr>
          <w:p>
            <w:pPr>
              <w:pStyle w:val="null3"/>
              <w:jc w:val="left"/>
            </w:pPr>
            <w:r>
              <w:rPr>
                <w:rFonts w:ascii="仿宋_GB2312" w:hAnsi="仿宋_GB2312" w:cs="仿宋_GB2312" w:eastAsia="仿宋_GB2312"/>
              </w:rPr>
              <w:t>“圣洁甘孜·走进德国”2026年甘孜州优势资源推介会</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380,000.00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“圣洁甘孜·走进德国”2026年甘孜州优势资源推介会</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标的名称：“圣洁甘孜·走进德国”2026年甘孜州优势资源推介会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4"/>
              </w:rPr>
              <w:t>（一）会议时间：2026年5月至6月，具体时间在合同签订后由采购人确定。</w:t>
            </w:r>
          </w:p>
          <w:p>
            <w:pPr>
              <w:pStyle w:val="null3"/>
              <w:jc w:val="left"/>
            </w:pPr>
            <w:r>
              <w:rPr>
                <w:rFonts w:ascii="仿宋_GB2312" w:hAnsi="仿宋_GB2312" w:cs="仿宋_GB2312" w:eastAsia="仿宋_GB2312"/>
                <w:sz w:val="24"/>
              </w:rPr>
              <w:t>（二）会议地址：德国-杜塞尔多夫，由供应商负责场地选址和租赁，供应商选址后报采购人审核通过。</w:t>
            </w:r>
          </w:p>
          <w:p>
            <w:pPr>
              <w:pStyle w:val="null3"/>
              <w:jc w:val="left"/>
            </w:pPr>
            <w:r>
              <w:rPr>
                <w:rFonts w:ascii="仿宋_GB2312" w:hAnsi="仿宋_GB2312" w:cs="仿宋_GB2312" w:eastAsia="仿宋_GB2312"/>
                <w:sz w:val="24"/>
              </w:rPr>
              <w:t>（三）参会人员：不低于80人（具体人数由采购人签订合同签确定），包含：甘孜州代表团成员、中国驻杜塞尔多夫总领事馆代表、杜塞尔多夫政府部门官员代表、德国北威州商协会代表，欧洲中小企业联合会代表，旅德华人华侨代表，杜塞尔多夫当地知名企业及中资驻德企业代表。</w:t>
            </w:r>
          </w:p>
          <w:p>
            <w:pPr>
              <w:pStyle w:val="null3"/>
              <w:jc w:val="left"/>
            </w:pPr>
            <w:r>
              <w:rPr>
                <w:rFonts w:ascii="仿宋_GB2312" w:hAnsi="仿宋_GB2312" w:cs="仿宋_GB2312" w:eastAsia="仿宋_GB2312"/>
                <w:sz w:val="24"/>
              </w:rPr>
              <w:t>（四）主要内容</w:t>
            </w:r>
          </w:p>
          <w:p>
            <w:pPr>
              <w:pStyle w:val="null3"/>
              <w:jc w:val="left"/>
            </w:pPr>
            <w:r>
              <w:rPr>
                <w:rFonts w:ascii="仿宋_GB2312" w:hAnsi="仿宋_GB2312" w:cs="仿宋_GB2312" w:eastAsia="仿宋_GB2312"/>
                <w:sz w:val="24"/>
              </w:rPr>
              <w:t>1.活动仪式：</w:t>
            </w:r>
          </w:p>
          <w:p>
            <w:pPr>
              <w:pStyle w:val="null3"/>
              <w:jc w:val="left"/>
            </w:pPr>
            <w:r>
              <w:rPr>
                <w:rFonts w:ascii="仿宋_GB2312" w:hAnsi="仿宋_GB2312" w:cs="仿宋_GB2312" w:eastAsia="仿宋_GB2312"/>
                <w:sz w:val="24"/>
              </w:rPr>
              <w:t>开场致辞：介绍本次活动背景。</w:t>
            </w:r>
          </w:p>
          <w:p>
            <w:pPr>
              <w:pStyle w:val="null3"/>
              <w:jc w:val="left"/>
            </w:pPr>
            <w:r>
              <w:rPr>
                <w:rFonts w:ascii="仿宋_GB2312" w:hAnsi="仿宋_GB2312" w:cs="仿宋_GB2312" w:eastAsia="仿宋_GB2312"/>
                <w:sz w:val="24"/>
              </w:rPr>
              <w:t>嘉宾介绍：介绍本次出席活动的重要嘉宾。</w:t>
            </w:r>
          </w:p>
          <w:p>
            <w:pPr>
              <w:pStyle w:val="null3"/>
              <w:jc w:val="left"/>
            </w:pPr>
            <w:r>
              <w:rPr>
                <w:rFonts w:ascii="仿宋_GB2312" w:hAnsi="仿宋_GB2312" w:cs="仿宋_GB2312" w:eastAsia="仿宋_GB2312"/>
                <w:sz w:val="24"/>
              </w:rPr>
              <w:t>2.经贸推介：</w:t>
            </w:r>
          </w:p>
          <w:p>
            <w:pPr>
              <w:pStyle w:val="null3"/>
              <w:jc w:val="left"/>
            </w:pPr>
            <w:r>
              <w:rPr>
                <w:rFonts w:ascii="仿宋_GB2312" w:hAnsi="仿宋_GB2312" w:cs="仿宋_GB2312" w:eastAsia="仿宋_GB2312"/>
                <w:sz w:val="24"/>
              </w:rPr>
              <w:t>演讲推介：由甘孜州领导嘉宾进行甘孜推介、展望未来。</w:t>
            </w:r>
          </w:p>
          <w:p>
            <w:pPr>
              <w:pStyle w:val="null3"/>
              <w:jc w:val="left"/>
            </w:pPr>
            <w:r>
              <w:rPr>
                <w:rFonts w:ascii="仿宋_GB2312" w:hAnsi="仿宋_GB2312" w:cs="仿宋_GB2312" w:eastAsia="仿宋_GB2312"/>
                <w:sz w:val="24"/>
              </w:rPr>
              <w:t>（五）会议流程</w:t>
            </w:r>
          </w:p>
          <w:p>
            <w:pPr>
              <w:pStyle w:val="null3"/>
              <w:jc w:val="left"/>
            </w:pPr>
            <w:r>
              <w:rPr>
                <w:rFonts w:ascii="仿宋_GB2312" w:hAnsi="仿宋_GB2312" w:cs="仿宋_GB2312" w:eastAsia="仿宋_GB2312"/>
                <w:sz w:val="24"/>
              </w:rPr>
              <w:t>8:40-8:59 嘉宾签到，循环播放甘孜州暖场视频（中德双语）；</w:t>
            </w:r>
          </w:p>
          <w:p>
            <w:pPr>
              <w:pStyle w:val="null3"/>
              <w:jc w:val="left"/>
            </w:pPr>
            <w:r>
              <w:rPr>
                <w:rFonts w:ascii="仿宋_GB2312" w:hAnsi="仿宋_GB2312" w:cs="仿宋_GB2312" w:eastAsia="仿宋_GB2312"/>
                <w:sz w:val="24"/>
              </w:rPr>
              <w:t>9:00-9:04 主持人开场（介绍在场领导及重要嘉宾）（4 分钟）；</w:t>
            </w:r>
          </w:p>
          <w:p>
            <w:pPr>
              <w:pStyle w:val="null3"/>
              <w:jc w:val="left"/>
            </w:pPr>
            <w:r>
              <w:rPr>
                <w:rFonts w:ascii="仿宋_GB2312" w:hAnsi="仿宋_GB2312" w:cs="仿宋_GB2312" w:eastAsia="仿宋_GB2312"/>
                <w:sz w:val="24"/>
              </w:rPr>
              <w:t>9:05-9:12 播放甘孜州推介视频（8 分钟）；</w:t>
            </w:r>
          </w:p>
          <w:p>
            <w:pPr>
              <w:pStyle w:val="null3"/>
              <w:jc w:val="left"/>
            </w:pPr>
            <w:r>
              <w:rPr>
                <w:rFonts w:ascii="仿宋_GB2312" w:hAnsi="仿宋_GB2312" w:cs="仿宋_GB2312" w:eastAsia="仿宋_GB2312"/>
                <w:sz w:val="24"/>
              </w:rPr>
              <w:t>9:13-9:19 中国驻德国大使馆代表致辞（6 分钟）；</w:t>
            </w:r>
          </w:p>
          <w:p>
            <w:pPr>
              <w:pStyle w:val="null3"/>
              <w:jc w:val="left"/>
            </w:pPr>
            <w:r>
              <w:rPr>
                <w:rFonts w:ascii="仿宋_GB2312" w:hAnsi="仿宋_GB2312" w:cs="仿宋_GB2312" w:eastAsia="仿宋_GB2312"/>
                <w:sz w:val="24"/>
              </w:rPr>
              <w:t>9:20-9:25 德国政府代表致欢迎词（6 分钟）；</w:t>
            </w:r>
          </w:p>
          <w:p>
            <w:pPr>
              <w:pStyle w:val="null3"/>
              <w:jc w:val="left"/>
            </w:pPr>
            <w:r>
              <w:rPr>
                <w:rFonts w:ascii="仿宋_GB2312" w:hAnsi="仿宋_GB2312" w:cs="仿宋_GB2312" w:eastAsia="仿宋_GB2312"/>
                <w:sz w:val="24"/>
              </w:rPr>
              <w:t>9:26-9:40 甘孜州人民政府领导作文化旅游资源推介（15 分钟）；</w:t>
            </w:r>
          </w:p>
          <w:p>
            <w:pPr>
              <w:pStyle w:val="null3"/>
              <w:jc w:val="left"/>
            </w:pPr>
            <w:r>
              <w:rPr>
                <w:rFonts w:ascii="仿宋_GB2312" w:hAnsi="仿宋_GB2312" w:cs="仿宋_GB2312" w:eastAsia="仿宋_GB2312"/>
                <w:sz w:val="24"/>
              </w:rPr>
              <w:t>9:41-10:00 双方现场交流（20 分钟）；</w:t>
            </w:r>
          </w:p>
          <w:p>
            <w:pPr>
              <w:pStyle w:val="null3"/>
              <w:jc w:val="left"/>
            </w:pPr>
            <w:r>
              <w:rPr>
                <w:rFonts w:ascii="仿宋_GB2312" w:hAnsi="仿宋_GB2312" w:cs="仿宋_GB2312" w:eastAsia="仿宋_GB2312"/>
                <w:sz w:val="24"/>
              </w:rPr>
              <w:t>（六）会场布置</w:t>
            </w:r>
          </w:p>
          <w:p>
            <w:pPr>
              <w:pStyle w:val="null3"/>
              <w:jc w:val="left"/>
            </w:pPr>
            <w:r>
              <w:rPr>
                <w:rFonts w:ascii="仿宋_GB2312" w:hAnsi="仿宋_GB2312" w:cs="仿宋_GB2312" w:eastAsia="仿宋_GB2312"/>
                <w:sz w:val="24"/>
              </w:rPr>
              <w:t>供应商根据场地情况进行现场布置和舞台搭建，用于甘孜州推介视频等影音资料展映和嘉宾致辞推介，坐席区供现场嘉宾就座，首排为中外领导嘉宾，提供80人以上的座位。</w:t>
            </w:r>
          </w:p>
          <w:p>
            <w:pPr>
              <w:pStyle w:val="null3"/>
              <w:jc w:val="left"/>
            </w:pPr>
            <w:r>
              <w:rPr>
                <w:rFonts w:ascii="仿宋_GB2312" w:hAnsi="仿宋_GB2312" w:cs="仿宋_GB2312" w:eastAsia="仿宋_GB2312"/>
                <w:sz w:val="24"/>
              </w:rPr>
              <w:t>（七）会务服务</w:t>
            </w:r>
          </w:p>
          <w:p>
            <w:pPr>
              <w:pStyle w:val="null3"/>
              <w:jc w:val="left"/>
            </w:pPr>
            <w:r>
              <w:rPr>
                <w:rFonts w:ascii="仿宋_GB2312" w:hAnsi="仿宋_GB2312" w:cs="仿宋_GB2312" w:eastAsia="仿宋_GB2312"/>
                <w:sz w:val="24"/>
              </w:rPr>
              <w:t>1.翻译服务</w:t>
            </w:r>
          </w:p>
          <w:p>
            <w:pPr>
              <w:pStyle w:val="null3"/>
              <w:jc w:val="left"/>
            </w:pPr>
            <w:r>
              <w:rPr>
                <w:rFonts w:ascii="仿宋_GB2312" w:hAnsi="仿宋_GB2312" w:cs="仿宋_GB2312" w:eastAsia="仿宋_GB2312"/>
                <w:sz w:val="24"/>
              </w:rPr>
              <w:t>会务进行过程中，现场安排翻译为中外两地领导和嘉宾提供中德翻译服务。</w:t>
            </w:r>
          </w:p>
          <w:p>
            <w:pPr>
              <w:pStyle w:val="null3"/>
              <w:jc w:val="left"/>
            </w:pPr>
            <w:r>
              <w:rPr>
                <w:rFonts w:ascii="仿宋_GB2312" w:hAnsi="仿宋_GB2312" w:cs="仿宋_GB2312" w:eastAsia="仿宋_GB2312"/>
                <w:sz w:val="24"/>
              </w:rPr>
              <w:t>2.用餐服务</w:t>
            </w:r>
          </w:p>
          <w:p>
            <w:pPr>
              <w:pStyle w:val="null3"/>
              <w:jc w:val="left"/>
            </w:pPr>
            <w:r>
              <w:rPr>
                <w:rFonts w:ascii="仿宋_GB2312" w:hAnsi="仿宋_GB2312" w:cs="仿宋_GB2312" w:eastAsia="仿宋_GB2312"/>
                <w:sz w:val="24"/>
              </w:rPr>
              <w:t>会务现场为领导和嘉宾准备会务茶歇用餐。</w:t>
            </w:r>
          </w:p>
          <w:p>
            <w:pPr>
              <w:pStyle w:val="null3"/>
              <w:jc w:val="left"/>
            </w:pPr>
            <w:r>
              <w:rPr>
                <w:rFonts w:ascii="仿宋_GB2312" w:hAnsi="仿宋_GB2312" w:cs="仿宋_GB2312" w:eastAsia="仿宋_GB2312"/>
                <w:sz w:val="24"/>
              </w:rPr>
              <w:t>3.用车服务</w:t>
            </w:r>
          </w:p>
          <w:p>
            <w:pPr>
              <w:pStyle w:val="null3"/>
              <w:jc w:val="left"/>
            </w:pPr>
            <w:r>
              <w:rPr>
                <w:rFonts w:ascii="仿宋_GB2312" w:hAnsi="仿宋_GB2312" w:cs="仿宋_GB2312" w:eastAsia="仿宋_GB2312"/>
                <w:sz w:val="24"/>
              </w:rPr>
              <w:t>现场为甘孜州出访的领导和当地官员准备接送专车服务，从酒店驻地直达活动现场。</w:t>
            </w:r>
          </w:p>
          <w:p>
            <w:pPr>
              <w:pStyle w:val="null3"/>
              <w:jc w:val="left"/>
            </w:pPr>
            <w:r>
              <w:rPr>
                <w:rFonts w:ascii="仿宋_GB2312" w:hAnsi="仿宋_GB2312" w:cs="仿宋_GB2312" w:eastAsia="仿宋_GB2312"/>
                <w:sz w:val="24"/>
              </w:rPr>
              <w:t>（八）会务保障</w:t>
            </w:r>
          </w:p>
          <w:p>
            <w:pPr>
              <w:pStyle w:val="null3"/>
              <w:jc w:val="left"/>
            </w:pPr>
            <w:r>
              <w:rPr>
                <w:rFonts w:ascii="仿宋_GB2312" w:hAnsi="仿宋_GB2312" w:cs="仿宋_GB2312" w:eastAsia="仿宋_GB2312"/>
                <w:sz w:val="24"/>
              </w:rPr>
              <w:t>1.工作流程</w:t>
            </w:r>
          </w:p>
          <w:p>
            <w:pPr>
              <w:pStyle w:val="null3"/>
              <w:jc w:val="left"/>
            </w:pPr>
            <w:r>
              <w:rPr>
                <w:rFonts w:ascii="仿宋_GB2312" w:hAnsi="仿宋_GB2312" w:cs="仿宋_GB2312" w:eastAsia="仿宋_GB2312"/>
                <w:sz w:val="24"/>
              </w:rPr>
              <w:t>（1）联系会议场地，提供详细信息并反馈给采购人，待确认后预定物料。</w:t>
            </w:r>
          </w:p>
          <w:p>
            <w:pPr>
              <w:pStyle w:val="null3"/>
              <w:jc w:val="left"/>
            </w:pPr>
            <w:r>
              <w:rPr>
                <w:rFonts w:ascii="仿宋_GB2312" w:hAnsi="仿宋_GB2312" w:cs="仿宋_GB2312" w:eastAsia="仿宋_GB2312"/>
                <w:sz w:val="24"/>
              </w:rPr>
              <w:t>（2）沟通会议议程，协助准备会务资料，提供翻译服务。</w:t>
            </w:r>
          </w:p>
          <w:p>
            <w:pPr>
              <w:pStyle w:val="null3"/>
              <w:jc w:val="left"/>
            </w:pPr>
            <w:r>
              <w:rPr>
                <w:rFonts w:ascii="仿宋_GB2312" w:hAnsi="仿宋_GB2312" w:cs="仿宋_GB2312" w:eastAsia="仿宋_GB2312"/>
                <w:sz w:val="24"/>
              </w:rPr>
              <w:t>（3）提前抵达并跟进展场布置，协助现场沟通。</w:t>
            </w:r>
          </w:p>
          <w:p>
            <w:pPr>
              <w:pStyle w:val="null3"/>
              <w:jc w:val="left"/>
            </w:pPr>
            <w:r>
              <w:rPr>
                <w:rFonts w:ascii="仿宋_GB2312" w:hAnsi="仿宋_GB2312" w:cs="仿宋_GB2312" w:eastAsia="仿宋_GB2312"/>
                <w:sz w:val="24"/>
              </w:rPr>
              <w:t>（4）协助收集参会人员资料，提供发票及报账支持。</w:t>
            </w:r>
          </w:p>
          <w:p>
            <w:pPr>
              <w:pStyle w:val="null3"/>
              <w:jc w:val="left"/>
            </w:pPr>
            <w:r>
              <w:rPr>
                <w:rFonts w:ascii="仿宋_GB2312" w:hAnsi="仿宋_GB2312" w:cs="仿宋_GB2312" w:eastAsia="仿宋_GB2312"/>
                <w:sz w:val="24"/>
              </w:rPr>
              <w:t>（5）提供会议相关协助工作，并根据采购人意见调整。</w:t>
            </w:r>
          </w:p>
          <w:p>
            <w:pPr>
              <w:pStyle w:val="null3"/>
              <w:jc w:val="left"/>
            </w:pPr>
            <w:r>
              <w:rPr>
                <w:rFonts w:ascii="仿宋_GB2312" w:hAnsi="仿宋_GB2312" w:cs="仿宋_GB2312" w:eastAsia="仿宋_GB2312"/>
                <w:sz w:val="24"/>
              </w:rPr>
              <w:t>2.成立专项活动小组</w:t>
            </w:r>
          </w:p>
          <w:p>
            <w:pPr>
              <w:pStyle w:val="null3"/>
              <w:jc w:val="left"/>
            </w:pPr>
            <w:r>
              <w:rPr>
                <w:rFonts w:ascii="仿宋_GB2312" w:hAnsi="仿宋_GB2312" w:cs="仿宋_GB2312" w:eastAsia="仿宋_GB2312"/>
                <w:sz w:val="24"/>
              </w:rPr>
              <w:t>（1）策划部：负责调查分析、规划与执行展场活动。</w:t>
            </w:r>
          </w:p>
          <w:p>
            <w:pPr>
              <w:pStyle w:val="null3"/>
              <w:jc w:val="left"/>
            </w:pPr>
            <w:r>
              <w:rPr>
                <w:rFonts w:ascii="仿宋_GB2312" w:hAnsi="仿宋_GB2312" w:cs="仿宋_GB2312" w:eastAsia="仿宋_GB2312"/>
                <w:sz w:val="24"/>
              </w:rPr>
              <w:t>（2）创意设计部：完成视觉表现工作，与策划合作产生创意。</w:t>
            </w:r>
          </w:p>
          <w:p>
            <w:pPr>
              <w:pStyle w:val="null3"/>
              <w:jc w:val="left"/>
            </w:pPr>
            <w:r>
              <w:rPr>
                <w:rFonts w:ascii="仿宋_GB2312" w:hAnsi="仿宋_GB2312" w:cs="仿宋_GB2312" w:eastAsia="仿宋_GB2312"/>
                <w:sz w:val="24"/>
              </w:rPr>
              <w:t>（3）展场服务部：负责展场内各区域联络、日常工作和协调。</w:t>
            </w:r>
          </w:p>
          <w:p>
            <w:pPr>
              <w:pStyle w:val="null3"/>
              <w:jc w:val="left"/>
            </w:pPr>
            <w:r>
              <w:rPr>
                <w:rFonts w:ascii="仿宋_GB2312" w:hAnsi="仿宋_GB2312" w:cs="仿宋_GB2312" w:eastAsia="仿宋_GB2312"/>
                <w:sz w:val="24"/>
              </w:rPr>
              <w:t>3.应对赴外代表团意外情况进行保障</w:t>
            </w:r>
          </w:p>
          <w:p>
            <w:pPr>
              <w:pStyle w:val="null3"/>
              <w:jc w:val="left"/>
            </w:pPr>
            <w:r>
              <w:rPr>
                <w:rFonts w:ascii="仿宋_GB2312" w:hAnsi="仿宋_GB2312" w:cs="仿宋_GB2312" w:eastAsia="仿宋_GB2312"/>
                <w:sz w:val="24"/>
              </w:rPr>
              <w:t>（1）主动配合修改会场布局，协助机票改签和行李找寻。</w:t>
            </w:r>
          </w:p>
          <w:p>
            <w:pPr>
              <w:pStyle w:val="null3"/>
              <w:jc w:val="left"/>
            </w:pPr>
            <w:r>
              <w:rPr>
                <w:rFonts w:ascii="仿宋_GB2312" w:hAnsi="仿宋_GB2312" w:cs="仿宋_GB2312" w:eastAsia="仿宋_GB2312"/>
                <w:sz w:val="24"/>
              </w:rPr>
              <w:t>（2）提前规划备用方案，保障团组准时抵达目的地。</w:t>
            </w:r>
          </w:p>
          <w:p>
            <w:pPr>
              <w:pStyle w:val="null3"/>
              <w:jc w:val="left"/>
            </w:pPr>
            <w:r>
              <w:rPr>
                <w:rFonts w:ascii="仿宋_GB2312" w:hAnsi="仿宋_GB2312" w:cs="仿宋_GB2312" w:eastAsia="仿宋_GB2312"/>
                <w:sz w:val="24"/>
              </w:rPr>
              <w:t>（3）遵守“以人为本，救援第一”原则，提供保险和医疗救助服务。</w:t>
            </w:r>
          </w:p>
          <w:p>
            <w:pPr>
              <w:pStyle w:val="null3"/>
              <w:jc w:val="left"/>
            </w:pPr>
            <w:r>
              <w:rPr>
                <w:rFonts w:ascii="仿宋_GB2312" w:hAnsi="仿宋_GB2312" w:cs="仿宋_GB2312" w:eastAsia="仿宋_GB2312"/>
                <w:sz w:val="24"/>
              </w:rPr>
              <w:t>（4）提供入境须知，联系国外接待人员协助客人通关。</w:t>
            </w:r>
          </w:p>
          <w:p>
            <w:pPr>
              <w:pStyle w:val="null3"/>
              <w:jc w:val="left"/>
            </w:pPr>
            <w:r>
              <w:rPr>
                <w:rFonts w:ascii="仿宋_GB2312" w:hAnsi="仿宋_GB2312" w:cs="仿宋_GB2312" w:eastAsia="仿宋_GB2312"/>
                <w:sz w:val="24"/>
              </w:rPr>
              <w:t>（5）加强信息监测，预警并采取预防措施应对风险。</w:t>
            </w:r>
          </w:p>
          <w:p>
            <w:pPr>
              <w:pStyle w:val="null3"/>
              <w:jc w:val="both"/>
            </w:pPr>
            <w:r>
              <w:rPr>
                <w:rFonts w:ascii="仿宋_GB2312" w:hAnsi="仿宋_GB2312" w:cs="仿宋_GB2312" w:eastAsia="仿宋_GB2312"/>
                <w:sz w:val="24"/>
              </w:rPr>
              <w:t>（6）提供国外接待人员电话，保证 24 小时应急通讯。</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both"/>
            </w:pPr>
            <w:r>
              <w:rPr>
                <w:rFonts w:ascii="仿宋_GB2312" w:hAnsi="仿宋_GB2312" w:cs="仿宋_GB2312" w:eastAsia="仿宋_GB2312"/>
                <w:sz w:val="24"/>
              </w:rPr>
              <w:t>在项目履行合同过程中，供应商应为本项目拟投入的项目实施人员购买人身意外伤害险。拟投入本项目进行项目实施的人员人身安全由供应商负责，供应商应采取严格的项目实施安全措施，若发生安全事故，要承担由于自身安全措施不力造成的事故责任和因此发生的费用及后果。在项目实施过程中发生安全事故或其他责任事故，由供应商自行负责和承担相关安全责任，采购人不承担发生安全事故产生的任何责任及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自合同签订生效之日起120日，具体会议时间由采购人签订合同签确定。</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甘孜-德国</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具体内容详见“2.6.6.履约验收方案”，供应商需将“2.6.6.履约验收方案”内容在《服务要求应答表》中逐条应答。</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1、预付款，采购合同签订后，采购人收到来自成交供应商开具的增值税等额发票后，达到付款条件起10日内，支付合同总金额的40.00%</w:t>
            </w:r>
          </w:p>
          <w:p>
            <w:pPr>
              <w:pStyle w:val="null3"/>
              <w:jc w:val="left"/>
            </w:pPr>
            <w:r>
              <w:rPr>
                <w:rFonts w:ascii="仿宋_GB2312" w:hAnsi="仿宋_GB2312" w:cs="仿宋_GB2312" w:eastAsia="仿宋_GB2312"/>
              </w:rPr>
              <w:t>2、尾款，供应商完成全部服务内容，验收合格后，达到付款条件起10日内，支付合同总金额的60.00%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成交供应商必须遵守采购合同并执行合同中的各项规定，保证采购合同的正常履行。2、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解决争议的方法：1、合同履行期间，若双方发生争议，可协商或由有关部门调解解决，协商或调解不成的，向项目所在地法院判决。2、法院判决应为最终决定，并对双方具有约束力。3、除另有判决外，判决费应由败诉方负担。4、在判决期间，除正在进行判决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供应商根据磋商文件要求提供本项目项目实施方案，内容包含①场地氛围布置方案、②物料及设计方案、③现场设备配置方案。所提供的内容将作为本项目评审依据，也将作为成交后履约过程中的监督及验收依据。 二、供应商根据磋商文件要求提供本项目保障服务方案，内容包含①会议接待服务方案、②后勤保障服务方案、③会议应急预案。所提供的内容将作为本项目评审依据，也将作为成交后履约过程中的监督及验收依据。 三、供应商根据磋商文件要求提供本项目人员配置方案，内容包含：①为本项目提供的服务人员配置、②各人员岗位设置及职责、③人员保密管理措施。所提供的内容将作为本项目评审依据，也将作为成交后履约过程中的监督及验收依据。 四、未载明或者载明的标的名称、数量、计量单位及其他政府采购合同实质性内容与采购文件要求不一致，且采购单位无法接受的，属于无效响应。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4"/>
        </w:rPr>
        <w:t>磋商小组可以根据磋商文件和磋商情况实质性变动第三章“技术、服务及其他要求”中“3.2.技术要求”、“3.3.服务要求”内容，实质性变动的内容须经采购人代表确认。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4"/>
        </w:rPr>
        <w:t>磋商小组可以根据磋商文件和磋商情况实质性变动第七章“拟签订采购合同文本” 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应提供健全的财务会计制度的证明材料：①可提供2024或2025年度经审计的财务报告（包含审计报告和审计报告中所涉及的财务报表和报表附注），②也可提供供应商内部的2024或2025年度财务报表（至少包含资产负债表），③也可提供截至投标文件递交截止日一年内银行出具的资信证明，④供应商注册时间截至投标文件递交截止日不足一年的，也可提供加盖工商备案主管部门印章的公司章程。供应商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项目专门面向中小企业采购(监狱企业、残疾人福利性单位均视同小微企业，符合中小企业划分标准的个体工商户视同中小企业)，非中小企业参与的将视为无效响应〔中小企业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需要供应商提供材料进行响应的实质性要求。</w:t>
            </w:r>
          </w:p>
        </w:tc>
        <w:tc>
          <w:tcPr>
            <w:tcW w:type="dxa" w:w="3322"/>
          </w:tcPr>
          <w:p>
            <w:pPr>
              <w:pStyle w:val="null3"/>
              <w:jc w:val="left"/>
            </w:pPr>
            <w:r>
              <w:rPr>
                <w:rFonts w:ascii="仿宋_GB2312" w:hAnsi="仿宋_GB2312" w:cs="仿宋_GB2312" w:eastAsia="仿宋_GB2312"/>
              </w:rPr>
              <w:t>需要供应商提供材料进行响应，按照采购文件要求提供相应的材料。</w:t>
            </w:r>
          </w:p>
        </w:tc>
        <w:tc>
          <w:tcPr>
            <w:tcW w:type="dxa" w:w="1661"/>
          </w:tcPr>
          <w:p>
            <w:pPr>
              <w:pStyle w:val="null3"/>
              <w:jc w:val="left"/>
            </w:pPr>
            <w:r>
              <w:rPr>
                <w:rFonts w:ascii="仿宋_GB2312" w:hAnsi="仿宋_GB2312" w:cs="仿宋_GB2312" w:eastAsia="仿宋_GB2312"/>
              </w:rPr>
              <w:t>技术要求应答表,报价表,投标（响应）函,服务要求应答表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不存在采购文件规定的“无效”情形。</w:t>
            </w:r>
          </w:p>
        </w:tc>
        <w:tc>
          <w:tcPr>
            <w:tcW w:type="dxa" w:w="3322"/>
          </w:tcPr>
          <w:p>
            <w:pPr>
              <w:pStyle w:val="null3"/>
              <w:jc w:val="left"/>
            </w:pPr>
            <w:r>
              <w:rPr>
                <w:rFonts w:ascii="仿宋_GB2312" w:hAnsi="仿宋_GB2312" w:cs="仿宋_GB2312" w:eastAsia="仿宋_GB2312"/>
              </w:rPr>
              <w:t>供应商按照采购文件要求进行响应，评审委员会对相关情形进行认定。</w:t>
            </w:r>
          </w:p>
        </w:tc>
        <w:tc>
          <w:tcPr>
            <w:tcW w:type="dxa" w:w="1661"/>
          </w:tcPr>
          <w:p>
            <w:pPr>
              <w:pStyle w:val="null3"/>
              <w:jc w:val="left"/>
            </w:pPr>
            <w:r>
              <w:rPr>
                <w:rFonts w:ascii="仿宋_GB2312" w:hAnsi="仿宋_GB2312" w:cs="仿宋_GB2312" w:eastAsia="仿宋_GB2312"/>
              </w:rPr>
              <w:t>技术要求应答表,报价表,投标（响应）函,服务要求应答表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根据磋商文件要求提供本项目项目实施方案，内容包含①场地氛围布置方案、②物料及设计方案、③现场设备配置方案。方案中每有一项以上内容得的12分，最多得36分。方案中每有一处内容存在缺陷的扣6分，单项内容减分值不超过12分。扣完为止。 注：缺陷是指存在项目名称错误、地点区域错误、内容与本项目需求无关、方案内容矛盾、仅有框架或标题、适用的标准（方法）错误、明显复制其他项目内容等任意一种情形。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保障服务方案</w:t>
            </w:r>
          </w:p>
        </w:tc>
        <w:tc>
          <w:tcPr>
            <w:tcW w:type="dxa" w:w="2575"/>
          </w:tcPr>
          <w:p>
            <w:pPr>
              <w:pStyle w:val="null3"/>
              <w:jc w:val="left"/>
            </w:pPr>
            <w:r>
              <w:rPr>
                <w:rFonts w:ascii="仿宋_GB2312" w:hAnsi="仿宋_GB2312" w:cs="仿宋_GB2312" w:eastAsia="仿宋_GB2312"/>
              </w:rPr>
              <w:t>供应商根据磋商文件要求提供本项目保障服务方案，内容包含①会议接待服务方案、②后勤保障服务方案、③会议应急预案。方案中每有一项以上内容得的6分，最多得18分。方案中每有一处内容存在缺陷的扣3分，单项内容减分值不超过6分。扣完为止。 注：缺陷是指存在项目名称错误、地点区域错误、内容与本项目需求无关、方案内容矛盾、仅有框架或标题、适用的标准（方法）错误、明显复制其他项目内容等任意一种情形。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人员配置方案</w:t>
            </w:r>
          </w:p>
        </w:tc>
        <w:tc>
          <w:tcPr>
            <w:tcW w:type="dxa" w:w="2575"/>
          </w:tcPr>
          <w:p>
            <w:pPr>
              <w:pStyle w:val="null3"/>
              <w:jc w:val="left"/>
            </w:pPr>
            <w:r>
              <w:rPr>
                <w:rFonts w:ascii="仿宋_GB2312" w:hAnsi="仿宋_GB2312" w:cs="仿宋_GB2312" w:eastAsia="仿宋_GB2312"/>
              </w:rPr>
              <w:t>供应商根据磋商文件要求提供本项目人员配置方案，内容包含：①为本项目提供的服务人员配置、②各人员岗位设置及职责、③人员保密管理措施。方案中每有一项以上内容得的6分，最多得18分。方案中每有一处内容存在缺陷的扣3分，单项内容减分值不超过6分。扣完为止。 注：缺陷是指存在项目名称错误、地点区域错误、内容与本项目需求无关、方案内容矛盾、仅有框架或标题、适用的标准（方法）错误、明显复制其他项目内容等任意一种情形。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供应商具有2023年1月1日至递交响应文件截止时间具有类似业绩案例，每提供一个类似业绩得4.5分，最多得18分。 注： 1.类似业绩指因公出国（境）团组或国外会议会务。 2.提供合同扫描件。 3.同一业主的多个合同，按一个业绩计算。 4.以合同签订时间为准。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满足磋商文件要求且磋商响应报价最低的报价为基准价，其价格分为满分。其他供应商的价格分统一按照下列公式计算：报价得分=(基准价／报价)*10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详见附件：供应商认为需要提供的其他证明材料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