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版本号：N510181202600007120260507001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青少年法制教育基地空调机采购项目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N5101812026000071</w:t>
      </w:r>
    </w:p>
    <w:p>
      <w:pPr>
        <w:pStyle w:val="null3"/>
        <w:jc w:val="left"/>
        <w:outlineLvl w:val="2"/>
      </w:pPr>
      <w:r>
        <w:rPr>
          <w:rFonts w:ascii="仿宋_GB2312" w:hAnsi="仿宋_GB2312" w:cs="仿宋_GB2312" w:eastAsia="仿宋_GB2312"/>
          <w:sz w:val="28"/>
          <w:b/>
        </w:rPr>
        <w:t>四川省都江堰中学</w:t>
      </w:r>
    </w:p>
    <w:p>
      <w:pPr>
        <w:pStyle w:val="null3"/>
        <w:jc w:val="center"/>
        <w:outlineLvl w:val="2"/>
      </w:pPr>
      <w:r>
        <w:rPr>
          <w:rFonts w:ascii="仿宋_GB2312" w:hAnsi="仿宋_GB2312" w:cs="仿宋_GB2312" w:eastAsia="仿宋_GB2312"/>
          <w:sz w:val="28"/>
          <w:b/>
        </w:rPr>
        <w:t>都江堰市政府采购中心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都江堰市政府采购中心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四川省都江堰中学</w:t>
      </w:r>
      <w:r>
        <w:rPr>
          <w:rFonts w:ascii="仿宋_GB2312" w:hAnsi="仿宋_GB2312" w:cs="仿宋_GB2312" w:eastAsia="仿宋_GB2312"/>
        </w:rPr>
        <w:t xml:space="preserve"> 委托，拟对 </w:t>
      </w:r>
      <w:r>
        <w:rPr>
          <w:rFonts w:ascii="仿宋_GB2312" w:hAnsi="仿宋_GB2312" w:cs="仿宋_GB2312" w:eastAsia="仿宋_GB2312"/>
        </w:rPr>
        <w:t>青少年法制教育基地空调机采购项目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成都市都江堰市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N5101812026000071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青少年法制教育基地空调机采购项目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青少年法制教育基地空调采购项目采用询价的方式实施采购，共采购吸顶式3P空调4台。本次政府采购项目共1个包件。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都江堰市政府采购信用融资银行“蓉采贷”联系方式见附件。</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四川省都江堰中学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都江堰市彩虹大道南段505号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028-87127818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都江堰市政府采购中心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都江堰市江安河东路下段25号2楼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芶女士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028-60965780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采购包1：66,000.00元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四川省都江堰中学</w:t>
      </w:r>
      <w:r>
        <w:rPr>
          <w:rFonts w:ascii="仿宋_GB2312" w:hAnsi="仿宋_GB2312" w:cs="仿宋_GB2312" w:eastAsia="仿宋_GB2312"/>
        </w:rPr>
        <w:t xml:space="preserve"> 和 </w:t>
      </w:r>
      <w:r>
        <w:rPr>
          <w:rFonts w:ascii="仿宋_GB2312" w:hAnsi="仿宋_GB2312" w:cs="仿宋_GB2312" w:eastAsia="仿宋_GB2312"/>
        </w:rPr>
        <w:t>都江堰市政府采购中心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四川省都江堰中学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都江堰市政府采购中心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中标供应商应保证货物到达采购人所在地及安装后，完好无损，如有缺漏、损坏，由中标供应商负责调换、补齐或赔偿</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交付方法：采购人与中标供应商应严格按照《财政部关于进一步加强政府采购需求和履约验收管理的指导意见》（财库〔2016〕205号）和《政府采购需求管理办法》（财库〔2021〕22号）等相关规定进行验收（在中标供应商发出验收申请后10日内，采购人须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四川省都江堰中学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都江堰市政府采购中心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都江堰市政府采购中心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联系电话：028-87127818</w:t>
      </w:r>
    </w:p>
    <w:p>
      <w:pPr>
        <w:pStyle w:val="null3"/>
        <w:jc w:val="left"/>
      </w:pPr>
      <w:r>
        <w:rPr>
          <w:rFonts w:ascii="仿宋_GB2312" w:hAnsi="仿宋_GB2312" w:cs="仿宋_GB2312" w:eastAsia="仿宋_GB2312"/>
        </w:rPr>
        <w:t>地址：都江堰市彩虹大道南段505号</w:t>
      </w:r>
    </w:p>
    <w:p>
      <w:pPr>
        <w:pStyle w:val="null3"/>
        <w:jc w:val="left"/>
      </w:pPr>
      <w:r>
        <w:rPr>
          <w:rFonts w:ascii="仿宋_GB2312" w:hAnsi="仿宋_GB2312" w:cs="仿宋_GB2312" w:eastAsia="仿宋_GB2312"/>
        </w:rPr>
        <w:t>邮编：611830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联系人：芶女士</w:t>
      </w:r>
    </w:p>
    <w:p>
      <w:pPr>
        <w:pStyle w:val="null3"/>
        <w:jc w:val="left"/>
      </w:pPr>
      <w:r>
        <w:rPr>
          <w:rFonts w:ascii="仿宋_GB2312" w:hAnsi="仿宋_GB2312" w:cs="仿宋_GB2312" w:eastAsia="仿宋_GB2312"/>
        </w:rPr>
        <w:t>联系电话：028-60965780</w:t>
      </w:r>
    </w:p>
    <w:p>
      <w:pPr>
        <w:pStyle w:val="null3"/>
        <w:jc w:val="left"/>
      </w:pPr>
      <w:r>
        <w:rPr>
          <w:rFonts w:ascii="仿宋_GB2312" w:hAnsi="仿宋_GB2312" w:cs="仿宋_GB2312" w:eastAsia="仿宋_GB2312"/>
        </w:rPr>
        <w:t>地址：都江堰市江安河东路下段25号2楼</w:t>
      </w:r>
    </w:p>
    <w:p>
      <w:pPr>
        <w:pStyle w:val="null3"/>
        <w:jc w:val="left"/>
      </w:pPr>
      <w:r>
        <w:rPr>
          <w:rFonts w:ascii="仿宋_GB2312" w:hAnsi="仿宋_GB2312" w:cs="仿宋_GB2312" w:eastAsia="仿宋_GB2312"/>
        </w:rPr>
        <w:t>邮编：611830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66,000.00</w:t>
      </w:r>
    </w:p>
    <w:p>
      <w:pPr>
        <w:pStyle w:val="null3"/>
        <w:jc w:val="left"/>
      </w:pPr>
      <w:r>
        <w:rPr>
          <w:rFonts w:ascii="仿宋_GB2312" w:hAnsi="仿宋_GB2312" w:cs="仿宋_GB2312" w:eastAsia="仿宋_GB2312"/>
        </w:rPr>
        <w:t>采购包最高限价（元）: 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吸顶式空调机</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66,000.00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吸顶式空调机</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吸顶式空调机</w:t>
            </w:r>
          </w:p>
        </w:tc>
        <w:tc>
          <w:tcPr>
            <w:tcW w:type="dxa" w:w="2492"/>
          </w:tcPr>
          <w:p>
            <w:pPr>
              <w:pStyle w:val="null3"/>
              <w:jc w:val="left"/>
            </w:pPr>
            <w:r>
              <w:rPr>
                <w:rFonts w:ascii="仿宋_GB2312" w:hAnsi="仿宋_GB2312" w:cs="仿宋_GB2312" w:eastAsia="仿宋_GB2312"/>
              </w:rPr>
              <w:t>吸顶式空调机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吸顶式空调机</w:t>
            </w:r>
          </w:p>
        </w:tc>
        <w:tc>
          <w:tcPr>
            <w:tcW w:type="dxa" w:w="2492"/>
          </w:tcPr>
          <w:p>
            <w:pPr>
              <w:pStyle w:val="null3"/>
              <w:jc w:val="left"/>
            </w:pPr>
            <w:r>
              <w:rPr>
                <w:rFonts w:ascii="仿宋_GB2312" w:hAnsi="仿宋_GB2312" w:cs="仿宋_GB2312" w:eastAsia="仿宋_GB2312"/>
              </w:rPr>
              <w:t>吸顶式空调机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吸顶式空调机</w:t>
            </w:r>
          </w:p>
        </w:tc>
        <w:tc>
          <w:tcPr>
            <w:tcW w:type="dxa" w:w="2492"/>
          </w:tcPr>
          <w:p>
            <w:pPr>
              <w:pStyle w:val="null3"/>
              <w:jc w:val="left"/>
            </w:pPr>
            <w:r>
              <w:rPr>
                <w:rFonts w:ascii="仿宋_GB2312" w:hAnsi="仿宋_GB2312" w:cs="仿宋_GB2312" w:eastAsia="仿宋_GB2312"/>
              </w:rPr>
              <w:t>吸顶式空调机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标的名称：吸顶式空调机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吸顶式空调机</w:t>
            </w:r>
          </w:p>
        </w:tc>
        <w:tc>
          <w:tcPr>
            <w:tcW w:type="dxa" w:w="5814"/>
          </w:tcPr>
          <w:p>
            <w:pPr>
              <w:pStyle w:val="null3"/>
              <w:ind w:left="435"/>
              <w:jc w:val="left"/>
            </w:pPr>
            <w:r>
              <w:rPr>
                <w:rFonts w:ascii="仿宋_GB2312" w:hAnsi="仿宋_GB2312" w:cs="仿宋_GB2312" w:eastAsia="仿宋_GB2312"/>
                <w:sz w:val="18"/>
                <w:color w:val="000000"/>
              </w:rPr>
              <w:t>(1)能耗等级:1级或2级。</w:t>
            </w:r>
          </w:p>
          <w:p>
            <w:pPr>
              <w:pStyle w:val="null3"/>
              <w:ind w:left="435"/>
              <w:jc w:val="left"/>
            </w:pPr>
            <w:r>
              <w:rPr>
                <w:rFonts w:ascii="仿宋_GB2312" w:hAnsi="仿宋_GB2312" w:cs="仿宋_GB2312" w:eastAsia="仿宋_GB2312"/>
                <w:sz w:val="18"/>
                <w:color w:val="000000"/>
              </w:rPr>
              <w:t>(2)能效比≥3.45、制冷季节耗电量≤1500KW·H、制热季节耗电量≤1800KW·H。</w:t>
            </w:r>
          </w:p>
          <w:p>
            <w:pPr>
              <w:pStyle w:val="null3"/>
              <w:ind w:left="435"/>
              <w:jc w:val="left"/>
            </w:pPr>
            <w:r>
              <w:rPr>
                <w:rFonts w:ascii="仿宋_GB2312" w:hAnsi="仿宋_GB2312" w:cs="仿宋_GB2312" w:eastAsia="仿宋_GB2312"/>
                <w:sz w:val="18"/>
                <w:color w:val="000000"/>
              </w:rPr>
              <w:t>(3)额定制冷量≥7200W、额定制热量≥9200W。</w:t>
            </w:r>
          </w:p>
          <w:p>
            <w:pPr>
              <w:pStyle w:val="null3"/>
              <w:ind w:left="435"/>
              <w:jc w:val="left"/>
            </w:pPr>
            <w:r>
              <w:rPr>
                <w:rFonts w:ascii="仿宋_GB2312" w:hAnsi="仿宋_GB2312" w:cs="仿宋_GB2312" w:eastAsia="仿宋_GB2312"/>
                <w:sz w:val="18"/>
                <w:color w:val="000000"/>
              </w:rPr>
              <w:t>(4)额定制冷功率≤2290W；额定制热功率≤3050W。</w:t>
            </w:r>
          </w:p>
          <w:p>
            <w:pPr>
              <w:pStyle w:val="null3"/>
              <w:ind w:left="435"/>
              <w:jc w:val="left"/>
            </w:pPr>
            <w:r>
              <w:rPr>
                <w:rFonts w:ascii="仿宋_GB2312" w:hAnsi="仿宋_GB2312" w:cs="仿宋_GB2312" w:eastAsia="仿宋_GB2312"/>
                <w:sz w:val="18"/>
                <w:color w:val="000000"/>
              </w:rPr>
              <w:t>(5)循环风量≥1280m³/h。</w:t>
            </w:r>
          </w:p>
          <w:p>
            <w:pPr>
              <w:pStyle w:val="null3"/>
              <w:ind w:left="435"/>
              <w:jc w:val="left"/>
            </w:pPr>
            <w:r>
              <w:rPr>
                <w:rFonts w:ascii="仿宋_GB2312" w:hAnsi="仿宋_GB2312" w:cs="仿宋_GB2312" w:eastAsia="仿宋_GB2312"/>
                <w:sz w:val="18"/>
                <w:color w:val="000000"/>
              </w:rPr>
              <w:t>(6)主要部件均为纯铜管路且铜含量≥99.9%（包含不限于：内外机连机管、冷凝器、蒸发器、截止阀、进回气管、出排气管等），外机为双排冷凝器。</w:t>
            </w:r>
          </w:p>
          <w:p>
            <w:pPr>
              <w:pStyle w:val="null3"/>
              <w:ind w:left="43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空调具备通讯功能可通电即联网，提供配套软件管理平台以实现本项目所有空调统一端口集中管理。系统部署方式不限，投标人应提供可保障系统运行所相关配套软硬件，保障时限截止空调报废为止。【注：投标人或空调制造商具有软件系统的使用权，投标（响应）文件的《</w:t>
            </w:r>
            <w:r>
              <w:rPr>
                <w:rFonts w:ascii="仿宋_GB2312" w:hAnsi="仿宋_GB2312" w:cs="仿宋_GB2312" w:eastAsia="仿宋_GB2312"/>
                <w:sz w:val="18"/>
                <w:color w:val="000000"/>
              </w:rPr>
              <w:t>供应商认为应当提供的其他证明材料</w:t>
            </w:r>
            <w:r>
              <w:rPr>
                <w:rFonts w:ascii="仿宋_GB2312" w:hAnsi="仿宋_GB2312" w:cs="仿宋_GB2312" w:eastAsia="仿宋_GB2312"/>
                <w:sz w:val="18"/>
                <w:color w:val="000000"/>
              </w:rPr>
              <w:t>》中需提供</w:t>
            </w:r>
            <w:r>
              <w:rPr>
                <w:rFonts w:ascii="仿宋_GB2312" w:hAnsi="仿宋_GB2312" w:cs="仿宋_GB2312" w:eastAsia="仿宋_GB2312"/>
                <w:sz w:val="18"/>
                <w:color w:val="000000"/>
              </w:rPr>
              <w:t>"中国版权保护中心-著作权登记系统"查询截图，或具有软件系统的使用权的证明文件（公开联网可查）,《</w:t>
            </w: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认为应当提</w:t>
            </w:r>
            <w:r>
              <w:rPr>
                <w:rFonts w:ascii="仿宋_GB2312" w:hAnsi="仿宋_GB2312" w:cs="仿宋_GB2312" w:eastAsia="仿宋_GB2312"/>
                <w:sz w:val="18"/>
                <w:color w:val="000000"/>
              </w:rPr>
              <w:t>供</w:t>
            </w:r>
            <w:r>
              <w:rPr>
                <w:rFonts w:ascii="仿宋_GB2312" w:hAnsi="仿宋_GB2312" w:cs="仿宋_GB2312" w:eastAsia="仿宋_GB2312"/>
                <w:sz w:val="18"/>
                <w:color w:val="000000"/>
              </w:rPr>
              <w:t>的其他证明材料》应提供物联网终端软硬件系统的主界面截图、彩页介绍】。</w:t>
            </w:r>
          </w:p>
          <w:p>
            <w:pPr>
              <w:pStyle w:val="null3"/>
              <w:ind w:left="43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物联网系统软硬件系统可实现下列操作并且实时反馈指令执行结果：</w:t>
            </w:r>
            <w:r>
              <w:rPr>
                <w:rFonts w:ascii="仿宋_GB2312" w:hAnsi="仿宋_GB2312" w:cs="仿宋_GB2312" w:eastAsia="仿宋_GB2312"/>
                <w:sz w:val="18"/>
                <w:color w:val="000000"/>
              </w:rPr>
              <w:t>①设备状态实时显示（含开关机状态、设定温度、室温、模式）、②集中控制（含开关机、模式、温度、风速）、③批量上锁/解锁、④账号分级与权限自定义下发，支持多终端同时操作、⑤电辅热禁/启用、⑥对设定温度的最高/最低限定、⑦遥控禁/启用、⑧、批量定时任务</w:t>
            </w:r>
          </w:p>
          <w:p>
            <w:pPr>
              <w:pStyle w:val="null3"/>
              <w:ind w:left="43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9）物联网软件系统可显示具体房间的具体故障原因并自动上报至空调厂家售后，支持使用单位对售后流程进度跟踪和反馈，系统主界面能够预警。</w:t>
            </w:r>
          </w:p>
          <w:p>
            <w:pPr>
              <w:pStyle w:val="null3"/>
              <w:ind w:left="43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空调为四面出风。</w:t>
            </w:r>
          </w:p>
          <w:p>
            <w:pPr>
              <w:pStyle w:val="null3"/>
              <w:ind w:left="435"/>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11）</w:t>
            </w:r>
            <w:r>
              <w:rPr>
                <w:rFonts w:ascii="仿宋_GB2312" w:hAnsi="仿宋_GB2312" w:cs="仿宋_GB2312" w:eastAsia="仿宋_GB2312"/>
                <w:sz w:val="18"/>
                <w:color w:val="000000"/>
              </w:rPr>
              <w:t>辅材：预估铜管</w:t>
            </w:r>
            <w:r>
              <w:rPr>
                <w:rFonts w:ascii="仿宋_GB2312" w:hAnsi="仿宋_GB2312" w:cs="仿宋_GB2312" w:eastAsia="仿宋_GB2312"/>
                <w:sz w:val="18"/>
                <w:color w:val="000000"/>
              </w:rPr>
              <w:t>120米，背架4副，含空调集中排水。</w:t>
            </w:r>
          </w:p>
          <w:p>
            <w:pPr>
              <w:pStyle w:val="null3"/>
              <w:ind w:left="435"/>
              <w:jc w:val="left"/>
            </w:pPr>
            <w:r>
              <w:rPr>
                <w:rFonts w:ascii="仿宋_GB2312" w:hAnsi="仿宋_GB2312" w:cs="仿宋_GB2312" w:eastAsia="仿宋_GB2312"/>
                <w:sz w:val="18"/>
                <w:color w:val="000000"/>
              </w:rPr>
              <w:t>【说明：参数要求第</w:t>
            </w:r>
            <w:r>
              <w:rPr>
                <w:rFonts w:ascii="仿宋_GB2312" w:hAnsi="仿宋_GB2312" w:cs="仿宋_GB2312" w:eastAsia="仿宋_GB2312"/>
                <w:sz w:val="18"/>
                <w:color w:val="000000"/>
              </w:rPr>
              <w:t>1-3条佐证资料以“中国能效标识</w:t>
            </w:r>
            <w:r>
              <w:rPr>
                <w:rFonts w:ascii="仿宋_GB2312" w:hAnsi="仿宋_GB2312" w:cs="仿宋_GB2312" w:eastAsia="仿宋_GB2312"/>
                <w:sz w:val="18"/>
                <w:color w:val="000000"/>
              </w:rPr>
              <w:t>网</w:t>
            </w:r>
            <w:r>
              <w:rPr>
                <w:rFonts w:ascii="仿宋_GB2312" w:hAnsi="仿宋_GB2312" w:cs="仿宋_GB2312" w:eastAsia="仿宋_GB2312"/>
                <w:sz w:val="18"/>
                <w:color w:val="000000"/>
              </w:rPr>
              <w:t>”最新备案参数为准（注：备案日期若晚于招标发布时间的视为无效）。参数要求第4-</w:t>
            </w:r>
            <w:r>
              <w:rPr>
                <w:rFonts w:ascii="仿宋_GB2312" w:hAnsi="仿宋_GB2312" w:cs="仿宋_GB2312" w:eastAsia="仿宋_GB2312"/>
                <w:sz w:val="18"/>
                <w:color w:val="000000"/>
              </w:rPr>
              <w:t>5</w:t>
            </w:r>
            <w:r>
              <w:rPr>
                <w:rFonts w:ascii="仿宋_GB2312" w:hAnsi="仿宋_GB2312" w:cs="仿宋_GB2312" w:eastAsia="仿宋_GB2312"/>
                <w:sz w:val="18"/>
                <w:color w:val="000000"/>
              </w:rPr>
              <w:t>条提供三方检测报告佐证（如使用检测报告佐证，则参数值判定以铭牌值为准！检测报告具备</w:t>
            </w:r>
            <w:r>
              <w:rPr>
                <w:rFonts w:ascii="仿宋_GB2312" w:hAnsi="仿宋_GB2312" w:cs="仿宋_GB2312" w:eastAsia="仿宋_GB2312"/>
                <w:sz w:val="18"/>
                <w:color w:val="000000"/>
              </w:rPr>
              <w:t>CMA标志，投标文件应提供“全国认证认可信息公共服务平台”联网查询“报告编号”的截图）,也可提供制造商官网参数截图或说明书作为证明材料(说明书、彩页样册、官网参数截图，应在公开渠道可查询核实,投标文件提供查询方法路径)。参数要求第</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条要求提供《承诺函》并进行电子签章以响应，格式自拟，至少应体现</w:t>
            </w:r>
            <w:r>
              <w:rPr>
                <w:rFonts w:ascii="仿宋_GB2312" w:hAnsi="仿宋_GB2312" w:cs="仿宋_GB2312" w:eastAsia="仿宋_GB2312"/>
                <w:sz w:val="18"/>
                <w:color w:val="000000"/>
              </w:rPr>
              <w:t>“投标产品完全满足招标文件所有技术参数要求，否则视为虚假响应”。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自合同签订之日起7日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1、空调采购款项，项目验收合格，甲方收到乙方有效的支付凭证后，达到付款条件起15日内，支付合同总金额的100.00%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1.技术履约内容及标准：按国家有关规定以及采购文件的质量要求和技术 指标、供应商的响应文件及承诺与本合同约定标准进行验收；采购人与供 应商双方如对质量要求和技术指标的约定标准有相互抵触或异议的事项， 由采购人在采购文件及响应文件中按质量要求和技术指标比较优胜的原 则确定该项的约定标准进行验收。 2.商务履约内容及标准：本项目采购 人将严格按照政府采购相关法律法规以及按照《财政部关于进一步加强政 府采购需求和履约验收管理指导意见》（财库〔2016〕205 号）的要求进 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1、本项目整体质保期 6 年，质保期内出现质量问题，乙方在接到通知后 2 小时内响应到场，24 小时内完成维修或更换，并承担修理调换的费用；如 货物经乙方 2 次维修仍不能正常使用的，须更换为全新设备。 2、乙方须 指派专人负责与甲方联系售后服务事宜。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 甲方无正当理由拒收货物的，甲方应偿付合同总 价百分之一的违约金； （2） 甲方逾期支付货款的，除应及时付足货款 外，应向乙方偿付欠款总额万分之一 /天的违约金；逾期付款超过 60 天 的，乙方有权终止合同； （3） 甲方偿付的违约金不足以弥补乙方损失的，还应按乙方损失尚未弥补的部分，支付赔偿金给乙方。 2、乙方违约 责任 （1）乙方交付的货物质量不符合合同规定的，乙方应向甲方支付合 同总价的百分之十的违约金，并须在合同规定的交货时间内更换合格的货 物给甲方，否则，视作乙方不能交付货物而违约，按本条本款下述第“（2）” 项规定由乙方偿付违约赔偿金给甲方。 （2）乙方不能交付货物或逾期交 付货物而违约的，除应及时交足货物外，应向甲方偿付逾期交货部分货款 总额的万分之 一 /天的违约金；逾期交货超过 30 天，甲方有权终止合同， 乙方则应按合同总价的百分之十的款额向甲方偿付赔偿金，并须全额退还 甲方已经付给乙方的货款及其利息。 （3）乙方货物经甲方送交具有法定 资格条件的质量技术监督机构检测后，如检测结果认定货物质量不符合本 合同规定标准的，则视为乙方没有按时交货而违约，乙方须在 20 天内无 条件更换合格的货物，如逾期不能更换合格的货物，甲方有权终止本合同， 乙方应另付合同总价的百分之十 的赔偿金给甲方。 （4）乙方保证本合 同货物的权利无瑕疵，包括货物所有权及知识产权等权利无瑕疵。如任何 第三方经法院（或仲裁机构）裁决有权对上述货物主张权利或国家机关依 法对货物进行没收查处的，乙方除应向甲方返还已收款项外，还应另按合 同总价的百分之十向甲方支付违约金并赔偿因此给甲方造成的一切损失。 （5）乙方偿付的违约金不足以弥补甲方损失的，还应按甲方损失尚未弥 补的部分，支付赔偿金给甲方（包含不限于诉讼中发生的所有费用）。 3、 争议解决办法 1、因货物的质量问题发生争议，由质量技术监督部门或其 指定的质量鉴定机构进行质量鉴定。货物符合标准的，鉴定费由甲方承担； 货物不符合质量标准的，鉴定费由乙方承担。 2、非质量问题的争议，双 方应通过友好协商解决，经协商在 10 天内不能达成协议时，应提交成都 仲裁委员会仲裁。 3、仲裁裁决应为最终决定，并对双方具有约束力。 4、 除另有裁决外，仲裁费应由败诉方负担。 5、在仲裁期间，除正在进行仲 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注：本章标注“★”的条款有要求的，供应商按要求响应，未明确要求的，在产品技术参数响应表中应答或响应即可。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供应商按照采购文件要求上传响应文件</w:t>
            </w:r>
          </w:p>
        </w:tc>
        <w:tc>
          <w:tcPr>
            <w:tcW w:type="dxa" w:w="1661"/>
          </w:tcPr>
          <w:p>
            <w:pPr>
              <w:pStyle w:val="null3"/>
              <w:jc w:val="left"/>
            </w:pPr>
            <w:r>
              <w:rPr>
                <w:rFonts w:ascii="仿宋_GB2312" w:hAnsi="仿宋_GB2312" w:cs="仿宋_GB2312" w:eastAsia="仿宋_GB2312"/>
              </w:rPr>
              <w:t>响应文件封面,供应商认为应当提供的其他证明材料.docx,产品技术参数响应表,报价表,服务应答表,投标（响应）函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审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供应商认为应当提供的其他证明材料.docx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详见附件：供应商认为应当提供的其他证明材料.docx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