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版本号：N510524202600000820260421001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2025年叙永县农业两个替代推广应用项目(三次)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N5105242026000008</w:t>
      </w:r>
    </w:p>
    <w:p>
      <w:pPr>
        <w:pStyle w:val="null3"/>
        <w:jc w:val="left"/>
        <w:outlineLvl w:val="2"/>
      </w:pPr>
      <w:r>
        <w:rPr>
          <w:rFonts w:ascii="仿宋_GB2312" w:hAnsi="仿宋_GB2312" w:cs="仿宋_GB2312" w:eastAsia="仿宋_GB2312"/>
          <w:sz w:val="28"/>
          <w:b/>
        </w:rPr>
        <w:t>叙永县农业农村局</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叙永县农业农村局</w:t>
      </w:r>
      <w:r>
        <w:rPr>
          <w:rFonts w:ascii="仿宋_GB2312" w:hAnsi="仿宋_GB2312" w:cs="仿宋_GB2312" w:eastAsia="仿宋_GB2312"/>
        </w:rPr>
        <w:t xml:space="preserve"> 委托，拟对 </w:t>
      </w:r>
      <w:r>
        <w:rPr>
          <w:rFonts w:ascii="仿宋_GB2312" w:hAnsi="仿宋_GB2312" w:cs="仿宋_GB2312" w:eastAsia="仿宋_GB2312"/>
        </w:rPr>
        <w:t>2025年叙永县农业两个替代推广应用项目(三次)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2025年叙永县农业两个替代推广应用项目(三次)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叙永县农业农村局两个替代推广应用项目（三次），农机杀虫设备采购，一批。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叙永县农业农村局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叙永镇环城中路345号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19114325909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泸州市江阳区佳乐世纪城（金融商业中心）7号楼2301号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0830-3161022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1.交款方式：履约保证金可以以支票、汇票、本票或者金融机构、担保机构出具的保函等非现金形式提交（包括网银转账，电汇等方式）。</w:t>
              <w:br/>
              <w:t>2.投标人中标后，按照采购文件约定以非现金的形式将履约保证金足额缴入采购人指定的账户。中标通知书发放后，政府采购合同签订前缴纳。履约保证金退还方式：原路退回。</w:t>
              <w:br/>
              <w:t>3.履约保证金退还：中标人凭履约保证金退还申请表和验收记录表和缴纳凭证（履约保证金退还申请表和验收记录表由采购人和中标人协商出具，格式自拟），在10个工作日内无息退还。</w:t>
              <w:br/>
              <w:t>4.履约保证金不予退还情形：按照《中华人民共和国政府采购法》《中华人民共和国政府采购法实施条例》不予退还的情形执行。逾期退还履约保证金的，将依法承担法律责任，并赔偿中标人损失。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四川省财政厅关于印发《四川省政府采购营商环境指标提升专项行动工作方案》的通知（川财采[2020]74号）文件，招标代理服务费收费以成本支出加合理利润的原则，以成交金额作为计算基数，按差额定率累进法进行计算，并按以下费率标准（货物类采购项目）收取：成交金额100万元以下，费率1.5%。按以上标准计算后不足人民币5000元按5000元收取。由各包中标（成交）人在领取成交通知书前支付。中标服务费缴纳账户：代理服务费收款单位：中金招标有限责任公司四川分公司 开户行：交通银行股份有限公司成都高新南区支行 账号：511610015018170335724 开票联系人：卿女士 联系电话：0830-3161022。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叙永县农业农村局</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叙永县农业农村局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供应商提供的货物达到验收标准、提交申请后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采购人自行成立验收小组，根据项目实际情况制定验收方案，出具验收记录表。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采购人严格按照国家及行业相关标准、《财政部关于进一步加强政府采购需求和履约验收管理的指导意见》（财库〔2016〕205 号）、《财政部关于印发&lt;政府采购需求管理办法&gt;的通知》（财库〔2021〕22 号）等，以及招标文件的要求、投标文件承诺与合同约定的标准进行验收。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采购人严格按照国家及行业相关标准、《财政部关于进一步加强政府采购需求和履约验收管理的指导意见》（财库〔2016〕205 号）、《财政部关于印发&lt;政府采购需求管理办法&gt;的通知》（财库〔2021〕22 号）等，以及招标文件的要求、投标文件承诺与合同约定的标准进行验收。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采购人严格按照国家及行业相关标准、《财政部关于进一步加强政府采购需求和履约验收管理的指导意见》（财库〔2016〕205 号）、《财政部关于印发&lt;政府采购需求管理办法&gt;的通知》（财库〔2021〕22 号）等，以及招标文件的要求、投标文件承诺与合同约定的标准进行验收。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验收结束后,出具验收记录表，列明各项标准的验收情况及项目总体评价，由验收双方共同签署。</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叙永县农业农村局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联系电话：19114325909</w:t>
      </w:r>
    </w:p>
    <w:p>
      <w:pPr>
        <w:pStyle w:val="null3"/>
        <w:jc w:val="left"/>
      </w:pPr>
      <w:r>
        <w:rPr>
          <w:rFonts w:ascii="仿宋_GB2312" w:hAnsi="仿宋_GB2312" w:cs="仿宋_GB2312" w:eastAsia="仿宋_GB2312"/>
        </w:rPr>
        <w:t>地址：叙永镇环城中路345号</w:t>
      </w:r>
    </w:p>
    <w:p>
      <w:pPr>
        <w:pStyle w:val="null3"/>
        <w:jc w:val="left"/>
      </w:pPr>
      <w:r>
        <w:rPr>
          <w:rFonts w:ascii="仿宋_GB2312" w:hAnsi="仿宋_GB2312" w:cs="仿宋_GB2312" w:eastAsia="仿宋_GB2312"/>
        </w:rPr>
        <w:t>邮编：646400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联系人：谢先生</w:t>
      </w:r>
    </w:p>
    <w:p>
      <w:pPr>
        <w:pStyle w:val="null3"/>
        <w:jc w:val="left"/>
      </w:pPr>
      <w:r>
        <w:rPr>
          <w:rFonts w:ascii="仿宋_GB2312" w:hAnsi="仿宋_GB2312" w:cs="仿宋_GB2312" w:eastAsia="仿宋_GB2312"/>
        </w:rPr>
        <w:t>联系电话：0830-3161022</w:t>
      </w:r>
    </w:p>
    <w:p>
      <w:pPr>
        <w:pStyle w:val="null3"/>
        <w:jc w:val="left"/>
      </w:pPr>
      <w:r>
        <w:rPr>
          <w:rFonts w:ascii="仿宋_GB2312" w:hAnsi="仿宋_GB2312" w:cs="仿宋_GB2312" w:eastAsia="仿宋_GB2312"/>
        </w:rPr>
        <w:t>地址：泸州市江阳区佳乐世纪城（金融商业中心）7号楼2301号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A02061907 农业用灯具</w:t>
            </w:r>
          </w:p>
        </w:tc>
        <w:tc>
          <w:tcPr>
            <w:tcW w:type="dxa" w:w="821"/>
          </w:tcPr>
          <w:p>
            <w:pPr>
              <w:pStyle w:val="null3"/>
              <w:jc w:val="left"/>
            </w:pPr>
            <w:r>
              <w:rPr>
                <w:rFonts w:ascii="仿宋_GB2312" w:hAnsi="仿宋_GB2312" w:cs="仿宋_GB2312" w:eastAsia="仿宋_GB2312"/>
              </w:rPr>
              <w:t>农机杀虫设备采购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农机杀虫设备采购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A02061907 农业用灯具</w:t>
            </w:r>
          </w:p>
        </w:tc>
        <w:tc>
          <w:tcPr>
            <w:tcW w:type="dxa" w:w="2492"/>
          </w:tcPr>
          <w:p>
            <w:pPr>
              <w:pStyle w:val="null3"/>
              <w:jc w:val="left"/>
            </w:pPr>
            <w:r>
              <w:rPr>
                <w:rFonts w:ascii="仿宋_GB2312" w:hAnsi="仿宋_GB2312" w:cs="仿宋_GB2312" w:eastAsia="仿宋_GB2312"/>
              </w:rPr>
              <w:t>农机杀虫设备采购</w:t>
            </w:r>
          </w:p>
        </w:tc>
        <w:tc>
          <w:tcPr>
            <w:tcW w:type="dxa" w:w="2492"/>
          </w:tcPr>
          <w:p>
            <w:pPr>
              <w:pStyle w:val="null3"/>
              <w:jc w:val="left"/>
            </w:pPr>
            <w:r>
              <w:rPr>
                <w:rFonts w:ascii="仿宋_GB2312" w:hAnsi="仿宋_GB2312" w:cs="仿宋_GB2312" w:eastAsia="仿宋_GB2312"/>
              </w:rPr>
              <w:t>风吸式杀虫灯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A02061907 农业用灯具</w:t>
            </w:r>
          </w:p>
        </w:tc>
        <w:tc>
          <w:tcPr>
            <w:tcW w:type="dxa" w:w="2492"/>
          </w:tcPr>
          <w:p>
            <w:pPr>
              <w:pStyle w:val="null3"/>
              <w:jc w:val="left"/>
            </w:pPr>
            <w:r>
              <w:rPr>
                <w:rFonts w:ascii="仿宋_GB2312" w:hAnsi="仿宋_GB2312" w:cs="仿宋_GB2312" w:eastAsia="仿宋_GB2312"/>
              </w:rPr>
              <w:t>农机杀虫设备采购</w:t>
            </w:r>
          </w:p>
        </w:tc>
        <w:tc>
          <w:tcPr>
            <w:tcW w:type="dxa" w:w="2492"/>
          </w:tcPr>
          <w:p>
            <w:pPr>
              <w:pStyle w:val="null3"/>
              <w:jc w:val="left"/>
            </w:pPr>
            <w:r>
              <w:rPr>
                <w:rFonts w:ascii="仿宋_GB2312" w:hAnsi="仿宋_GB2312" w:cs="仿宋_GB2312" w:eastAsia="仿宋_GB2312"/>
              </w:rPr>
              <w:t>天敌友好型诱虫板</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A02061907 农业用灯具</w:t>
            </w:r>
          </w:p>
        </w:tc>
        <w:tc>
          <w:tcPr>
            <w:tcW w:type="dxa" w:w="2492"/>
          </w:tcPr>
          <w:p>
            <w:pPr>
              <w:pStyle w:val="null3"/>
              <w:jc w:val="left"/>
            </w:pPr>
            <w:r>
              <w:rPr>
                <w:rFonts w:ascii="仿宋_GB2312" w:hAnsi="仿宋_GB2312" w:cs="仿宋_GB2312" w:eastAsia="仿宋_GB2312"/>
              </w:rPr>
              <w:t>农机杀虫设备采购</w:t>
            </w:r>
          </w:p>
        </w:tc>
        <w:tc>
          <w:tcPr>
            <w:tcW w:type="dxa" w:w="2492"/>
          </w:tcPr>
          <w:p>
            <w:pPr>
              <w:pStyle w:val="null3"/>
              <w:jc w:val="left"/>
            </w:pPr>
            <w:r>
              <w:rPr>
                <w:rFonts w:ascii="仿宋_GB2312" w:hAnsi="仿宋_GB2312" w:cs="仿宋_GB2312" w:eastAsia="仿宋_GB2312"/>
              </w:rPr>
              <w:t>天敌友好型诱捕器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标的名称：农机杀虫设备采购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056"/>
              <w:gridCol w:w="1584"/>
              <w:gridCol w:w="814"/>
              <w:gridCol w:w="769"/>
              <w:gridCol w:w="1373"/>
            </w:tblGrid>
            <w:tr>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标的名称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单位</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数量</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所属行业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天敌友好型诱虫板</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张</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天敌友好型诱捕器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船型诱捕器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风吸式杀虫灯</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微型耕作机</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r>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山坡微耕王</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r>
          </w:tbl>
          <w:p>
            <w:pPr>
              <w:pStyle w:val="null3"/>
              <w:jc w:val="both"/>
            </w:pPr>
            <w:r>
              <w:rPr>
                <w:rFonts w:ascii="仿宋_GB2312" w:hAnsi="仿宋_GB2312" w:cs="仿宋_GB2312" w:eastAsia="仿宋_GB2312"/>
                <w:sz w:val="24"/>
                <w:b/>
              </w:rPr>
              <w:t>★注：因系统固化，本项目“标的名称；单位；数量；所属行业”内容以上表为准，供应商填写中小企业声明函和报价明细表和产品技术参数响应表时按照上表内容进行填报，如出现填报错误情形，供应商自行承担相应后果。</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3"/>
              <w:gridCol w:w="551"/>
              <w:gridCol w:w="4503"/>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序号</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标的名称</w:t>
                  </w:r>
                </w:p>
              </w:tc>
              <w:tc>
                <w:tcPr>
                  <w:tcW w:type="dxa" w:w="4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技术参数</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天敌友好型诱虫板</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1、★黄色色系：RGB（255,215,0）红色色系：RGB（255,0,0）。（</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2、胶体粘度：常温下≥32000CPS。</w:t>
                  </w:r>
                  <w:r>
                    <w:br/>
                  </w:r>
                  <w:r>
                    <w:rPr>
                      <w:rFonts w:ascii="仿宋_GB2312" w:hAnsi="仿宋_GB2312" w:cs="仿宋_GB2312" w:eastAsia="仿宋_GB2312"/>
                      <w:sz w:val="24"/>
                      <w:color w:val="000000"/>
                    </w:rPr>
                    <w:t>3、胶体熔融温度：80～120℃。</w:t>
                  </w:r>
                  <w:r>
                    <w:br/>
                  </w:r>
                  <w:r>
                    <w:rPr>
                      <w:rFonts w:ascii="仿宋_GB2312" w:hAnsi="仿宋_GB2312" w:cs="仿宋_GB2312" w:eastAsia="仿宋_GB2312"/>
                      <w:sz w:val="24"/>
                      <w:color w:val="000000"/>
                    </w:rPr>
                    <w:t>4、胶体不挥发物100%。</w:t>
                  </w:r>
                  <w:r>
                    <w:br/>
                  </w:r>
                  <w:r>
                    <w:rPr>
                      <w:rFonts w:ascii="仿宋_GB2312" w:hAnsi="仿宋_GB2312" w:cs="仿宋_GB2312" w:eastAsia="仿宋_GB2312"/>
                      <w:sz w:val="24"/>
                      <w:color w:val="000000"/>
                    </w:rPr>
                    <w:t>5、★降解期：在温度58℃±2℃、湿度50%和pH=7.3的堆肥条件下180天能被自然界中微生物完全降解。（</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6、结构：有悬挂孔、表面平直。</w:t>
                  </w:r>
                  <w:r>
                    <w:br/>
                  </w:r>
                  <w:r>
                    <w:rPr>
                      <w:rFonts w:ascii="仿宋_GB2312" w:hAnsi="仿宋_GB2312" w:cs="仿宋_GB2312" w:eastAsia="仿宋_GB2312"/>
                      <w:sz w:val="24"/>
                      <w:color w:val="000000"/>
                    </w:rPr>
                    <w:t>7、基板外观：色泽一致，强烈阳光下向光与背光面无明显色差。</w:t>
                  </w:r>
                  <w:r>
                    <w:br/>
                  </w:r>
                  <w:r>
                    <w:rPr>
                      <w:rFonts w:ascii="仿宋_GB2312" w:hAnsi="仿宋_GB2312" w:cs="仿宋_GB2312" w:eastAsia="仿宋_GB2312"/>
                      <w:sz w:val="24"/>
                      <w:color w:val="000000"/>
                    </w:rPr>
                    <w:t>8、胶体层厚度：0.03～0.05mm。</w:t>
                  </w:r>
                  <w:r>
                    <w:br/>
                  </w:r>
                  <w:r>
                    <w:rPr>
                      <w:rFonts w:ascii="仿宋_GB2312" w:hAnsi="仿宋_GB2312" w:cs="仿宋_GB2312" w:eastAsia="仿宋_GB2312"/>
                      <w:sz w:val="24"/>
                      <w:color w:val="000000"/>
                    </w:rPr>
                    <w:t>9、▲胶体粘接力：≥6.8×10-4N/mm²，将5g砝码粘接于诱虫板，将诱虫板水平提起，砝码垂直向下，5分钟内不得自由脱落。（</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br/>
                  </w:r>
                  <w:r>
                    <w:rPr>
                      <w:rFonts w:ascii="仿宋_GB2312" w:hAnsi="仿宋_GB2312" w:cs="仿宋_GB2312" w:eastAsia="仿宋_GB2312"/>
                      <w:sz w:val="24"/>
                      <w:color w:val="000000"/>
                    </w:rPr>
                    <w:t>10、▲工作环境：在温度10℃~70℃的环境中基板无明显变形，胶体不流(硬)化，遇水不溶解。（</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“★”参数为实质性要求，负偏离作无效投标处理。</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天敌友好型诱捕器</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left"/>
                  </w:pPr>
                  <w:r>
                    <w:rPr>
                      <w:rFonts w:ascii="仿宋_GB2312" w:hAnsi="仿宋_GB2312" w:cs="仿宋_GB2312" w:eastAsia="仿宋_GB2312"/>
                      <w:sz w:val="24"/>
                      <w:color w:val="000000"/>
                    </w:rPr>
                    <w:t>1、保护措施：高压电网两极间短路电流不超过10mA。</w:t>
                  </w:r>
                  <w:r>
                    <w:br/>
                  </w:r>
                  <w:r>
                    <w:rPr>
                      <w:rFonts w:ascii="仿宋_GB2312" w:hAnsi="仿宋_GB2312" w:cs="仿宋_GB2312" w:eastAsia="仿宋_GB2312"/>
                      <w:sz w:val="24"/>
                      <w:color w:val="000000"/>
                    </w:rPr>
                    <w:t>2、耐高温和耐高湿：在70℃环境下存放后,不影响正常工作；耐高湿：在相对湿度大于98%的环境下，应能保证灯的安全。</w:t>
                  </w:r>
                  <w:r>
                    <w:br/>
                  </w:r>
                  <w:r>
                    <w:rPr>
                      <w:rFonts w:ascii="仿宋_GB2312" w:hAnsi="仿宋_GB2312" w:cs="仿宋_GB2312" w:eastAsia="仿宋_GB2312"/>
                      <w:sz w:val="24"/>
                      <w:color w:val="000000"/>
                    </w:rPr>
                    <w:t>3、雨控功能：诱捕器在雨天应能自动进入保护状态，雨停后可自动恢复工作。</w:t>
                  </w:r>
                  <w:r>
                    <w:br/>
                  </w:r>
                  <w:r>
                    <w:rPr>
                      <w:rFonts w:ascii="仿宋_GB2312" w:hAnsi="仿宋_GB2312" w:cs="仿宋_GB2312" w:eastAsia="仿宋_GB2312"/>
                      <w:sz w:val="24"/>
                      <w:color w:val="000000"/>
                    </w:rPr>
                    <w:t>4、▲光控功能：在2lx～20lx情况下，设备自动工作；30lx～200lx下，设备停止工作。（</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5、▲时控功能：在设定时间范围内开始工作或停止工作，误差不超过10min。（</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6、▲电击式高压电网：高压电网电压：4.5kV。（</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7、工作电压范围：直流供电设备，灯管启动时间＜1s。</w:t>
                  </w:r>
                  <w:r>
                    <w:br/>
                  </w:r>
                  <w:r>
                    <w:rPr>
                      <w:rFonts w:ascii="仿宋_GB2312" w:hAnsi="仿宋_GB2312" w:cs="仿宋_GB2312" w:eastAsia="仿宋_GB2312"/>
                      <w:sz w:val="24"/>
                      <w:color w:val="000000"/>
                    </w:rPr>
                    <w:t>8、▲充满断开和恢复功能：控制器具有输入充满断开和恢复连接的功能。（</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9、★欠压断开和恢复功能：当蓄电池电压降到过放点，控制器应能自动切断负载；当蓄电池电压回升到充电恢复点时，控制器应能自动或手动恢复对负载的供电。（</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10、工作时间长度：灯管4小时，高压电网纯光控模式。</w:t>
                  </w:r>
                  <w:r>
                    <w:br/>
                  </w:r>
                  <w:r>
                    <w:rPr>
                      <w:rFonts w:ascii="仿宋_GB2312" w:hAnsi="仿宋_GB2312" w:cs="仿宋_GB2312" w:eastAsia="仿宋_GB2312"/>
                      <w:sz w:val="24"/>
                      <w:color w:val="000000"/>
                    </w:rPr>
                    <w:t>11、▲性诱装置：诱捕器设有性诱剂安装位。（</w:t>
                  </w:r>
                  <w:r>
                    <w:rPr>
                      <w:rFonts w:ascii="仿宋_GB2312" w:hAnsi="仿宋_GB2312" w:cs="仿宋_GB2312" w:eastAsia="仿宋_GB2312"/>
                      <w:sz w:val="24"/>
                    </w:rPr>
                    <w:t>提供封面具有</w:t>
                  </w:r>
                  <w:r>
                    <w:rPr>
                      <w:rFonts w:ascii="仿宋_GB2312" w:hAnsi="仿宋_GB2312" w:cs="仿宋_GB2312" w:eastAsia="仿宋_GB2312"/>
                      <w:sz w:val="24"/>
                    </w:rPr>
                    <w:t>CMA或CNAS标识的检测报告扫描件并加盖投标人签章</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12、开关控制：诱虫光源与高压电网分别由两个开关控制，可自由切换使用。</w:t>
                  </w:r>
                  <w:r>
                    <w:br/>
                  </w:r>
                  <w:r>
                    <w:rPr>
                      <w:rFonts w:ascii="仿宋_GB2312" w:hAnsi="仿宋_GB2312" w:cs="仿宋_GB2312" w:eastAsia="仿宋_GB2312"/>
                      <w:sz w:val="24"/>
                      <w:color w:val="000000"/>
                    </w:rPr>
                    <w:t>13、诱虫光源：峰值波长包含①415nm±5nm和②455nm±5nm。</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“★”参数为实质性要求，负偏离作无效投标处理。</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船型诱捕器</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left"/>
                  </w:pPr>
                  <w:r>
                    <w:rPr>
                      <w:rFonts w:ascii="仿宋_GB2312" w:hAnsi="仿宋_GB2312" w:cs="仿宋_GB2312" w:eastAsia="仿宋_GB2312"/>
                      <w:sz w:val="24"/>
                      <w:b/>
                      <w:color w:val="000000"/>
                    </w:rPr>
                    <w:t>船型诱捕器参数</w:t>
                  </w:r>
                </w:p>
                <w:p>
                  <w:pPr>
                    <w:pStyle w:val="null3"/>
                    <w:spacing w:before="105" w:after="105"/>
                    <w:jc w:val="left"/>
                  </w:pPr>
                  <w:r>
                    <w:rPr>
                      <w:rFonts w:ascii="仿宋_GB2312" w:hAnsi="仿宋_GB2312" w:cs="仿宋_GB2312" w:eastAsia="仿宋_GB2312"/>
                      <w:sz w:val="24"/>
                      <w:color w:val="000000"/>
                    </w:rPr>
                    <w:t>1、简支梁缺口冲击强度：不小于5.0kJ/㎡。</w:t>
                  </w:r>
                </w:p>
                <w:p>
                  <w:pPr>
                    <w:pStyle w:val="null3"/>
                    <w:spacing w:before="105" w:after="105"/>
                    <w:jc w:val="left"/>
                  </w:pPr>
                  <w:r>
                    <w:rPr>
                      <w:rFonts w:ascii="仿宋_GB2312" w:hAnsi="仿宋_GB2312" w:cs="仿宋_GB2312" w:eastAsia="仿宋_GB2312"/>
                      <w:sz w:val="24"/>
                      <w:color w:val="000000"/>
                    </w:rPr>
                    <w:t>2、诱捕器耐性强度拉伸强度：不小于32MPa。</w:t>
                  </w:r>
                </w:p>
                <w:p>
                  <w:pPr>
                    <w:pStyle w:val="null3"/>
                    <w:spacing w:before="105" w:after="105"/>
                    <w:jc w:val="left"/>
                  </w:pPr>
                  <w:r>
                    <w:rPr>
                      <w:rFonts w:ascii="仿宋_GB2312" w:hAnsi="仿宋_GB2312" w:cs="仿宋_GB2312" w:eastAsia="仿宋_GB2312"/>
                      <w:sz w:val="24"/>
                      <w:color w:val="000000"/>
                    </w:rPr>
                    <w:t>3、经紫外老化后拉伸强度：不小于31MPa；简支梁缺口冲击强度：不小于4.7kJ/㎡。</w:t>
                  </w:r>
                </w:p>
                <w:p>
                  <w:pPr>
                    <w:pStyle w:val="null3"/>
                    <w:spacing w:before="105" w:after="105"/>
                    <w:jc w:val="left"/>
                  </w:pPr>
                  <w:r>
                    <w:rPr>
                      <w:rFonts w:ascii="仿宋_GB2312" w:hAnsi="仿宋_GB2312" w:cs="仿宋_GB2312" w:eastAsia="仿宋_GB2312"/>
                      <w:sz w:val="24"/>
                      <w:b/>
                      <w:color w:val="000000"/>
                    </w:rPr>
                    <w:t>诱芯参数</w:t>
                  </w:r>
                </w:p>
                <w:p>
                  <w:pPr>
                    <w:pStyle w:val="null3"/>
                    <w:spacing w:before="105" w:after="105"/>
                    <w:jc w:val="left"/>
                  </w:pPr>
                  <w:r>
                    <w:rPr>
                      <w:rFonts w:ascii="仿宋_GB2312" w:hAnsi="仿宋_GB2312" w:cs="仿宋_GB2312" w:eastAsia="仿宋_GB2312"/>
                      <w:sz w:val="24"/>
                      <w:color w:val="000000"/>
                    </w:rPr>
                    <w:t>1、灰茶尺蠖诱芯的活性组分为Z3Z6Z9-十八碳三烯、Z3Z9-6,7-环氧-十八碳二烯、Z6Z9-3,4-环氧-十八碳二烯和Z3Z6-9,10-环氧-十八碳二烯等，每个诱芯活性组分含量800-1000μg。</w:t>
                  </w:r>
                </w:p>
                <w:p>
                  <w:pPr>
                    <w:pStyle w:val="null3"/>
                    <w:spacing w:before="105" w:after="105"/>
                    <w:jc w:val="left"/>
                  </w:pPr>
                  <w:r>
                    <w:rPr>
                      <w:rFonts w:ascii="仿宋_GB2312" w:hAnsi="仿宋_GB2312" w:cs="仿宋_GB2312" w:eastAsia="仿宋_GB2312"/>
                      <w:sz w:val="24"/>
                      <w:color w:val="000000"/>
                    </w:rPr>
                    <w:t>2、载体原材料要求:缓释载体为聚异戊二烯橡胶塞。载体高度为14.0±0.5mm，性信息素添加口外径10.0±0.2mm；内径7.5±0.2mm；橡胶塞形状为钟形或倒圆锥形，且与诱捕器配套，方便安装。</w:t>
                  </w:r>
                </w:p>
                <w:p>
                  <w:pPr>
                    <w:pStyle w:val="null3"/>
                    <w:spacing w:before="105" w:after="105"/>
                    <w:jc w:val="left"/>
                  </w:pPr>
                  <w:r>
                    <w:rPr>
                      <w:rFonts w:ascii="仿宋_GB2312" w:hAnsi="仿宋_GB2312" w:cs="仿宋_GB2312" w:eastAsia="仿宋_GB2312"/>
                      <w:sz w:val="24"/>
                      <w:color w:val="000000"/>
                    </w:rPr>
                    <w:t>3、通常情况下，田间使用持效期为2个月。</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b/>
                      <w:color w:val="000000"/>
                    </w:rPr>
                    <w:t>船型诱捕器配置清单：每套诱捕器配</w:t>
                  </w:r>
                  <w:r>
                    <w:rPr>
                      <w:rFonts w:ascii="仿宋_GB2312" w:hAnsi="仿宋_GB2312" w:cs="仿宋_GB2312" w:eastAsia="仿宋_GB2312"/>
                      <w:sz w:val="24"/>
                      <w:b/>
                      <w:color w:val="000000"/>
                    </w:rPr>
                    <w:t>1根杆子，1张白板。</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“★”参数为实质性要求，负偏离作无效投标处理。</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风吸式杀虫灯</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1、原理：采用强劲风机，利用害虫的趋光特性，主要吸引茶毛虫、尺蠖类等鳞翅目害虫的成虫扑灯,同时保护益虫，通过风机产生负压由上而下把昆虫吸入至集虫装置中。</w:t>
                  </w:r>
                  <w:r>
                    <w:br/>
                  </w:r>
                  <w:r>
                    <w:rPr>
                      <w:rFonts w:ascii="仿宋_GB2312" w:hAnsi="仿宋_GB2312" w:cs="仿宋_GB2312" w:eastAsia="仿宋_GB2312"/>
                      <w:sz w:val="24"/>
                    </w:rPr>
                    <w:t>2、外观与整体稳定性:一体化设计,材质选用碳钢，整机需经过喷塑处理,结构牢固,性能稳定，在灯体明显部位应有安全标志。</w:t>
                  </w:r>
                  <w:r>
                    <w:br/>
                  </w:r>
                  <w:r>
                    <w:rPr>
                      <w:rFonts w:ascii="仿宋_GB2312" w:hAnsi="仿宋_GB2312" w:cs="仿宋_GB2312" w:eastAsia="仿宋_GB2312"/>
                      <w:sz w:val="24"/>
                    </w:rPr>
                    <w:t>3、整机高度：≥2000mm。</w:t>
                  </w:r>
                  <w:r>
                    <w:br/>
                  </w:r>
                  <w:r>
                    <w:rPr>
                      <w:rFonts w:ascii="仿宋_GB2312" w:hAnsi="仿宋_GB2312" w:cs="仿宋_GB2312" w:eastAsia="仿宋_GB2312"/>
                      <w:sz w:val="24"/>
                    </w:rPr>
                    <w:t>4、▲太阳能板功率规格：功率:≥40W,电压＞12V。（提供封面具有CMA或CNAS标识的检测报告扫描件并加盖投标人签章）</w:t>
                  </w:r>
                  <w:r>
                    <w:br/>
                  </w:r>
                  <w:r>
                    <w:rPr>
                      <w:rFonts w:ascii="仿宋_GB2312" w:hAnsi="仿宋_GB2312" w:cs="仿宋_GB2312" w:eastAsia="仿宋_GB2312"/>
                      <w:sz w:val="24"/>
                    </w:rPr>
                    <w:t>5、▲整机功率：≤14W。（提供封面具有CMA或CNAS标识的检测报告扫描件并加盖投标人签章）</w:t>
                  </w:r>
                  <w:r>
                    <w:br/>
                  </w:r>
                  <w:r>
                    <w:rPr>
                      <w:rFonts w:ascii="仿宋_GB2312" w:hAnsi="仿宋_GB2312" w:cs="仿宋_GB2312" w:eastAsia="仿宋_GB2312"/>
                      <w:sz w:val="24"/>
                    </w:rPr>
                    <w:t>6、▲诱集光源功率：采用LED光源灯管，功率7W。（提供封面具有CMA或CNAS标识的检测报告扫描件并加盖投标人签章）</w:t>
                  </w:r>
                  <w:r>
                    <w:br/>
                  </w:r>
                  <w:r>
                    <w:rPr>
                      <w:rFonts w:ascii="仿宋_GB2312" w:hAnsi="仿宋_GB2312" w:cs="仿宋_GB2312" w:eastAsia="仿宋_GB2312"/>
                      <w:sz w:val="24"/>
                    </w:rPr>
                    <w:t>7、诱虫灯规格：采用E27接口，方便更换，波长应为385～420nm。</w:t>
                  </w:r>
                  <w:r>
                    <w:br/>
                  </w:r>
                  <w:r>
                    <w:rPr>
                      <w:rFonts w:ascii="仿宋_GB2312" w:hAnsi="仿宋_GB2312" w:cs="仿宋_GB2312" w:eastAsia="仿宋_GB2312"/>
                      <w:sz w:val="24"/>
                    </w:rPr>
                    <w:t>8、诱虫灯启动时间：≤5S。</w:t>
                  </w:r>
                  <w:r>
                    <w:br/>
                  </w:r>
                  <w:r>
                    <w:rPr>
                      <w:rFonts w:ascii="仿宋_GB2312" w:hAnsi="仿宋_GB2312" w:cs="仿宋_GB2312" w:eastAsia="仿宋_GB2312"/>
                      <w:sz w:val="24"/>
                    </w:rPr>
                    <w:t>9、风机规格：功率7W/12V,转速2200转，吸虫扇直径：≥140mm。</w:t>
                  </w:r>
                  <w:r>
                    <w:br/>
                  </w:r>
                  <w:r>
                    <w:rPr>
                      <w:rFonts w:ascii="仿宋_GB2312" w:hAnsi="仿宋_GB2312" w:cs="仿宋_GB2312" w:eastAsia="仿宋_GB2312"/>
                      <w:sz w:val="24"/>
                    </w:rPr>
                    <w:t>10、风机进风口风速：风速≥4.5m/s。</w:t>
                  </w:r>
                  <w:r>
                    <w:br/>
                  </w:r>
                  <w:r>
                    <w:rPr>
                      <w:rFonts w:ascii="仿宋_GB2312" w:hAnsi="仿宋_GB2312" w:cs="仿宋_GB2312" w:eastAsia="仿宋_GB2312"/>
                      <w:sz w:val="24"/>
                    </w:rPr>
                    <w:t>11、▲蓄电池/锂电池：采用使用寿命长、安全环保的锂电池，免维护,能在田间长期使用。为保证电池能良好的散热,电池箱需要有散热口。（提供封面具有CMA或CNAS标识的检测报告扫描件并加盖投标人签章）</w:t>
                  </w:r>
                  <w:r>
                    <w:br/>
                  </w:r>
                  <w:r>
                    <w:rPr>
                      <w:rFonts w:ascii="仿宋_GB2312" w:hAnsi="仿宋_GB2312" w:cs="仿宋_GB2312" w:eastAsia="仿宋_GB2312"/>
                      <w:sz w:val="24"/>
                    </w:rPr>
                    <w:t>12、锂电池规格：≥12V/20Ah。</w:t>
                  </w:r>
                  <w:r>
                    <w:br/>
                  </w:r>
                  <w:r>
                    <w:rPr>
                      <w:rFonts w:ascii="仿宋_GB2312" w:hAnsi="仿宋_GB2312" w:cs="仿宋_GB2312" w:eastAsia="仿宋_GB2312"/>
                      <w:sz w:val="24"/>
                    </w:rPr>
                    <w:t>13、▲光控功能：遮挡光控传感器，灯管应自动亮起，杀虫灯进入正常工作状态。去除光控传感器遮挡物，灯管应能自动熄灭，杀虫灯应停止工作。</w:t>
                  </w:r>
                  <w:r>
                    <w:br/>
                  </w:r>
                  <w:r>
                    <w:rPr>
                      <w:rFonts w:ascii="仿宋_GB2312" w:hAnsi="仿宋_GB2312" w:cs="仿宋_GB2312" w:eastAsia="仿宋_GB2312"/>
                      <w:sz w:val="24"/>
                    </w:rPr>
                    <w:t>14、★防逃逸功能：设备具备防逃逸功能,确保诱捕的害虫不再逃离,集虫装置采用金属网罩。（提供封面具有CMA或CNAS标识的检测报告扫描件并加盖投标人签章）</w:t>
                  </w:r>
                  <w:r>
                    <w:br/>
                  </w:r>
                  <w:r>
                    <w:rPr>
                      <w:rFonts w:ascii="仿宋_GB2312" w:hAnsi="仿宋_GB2312" w:cs="仿宋_GB2312" w:eastAsia="仿宋_GB2312"/>
                      <w:sz w:val="24"/>
                    </w:rPr>
                    <w:t>15、时控功能：具有时间控制功能，控制的时间在1-24个工作时间段任意设置。</w:t>
                  </w:r>
                  <w:r>
                    <w:br/>
                  </w:r>
                  <w:r>
                    <w:rPr>
                      <w:rFonts w:ascii="仿宋_GB2312" w:hAnsi="仿宋_GB2312" w:cs="仿宋_GB2312" w:eastAsia="仿宋_GB2312"/>
                      <w:sz w:val="24"/>
                    </w:rPr>
                    <w:t>16、倾倒保护：产品具有倾倒后自动断电功能。</w:t>
                  </w:r>
                  <w:r>
                    <w:br/>
                  </w:r>
                  <w:r>
                    <w:rPr>
                      <w:rFonts w:ascii="仿宋_GB2312" w:hAnsi="仿宋_GB2312" w:cs="仿宋_GB2312" w:eastAsia="仿宋_GB2312"/>
                      <w:sz w:val="24"/>
                    </w:rPr>
                    <w:t>17、★短路保护：当输出端直接短路，不会击穿、损坏，电路恢复正常后仍能够正常工作。（提供封面具有CMA或CNAS标识的检测报告扫描件并加盖投标人签章）</w:t>
                  </w:r>
                  <w:r>
                    <w:br/>
                  </w:r>
                  <w:r>
                    <w:rPr>
                      <w:rFonts w:ascii="仿宋_GB2312" w:hAnsi="仿宋_GB2312" w:cs="仿宋_GB2312" w:eastAsia="仿宋_GB2312"/>
                      <w:sz w:val="24"/>
                    </w:rPr>
                    <w:t>18、风机防卡死功能：风机卡死试验后，应能正常工作。</w:t>
                  </w:r>
                  <w:r>
                    <w:br/>
                  </w:r>
                  <w:r>
                    <w:rPr>
                      <w:rFonts w:ascii="仿宋_GB2312" w:hAnsi="仿宋_GB2312" w:cs="仿宋_GB2312" w:eastAsia="仿宋_GB2312"/>
                      <w:sz w:val="24"/>
                    </w:rPr>
                    <w:t>19、设备上报：设备上具有独立二维码，用户通过扫描二维码连接到系统进行安装及故障报修。</w:t>
                  </w:r>
                  <w:r>
                    <w:br/>
                  </w:r>
                  <w:r>
                    <w:rPr>
                      <w:rFonts w:ascii="仿宋_GB2312" w:hAnsi="仿宋_GB2312" w:cs="仿宋_GB2312" w:eastAsia="仿宋_GB2312"/>
                      <w:sz w:val="24"/>
                    </w:rPr>
                    <w:t>20、防雨：具有防雨水功能，雨天可以正常工作。</w:t>
                  </w:r>
                </w:p>
                <w:p>
                  <w:pPr>
                    <w:pStyle w:val="null3"/>
                    <w:spacing w:before="105" w:after="105"/>
                    <w:jc w:val="left"/>
                  </w:pPr>
                  <w:r>
                    <w:rPr>
                      <w:rFonts w:ascii="仿宋_GB2312" w:hAnsi="仿宋_GB2312" w:cs="仿宋_GB2312" w:eastAsia="仿宋_GB2312"/>
                      <w:sz w:val="24"/>
                      <w:b/>
                    </w:rPr>
                    <w:t>注：</w:t>
                  </w:r>
                  <w:r>
                    <w:rPr>
                      <w:rFonts w:ascii="仿宋_GB2312" w:hAnsi="仿宋_GB2312" w:cs="仿宋_GB2312" w:eastAsia="仿宋_GB2312"/>
                      <w:sz w:val="24"/>
                      <w:b/>
                    </w:rPr>
                    <w:t>“★”参数为实质性要求，负偏离作无效投标处理。</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微型耕作机</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1、结构质量：40-50Kg。</w:t>
                  </w:r>
                  <w:r>
                    <w:br/>
                  </w:r>
                  <w:r>
                    <w:rPr>
                      <w:rFonts w:ascii="仿宋_GB2312" w:hAnsi="仿宋_GB2312" w:cs="仿宋_GB2312" w:eastAsia="仿宋_GB2312"/>
                      <w:sz w:val="24"/>
                      <w:color w:val="000000"/>
                    </w:rPr>
                    <w:t>2、整机外形尺寸：1200</w:t>
                  </w:r>
                  <w:r>
                    <w:rPr>
                      <w:rFonts w:ascii="仿宋_GB2312" w:hAnsi="仿宋_GB2312" w:cs="仿宋_GB2312" w:eastAsia="仿宋_GB2312"/>
                      <w:sz w:val="24"/>
                    </w:rPr>
                    <w:t>±</w:t>
                  </w:r>
                  <w:r>
                    <w:rPr>
                      <w:rFonts w:ascii="仿宋_GB2312" w:hAnsi="仿宋_GB2312" w:cs="仿宋_GB2312" w:eastAsia="仿宋_GB2312"/>
                      <w:sz w:val="24"/>
                      <w:color w:val="000000"/>
                    </w:rPr>
                    <w:t>10mm×520</w:t>
                  </w:r>
                  <w:r>
                    <w:rPr>
                      <w:rFonts w:ascii="仿宋_GB2312" w:hAnsi="仿宋_GB2312" w:cs="仿宋_GB2312" w:eastAsia="仿宋_GB2312"/>
                      <w:sz w:val="24"/>
                    </w:rPr>
                    <w:t>±</w:t>
                  </w:r>
                  <w:r>
                    <w:rPr>
                      <w:rFonts w:ascii="仿宋_GB2312" w:hAnsi="仿宋_GB2312" w:cs="仿宋_GB2312" w:eastAsia="仿宋_GB2312"/>
                      <w:sz w:val="24"/>
                      <w:color w:val="000000"/>
                    </w:rPr>
                    <w:t>10mm×900</w:t>
                  </w:r>
                  <w:r>
                    <w:rPr>
                      <w:rFonts w:ascii="仿宋_GB2312" w:hAnsi="仿宋_GB2312" w:cs="仿宋_GB2312" w:eastAsia="仿宋_GB2312"/>
                      <w:sz w:val="24"/>
                    </w:rPr>
                    <w:t>±</w:t>
                  </w:r>
                  <w:r>
                    <w:rPr>
                      <w:rFonts w:ascii="仿宋_GB2312" w:hAnsi="仿宋_GB2312" w:cs="仿宋_GB2312" w:eastAsia="仿宋_GB2312"/>
                      <w:sz w:val="24"/>
                      <w:color w:val="000000"/>
                    </w:rPr>
                    <w:t>10mm</w:t>
                  </w:r>
                  <w:r>
                    <w:br/>
                  </w:r>
                  <w:r>
                    <w:rPr>
                      <w:rFonts w:ascii="仿宋_GB2312" w:hAnsi="仿宋_GB2312" w:cs="仿宋_GB2312" w:eastAsia="仿宋_GB2312"/>
                      <w:sz w:val="24"/>
                      <w:color w:val="000000"/>
                    </w:rPr>
                    <w:t>3、工作速度：0.7-1m/s。</w:t>
                  </w:r>
                  <w:r>
                    <w:br/>
                  </w:r>
                  <w:r>
                    <w:rPr>
                      <w:rFonts w:ascii="仿宋_GB2312" w:hAnsi="仿宋_GB2312" w:cs="仿宋_GB2312" w:eastAsia="仿宋_GB2312"/>
                      <w:sz w:val="24"/>
                      <w:color w:val="000000"/>
                    </w:rPr>
                    <w:t>4、旋耕宽度：30-50cm。</w:t>
                  </w:r>
                  <w:r>
                    <w:br/>
                  </w:r>
                  <w:r>
                    <w:rPr>
                      <w:rFonts w:ascii="仿宋_GB2312" w:hAnsi="仿宋_GB2312" w:cs="仿宋_GB2312" w:eastAsia="仿宋_GB2312"/>
                      <w:sz w:val="24"/>
                      <w:color w:val="000000"/>
                    </w:rPr>
                    <w:t>5、旋耕深度：80-150mm。</w:t>
                  </w:r>
                  <w:r>
                    <w:br/>
                  </w:r>
                  <w:r>
                    <w:rPr>
                      <w:rFonts w:ascii="仿宋_GB2312" w:hAnsi="仿宋_GB2312" w:cs="仿宋_GB2312" w:eastAsia="仿宋_GB2312"/>
                      <w:sz w:val="24"/>
                      <w:color w:val="000000"/>
                    </w:rPr>
                    <w:t>6、除草宽度：30-50cm。</w:t>
                  </w:r>
                  <w:r>
                    <w:br/>
                  </w:r>
                  <w:r>
                    <w:rPr>
                      <w:rFonts w:ascii="仿宋_GB2312" w:hAnsi="仿宋_GB2312" w:cs="仿宋_GB2312" w:eastAsia="仿宋_GB2312"/>
                      <w:sz w:val="24"/>
                      <w:color w:val="000000"/>
                    </w:rPr>
                    <w:t>7、车把调节范围：0--45°。</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山坡微耕王</w:t>
                  </w:r>
                </w:p>
              </w:tc>
              <w:tc>
                <w:tcPr>
                  <w:tcW w:type="dxa" w:w="4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1、功率：≥2.1KW。</w:t>
                  </w:r>
                  <w:r>
                    <w:br/>
                  </w:r>
                  <w:r>
                    <w:rPr>
                      <w:rFonts w:ascii="仿宋_GB2312" w:hAnsi="仿宋_GB2312" w:cs="仿宋_GB2312" w:eastAsia="仿宋_GB2312"/>
                      <w:sz w:val="24"/>
                      <w:color w:val="000000"/>
                    </w:rPr>
                    <w:t>2、排气量：≥130ml。</w:t>
                  </w:r>
                  <w:r>
                    <w:br/>
                  </w:r>
                  <w:r>
                    <w:rPr>
                      <w:rFonts w:ascii="仿宋_GB2312" w:hAnsi="仿宋_GB2312" w:cs="仿宋_GB2312" w:eastAsia="仿宋_GB2312"/>
                      <w:sz w:val="24"/>
                      <w:color w:val="000000"/>
                    </w:rPr>
                    <w:t>3、耕地宽度：25-60cm。</w:t>
                  </w:r>
                  <w:r>
                    <w:br/>
                  </w:r>
                  <w:r>
                    <w:rPr>
                      <w:rFonts w:ascii="仿宋_GB2312" w:hAnsi="仿宋_GB2312" w:cs="仿宋_GB2312" w:eastAsia="仿宋_GB2312"/>
                      <w:sz w:val="24"/>
                      <w:color w:val="000000"/>
                    </w:rPr>
                    <w:t>4、耕深：≥23cm。</w:t>
                  </w:r>
                  <w:r>
                    <w:br/>
                  </w:r>
                  <w:r>
                    <w:rPr>
                      <w:rFonts w:ascii="仿宋_GB2312" w:hAnsi="仿宋_GB2312" w:cs="仿宋_GB2312" w:eastAsia="仿宋_GB2312"/>
                      <w:sz w:val="24"/>
                      <w:color w:val="000000"/>
                    </w:rPr>
                    <w:t>5、引擎形式：四冲程。</w:t>
                  </w:r>
                  <w:r>
                    <w:br/>
                  </w:r>
                  <w:r>
                    <w:rPr>
                      <w:rFonts w:ascii="仿宋_GB2312" w:hAnsi="仿宋_GB2312" w:cs="仿宋_GB2312" w:eastAsia="仿宋_GB2312"/>
                      <w:sz w:val="24"/>
                      <w:color w:val="000000"/>
                    </w:rPr>
                    <w:t>6、减速方式：蜗轮蜗杆减速。</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一、其他服务要求</w:t>
            </w:r>
          </w:p>
        </w:tc>
        <w:tc>
          <w:tcPr>
            <w:tcW w:type="dxa" w:w="5814"/>
          </w:tcPr>
          <w:p>
            <w:pPr>
              <w:pStyle w:val="null3"/>
              <w:spacing w:before="105" w:after="105"/>
              <w:jc w:val="both"/>
            </w:pPr>
            <w:r>
              <w:rPr>
                <w:rFonts w:ascii="仿宋_GB2312" w:hAnsi="仿宋_GB2312" w:cs="仿宋_GB2312" w:eastAsia="仿宋_GB2312"/>
                <w:sz w:val="24"/>
              </w:rPr>
              <w:t>1、本包涉及</w:t>
            </w:r>
            <w:r>
              <w:rPr>
                <w:rFonts w:ascii="仿宋_GB2312" w:hAnsi="仿宋_GB2312" w:cs="仿宋_GB2312" w:eastAsia="仿宋_GB2312"/>
                <w:sz w:val="24"/>
              </w:rPr>
              <w:t>技术参数要求的检测报告在合同签订时中标人须交由采购人核查，如出现无法提供或提供的与投标文件不一致的情形，采购人将上报财政部门。</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采购人指定地点（叙永县叙永镇红岩村）。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1、预付款，合同签订后，达到付款条件起5日内，支付合同总金额的40.00%</w:t>
            </w:r>
          </w:p>
          <w:p>
            <w:pPr>
              <w:pStyle w:val="null3"/>
              <w:jc w:val="left"/>
            </w:pPr>
            <w:r>
              <w:rPr>
                <w:rFonts w:ascii="仿宋_GB2312" w:hAnsi="仿宋_GB2312" w:cs="仿宋_GB2312" w:eastAsia="仿宋_GB2312"/>
              </w:rPr>
              <w:t>2、尾款，供货完成经采购人验收合格后，达到付款条件起5日内，支付合同总金额的60.00%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①采购人严格按照《财政部关于进一步加强政府采购需求和履约验收管理的指导意见》（财库〔2016〕205号）、《政府采购需求管理办法》（财库〔2021〕22 号）及项目所在地财政局的相关要求进行验收。 ②验收标准：依据招标文件要求和相关行业标准为准。 ③验收依据包括：本项目采购合同和招标文件及中标人的投标文件。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质量保修范围：本项目所有货物；保修期：产品质保期不低于一年，自采购人验收合格之日起计算，质保期内有质量问题，中标人须及时更换，更换的费用包含在本次报价中。</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二、解决合同纠纷的方式1、在执行本合同中发生的或与本合同有关的争端，双方应通过友好协商解决，经协商在15天内不能达成协议时，应提交仲裁委员会仲裁。 2、仲裁裁决应为最终决定，并对双方具有约束力。 3、除另有裁决外，仲裁费应由败诉方负担。 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一、业绩和方案要求： 1、投标人根据本项目采购需求制定项目实施方案包括：（1）货物配送、发放方案（包括运输货物的车辆进行规划、拟安排的运输车辆数量及车辆型号、货物发放方式以及对货物发放过程中检查是否磨损、损毁的控制措施）；（2）项目人员配备方案（提供项目组成人员配备安排，包括运输人员、发放人员；提供人员清单，联系电话以及团队人员岗位及分工）；（3）项目质量保障措施（包含产品质量保障、成品检验制度、安全使用保证措施，以及对整个项目的供货时间进行规划，提供供货保障措施）；（4）特殊情况应对措施（包含各类特殊情况下的应对措施，例如：紧急供货、自然灾害影响、节假日影响）。 2、投标人根据本项目采购需求制定项目售后方案包括：（1）技术指导要求，质保期内，投标人需组织不少于两次技术指导，帮助采购人掌握产品在不同因素影响下的使用技术。（提供以下具体实施方案：①技术指导人员配置清单；②技术指导课程进度安排；③技术指导课件）；（2）售后服务人员构成（售后服务团队人员配置清单具有团队管理人员和具体经办人员和各自分工职责和流程以及权限范围）；（3）退换货机制（包含：①退换货的具体实施方案；②备货仓储管理措施；③投标产品防潮、防腐的措施）；（4）售后服务体系（包含：①投标人需对投标产品提供7×24小时售后技术支持；②售后服务联系热线；③采购人有任何使用问题投标人都应积极解决）。 3、投标人根据本项目制定采购需求项目售后方案包括：（1）针对本项目可能会发生的应急情况制定项目应急处理预案（包含:①应急管理机构及职责；②应急工作人员（不少于两人）配置清单；③应急响应时间不超过24小时；④处理流程及处理方法）；（2）备品货物（包含：①预备货源数量仓储方案；②货物移交过程损坏的补救措施）。 4、供应商提供2021年1月1日起至今（时间以合同签订时间或通知书落款时间为准）类似项目履约业绩（类似项目是指与本项目采购标的内容相关）。 二、其他要求：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（3）供应商应提供《关于符合本国产品标准的声明函》(格式见附件)，未提供的，视为放弃享受本国产品价格扣除优惠政策。 （4）当采购项目或者采购包中含有多种产品时，供应商还需提供《本国产品成本比例的声明函》(格式见附件)。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银行、保险、石油石化、电力、电信等有行业特殊情况的，提供企业分支机构营业执照、税务登记和组织机构代码证或统一社会信用代码的营业执照；③投标人若为事业法人：提供“统一社会信用代码法人登记证书”；未换证的提交“事业法人登记证书、组织机构代码证”；④投标人若为其他组织：提供“对应主管部门颁发的准许执业证明文件或营业执照”；⑤投标人若为自然人：提供“身份证明材料”。以上均提供扫描件并加盖投标人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并加盖投标人电子签章。 2.投标人需在使用投标(响应)客户端编制响应文件时，按要求填写《投标（响应）函》完成承诺并加盖投标人电子签章。 注：以上序号1和序号2的要求任意选择提供其中1项即可。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 xml:space="preserve"> 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对“第三章3.2.技术要求”中★号项响应（专家审核符合性审查时此处仅评审“★”号内容，其余“▲”和非“▲”号项内容属于评分内容），如本项目招标文件要求提供佐证材料则需提供，未提供的作无效响应处理，未要求则响应即可，未响应或未提供的作无效响应处理。</w:t>
            </w:r>
          </w:p>
        </w:tc>
        <w:tc>
          <w:tcPr>
            <w:tcW w:type="dxa" w:w="3322"/>
          </w:tcPr>
          <w:p>
            <w:pPr>
              <w:pStyle w:val="null3"/>
              <w:jc w:val="left"/>
            </w:pPr>
            <w:r>
              <w:rPr>
                <w:rFonts w:ascii="仿宋_GB2312" w:hAnsi="仿宋_GB2312" w:cs="仿宋_GB2312" w:eastAsia="仿宋_GB2312"/>
              </w:rPr>
              <w:t>提供产品技术参数响应表并加盖投标人签章。</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需要投标人对“第三章3.3.1.服务内容要求”中★号项响应”，如本项目招标文件要求提供佐证材料则需提供，未提供的作无效响应处理，未要求则响应即可，未响应或未提供的作无效响应处理。</w:t>
            </w:r>
          </w:p>
        </w:tc>
        <w:tc>
          <w:tcPr>
            <w:tcW w:type="dxa" w:w="3322"/>
          </w:tcPr>
          <w:p>
            <w:pPr>
              <w:pStyle w:val="null3"/>
              <w:jc w:val="left"/>
            </w:pPr>
            <w:r>
              <w:rPr>
                <w:rFonts w:ascii="仿宋_GB2312" w:hAnsi="仿宋_GB2312" w:cs="仿宋_GB2312" w:eastAsia="仿宋_GB2312"/>
              </w:rPr>
              <w:t>提供服务应答表并加盖投标人签章。</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需要投标人对“第三章3.3.2.商务要求”中★号项响应”，如本项目招标文件要求提供佐证材料则需提供，未提供的作无效响应处理，未要求则响应即可，未响应或未提供的作无效响应处理。</w:t>
            </w:r>
          </w:p>
        </w:tc>
        <w:tc>
          <w:tcPr>
            <w:tcW w:type="dxa" w:w="3322"/>
          </w:tcPr>
          <w:p>
            <w:pPr>
              <w:pStyle w:val="null3"/>
              <w:jc w:val="left"/>
            </w:pPr>
            <w:r>
              <w:rPr>
                <w:rFonts w:ascii="仿宋_GB2312" w:hAnsi="仿宋_GB2312" w:cs="仿宋_GB2312" w:eastAsia="仿宋_GB2312"/>
              </w:rPr>
              <w:t>提供商务应答表并加盖投标人签章。</w:t>
            </w:r>
          </w:p>
        </w:tc>
        <w:tc>
          <w:tcPr>
            <w:tcW w:type="dxa" w:w="1661"/>
          </w:tcPr>
          <w:p>
            <w:pPr>
              <w:pStyle w:val="null3"/>
              <w:jc w:val="left"/>
            </w:pPr>
            <w:r>
              <w:rPr>
                <w:rFonts w:ascii="仿宋_GB2312" w:hAnsi="仿宋_GB2312" w:cs="仿宋_GB2312" w:eastAsia="仿宋_GB2312"/>
              </w:rPr>
              <w:t>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完全满足招标文件第三章3.2技术要求中“二、技术参数”要求没有负偏离的得33分；1.1.“▲”条款为重要参数共计12条，每有负偏离的一项扣2分，共计24分；1.2.非“▲”条款为普通参数共计45条，每有负偏离的一项扣0.2分，扣完为止，共计9分。2.所有参数超出招标文件第三章3.2技术要求中“二、技术参数”要求（正偏离）的不加分。3.“★”号项为实质性要求，负偏离作无效投标处理。 注：1、以一级序号阿拉伯数字（如“1”“2”“3”.....）各为一条技术参数条款认定（标题除外）；阿拉伯数字序号下有多级序号的，以最小级阿拉伯数字序号（如“1.1”“1.2”“1.3”......）各为一条，如涉及表格则作为一条技术参数条款认定。 2、带“▲”条款为投标产品重要参数，投标人应提供技术支持资料，技术支持资料指:招标文件第三章3.2.技术要求中技术参数内容为准；针对以上资料提供扫描件并加盖投标人签章，未提供相关证明材料或者虽提供但无法佐证者，均自行承担被评标委员会视为技术参数负偏离的风险。 3、一般技术参数条款为评分项中的普通打分技术指标，有明确要求需要提供佐证材料的按要求提供对应材料予以证明；未要求提供佐证材料的，响应即可，允许负偏离，仅做扣分处理。投标人须严格按照招标文件产品参数描述进行响应，不得曲解招标文件产品参数描述意思或以其他参数描述来响应招标文件参数，不得以"正偏离”为由偷换技术参数描述方式进行响应，否则自行承担被评标委员会视为技术参数负偏离的风险。</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本项目采购需求制定项目实施方案包括：（1）货物配送、发放方案（包括运输货物的车辆进行规划、拟安排的运输车辆数量及车辆型号、货物发放方式以及对货物发放过程中检查是否磨损、损毁的控制措施）；（2）项目人员配备方案（提供项目组成人员配备安排，包括运输人员、发放人员；提供人员清单，联系电话以及团队人员岗位及分工）；（3）项目质量保障措施（包含产品质量保障、成品检验制度、安全使用保证措施，以及对整个项目的供货时间进行规划，提供供货保障措施）；（4）特殊情况应对措施（包含各类特殊情况下的应对措施，例如：紧急供货、自然灾害影响、节假日影响）。进行综合评审，以上4项内容（以序号（1）（2）（3）（4）为项数）完整提供的得12分，每缺少一项内容的扣3分，12分扣完为止。每项内容中存在一处错误的扣1.5分，每项3分扣完为止。 注：内容存在错误是指:①项目信息错误；②方案内容脱离项目实际情况；③引用的法律法规规范和标准或其他规范性文件错误；④套用其他项目方案或地点区域错误；⑤照搬采购文件且未作出进一步细化。任意一种上述情形为内容存在错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项目售后方案</w:t>
            </w:r>
          </w:p>
        </w:tc>
        <w:tc>
          <w:tcPr>
            <w:tcW w:type="dxa" w:w="2575"/>
          </w:tcPr>
          <w:p>
            <w:pPr>
              <w:pStyle w:val="null3"/>
              <w:jc w:val="left"/>
            </w:pPr>
            <w:r>
              <w:rPr>
                <w:rFonts w:ascii="仿宋_GB2312" w:hAnsi="仿宋_GB2312" w:cs="仿宋_GB2312" w:eastAsia="仿宋_GB2312"/>
              </w:rPr>
              <w:t>投标人根据本项目采购需求制定项目售后方案包括：（1）技术指导要求，质保期内，投标人需组织不少于两次技术指导，帮助采购人掌握产品在不同因素影响下的使用技术。（提供以下具体实施方案：①技术指导人员配置清单；②技术指导课程进度安排；③技术指导课件）；（2）售后服务人员构成（售后服务团队人员配置清单具有团队管理人员和具体经办人员和各自分工职责和流程以及权限范围）；（3）退换货机制（包含：①退换货的具体实施方案；②备货仓储管理措施；③投标产品防潮、防腐的措施）；（4）售后服务体系（包含：①投标人需对投标产品提供7×24小时售后技术支持；②售后服务联系热线；③采购人有任何使用问题投标人都应积极解决）。进行综合评审，以上4项内容（以序号（1）（2）（3）（4）为项数）完整提供的得12分，每缺少一项内容的扣3分，12分扣完为止。每项内容中存在一处错误的扣1.5分，每项3分扣完为止。 注：内容存在错误是指:①项目信息错误；②方案内容脱离项目实际情况；③引用的法律法规规范和标准或其他规范性文件错误；④套用其他项目方案或地点区域错误；⑤照搬采购文件且未作出进一步细化。任意一种上述情形为内容存在错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项目应急处理措施</w:t>
            </w:r>
          </w:p>
        </w:tc>
        <w:tc>
          <w:tcPr>
            <w:tcW w:type="dxa" w:w="2575"/>
          </w:tcPr>
          <w:p>
            <w:pPr>
              <w:pStyle w:val="null3"/>
              <w:jc w:val="left"/>
            </w:pPr>
            <w:r>
              <w:rPr>
                <w:rFonts w:ascii="仿宋_GB2312" w:hAnsi="仿宋_GB2312" w:cs="仿宋_GB2312" w:eastAsia="仿宋_GB2312"/>
              </w:rPr>
              <w:t>投标人根据本项目制定采购需求项目售后方案包括：（1）针对本项目可能会发生的应急情况制定项目应急处理预案（包含:①应急管理机构及职责；②应急工作人员（不少于两人）配置清单；③应急响应时间不超过24小时；④处理流程及处理方法）；（2）备品货物（包含：①预备货源数量仓储方案；②货物移交过程损坏的补救措施）。进行综合评审，以上2项内容（以序号（1）（2）为项数）完整提供的得9分，每缺少一项内容的扣4.5分，9分扣完为止。每项内容中存在一处错误的扣2.25分，每项4.5分扣完为止。 注：内容存在错误是指:①项目信息错误；②方案内容脱离项目实际情况；③引用的法律法规规范和标准或其他规范性文件错误；④套用其他项目方案或地点区域错误；⑤照搬采购文件且未作出进一步细化。任意一种上述情形为内容存在错误。</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供应商提供2021年1月1日起至今（时间以合同签订时间或通知书落款时间为准）类似项目履约业绩（类似项目是指与本项目采购标的内容相关），每提供一个得1分，最多得4分。 注：提供合同扫描件或中标（成交）通知书扫描件并加盖投标人电子签章，未提供不得分。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详见附件：评分标准对应方案、材料（资料）</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