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版本号：N511724202600005220260509002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大竹县政府性投资项目概算审核服务项目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N5117242026000052</w:t>
      </w:r>
    </w:p>
    <w:p>
      <w:pPr>
        <w:pStyle w:val="null3"/>
        <w:jc w:val="center"/>
        <w:outlineLvl w:val="2"/>
      </w:pPr>
      <w:r>
        <w:rPr>
          <w:rFonts w:ascii="仿宋_GB2312" w:hAnsi="仿宋_GB2312" w:cs="仿宋_GB2312" w:eastAsia="仿宋_GB2312"/>
          <w:sz w:val="28"/>
          <w:b/>
        </w:rPr>
        <w:t>大竹县发展和改革局</w:t>
      </w:r>
    </w:p>
    <w:p>
      <w:pPr>
        <w:pStyle w:val="null3"/>
        <w:jc w:val="center"/>
        <w:outlineLvl w:val="2"/>
      </w:pPr>
      <w:r>
        <w:rPr>
          <w:rFonts w:ascii="仿宋_GB2312" w:hAnsi="仿宋_GB2312" w:cs="仿宋_GB2312" w:eastAsia="仿宋_GB2312"/>
          <w:sz w:val="28"/>
          <w:b/>
        </w:rPr>
        <w:t>重庆凯弘工程咨询有限公司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重庆凯弘工程咨询有限公司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大竹县发展和改革局</w:t>
      </w:r>
      <w:r>
        <w:rPr>
          <w:rFonts w:ascii="仿宋_GB2312" w:hAnsi="仿宋_GB2312" w:cs="仿宋_GB2312" w:eastAsia="仿宋_GB2312"/>
        </w:rPr>
        <w:t xml:space="preserve"> 委托，拟对 </w:t>
      </w:r>
      <w:r>
        <w:rPr>
          <w:rFonts w:ascii="仿宋_GB2312" w:hAnsi="仿宋_GB2312" w:cs="仿宋_GB2312" w:eastAsia="仿宋_GB2312"/>
        </w:rPr>
        <w:t>大竹县政府性投资项目概算审核服务项目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达州市大竹县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N5117242026000052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大竹县政府性投资项目概算审核服务项目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加快推进大竹县政府性投资项目建设进度，进一步优化政府性投资项目建设程序，拟对大竹县政府性投资项目概算审核需通过有资质的第三方进行审核，同时提供咨询服务，本项目上报相关部门审批同意，现通过政府采购优选一名供应商承接此项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大竹县发展和改革局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大竹县竹阳社区新华路98号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0818-8831304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重庆凯弘工程咨询有限公司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四川省达州市达川区好一新奥莱广场7栋3楼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0818-7111876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费收费标准管理暂行办法〉的通知》（计价格[2002]1980号）和《国家发展改革委关于降低部分建设项目收费标准规范收费行为等有关问题的通知》(发改价格[2011]534号)、《国家发展改革委关于进一步放开建设项目专业服务价格的通知》（发改价格〔2015〕299号）的有关规定下浮35%收取为准。</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大竹县发展和改革局</w:t>
      </w:r>
      <w:r>
        <w:rPr>
          <w:rFonts w:ascii="仿宋_GB2312" w:hAnsi="仿宋_GB2312" w:cs="仿宋_GB2312" w:eastAsia="仿宋_GB2312"/>
        </w:rPr>
        <w:t xml:space="preserve"> 和 </w:t>
      </w:r>
      <w:r>
        <w:rPr>
          <w:rFonts w:ascii="仿宋_GB2312" w:hAnsi="仿宋_GB2312" w:cs="仿宋_GB2312" w:eastAsia="仿宋_GB2312"/>
        </w:rPr>
        <w:t>重庆凯弘工程咨询有限公司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大竹县发展和改革局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重庆凯弘工程咨询有限公司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成交供应商提出验收申请之日起15日内组织验收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按本项目采购文件技术、服务要求及成交供应商的响应文件进行验收。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按本项目采购文件商务要求及成交供应商的响应文件进行验收。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严格按照本项目采购文件及财政部关于进一步加强政府采购需求和履约验收管理的指导意见》（财库【2016】205号）的要求进行验收。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大竹县发展和改革局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重庆凯弘工程咨询有限公司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重庆凯弘工程咨询有限公司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联系电话：0818-7111876</w:t>
      </w:r>
    </w:p>
    <w:p>
      <w:pPr>
        <w:pStyle w:val="null3"/>
        <w:jc w:val="left"/>
      </w:pPr>
      <w:r>
        <w:rPr>
          <w:rFonts w:ascii="仿宋_GB2312" w:hAnsi="仿宋_GB2312" w:cs="仿宋_GB2312" w:eastAsia="仿宋_GB2312"/>
        </w:rPr>
        <w:t>地址：四川省达州市达川区好一新奥莱广场7栋3楼</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大竹县政府性投资项目概算审核服务项目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大竹县政府性投资项目概算审核服务项目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本项目财政预算金额为： 100万元/年（本项目只报统一的单项百分比，总价以实际结算金额为准）。即该百分比适用送审的每一个大竹县政府性投资项目概算评估咨询费用结算。（说明：百分比=（1-下浮率））。</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标的名称：大竹县政府性投资项目概算审核服务项目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项目技术、服务要求</w:t>
            </w:r>
          </w:p>
        </w:tc>
        <w:tc>
          <w:tcPr>
            <w:tcW w:type="dxa" w:w="5814"/>
          </w:tcPr>
          <w:p>
            <w:pPr>
              <w:pStyle w:val="null3"/>
              <w:ind w:firstLine="560"/>
              <w:jc w:val="both"/>
            </w:pPr>
            <w:r>
              <w:rPr>
                <w:rFonts w:ascii="仿宋_GB2312" w:hAnsi="仿宋_GB2312" w:cs="仿宋_GB2312" w:eastAsia="仿宋_GB2312"/>
                <w:sz w:val="28"/>
              </w:rPr>
              <w:t>1.主要工作内容包括政府投资和以政府投资为主的政府性工程项目的投资概算评审咨询服务。</w:t>
            </w:r>
          </w:p>
          <w:p>
            <w:pPr>
              <w:pStyle w:val="null3"/>
              <w:ind w:firstLine="560"/>
              <w:jc w:val="both"/>
            </w:pPr>
            <w:r>
              <w:rPr>
                <w:rFonts w:ascii="仿宋_GB2312" w:hAnsi="仿宋_GB2312" w:cs="仿宋_GB2312" w:eastAsia="仿宋_GB2312"/>
                <w:sz w:val="28"/>
              </w:rPr>
              <w:t>2.按合同约定出具全部概算评审报告，符合相关政策法规要求。</w:t>
            </w:r>
          </w:p>
          <w:p>
            <w:pPr>
              <w:pStyle w:val="null3"/>
              <w:ind w:firstLine="560"/>
              <w:jc w:val="both"/>
            </w:pPr>
            <w:r>
              <w:rPr>
                <w:rFonts w:ascii="仿宋_GB2312" w:hAnsi="仿宋_GB2312" w:cs="仿宋_GB2312" w:eastAsia="仿宋_GB2312"/>
                <w:sz w:val="28"/>
              </w:rPr>
              <w:t>3.评审时限</w:t>
            </w:r>
            <w:r>
              <w:rPr>
                <w:rFonts w:ascii="仿宋_GB2312" w:hAnsi="仿宋_GB2312" w:cs="仿宋_GB2312" w:eastAsia="仿宋_GB2312"/>
                <w:sz w:val="28"/>
              </w:rPr>
              <w:t>及评审费用</w:t>
            </w:r>
            <w:r>
              <w:rPr>
                <w:rFonts w:ascii="仿宋_GB2312" w:hAnsi="仿宋_GB2312" w:cs="仿宋_GB2312" w:eastAsia="仿宋_GB2312"/>
                <w:sz w:val="28"/>
              </w:rPr>
              <w:t>：按以下要求限时审结项目，如遇特殊情况不能按时完成评审工作，提交评审报告，应书面提交延期申请，报采购人批准。成交供应商未在规定时限或经采购人同意的延期时限内完成委托任务，</w:t>
            </w:r>
            <w:r>
              <w:rPr>
                <w:rFonts w:ascii="仿宋_GB2312" w:hAnsi="仿宋_GB2312" w:cs="仿宋_GB2312" w:eastAsia="仿宋_GB2312"/>
                <w:sz w:val="28"/>
              </w:rPr>
              <w:t>采购人有权终止合同</w:t>
            </w:r>
            <w:r>
              <w:rPr>
                <w:rFonts w:ascii="仿宋_GB2312" w:hAnsi="仿宋_GB2312" w:cs="仿宋_GB2312" w:eastAsia="仿宋_GB2312"/>
                <w:sz w:val="28"/>
              </w:rPr>
              <w:t>。</w:t>
            </w:r>
          </w:p>
          <w:tbl>
            <w:tblPr>
              <w:tblBorders>
                <w:top w:val="none" w:color="000000" w:sz="4"/>
                <w:left w:val="none" w:color="000000" w:sz="4"/>
                <w:bottom w:val="none" w:color="000000" w:sz="4"/>
                <w:right w:val="none" w:color="000000" w:sz="4"/>
                <w:insideH w:val="none"/>
                <w:insideV w:val="none"/>
              </w:tblBorders>
            </w:tblPr>
            <w:tblGrid>
              <w:gridCol w:w="385"/>
              <w:gridCol w:w="1354"/>
              <w:gridCol w:w="1085"/>
              <w:gridCol w:w="4153"/>
            </w:tblGrid>
            <w:tr>
              <w:tc>
                <w:tcPr>
                  <w:tcW w:type="dxa" w:w="6977"/>
                  <w:gridSpan w:val="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大竹县政府性投资项目概算审核费用</w:t>
                  </w:r>
                </w:p>
              </w:tc>
            </w:tr>
            <w:tr>
              <w:tc>
                <w:tcPr>
                  <w:tcW w:type="dxa" w:w="3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序号</w:t>
                  </w:r>
                </w:p>
              </w:tc>
              <w:tc>
                <w:tcPr>
                  <w:tcW w:type="dxa" w:w="13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送审金额</w:t>
                  </w:r>
                </w:p>
                <w:p>
                  <w:pPr>
                    <w:pStyle w:val="null3"/>
                    <w:jc w:val="center"/>
                  </w:pPr>
                  <w:r>
                    <w:rPr>
                      <w:rFonts w:ascii="仿宋_GB2312" w:hAnsi="仿宋_GB2312" w:cs="仿宋_GB2312" w:eastAsia="仿宋_GB2312"/>
                      <w:sz w:val="24"/>
                    </w:rPr>
                    <w:t>（万元</w:t>
                  </w:r>
                  <w:r>
                    <w:rPr>
                      <w:rFonts w:ascii="仿宋_GB2312" w:hAnsi="仿宋_GB2312" w:cs="仿宋_GB2312" w:eastAsia="仿宋_GB2312"/>
                      <w:sz w:val="24"/>
                    </w:rPr>
                    <w:t>)</w:t>
                  </w:r>
                </w:p>
              </w:tc>
              <w:tc>
                <w:tcPr>
                  <w:tcW w:type="dxa" w:w="10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评审费用</w:t>
                  </w:r>
                </w:p>
                <w:p>
                  <w:pPr>
                    <w:pStyle w:val="null3"/>
                    <w:jc w:val="center"/>
                  </w:pPr>
                  <w:r>
                    <w:rPr>
                      <w:rFonts w:ascii="仿宋_GB2312" w:hAnsi="仿宋_GB2312" w:cs="仿宋_GB2312" w:eastAsia="仿宋_GB2312"/>
                      <w:sz w:val="24"/>
                    </w:rPr>
                    <w:t>（万元</w:t>
                  </w:r>
                  <w:r>
                    <w:rPr>
                      <w:rFonts w:ascii="仿宋_GB2312" w:hAnsi="仿宋_GB2312" w:cs="仿宋_GB2312" w:eastAsia="仿宋_GB2312"/>
                      <w:sz w:val="24"/>
                    </w:rPr>
                    <w:t>)</w:t>
                  </w:r>
                </w:p>
              </w:tc>
              <w:tc>
                <w:tcPr>
                  <w:tcW w:type="dxa" w:w="4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评审时限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1000以下</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2个工作日以内完成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1000-3000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2个工作日以内完成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3000-5000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2.4</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2个工作日以内完成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5000-8000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2.8</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2个工作日以内完成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8000-10000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3个工作日以内完成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10000-20000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3.5</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3个工作日以内完成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20000-30000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4.0</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5个工作日以内完成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30000-40000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4.5</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5个工作日以内完成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40000-50000</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5.0</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5个工作日以内完成</w:t>
                  </w:r>
                </w:p>
              </w:tc>
            </w:tr>
            <w:tr>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13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50000以上</w:t>
                  </w: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w:t>
                  </w:r>
                </w:p>
              </w:tc>
              <w:tc>
                <w:tcPr>
                  <w:tcW w:type="dxa" w:w="4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从收到采购人移交的评审资料之日起</w:t>
                  </w:r>
                  <w:r>
                    <w:rPr>
                      <w:rFonts w:ascii="仿宋_GB2312" w:hAnsi="仿宋_GB2312" w:cs="仿宋_GB2312" w:eastAsia="仿宋_GB2312"/>
                      <w:sz w:val="21"/>
                    </w:rPr>
                    <w:t>7个工作日以内完成</w:t>
                  </w:r>
                </w:p>
              </w:tc>
            </w:tr>
          </w:tbl>
          <w:p>
            <w:pPr>
              <w:pStyle w:val="null3"/>
              <w:jc w:val="both"/>
            </w:pPr>
            <w:r>
              <w:rPr>
                <w:rFonts w:ascii="仿宋_GB2312" w:hAnsi="仿宋_GB2312" w:cs="仿宋_GB2312" w:eastAsia="仿宋_GB2312"/>
                <w:sz w:val="28"/>
                <w:b/>
              </w:rPr>
              <w:t>注：</w:t>
            </w:r>
            <w:r>
              <w:rPr>
                <w:rFonts w:ascii="仿宋_GB2312" w:hAnsi="仿宋_GB2312" w:cs="仿宋_GB2312" w:eastAsia="仿宋_GB2312"/>
                <w:sz w:val="28"/>
              </w:rPr>
              <w:t>1</w:t>
            </w:r>
            <w:r>
              <w:rPr>
                <w:rFonts w:ascii="仿宋_GB2312" w:hAnsi="仿宋_GB2312" w:cs="仿宋_GB2312" w:eastAsia="仿宋_GB2312"/>
                <w:sz w:val="28"/>
              </w:rPr>
              <w:t>.各供应商按照百分比</w:t>
            </w:r>
            <w:r>
              <w:rPr>
                <w:rFonts w:ascii="仿宋_GB2312" w:hAnsi="仿宋_GB2312" w:cs="仿宋_GB2312" w:eastAsia="仿宋_GB2312"/>
                <w:sz w:val="28"/>
              </w:rPr>
              <w:t>报价，</w:t>
            </w:r>
            <w:r>
              <w:rPr>
                <w:rFonts w:ascii="仿宋_GB2312" w:hAnsi="仿宋_GB2312" w:cs="仿宋_GB2312" w:eastAsia="仿宋_GB2312"/>
                <w:sz w:val="28"/>
              </w:rPr>
              <w:t>且</w:t>
            </w:r>
            <w:r>
              <w:rPr>
                <w:rFonts w:ascii="仿宋_GB2312" w:hAnsi="仿宋_GB2312" w:cs="仿宋_GB2312" w:eastAsia="仿宋_GB2312"/>
                <w:sz w:val="28"/>
              </w:rPr>
              <w:t>所有单项百分比相同（说明：</w:t>
            </w:r>
            <w:r>
              <w:rPr>
                <w:rFonts w:ascii="仿宋_GB2312" w:hAnsi="仿宋_GB2312" w:cs="仿宋_GB2312" w:eastAsia="仿宋_GB2312"/>
                <w:sz w:val="24"/>
              </w:rPr>
              <w:t>百分比</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下浮</w:t>
            </w:r>
            <w:r>
              <w:rPr>
                <w:rFonts w:ascii="仿宋_GB2312" w:hAnsi="仿宋_GB2312" w:cs="仿宋_GB2312" w:eastAsia="仿宋_GB2312"/>
                <w:sz w:val="24"/>
              </w:rPr>
              <w:t>率</w:t>
            </w:r>
            <w:r>
              <w:rPr>
                <w:rFonts w:ascii="仿宋_GB2312" w:hAnsi="仿宋_GB2312" w:cs="仿宋_GB2312" w:eastAsia="仿宋_GB2312"/>
                <w:sz w:val="24"/>
              </w:rPr>
              <w:t>）</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送审金额中</w:t>
            </w:r>
            <w:r>
              <w:rPr>
                <w:rFonts w:ascii="仿宋_GB2312" w:hAnsi="仿宋_GB2312" w:cs="仿宋_GB2312" w:eastAsia="仿宋_GB2312"/>
                <w:sz w:val="28"/>
              </w:rPr>
              <w:t>“1000－3000”万元，表示该政府性投资项目项目概算送审金额在1000万元（含1000万元）以上，3000万元以下（不含3000万元）。上述表中其他区间表示的送审金额均按此处理。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.采购人要求成交供应商项目负责人员到达现场的，须在30分钟内响应，一小时内到达现场。</w:t>
            </w:r>
          </w:p>
          <w:p>
            <w:pPr>
              <w:pStyle w:val="null3"/>
              <w:ind w:firstLine="560"/>
              <w:jc w:val="both"/>
            </w:pPr>
            <w:r>
              <w:rPr>
                <w:rFonts w:ascii="仿宋_GB2312" w:hAnsi="仿宋_GB2312" w:cs="仿宋_GB2312" w:eastAsia="仿宋_GB2312"/>
                <w:sz w:val="28"/>
              </w:rPr>
              <w:t>4.从业人员配置及要求</w:t>
            </w:r>
          </w:p>
          <w:p>
            <w:pPr>
              <w:pStyle w:val="null3"/>
              <w:ind w:firstLine="560"/>
              <w:jc w:val="both"/>
            </w:pPr>
            <w:r>
              <w:rPr>
                <w:rFonts w:ascii="仿宋_GB2312" w:hAnsi="仿宋_GB2312" w:cs="仿宋_GB2312" w:eastAsia="仿宋_GB2312"/>
                <w:sz w:val="28"/>
              </w:rPr>
              <w:t>4.1供应商拟派的所有从业人员的相关执业资格证书注册单位均为供应商单位。从业人员应当符合国家有关部门规定的条件，并取得相应的资格。应具有足够的注册造价工程师，以保证随时配合采购人工作。按需提供具备专业技术职称和执业资格的专业技术服务人员，造成重大影响和损失的，除建议有关部门依法处理、处罚外，将依法追究法律责任。</w:t>
            </w:r>
          </w:p>
          <w:p>
            <w:pPr>
              <w:pStyle w:val="null3"/>
              <w:ind w:firstLine="560"/>
              <w:jc w:val="both"/>
            </w:pPr>
            <w:r>
              <w:rPr>
                <w:rFonts w:ascii="仿宋_GB2312" w:hAnsi="仿宋_GB2312" w:cs="仿宋_GB2312" w:eastAsia="仿宋_GB2312"/>
                <w:sz w:val="28"/>
              </w:rPr>
              <w:t>4.2供应商须服从采购人管理，对采购人委托的项目进行审核，并出具完整的成果报告，成果报告须在约定的时间内送交采购人，一并交回采购人处接收的全部资料。</w:t>
            </w:r>
          </w:p>
          <w:p>
            <w:pPr>
              <w:pStyle w:val="null3"/>
              <w:ind w:firstLine="560"/>
              <w:jc w:val="both"/>
            </w:pPr>
            <w:r>
              <w:rPr>
                <w:rFonts w:ascii="仿宋_GB2312" w:hAnsi="仿宋_GB2312" w:cs="仿宋_GB2312" w:eastAsia="仿宋_GB2312"/>
                <w:sz w:val="28"/>
              </w:rPr>
              <w:t>4.3供应商在服务过程中获取的资料和成果需要严格保密，不得外泄相关成果，否则承担相应的法律责任。</w:t>
            </w:r>
          </w:p>
          <w:p>
            <w:pPr>
              <w:pStyle w:val="null3"/>
              <w:ind w:firstLine="560"/>
              <w:jc w:val="both"/>
            </w:pPr>
            <w:r>
              <w:rPr>
                <w:rFonts w:ascii="仿宋_GB2312" w:hAnsi="仿宋_GB2312" w:cs="仿宋_GB2312" w:eastAsia="仿宋_GB2312"/>
                <w:sz w:val="28"/>
              </w:rPr>
              <w:t>4.4</w:t>
            </w:r>
            <w:r>
              <w:rPr>
                <w:rFonts w:ascii="仿宋_GB2312" w:hAnsi="仿宋_GB2312" w:cs="仿宋_GB2312" w:eastAsia="仿宋_GB2312"/>
                <w:sz w:val="28"/>
              </w:rPr>
              <w:t>供应商审核人员须坚持合理运用国家相关法律、法规和建设工程造价管理政策、基本建设财务会计制度及相关专业知识、技能和经验开展审核业务，保持职业应有的谨慎，恪守客观公正、合规合法、实事求是、廉洁奉公的评审原则。</w:t>
            </w:r>
          </w:p>
          <w:p>
            <w:pPr>
              <w:pStyle w:val="null3"/>
              <w:ind w:firstLine="560"/>
              <w:jc w:val="both"/>
            </w:pPr>
            <w:r>
              <w:rPr>
                <w:rFonts w:ascii="仿宋_GB2312" w:hAnsi="仿宋_GB2312" w:cs="仿宋_GB2312" w:eastAsia="仿宋_GB2312"/>
                <w:sz w:val="28"/>
              </w:rPr>
              <w:t>4.5</w:t>
            </w:r>
            <w:r>
              <w:rPr>
                <w:rFonts w:ascii="仿宋_GB2312" w:hAnsi="仿宋_GB2312" w:cs="仿宋_GB2312" w:eastAsia="仿宋_GB2312"/>
                <w:sz w:val="28"/>
              </w:rPr>
              <w:t>供应商评审人员与项目建设单位或者建设项目有直接利害关系的，须实行回避制度。</w:t>
            </w:r>
          </w:p>
          <w:p>
            <w:pPr>
              <w:pStyle w:val="null3"/>
              <w:jc w:val="left"/>
            </w:pPr>
            <w:r>
              <w:rPr>
                <w:rFonts w:ascii="仿宋_GB2312" w:hAnsi="仿宋_GB2312" w:cs="仿宋_GB2312" w:eastAsia="仿宋_GB2312"/>
                <w:sz w:val="28"/>
              </w:rPr>
              <w:t>4.6供应商在服务过程中的安全责任由供应商全权负责</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年（自合同签订之日起计算）。一年满后，可续签合同，合同一年一签，本采购项目期限总计最长不超过两年。（注：若在合同履行期限内，若成交供应商发生违法、违约行为和不良信誉记录，采购人有权终止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大竹县区域内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财政部关于进一步加强政府采购需求和履约验收管理的指导意见》（财库〔2016〕205号）要求、本项目磋商文件规定的要求和响应文件及合同承诺的内容进行验收，以满足采购人的实际需求为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1、合同签订后，达到付款条件起15日内，支付合同总金额的40.00%</w:t>
            </w:r>
          </w:p>
          <w:p>
            <w:pPr>
              <w:pStyle w:val="null3"/>
              <w:jc w:val="left"/>
            </w:pPr>
            <w:r>
              <w:rPr>
                <w:rFonts w:ascii="仿宋_GB2312" w:hAnsi="仿宋_GB2312" w:cs="仿宋_GB2312" w:eastAsia="仿宋_GB2312"/>
              </w:rPr>
              <w:t>2、最终成果文件提交采购人，且验收合格，并向采购人提交所有资料后，达到付款条件起15日内，支付合同总金额的60.00%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提供针对本项目的实施方案包括:1、项目需求分析；2、本项目概算评审的建设性措施；3、风险防控措施；4、评审工作内容安排；5、组织架构和岗位职责；6、项目质量和内部质量控制制度及措施；7、工作协调沟通机制;8、进度控制保证措施。 （二）供应商提供自身廉政承诺书，格式自拟。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注：（1）供应商为企业（包括合伙企业）、个体工商户的，提供工商营业执照、税务登记和组织机构代码证或提供由工商行政管理部门核发的法人和其他组织统一社会信用代码的营业执照（原件扫描件）； （2）供应商为其他组织的，提供合法的法人证书或执业许可证等证明文件（原件扫描件）； （3）供应商为自然人的，提供为中国公民的自然人身份证明（原件扫描件）。</w:t>
            </w:r>
          </w:p>
        </w:tc>
        <w:tc>
          <w:tcPr>
            <w:tcW w:type="dxa" w:w="1661"/>
          </w:tcPr>
          <w:p>
            <w:pPr>
              <w:pStyle w:val="null3"/>
              <w:jc w:val="left"/>
            </w:pPr>
            <w:r>
              <w:rPr>
                <w:rFonts w:ascii="仿宋_GB2312" w:hAnsi="仿宋_GB2312" w:cs="仿宋_GB2312" w:eastAsia="仿宋_GB2312"/>
              </w:rPr>
              <w:t>响应文件封面,资格证明材料.docx,投标（响应）函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健全的财务会计制度。具体如下(只需要具备下列之一)： （1）供应商是法人的，提供前三年任意一年经审计的财务报告，应当提供：资产负债表、利润表、现金流量表、所有者权益变动表及其附注，或基本开户银行出具的资信证明。 （2）部分其他组织和自然人可以提供银行出具的资信证明。 （3）供应商也可提供财政部门认可的政府采购专业担保机构出具的投标担保函（扫描件） （4）提供健全的财务管理制度（扫描件）。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注：供应商可提供近一年内任意时间的缴纳税收的银行电子回单（票据）或者税务部门出具的纳税证明扫描件、供应商近一年内任意时间的缴纳社保的银行电子回单（票据）或社保部门出具的社保缴纳证明材料（扫描件），或在参加政府采购活动时做出承诺。</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资格证明材料.docx,投标（响应）函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661"/>
          </w:tcPr>
          <w:p>
            <w:pPr>
              <w:pStyle w:val="null3"/>
              <w:jc w:val="left"/>
            </w:pPr>
            <w:r>
              <w:rPr>
                <w:rFonts w:ascii="仿宋_GB2312" w:hAnsi="仿宋_GB2312" w:cs="仿宋_GB2312" w:eastAsia="仿宋_GB2312"/>
              </w:rPr>
              <w:t>技术、服务及其他要求响应表.docx,服务应答表,商务应答表.docx,投标（响应）函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本项目的技术指标为： 实施方案 ，按照技术指标得分确定优劣</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包括:1、项目需求分析；2、本项目概算评审的建设性措施；3、风险防控措施；4、评审工作内容安排；5、组织架构和岗位职责；6、项目质量和内部质量控制制度及措施；7、工作协调沟通机制；8、进度控制保证措施）进行综合评审。以上内容充分体现且完全满足磋商文件要求的，最高得40分。 注：以上内容每缺一项扣5分，每有一处内容缺陷(缺陷是指:存在不适用项目实际情况的情形、凭空编造、内容前后不一致、前后逻辑错误、涉及的规范及标准错误、地点区域错误、与项目实施特点不匹配等)扣2.5分；扣完为止。不提供方案的不得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专业技术能力</w:t>
            </w:r>
          </w:p>
        </w:tc>
        <w:tc>
          <w:tcPr>
            <w:tcW w:type="dxa" w:w="2575"/>
          </w:tcPr>
          <w:p>
            <w:pPr>
              <w:pStyle w:val="null3"/>
              <w:jc w:val="left"/>
            </w:pPr>
            <w:r>
              <w:rPr>
                <w:rFonts w:ascii="仿宋_GB2312" w:hAnsi="仿宋_GB2312" w:cs="仿宋_GB2312" w:eastAsia="仿宋_GB2312"/>
              </w:rPr>
              <w:t>（1）项目负责人：具有一级注册造价工程师资格证书得4分，具有中级及以上工程师职称加2分；本项最高得6分。 （2）技术负责人：具有一级注册造价工程师资格证书得4分，本项最高得4分。 （3）安装、公路专业负责人：具有一名一级注册造价工程师（安装专业）得3分；具有一名一级注册造价工程师（公路专业）得3分；本项最高得6分。 （4）其他人员配备：其他人员中每具有一名一级注册造价工程师得2分，每具有一名二级注册造价工程师得1分，本项最多得9分，不提供不得分。 注：1、以上人员（项目负责人、技术负责人、安装专业负责人、公路专业负责人、其他人员等）不得重复得分，注册造价工程师资格需提供注册证书复印件及本单位缴纳的社保证明，（注册造价工程师若为新聘人员则提供劳动合同原件扫描件，无需提供社保证明）具有注册证书的人员须注册在投标人本单位并提供相关网站截图，否则不得分。 （2）提供的人员身份证、注册证书、职称证等相关证件复印件需加盖供应商公章。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根据供应商提供的类似审核项目履约经验进行计分，每提供 1 个得2.5分，最多得5分。 （类似审核项目履约经验指：预算评审类或概算审查类或结算审核类） 注：提供类似审核项目合同（带公章）原件扫描件。</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综合评分所需资料.docx</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大竹县政府性投资项目概算审核服务项目</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30分。其他供应商的价格分统一按照下列公式计算：磋商报价得分=（磋商基准价/最后磋商报价）×30%×100（注：所有评审费用单价只报一个相同的百分比。即该百分比适用送审的每一个大竹县政府性投资项目概算评估咨询费用结算。）</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详见附件：资格证明材料.docx</w:t>
      </w:r>
    </w:p>
    <w:p>
      <w:pPr>
        <w:pStyle w:val="null3"/>
        <w:ind w:firstLine="960"/>
        <w:jc w:val="left"/>
      </w:pPr>
      <w:r>
        <w:rPr>
          <w:rFonts w:ascii="仿宋_GB2312" w:hAnsi="仿宋_GB2312" w:cs="仿宋_GB2312" w:eastAsia="仿宋_GB2312"/>
        </w:rPr>
        <w:t>详见附件：综合评分所需资料.docx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