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51A2B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提供2024或2025年，经审计的财务报告（包含审计报告和审计报告中所涉及的财务报表和报表附注）或者银行出具的资信证明，未经审计的提供2024或2025年财务报告（包括资产负债表、利润表、现金流量表、所有者权益变动表及其附注）。供应商注册时间截至响应文件提交截止之日前不足一年的，也可提供在相关主管部门备案的公司章程等证明材料。供应商需在使用投标(响应)客户端编制响应文件时，按要求上传相应证明材料并进行电子签章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30F745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D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2026-04-13T08:47:00Z</dcterms:created>
  <dc:creator>Administrator</dc:creator>
  <cp:lastModifiedBy>Administrator</cp:lastModifiedBy>
  <dcterms:modified xsi:type="dcterms:W3CDTF">2026-04-13T08:47:09Z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eyJoZGlkIjoiNjliM2ZiNTk3NDM3NmZmOWIxN2VlYWVhMDQ3ZTJmZDYifQ==</vt:lpwstr>
  </property>
  <property fmtid="{D5CDD505-2E9C-101B-9397-08002B2CF9AE}" pid="4" name="ICV">
    <vt:lpwstr>9B42762AE5304889A23F6E23671F5327_12</vt:lpwstr>
  </property>
</Properties>
</file>