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272CC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项目实施方案</w:t>
      </w:r>
    </w:p>
    <w:p w14:paraId="625DF778">
      <w:pPr>
        <w:rPr>
          <w:rFonts w:hint="eastAsia"/>
          <w:sz w:val="32"/>
          <w:szCs w:val="40"/>
          <w:lang w:val="en-US" w:eastAsia="zh-CN"/>
        </w:rPr>
      </w:pPr>
    </w:p>
    <w:p w14:paraId="0EB2D9E0"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供应商根据评采购文件自行提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60BF3"/>
    <w:rsid w:val="5F2B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2026-04-22T03:41:00Z</dcterms:created>
  <dc:creator>Administrator</dc:creator>
  <cp:lastModifiedBy>莎蚯</cp:lastModifiedBy>
  <dcterms:modified xsi:type="dcterms:W3CDTF">2026-04-22T03:44:04Z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eyJoZGlkIjoiYmU1NWJjNjRmNTVhZDQ5MDFmNGQ2ODY5N2JmMmQ4ZGIiLCJ1c2VySWQiOiI0NDAyNTk5NzMifQ==</vt:lpwstr>
  </property>
  <property fmtid="{D5CDD505-2E9C-101B-9397-08002B2CF9AE}" pid="4" name="ICV">
    <vt:lpwstr>7BEBADEAAEFD406FB95672C547FC18F8_12</vt:lpwstr>
  </property>
</Properties>
</file>