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版本号：N510182202600002920260428002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信息网络安全整改采购项目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N5101822026000029</w:t>
      </w:r>
    </w:p>
    <w:p>
      <w:pPr>
        <w:pStyle w:val="null3"/>
        <w:jc w:val="center"/>
        <w:outlineLvl w:val="2"/>
      </w:pPr>
      <w:r>
        <w:rPr>
          <w:rFonts w:ascii="仿宋_GB2312" w:hAnsi="仿宋_GB2312" w:cs="仿宋_GB2312" w:eastAsia="仿宋_GB2312"/>
          <w:sz w:val="28"/>
          <w:b/>
        </w:rPr>
        <w:t>彭州市中医医院</w:t>
      </w:r>
    </w:p>
    <w:p>
      <w:pPr>
        <w:pStyle w:val="null3"/>
        <w:jc w:val="center"/>
        <w:outlineLvl w:val="2"/>
      </w:pPr>
      <w:r>
        <w:rPr>
          <w:rFonts w:ascii="仿宋_GB2312" w:hAnsi="仿宋_GB2312" w:cs="仿宋_GB2312" w:eastAsia="仿宋_GB2312"/>
          <w:sz w:val="28"/>
          <w:b/>
        </w:rPr>
        <w:t>四川成与诚招标代理有限公司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四川成与诚招标代理有限公司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彭州市中医医院</w:t>
      </w:r>
      <w:r>
        <w:rPr>
          <w:rFonts w:ascii="仿宋_GB2312" w:hAnsi="仿宋_GB2312" w:cs="仿宋_GB2312" w:eastAsia="仿宋_GB2312"/>
        </w:rPr>
        <w:t xml:space="preserve"> 委托，拟对 </w:t>
      </w:r>
      <w:r>
        <w:rPr>
          <w:rFonts w:ascii="仿宋_GB2312" w:hAnsi="仿宋_GB2312" w:cs="仿宋_GB2312" w:eastAsia="仿宋_GB2312"/>
        </w:rPr>
        <w:t>信息网络安全整改采购项目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成都市彭州市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N5101822026000029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信息网络安全整改采购项目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加强采购人信息网络安全保障水平，按照《中华人民共和国网络安全法》对网络安全等级保护相关要求，结合信息系统的业务安全需求特点，遵循适度安全为核心，以重点保护、分类防护、保障关键业务、技术、管理、服务并重、标准化和成熟性为原则。需配套相关安全措施，构建以安全管理体系、安全技术体系和安全运营体系为支撑的信息网络安全体系，使信息系统在安全通信网络、安全区域边界、安全计算环境、安全管理中心、安全管理各个层面不仅达到信息系统安全等级要求，而且符合信息系统业务特点，为信息系统的运行提供可持续的安全保障。本次结合采购人网络安全等级保护测评中存在的问题有针对性的进行信息网络安全整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彭州市中医医院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彭州市天彭街道牡丹大道北二段999号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611930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蒋雪玲</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028-83811193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四川成与诚招标代理有限公司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四川省成都市武侯区中国(四川)自由贸易试验区成都高新区天府大道北段1700号7栋1单元16层1623、1625号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刘燕、蒋德林、胡皓、高阳、丁欣</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028-85259928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采购包1：532,000.00元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代理服务费收费标准：以成本加合理利润的原则，按照下列收费规则以中标（成交）金额作为基数进行计算后下浮25%收取。 收费规则： 货物：100万元以下：1.5%；100-500（万元）：1.1%；500-1000（万元）：0.8%；1000-5000（万元）：0.5%；5000-10000（万元）：0.25%；10000-100000（万元）：0.05%；100000万元以上：0.01% 服务：100万元以下：1.5%；100-500（万元）：0.8%；500-1000（万元）：0.45%；1000-5000（万元）：0.25%；5000-10000（万元）：0.1%；10000-100000（万元）：0.05%；100000万元以上：0.01% 工程：100万元以下：1.0%；100-500（万元）：0.7%；500-1000（万元）：0.55%；1000-5000（万元）：0.35%；5000-10000（万元）：0.2%；10000-100000（万元）：0.05%；100000万元以上：0.01% 注： ①以上费率计算的收费为招标代理服务全过程的收费基准价格。②招标代理服务收费按差额定率累进法计算。 例如：某工程招标项目中标金额为6000万元，计算招标服务费如下： 100万元×1.0%=1万元 (500－100）万元×0.7%=2.8万元 (1000－500）万元×0.55%=2.75万元 (5000－1000）万元×0.35%=14万元 (6000－5000）万元 ×0.2%=2万元 合计收费=1＋2.8+2.75+14+2=22.55万元。若最终代理费低于4000元，按4000元收取。收款账户（公司名称：四川成与诚招标代理有限公司 开户行：成都银行交子大道支行 帐 号: 1001300001079875 行 号：313651014024。）</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彭州市中医医院</w:t>
      </w:r>
      <w:r>
        <w:rPr>
          <w:rFonts w:ascii="仿宋_GB2312" w:hAnsi="仿宋_GB2312" w:cs="仿宋_GB2312" w:eastAsia="仿宋_GB2312"/>
        </w:rPr>
        <w:t xml:space="preserve"> 和 </w:t>
      </w:r>
      <w:r>
        <w:rPr>
          <w:rFonts w:ascii="仿宋_GB2312" w:hAnsi="仿宋_GB2312" w:cs="仿宋_GB2312" w:eastAsia="仿宋_GB2312"/>
        </w:rPr>
        <w:t>四川成与诚招标代理有限公司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彭州市中医医院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四川成与诚招标代理有限公司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服务期满后，成交供应商在满足验收条件后3日内书面通知采购人组织验收，采购人收到申请后5个工作日内进行验收或</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服务期满，供应商应当在满足最终验收条件后3日内书面通知采购人组织验收，采购人应当按照竞争性磋商文件技术参数及要求、政府采购相关法律法规、《财政部关于进一步加强政府采购需求和履约验收管理的指导意见》（财库〔2016〕205号）以及《政府采购需求管理办法》（财库〔2021〕22号）的要求进行验收。最终验收合格，双方签署验收确认书。 供应商需达到竞争性磋商文件所有技术性功能有效要求，项目整体运行良好，并提交本项目所有软件文档资料。</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按照磋商文件的质量要求和技术参数、供应商的响应文件及承诺与合同约定标准进行验收。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按照磋商文件商务要求及供应商响应商务要求内容进行验收。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严格按照本项目《磋商文件》技术服务要求，《财政部关于进一步加强政府采购需求和履约验收管理的指导意见》（财库〔2016〕205号）的要求进行验收。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其他要求 1.供应商应针对本项目提供实施方案（①网络安全分析②项目进度安排③风险评估④应急处理措施）、售后服务方案（①售后服务保障措施②维护保养计划③远程和现场响应机制④售后服务承诺）、培训方案（①培训目的②培训计划③培训方式④培训内容及培训流程）。 2.供应商需为本项目进行人员配置、需具备履约能力； 3.提供供应商自2023年1月1日（含）以来（递交响应文件截止时间）类似项目业绩。</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彭州市中医医院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四川成与诚招标代理有限公司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四川成与诚招标代理有限公司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联系人：曾女士</w:t>
      </w:r>
    </w:p>
    <w:p>
      <w:pPr>
        <w:pStyle w:val="null3"/>
        <w:jc w:val="left"/>
      </w:pPr>
      <w:r>
        <w:rPr>
          <w:rFonts w:ascii="仿宋_GB2312" w:hAnsi="仿宋_GB2312" w:cs="仿宋_GB2312" w:eastAsia="仿宋_GB2312"/>
        </w:rPr>
        <w:t>联系电话：18080876747</w:t>
      </w:r>
    </w:p>
    <w:p>
      <w:pPr>
        <w:pStyle w:val="null3"/>
        <w:jc w:val="left"/>
      </w:pPr>
      <w:r>
        <w:rPr>
          <w:rFonts w:ascii="仿宋_GB2312" w:hAnsi="仿宋_GB2312" w:cs="仿宋_GB2312" w:eastAsia="仿宋_GB2312"/>
        </w:rPr>
        <w:t>地址：中国（四川）自由贸易试验区成都高新区天府大道北段1700号新世纪环球中心S1区16楼1632号</w:t>
      </w:r>
    </w:p>
    <w:p>
      <w:pPr>
        <w:pStyle w:val="null3"/>
        <w:jc w:val="left"/>
      </w:pPr>
      <w:r>
        <w:rPr>
          <w:rFonts w:ascii="仿宋_GB2312" w:hAnsi="仿宋_GB2312" w:cs="仿宋_GB2312" w:eastAsia="仿宋_GB2312"/>
        </w:rPr>
        <w:t>邮编：610095</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联系人：曾女士</w:t>
      </w:r>
    </w:p>
    <w:p>
      <w:pPr>
        <w:pStyle w:val="null3"/>
        <w:jc w:val="left"/>
      </w:pPr>
      <w:r>
        <w:rPr>
          <w:rFonts w:ascii="仿宋_GB2312" w:hAnsi="仿宋_GB2312" w:cs="仿宋_GB2312" w:eastAsia="仿宋_GB2312"/>
        </w:rPr>
        <w:t>联系电话：18080876747</w:t>
      </w:r>
    </w:p>
    <w:p>
      <w:pPr>
        <w:pStyle w:val="null3"/>
        <w:jc w:val="left"/>
      </w:pPr>
      <w:r>
        <w:rPr>
          <w:rFonts w:ascii="仿宋_GB2312" w:hAnsi="仿宋_GB2312" w:cs="仿宋_GB2312" w:eastAsia="仿宋_GB2312"/>
        </w:rPr>
        <w:t>地址：中国（四川）自由贸易试验区成都高新区天府大道北段1700号新世纪环球中心S1区16楼1632号</w:t>
      </w:r>
    </w:p>
    <w:p>
      <w:pPr>
        <w:pStyle w:val="null3"/>
        <w:jc w:val="left"/>
      </w:pPr>
      <w:r>
        <w:rPr>
          <w:rFonts w:ascii="仿宋_GB2312" w:hAnsi="仿宋_GB2312" w:cs="仿宋_GB2312" w:eastAsia="仿宋_GB2312"/>
        </w:rPr>
        <w:t>邮编：610095</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532,000.00</w:t>
      </w:r>
    </w:p>
    <w:p>
      <w:pPr>
        <w:pStyle w:val="null3"/>
        <w:jc w:val="left"/>
      </w:pPr>
      <w:r>
        <w:rPr>
          <w:rFonts w:ascii="仿宋_GB2312" w:hAnsi="仿宋_GB2312" w:cs="仿宋_GB2312" w:eastAsia="仿宋_GB2312"/>
        </w:rPr>
        <w:t>采购包最高限价（元）: 532,000.00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C16020400 安全集成实施服务</w:t>
            </w:r>
          </w:p>
        </w:tc>
        <w:tc>
          <w:tcPr>
            <w:tcW w:type="dxa" w:w="821"/>
          </w:tcPr>
          <w:p>
            <w:pPr>
              <w:pStyle w:val="null3"/>
              <w:jc w:val="left"/>
            </w:pPr>
            <w:r>
              <w:rPr>
                <w:rFonts w:ascii="仿宋_GB2312" w:hAnsi="仿宋_GB2312" w:cs="仿宋_GB2312" w:eastAsia="仿宋_GB2312"/>
              </w:rPr>
              <w:t>信息网络安全整改项目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532,000.00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信息网络安全整改项目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532,000.00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标的名称：信息网络安全整改项目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562"/>
              <w:jc w:val="both"/>
            </w:pPr>
            <w:r>
              <w:rPr>
                <w:rFonts w:ascii="仿宋_GB2312" w:hAnsi="仿宋_GB2312" w:cs="仿宋_GB2312" w:eastAsia="仿宋_GB2312"/>
                <w:sz w:val="28"/>
                <w:b/>
              </w:rPr>
              <w:t>★（一）采购清单</w:t>
            </w:r>
          </w:p>
          <w:tbl>
            <w:tblPr>
              <w:tblInd w:type="dxa" w:w="285"/>
              <w:tblBorders>
                <w:top w:val="none" w:color="000000" w:sz="4"/>
                <w:left w:val="none" w:color="000000" w:sz="4"/>
                <w:bottom w:val="none" w:color="000000" w:sz="4"/>
                <w:right w:val="none" w:color="000000" w:sz="4"/>
                <w:insideH w:val="none"/>
                <w:insideV w:val="none"/>
              </w:tblBorders>
            </w:tblPr>
            <w:tblGrid>
              <w:gridCol w:w="728"/>
              <w:gridCol w:w="1836"/>
              <w:gridCol w:w="641"/>
              <w:gridCol w:w="641"/>
              <w:gridCol w:w="1739"/>
            </w:tblGrid>
            <w:tr>
              <w:tc>
                <w:tcPr>
                  <w:tcW w:type="dxa" w:w="7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8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产品名称</w:t>
                  </w: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7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是否属于信息安全产品</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网络准入控制系统</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2</w:t>
                  </w:r>
                </w:p>
              </w:tc>
              <w:tc>
                <w:tcPr>
                  <w:tcW w:type="dxa" w:w="1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零信任安全网</w:t>
                  </w:r>
                  <w:r>
                    <w:rPr>
                      <w:rFonts w:ascii="仿宋_GB2312" w:hAnsi="仿宋_GB2312" w:cs="仿宋_GB2312" w:eastAsia="仿宋_GB2312"/>
                      <w:sz w:val="24"/>
                    </w:rPr>
                    <w:t>关（</w:t>
                  </w:r>
                  <w:r>
                    <w:rPr>
                      <w:rFonts w:ascii="仿宋_GB2312" w:hAnsi="仿宋_GB2312" w:cs="仿宋_GB2312" w:eastAsia="仿宋_GB2312"/>
                      <w:sz w:val="24"/>
                    </w:rPr>
                    <w:t>VPN</w:t>
                  </w:r>
                  <w:r>
                    <w:rPr>
                      <w:rFonts w:ascii="仿宋_GB2312" w:hAnsi="仿宋_GB2312" w:cs="仿宋_GB2312" w:eastAsia="仿宋_GB2312"/>
                      <w:sz w:val="24"/>
                    </w:rPr>
                    <w:t>）</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运维审计</w:t>
                  </w:r>
                  <w:r>
                    <w:rPr>
                      <w:rFonts w:ascii="仿宋_GB2312" w:hAnsi="仿宋_GB2312" w:cs="仿宋_GB2312" w:eastAsia="仿宋_GB2312"/>
                      <w:sz w:val="24"/>
                    </w:rPr>
                    <w:t>系统</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数据库审计</w:t>
                  </w:r>
                  <w:r>
                    <w:rPr>
                      <w:rFonts w:ascii="仿宋_GB2312" w:hAnsi="仿宋_GB2312" w:cs="仿宋_GB2312" w:eastAsia="仿宋_GB2312"/>
                      <w:sz w:val="24"/>
                    </w:rPr>
                    <w:t>系统</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r>
          </w:tbl>
          <w:p>
            <w:pPr>
              <w:pStyle w:val="null3"/>
              <w:ind w:firstLine="560"/>
              <w:jc w:val="both"/>
            </w:pPr>
            <w:r>
              <w:rPr>
                <w:rFonts w:ascii="仿宋_GB2312" w:hAnsi="仿宋_GB2312" w:cs="仿宋_GB2312" w:eastAsia="仿宋_GB2312"/>
                <w:sz w:val="28"/>
              </w:rPr>
              <w:t>注：①以上产品涉及信息安全产品，供应商需提供按照《信息安全技术网络安全专用产品安全技术要求》等相关国家标准的强制性要求，由具备资格的机构安全认证合格或者安全检测符合要求的证明材料或者有效期内《计算机信息系统安全专用产品销售许可证》复印件。</w:t>
            </w:r>
            <w:r>
              <w:br/>
            </w:r>
            <w:r>
              <w:rPr>
                <w:rFonts w:ascii="仿宋_GB2312" w:hAnsi="仿宋_GB2312" w:cs="仿宋_GB2312" w:eastAsia="仿宋_GB2312"/>
                <w:sz w:val="28"/>
              </w:rPr>
              <w:t xml:space="preserve"> ②以上采购清单产品需按照附件1列明规格型号、品牌、产地、制造商名称等。</w:t>
            </w:r>
          </w:p>
          <w:p>
            <w:pPr>
              <w:pStyle w:val="null3"/>
              <w:ind w:firstLine="562"/>
              <w:jc w:val="both"/>
            </w:pPr>
            <w:r>
              <w:rPr>
                <w:rFonts w:ascii="仿宋_GB2312" w:hAnsi="仿宋_GB2312" w:cs="仿宋_GB2312" w:eastAsia="仿宋_GB2312"/>
                <w:sz w:val="28"/>
                <w:b/>
              </w:rPr>
              <w:t>（二）技术要求</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1）网络准入控制系统</w:t>
            </w:r>
          </w:p>
          <w:p>
            <w:pPr>
              <w:pStyle w:val="null3"/>
              <w:ind w:firstLine="560"/>
              <w:jc w:val="both"/>
            </w:pPr>
            <w:r>
              <w:rPr>
                <w:rFonts w:ascii="仿宋_GB2312" w:hAnsi="仿宋_GB2312" w:cs="仿宋_GB2312" w:eastAsia="仿宋_GB2312"/>
                <w:sz w:val="28"/>
              </w:rPr>
              <w:t>★1.供应商需提供配套标准机架式设备，网络层吞吐量≥10G，应用层吞吐量≥1G，带宽性能≥1G，支持用户数≥1500，每秒新建连接数≥14000，最大并发连接数≥60万，接口≥6千兆电口+2千兆光口，内存≥8G，硬盘≥480G SSD，提供≥1200套终端准入授权。</w:t>
            </w:r>
          </w:p>
          <w:p>
            <w:pPr>
              <w:pStyle w:val="null3"/>
              <w:ind w:firstLine="560"/>
              <w:jc w:val="both"/>
            </w:pPr>
            <w:r>
              <w:rPr>
                <w:rFonts w:ascii="仿宋_GB2312" w:hAnsi="仿宋_GB2312" w:cs="仿宋_GB2312" w:eastAsia="仿宋_GB2312"/>
                <w:sz w:val="28"/>
              </w:rPr>
              <w:t>2.设备需支持进行网桥、路由、旁路部署的部署方式。</w:t>
            </w:r>
          </w:p>
          <w:p>
            <w:pPr>
              <w:pStyle w:val="null3"/>
              <w:ind w:firstLine="560"/>
              <w:jc w:val="both"/>
            </w:pPr>
            <w:r>
              <w:rPr>
                <w:rFonts w:ascii="仿宋_GB2312" w:hAnsi="仿宋_GB2312" w:cs="仿宋_GB2312" w:eastAsia="仿宋_GB2312"/>
                <w:sz w:val="28"/>
              </w:rPr>
              <w:t>3.支持对SSL加密网页进行解密并识别、过滤其内容，针对加密后的钓鱼网站、非法网站，可对采购人进行重定向告警。</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支持</w:t>
            </w:r>
            <w:r>
              <w:rPr>
                <w:rFonts w:ascii="仿宋_GB2312" w:hAnsi="仿宋_GB2312" w:cs="仿宋_GB2312" w:eastAsia="仿宋_GB2312"/>
                <w:sz w:val="28"/>
              </w:rPr>
              <w:t>IPSec VPN功能，且支持VPN多线路选路，具备主备线路、流量分配等多种多线路选路策略</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5.支持展示包括在线用户人数、带宽质量情况、网口实时吞吐、应用实时流量排名、用户实时流量排名、资产类型分布、违规检查项排行、违规用户排行。</w:t>
            </w:r>
          </w:p>
          <w:p>
            <w:pPr>
              <w:pStyle w:val="null3"/>
              <w:ind w:firstLine="560"/>
              <w:jc w:val="both"/>
            </w:pPr>
            <w:r>
              <w:rPr>
                <w:rFonts w:ascii="仿宋_GB2312" w:hAnsi="仿宋_GB2312" w:cs="仿宋_GB2312" w:eastAsia="仿宋_GB2312"/>
                <w:sz w:val="28"/>
              </w:rPr>
              <w:t>▲6.支持动态流量调整，在设置流量策略后可根据整体线路或者某流量通道内的空闲情况，自动启用和停止使用流量控制策略，以提升带宽的高使用率，空闲值可自定义（提供封面有CMA标识的国家认可的第三方检测机构出具的检测报告复印件或针对本条要求内容提供单独承诺函并同时承诺成交后签订合同前提供封面有CMA标识的国家认可的第三方检测机构出具的检测报告原件供采购人查验）</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7.支持设置系统管理员、安全管理员、审计管理员，以及多种权限的超级管理员。</w:t>
            </w:r>
          </w:p>
          <w:p>
            <w:pPr>
              <w:pStyle w:val="null3"/>
              <w:ind w:firstLine="560"/>
              <w:jc w:val="both"/>
            </w:pPr>
            <w:r>
              <w:rPr>
                <w:rFonts w:ascii="仿宋_GB2312" w:hAnsi="仿宋_GB2312" w:cs="仿宋_GB2312" w:eastAsia="仿宋_GB2312"/>
                <w:sz w:val="28"/>
              </w:rPr>
              <w:t>8.支持终端用户账号绑定手机号码和微信号，绑定后可以通过手机验证码和微信扫码实现上网快捷登录认证。</w:t>
            </w:r>
          </w:p>
          <w:p>
            <w:pPr>
              <w:pStyle w:val="null3"/>
              <w:ind w:firstLine="560"/>
              <w:jc w:val="both"/>
            </w:pPr>
            <w:r>
              <w:rPr>
                <w:rFonts w:ascii="仿宋_GB2312" w:hAnsi="仿宋_GB2312" w:cs="仿宋_GB2312" w:eastAsia="仿宋_GB2312"/>
                <w:sz w:val="28"/>
              </w:rPr>
              <w:t>9.支持Web访问质量分析检测，针对员工web访问质量进行分析检测，对网络提供网络质量评级。</w:t>
            </w:r>
          </w:p>
          <w:p>
            <w:pPr>
              <w:pStyle w:val="null3"/>
              <w:ind w:firstLine="560"/>
              <w:jc w:val="both"/>
            </w:pPr>
            <w:r>
              <w:rPr>
                <w:rFonts w:ascii="仿宋_GB2312" w:hAnsi="仿宋_GB2312" w:cs="仿宋_GB2312" w:eastAsia="仿宋_GB2312"/>
                <w:sz w:val="28"/>
              </w:rPr>
              <w:t>10.支持Windows终端安全基线检查，包括杀软检查、登录域检查、操作系统检查、进程检查、文件检查、补丁检查、Windows账号检查、防篡改检查等，对不满足检查要求的终端可弹窗提示、禁止上网、违规修复。</w:t>
            </w:r>
          </w:p>
          <w:p>
            <w:pPr>
              <w:pStyle w:val="null3"/>
              <w:ind w:firstLine="560"/>
              <w:jc w:val="both"/>
            </w:pPr>
            <w:r>
              <w:rPr>
                <w:rFonts w:ascii="仿宋_GB2312" w:hAnsi="仿宋_GB2312" w:cs="仿宋_GB2312" w:eastAsia="仿宋_GB2312"/>
                <w:sz w:val="28"/>
              </w:rPr>
              <w:t>11.支持移动存储精细化管理，可对U盘、移动硬盘设置可读写、拒绝、可读、告警，可对拷贝的文件内容以及插入和拔出行为的审计。</w:t>
            </w:r>
          </w:p>
          <w:p>
            <w:pPr>
              <w:pStyle w:val="null3"/>
              <w:ind w:firstLine="560"/>
              <w:jc w:val="both"/>
            </w:pPr>
            <w:r>
              <w:rPr>
                <w:rFonts w:ascii="仿宋_GB2312" w:hAnsi="仿宋_GB2312" w:cs="仿宋_GB2312" w:eastAsia="仿宋_GB2312"/>
                <w:sz w:val="28"/>
              </w:rPr>
              <w:t>▲12.支持与采购人现有的终端安全管理平台（深信服EDR）进行联动管控，当检测到终端未安装终端安全防护软件时，禁止网络准入访问并提示需要安装终端安全防护软件（需提供联动承诺函，并加盖投标人公章）</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2）零信任安全网关（VPN）</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供应商需提供配套标准机架式设备</w:t>
            </w:r>
            <w:r>
              <w:rPr>
                <w:rFonts w:ascii="仿宋_GB2312" w:hAnsi="仿宋_GB2312" w:cs="仿宋_GB2312" w:eastAsia="仿宋_GB2312"/>
                <w:sz w:val="28"/>
              </w:rPr>
              <w:t>，内存</w:t>
            </w:r>
            <w:r>
              <w:rPr>
                <w:rFonts w:ascii="仿宋_GB2312" w:hAnsi="仿宋_GB2312" w:cs="仿宋_GB2312" w:eastAsia="仿宋_GB2312"/>
                <w:sz w:val="28"/>
              </w:rPr>
              <w:t>≥16G，硬盘≥128G SSD，SSL加密流量≥480M，最大并发用户数≥800，最大HTTPS并发连接数≥40000个，HTTPS新建用户数≥120个/秒；接口≥8个千兆电口，≥2个万兆光口SFP+（含光模块），本次提供≥500套零信任访问并发接入授权。</w:t>
            </w:r>
          </w:p>
          <w:p>
            <w:pPr>
              <w:pStyle w:val="null3"/>
              <w:ind w:firstLine="560"/>
              <w:jc w:val="both"/>
            </w:pPr>
            <w:r>
              <w:rPr>
                <w:rFonts w:ascii="仿宋_GB2312" w:hAnsi="仿宋_GB2312" w:cs="仿宋_GB2312" w:eastAsia="仿宋_GB2312"/>
                <w:sz w:val="28"/>
              </w:rPr>
              <w:t>2.支持IPV4/IPV6双栈网络IP配置，可自主选择配置LAN口或WAN口，支持通过配置IP白名单来放通WAN口接入的特殊需求。</w:t>
            </w:r>
          </w:p>
          <w:p>
            <w:pPr>
              <w:pStyle w:val="null3"/>
              <w:ind w:firstLine="560"/>
              <w:jc w:val="both"/>
            </w:pPr>
            <w:r>
              <w:rPr>
                <w:rFonts w:ascii="仿宋_GB2312" w:hAnsi="仿宋_GB2312" w:cs="仿宋_GB2312" w:eastAsia="仿宋_GB2312"/>
                <w:sz w:val="28"/>
              </w:rPr>
              <w:t>3.为提升在弱网环境下访问体验，支持优化TCP协议，增强隧道抗丢包、抗抖动特性，实现弱网环境的访问加速。</w:t>
            </w:r>
          </w:p>
          <w:p>
            <w:pPr>
              <w:pStyle w:val="null3"/>
              <w:ind w:firstLine="560"/>
              <w:jc w:val="both"/>
            </w:pPr>
            <w:r>
              <w:rPr>
                <w:rFonts w:ascii="仿宋_GB2312" w:hAnsi="仿宋_GB2312" w:cs="仿宋_GB2312" w:eastAsia="仿宋_GB2312"/>
                <w:sz w:val="28"/>
              </w:rPr>
              <w:t>▲4.支持异常环境下的二次增强认证登录验证，可配置的异常环境至少包括帐号首次登录、帐号在该终端首次登录、账号在非常用地点登录、账号弱密码登录、异常时间登录等（提供封面有CMA标识的国家认可的第三方检测机构出具的检测报告复印件或针对本条要求内容提供单独承诺函并同时承诺成交后签订合同前提供封面有CMA标识的国家认可的第三方检测机构出具的检测报告原件供采购人查验）</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5.为方便维护人员管理应用权限，支持直接在应用授权界面为单一应用或某个应用分类分配用户使用授权，支持展示应用直接授权的组织架构、授权角色或用户数量。</w:t>
            </w:r>
          </w:p>
          <w:p>
            <w:pPr>
              <w:pStyle w:val="null3"/>
              <w:ind w:firstLine="560"/>
              <w:jc w:val="both"/>
            </w:pPr>
            <w:r>
              <w:rPr>
                <w:rFonts w:ascii="仿宋_GB2312" w:hAnsi="仿宋_GB2312" w:cs="仿宋_GB2312" w:eastAsia="仿宋_GB2312"/>
                <w:sz w:val="28"/>
              </w:rPr>
              <w:t>6.支持iOS、安卓、鸿蒙Next手机APP集成零信任SDK，从而实现安全接入、沙箱等功能，避免单独安装零信任手机客户端。</w:t>
            </w:r>
          </w:p>
          <w:p>
            <w:pPr>
              <w:pStyle w:val="null3"/>
              <w:ind w:firstLine="560"/>
              <w:jc w:val="both"/>
            </w:pPr>
            <w:r>
              <w:rPr>
                <w:rFonts w:ascii="仿宋_GB2312" w:hAnsi="仿宋_GB2312" w:cs="仿宋_GB2312" w:eastAsia="仿宋_GB2312"/>
                <w:sz w:val="28"/>
              </w:rPr>
              <w:t>▲7.为了最大程度缩小网络、业务暴露面，零信任平台支持单包授权能力，未授权用户无法连接零信任设备，无法扫描到服务端口。</w:t>
            </w:r>
          </w:p>
          <w:p>
            <w:pPr>
              <w:pStyle w:val="null3"/>
              <w:ind w:firstLine="560"/>
              <w:jc w:val="both"/>
            </w:pPr>
            <w:r>
              <w:rPr>
                <w:rFonts w:ascii="仿宋_GB2312" w:hAnsi="仿宋_GB2312" w:cs="仿宋_GB2312" w:eastAsia="仿宋_GB2312"/>
                <w:sz w:val="28"/>
              </w:rPr>
              <w:t>8.支持以虚拟IP方式，访问真实的业务系统，以配合其他对IP有要求的安全设备工作，以及便于流量分析类设备进行流量分析。</w:t>
            </w:r>
          </w:p>
          <w:p>
            <w:pPr>
              <w:pStyle w:val="null3"/>
              <w:ind w:firstLine="560"/>
              <w:jc w:val="both"/>
            </w:pPr>
            <w:r>
              <w:rPr>
                <w:rFonts w:ascii="仿宋_GB2312" w:hAnsi="仿宋_GB2312" w:cs="仿宋_GB2312" w:eastAsia="仿宋_GB2312"/>
                <w:sz w:val="28"/>
              </w:rPr>
              <w:t>▲9.为方便管理员统筹查看管理零信任系统的整体运行状态，支持对设备自身的安全状态和策略配置进行巡检，对设备的整体状态进行打分，统计所有检查的正常项、异常项和告警项，并输出巡检报告。</w:t>
            </w:r>
          </w:p>
          <w:p>
            <w:pPr>
              <w:pStyle w:val="null3"/>
              <w:ind w:firstLine="560"/>
              <w:jc w:val="both"/>
            </w:pPr>
            <w:r>
              <w:rPr>
                <w:rFonts w:ascii="仿宋_GB2312" w:hAnsi="仿宋_GB2312" w:cs="仿宋_GB2312" w:eastAsia="仿宋_GB2312"/>
                <w:sz w:val="28"/>
              </w:rPr>
              <w:t>10.支持将设备安全事件单独记录在设备安全日志中，事件类型包括但不限于接口扫描、接口webshall攻击、接口参数爆破、接口越权调用等设备API防护日志。</w:t>
            </w:r>
          </w:p>
          <w:p>
            <w:pPr>
              <w:pStyle w:val="null3"/>
              <w:ind w:firstLine="560"/>
              <w:jc w:val="both"/>
            </w:pPr>
            <w:r>
              <w:rPr>
                <w:rFonts w:ascii="仿宋_GB2312" w:hAnsi="仿宋_GB2312" w:cs="仿宋_GB2312" w:eastAsia="仿宋_GB2312"/>
                <w:sz w:val="28"/>
              </w:rPr>
              <w:t>11.支持业务动态访问控制，当检测到终端环境不符合安全条件时，支持设置包括短信增强认证、告警等认证方式，提高登录验证安全性。</w:t>
            </w:r>
          </w:p>
          <w:p>
            <w:pPr>
              <w:pStyle w:val="null3"/>
              <w:ind w:firstLine="560"/>
              <w:jc w:val="both"/>
            </w:pPr>
            <w:r>
              <w:rPr>
                <w:rFonts w:ascii="仿宋_GB2312" w:hAnsi="仿宋_GB2312" w:cs="仿宋_GB2312" w:eastAsia="仿宋_GB2312"/>
                <w:sz w:val="28"/>
              </w:rPr>
              <w:t>▲12.为保证针对勒索病毒专项检测服务能力，实现对网络流量进行高效的实时监控和分析，防止勒索病毒入侵，需提供国家版权局颁发的勒索病毒检测类相关软件著作权证书。（提供证书证明资料并加盖投标供应商公章）</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3）运维审计系统</w:t>
            </w:r>
          </w:p>
          <w:p>
            <w:pPr>
              <w:pStyle w:val="null3"/>
              <w:ind w:firstLine="560"/>
              <w:jc w:val="both"/>
            </w:pPr>
            <w:r>
              <w:rPr>
                <w:rFonts w:ascii="仿宋_GB2312" w:hAnsi="仿宋_GB2312" w:cs="仿宋_GB2312" w:eastAsia="仿宋_GB2312"/>
                <w:sz w:val="28"/>
              </w:rPr>
              <w:t>★1.供应商需提供配套标准机架式设备，运维授权数≥500，最大可扩展资产数≥1000，图形运维最大并发数≥200，字符运维最大并发数≥350，内存≥8G，硬盘容量≥8T SATA硬盘，接口≥6个千兆电口，≥2个万兆光口SFP+（含光模块）。</w:t>
            </w:r>
          </w:p>
          <w:p>
            <w:pPr>
              <w:pStyle w:val="null3"/>
              <w:ind w:firstLine="560"/>
              <w:jc w:val="both"/>
            </w:pPr>
            <w:r>
              <w:rPr>
                <w:rFonts w:ascii="仿宋_GB2312" w:hAnsi="仿宋_GB2312" w:cs="仿宋_GB2312" w:eastAsia="仿宋_GB2312"/>
                <w:sz w:val="28"/>
              </w:rPr>
              <w:t>2.支持基于角色的访问控制，允许对用户、资源和功能模块进行精确的授权管理。</w:t>
            </w:r>
          </w:p>
          <w:p>
            <w:pPr>
              <w:pStyle w:val="null3"/>
              <w:ind w:firstLine="560"/>
              <w:jc w:val="both"/>
            </w:pPr>
            <w:r>
              <w:rPr>
                <w:rFonts w:ascii="仿宋_GB2312" w:hAnsi="仿宋_GB2312" w:cs="仿宋_GB2312" w:eastAsia="仿宋_GB2312"/>
                <w:sz w:val="28"/>
              </w:rPr>
              <w:t>3.支持静态口令认证、手机动态口令认证、Usbkey认证、短信认证、AD域/LADP认证、Radius认证等多种用户登录认证方式,支持各种认证方式和静态口令组合认证。</w:t>
            </w:r>
          </w:p>
          <w:p>
            <w:pPr>
              <w:pStyle w:val="null3"/>
              <w:ind w:firstLine="560"/>
              <w:jc w:val="both"/>
            </w:pPr>
            <w:r>
              <w:rPr>
                <w:rFonts w:ascii="仿宋_GB2312" w:hAnsi="仿宋_GB2312" w:cs="仿宋_GB2312" w:eastAsia="仿宋_GB2312"/>
                <w:sz w:val="28"/>
              </w:rPr>
              <w:t>4.支持批量导入、导出用户信息，支持采购人手动添加、删除、编辑、设定角色、单独指定登陆认证方式、设定用户有效期。</w:t>
            </w:r>
          </w:p>
          <w:p>
            <w:pPr>
              <w:pStyle w:val="null3"/>
              <w:ind w:firstLine="560"/>
              <w:jc w:val="both"/>
            </w:pPr>
            <w:r>
              <w:rPr>
                <w:rFonts w:ascii="仿宋_GB2312" w:hAnsi="仿宋_GB2312" w:cs="仿宋_GB2312" w:eastAsia="仿宋_GB2312"/>
                <w:sz w:val="28"/>
              </w:rPr>
              <w:t>5.支持内置三员角色的同时支持角色灵活自定义，可根据采购人实际的管理特性或特殊的安全管理组织架构，划分管理角色的管理范畴。</w:t>
            </w:r>
          </w:p>
          <w:p>
            <w:pPr>
              <w:pStyle w:val="null3"/>
              <w:ind w:firstLine="560"/>
              <w:jc w:val="both"/>
            </w:pPr>
            <w:r>
              <w:rPr>
                <w:rFonts w:ascii="仿宋_GB2312" w:hAnsi="仿宋_GB2312" w:cs="仿宋_GB2312" w:eastAsia="仿宋_GB2312"/>
                <w:sz w:val="28"/>
              </w:rPr>
              <w:t>6.支持以图形方式查看用户占比、在线用户数量、以及活跃用户。</w:t>
            </w:r>
          </w:p>
          <w:p>
            <w:pPr>
              <w:pStyle w:val="null3"/>
              <w:ind w:firstLine="560"/>
              <w:jc w:val="both"/>
            </w:pPr>
            <w:r>
              <w:rPr>
                <w:rFonts w:ascii="仿宋_GB2312" w:hAnsi="仿宋_GB2312" w:cs="仿宋_GB2312" w:eastAsia="仿宋_GB2312"/>
                <w:sz w:val="28"/>
              </w:rPr>
              <w:t>7.支持调用本地数据库运维工具客户端，数据库类型包含mysql、oracle、sqlserver、DB2、达梦V7、达梦V8、pgsql、kingbaseV7、kingbaseV8等。</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4）数据库审计系统</w:t>
            </w:r>
          </w:p>
          <w:p>
            <w:pPr>
              <w:pStyle w:val="null3"/>
              <w:ind w:firstLine="560"/>
              <w:jc w:val="both"/>
            </w:pPr>
            <w:r>
              <w:rPr>
                <w:rFonts w:ascii="仿宋_GB2312" w:hAnsi="仿宋_GB2312" w:cs="仿宋_GB2312" w:eastAsia="仿宋_GB2312"/>
                <w:sz w:val="28"/>
              </w:rPr>
              <w:t>★1.供应商需提供配套标准机架式设备，支持硬件吞吐≥3Gbps，数据库纯SQL流量≥400Mb/s，数据库实例≥1000个，SQL处理性能≥30000条SQL/s，日志检索性能≥600000条/秒，内存≥8G，硬盘容量≥4T SATA，接口≥8个千兆电口，≥2个万兆光口SFP+（含光模块）。</w:t>
            </w:r>
          </w:p>
          <w:p>
            <w:pPr>
              <w:pStyle w:val="null3"/>
              <w:ind w:firstLine="560"/>
              <w:jc w:val="both"/>
            </w:pPr>
            <w:r>
              <w:rPr>
                <w:rFonts w:ascii="仿宋_GB2312" w:hAnsi="仿宋_GB2312" w:cs="仿宋_GB2312" w:eastAsia="仿宋_GB2312"/>
                <w:sz w:val="28"/>
              </w:rPr>
              <w:t>2.支持主流数据库包括但不限于Oracle、SQL-Server、DB2、MySQL、Informix、Sybase、Cache、MongDB、PostgreSQL、达梦、人大金仓。</w:t>
            </w:r>
          </w:p>
          <w:p>
            <w:pPr>
              <w:pStyle w:val="null3"/>
              <w:ind w:firstLine="560"/>
              <w:jc w:val="both"/>
            </w:pPr>
            <w:r>
              <w:rPr>
                <w:rFonts w:ascii="仿宋_GB2312" w:hAnsi="仿宋_GB2312" w:cs="仿宋_GB2312" w:eastAsia="仿宋_GB2312"/>
                <w:sz w:val="28"/>
              </w:rPr>
              <w:t>3.支持白名单审计，系统使用审计白名单将非关注的内容进行过滤。</w:t>
            </w:r>
          </w:p>
          <w:p>
            <w:pPr>
              <w:pStyle w:val="null3"/>
              <w:ind w:firstLine="560"/>
              <w:jc w:val="both"/>
            </w:pPr>
            <w:r>
              <w:rPr>
                <w:rFonts w:ascii="仿宋_GB2312" w:hAnsi="仿宋_GB2312" w:cs="仿宋_GB2312" w:eastAsia="仿宋_GB2312"/>
                <w:sz w:val="28"/>
              </w:rPr>
              <w:t>4.支持时间段、源IP、客户端程序、业务系统、数据库用户、数据库名、操作类型、表名、返回行数、影响行数、响应时长、响应码等对数据库日志进行精细检索。</w:t>
            </w:r>
          </w:p>
          <w:p>
            <w:pPr>
              <w:pStyle w:val="null3"/>
              <w:ind w:firstLine="560"/>
              <w:jc w:val="both"/>
            </w:pPr>
            <w:r>
              <w:rPr>
                <w:rFonts w:ascii="仿宋_GB2312" w:hAnsi="仿宋_GB2312" w:cs="仿宋_GB2312" w:eastAsia="仿宋_GB2312"/>
                <w:sz w:val="28"/>
              </w:rPr>
              <w:t>5.支持客户端程序、数据库用户、操作类型、数据库名表名、响应时间、返回行数、影响行数、响应内容等实现对敏感数据库操作的精细监控。</w:t>
            </w:r>
          </w:p>
          <w:p>
            <w:pPr>
              <w:pStyle w:val="null3"/>
              <w:ind w:firstLine="560"/>
              <w:jc w:val="both"/>
            </w:pPr>
            <w:r>
              <w:rPr>
                <w:rFonts w:ascii="仿宋_GB2312" w:hAnsi="仿宋_GB2312" w:cs="仿宋_GB2312" w:eastAsia="仿宋_GB2312"/>
                <w:sz w:val="28"/>
              </w:rPr>
              <w:t>6.支持吞吐量分析，包括SQL语句吞吐量排行、SQL语句吞吐量趋势、SQL操作类型吞吐量排行、SQL操作类型吞吐量趋势、数据库用户吞吐量排行、数据库用户吞吐量趋势、业务主机吞吐量排行、业务主机吞吐量趋势。</w:t>
            </w:r>
          </w:p>
          <w:p>
            <w:pPr>
              <w:pStyle w:val="null3"/>
              <w:ind w:firstLine="560"/>
              <w:jc w:val="both"/>
            </w:pPr>
            <w:r>
              <w:rPr>
                <w:rFonts w:ascii="仿宋_GB2312" w:hAnsi="仿宋_GB2312" w:cs="仿宋_GB2312" w:eastAsia="仿宋_GB2312"/>
                <w:sz w:val="28"/>
              </w:rPr>
              <w:t>7.支持精细化日志秒级查询，通过SQL串模式抽取保障磁盘IO的读写性能。</w:t>
            </w:r>
          </w:p>
          <w:p>
            <w:pPr>
              <w:pStyle w:val="null3"/>
              <w:ind w:firstLine="562"/>
              <w:jc w:val="both"/>
            </w:pPr>
            <w:r>
              <w:rPr>
                <w:rFonts w:ascii="仿宋_GB2312" w:hAnsi="仿宋_GB2312" w:cs="仿宋_GB2312" w:eastAsia="仿宋_GB2312"/>
                <w:sz w:val="28"/>
                <w:b/>
              </w:rPr>
              <w:t>（三）</w:t>
            </w:r>
            <w:r>
              <w:rPr>
                <w:rFonts w:ascii="仿宋_GB2312" w:hAnsi="仿宋_GB2312" w:cs="仿宋_GB2312" w:eastAsia="仿宋_GB2312"/>
                <w:sz w:val="28"/>
                <w:b/>
              </w:rPr>
              <w:t>技术服务</w:t>
            </w:r>
          </w:p>
          <w:p>
            <w:pPr>
              <w:pStyle w:val="null3"/>
              <w:ind w:firstLine="560"/>
              <w:jc w:val="both"/>
            </w:pPr>
            <w:r>
              <w:rPr>
                <w:rFonts w:ascii="仿宋_GB2312" w:hAnsi="仿宋_GB2312" w:cs="仿宋_GB2312" w:eastAsia="仿宋_GB2312"/>
                <w:sz w:val="28"/>
              </w:rPr>
              <w:t>★1.需对采购人提供≥100个核心信息化资产的7*24小时整体安全监测服务，服务内容主要包括网络安全威胁监测预警、事件闭环管理服务、脆弱性分析闭环服务。支持实时监测采购人信息化资产的网络安全状态，对安全事件自动化生成工单，及时进行分析与预警，并进行主动闭环。</w:t>
            </w:r>
          </w:p>
          <w:p>
            <w:pPr>
              <w:pStyle w:val="null3"/>
              <w:ind w:firstLine="560"/>
              <w:jc w:val="both"/>
            </w:pPr>
            <w:r>
              <w:rPr>
                <w:rFonts w:ascii="仿宋_GB2312" w:hAnsi="仿宋_GB2312" w:cs="仿宋_GB2312" w:eastAsia="仿宋_GB2312"/>
                <w:sz w:val="28"/>
              </w:rPr>
              <w:t>★2.提供安全服务团队，服务人数≥5人，其中包含专属安服服务经理1人，服务形式为组建微信群，线下团队配合、线上云端7*24小时值守，遇突发事件必要时，线下团队上门处置。</w:t>
            </w:r>
          </w:p>
          <w:p>
            <w:pPr>
              <w:pStyle w:val="null3"/>
              <w:ind w:firstLine="560"/>
              <w:jc w:val="both"/>
            </w:pPr>
            <w:r>
              <w:rPr>
                <w:rFonts w:ascii="仿宋_GB2312" w:hAnsi="仿宋_GB2312" w:cs="仿宋_GB2312" w:eastAsia="仿宋_GB2312"/>
                <w:sz w:val="28"/>
              </w:rPr>
              <w:t>3.支持对采购人核心资产进行安全评估，全面梳理包括漏洞、弱口令、潜伏威胁、安全事件、攻击行为、失陷主机、互联网暴露面等安全现状。</w:t>
            </w:r>
          </w:p>
          <w:p>
            <w:pPr>
              <w:pStyle w:val="null3"/>
              <w:ind w:firstLine="560"/>
              <w:jc w:val="both"/>
            </w:pPr>
            <w:r>
              <w:rPr>
                <w:rFonts w:ascii="仿宋_GB2312" w:hAnsi="仿宋_GB2312" w:cs="仿宋_GB2312" w:eastAsia="仿宋_GB2312"/>
                <w:sz w:val="28"/>
              </w:rPr>
              <w:t>▲4.供应商在服务期内需提供≥12次针对服务内资产的系统脆弱性和Web漏洞全量扫描，验证漏洞发生的风险及分析发生后可能造成的危害，并提供详细的举证信息及可落地建议，支持对服务范围内发现的每一个高危可利用漏洞自动化匹配防护规则，并且防护率≥99%（提供服务承诺函并加盖投标人公章）。</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5.供应商需按照以下服务指标和要求为采购人提供服务（提供服务水平承诺函并加盖投标人公章）：</w:t>
            </w:r>
          </w:p>
          <w:p>
            <w:pPr>
              <w:pStyle w:val="null3"/>
              <w:ind w:firstLine="560"/>
              <w:jc w:val="both"/>
            </w:pPr>
            <w:r>
              <w:rPr>
                <w:rFonts w:ascii="仿宋_GB2312" w:hAnsi="仿宋_GB2312" w:cs="仿宋_GB2312" w:eastAsia="仿宋_GB2312"/>
                <w:sz w:val="28"/>
              </w:rPr>
              <w:t>(1)从安全日志产生到事件通告，重大安全事件通告时间≤30分钟，一般事件的通告时间≤1小时；（其中重大事件是指攻击入侵成功后，可能导致业务系统中断、敏感数据泄露，影响正常业务工作开展；一般事件是指服务资产存在的普通安全事件）</w:t>
            </w:r>
          </w:p>
          <w:p>
            <w:pPr>
              <w:pStyle w:val="null3"/>
              <w:ind w:firstLine="560"/>
              <w:jc w:val="both"/>
            </w:pPr>
            <w:r>
              <w:rPr>
                <w:rFonts w:ascii="仿宋_GB2312" w:hAnsi="仿宋_GB2312" w:cs="仿宋_GB2312" w:eastAsia="仿宋_GB2312"/>
                <w:sz w:val="28"/>
              </w:rPr>
              <w:t>(2)高级威胁的处置完成时间≤1小时，一般威胁的处置完成时间≤4小时；（其中高级威胁是指勒索攻击、0day漏洞、APT的持续性攻击，一般威胁是指对服务内资产构成潜在风险的各种因素）</w:t>
            </w:r>
          </w:p>
          <w:p>
            <w:pPr>
              <w:pStyle w:val="null3"/>
              <w:ind w:firstLine="560"/>
              <w:jc w:val="both"/>
            </w:pPr>
            <w:r>
              <w:rPr>
                <w:rFonts w:ascii="仿宋_GB2312" w:hAnsi="仿宋_GB2312" w:cs="仿宋_GB2312" w:eastAsia="仿宋_GB2312"/>
                <w:sz w:val="28"/>
              </w:rPr>
              <w:t>(3)安全事件经过服务人员的确认后，通告给采购人的各类安全事件的准确率≥99%；</w:t>
            </w:r>
          </w:p>
          <w:p>
            <w:pPr>
              <w:pStyle w:val="null3"/>
              <w:ind w:firstLine="560"/>
              <w:jc w:val="both"/>
            </w:pPr>
            <w:r>
              <w:rPr>
                <w:rFonts w:ascii="仿宋_GB2312" w:hAnsi="仿宋_GB2312" w:cs="仿宋_GB2312" w:eastAsia="仿宋_GB2312"/>
                <w:sz w:val="28"/>
              </w:rPr>
              <w:t>(4)服务范围内的所有安全事件的闭环处置比例达到100%；</w:t>
            </w:r>
          </w:p>
          <w:p>
            <w:pPr>
              <w:pStyle w:val="null3"/>
              <w:ind w:firstLine="560"/>
              <w:jc w:val="both"/>
            </w:pPr>
            <w:r>
              <w:rPr>
                <w:rFonts w:ascii="仿宋_GB2312" w:hAnsi="仿宋_GB2312" w:cs="仿宋_GB2312" w:eastAsia="仿宋_GB2312"/>
                <w:sz w:val="28"/>
              </w:rPr>
              <w:t>(5)应当满足重大事故应启动应急响应机制，工作时间15分钟之内服务团队进行响应，非工作时间30分钟之内服务团队进行响应，2小时内上门处置；</w:t>
            </w:r>
          </w:p>
          <w:p>
            <w:pPr>
              <w:pStyle w:val="null3"/>
              <w:ind w:firstLine="560"/>
              <w:jc w:val="both"/>
            </w:pPr>
            <w:r>
              <w:rPr>
                <w:rFonts w:ascii="仿宋_GB2312" w:hAnsi="仿宋_GB2312" w:cs="仿宋_GB2312" w:eastAsia="仿宋_GB2312"/>
                <w:sz w:val="28"/>
              </w:rPr>
              <w:t>(6)对服务范围内发现的每一个高危可利用漏洞提供防护规则，并且承诺防护率≥99%。</w:t>
            </w:r>
          </w:p>
          <w:p>
            <w:pPr>
              <w:pStyle w:val="null3"/>
              <w:ind w:firstLine="560"/>
              <w:jc w:val="both"/>
            </w:pPr>
            <w:r>
              <w:rPr>
                <w:rFonts w:ascii="仿宋_GB2312" w:hAnsi="仿宋_GB2312" w:cs="仿宋_GB2312" w:eastAsia="仿宋_GB2312"/>
                <w:sz w:val="28"/>
              </w:rPr>
              <w:t>▲6.供应商需在服务期内提供信息安全相关报告，要求包括但不限于：</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1）《漏洞清单》&amp;《漏洞举证报告》，报告频率，每月一次</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2）《威胁情报通告》，报告频率：按需触发，不限次数</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3）《安全运营周报》，报告频率，每周一次</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4）《安全运营月报》，报告频率，每月一次</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5）《安全运营季度报告》，报告频率，每季度一次</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6）《安全运营年度报告》，报告频率，每年一次</w:t>
            </w:r>
          </w:p>
          <w:p>
            <w:pPr>
              <w:pStyle w:val="null3"/>
              <w:ind w:firstLine="560"/>
              <w:jc w:val="both"/>
            </w:pPr>
            <w:r>
              <w:rPr>
                <w:rFonts w:ascii="仿宋_GB2312" w:hAnsi="仿宋_GB2312" w:cs="仿宋_GB2312" w:eastAsia="仿宋_GB2312"/>
                <w:sz w:val="28"/>
              </w:rPr>
              <w:t>7.支持提供服务成果展示门户，具备服务质量可视化展示，主要包括（1）脆弱性的闭环率、平均响应时长及平均闭环时长；（2）威胁闭环率、平均响应时长及威胁平均闭环时长；（3）事件闭环率、平均闭环时长等。</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8.供应商提供安全服务平台应支持与采购人现有安全组件包括态势感知平台（深信服 SIP-1000-F800）、终端安全管理软件平台（深信服 EDR）通过API接口进行联动对接，支持实时接收并检测平台采集到的安全事件信息、安全日志及流量数据，通过7*24小时持续安全运营，针对安全事件、异常访问、高级威胁等进行安全检测和实时响应，实现100%的安全事件闭环处置（提供服务对接承诺函并加盖投标供应商公章）</w:t>
            </w:r>
          </w:p>
          <w:p>
            <w:pPr>
              <w:pStyle w:val="null3"/>
              <w:ind w:firstLine="560"/>
              <w:jc w:val="both"/>
            </w:pPr>
            <w:r>
              <w:rPr>
                <w:rFonts w:ascii="仿宋_GB2312" w:hAnsi="仿宋_GB2312" w:cs="仿宋_GB2312" w:eastAsia="仿宋_GB2312"/>
                <w:sz w:val="28"/>
              </w:rPr>
              <w:t>★9.支持终端安全管理服务，本次需针对采购人服务器端安全防护提供≥100套终端安全管理授权，同时需支持纳入采购人现有</w:t>
            </w:r>
            <w:r>
              <w:rPr>
                <w:rFonts w:ascii="仿宋_GB2312" w:hAnsi="仿宋_GB2312" w:cs="仿宋_GB2312" w:eastAsia="仿宋_GB2312"/>
                <w:sz w:val="28"/>
              </w:rPr>
              <w:t>终端安全管理平台（深信服</w:t>
            </w:r>
            <w:r>
              <w:rPr>
                <w:rFonts w:ascii="仿宋_GB2312" w:hAnsi="仿宋_GB2312" w:cs="仿宋_GB2312" w:eastAsia="仿宋_GB2312"/>
                <w:sz w:val="28"/>
              </w:rPr>
              <w:t>EDR）实现终端统一管理、统一威胁处置、统一漏洞修复、日志记录与查询功能</w:t>
            </w:r>
            <w:r>
              <w:rPr>
                <w:rFonts w:ascii="仿宋_GB2312" w:hAnsi="仿宋_GB2312" w:cs="仿宋_GB2312" w:eastAsia="仿宋_GB2312"/>
                <w:sz w:val="28"/>
              </w:rPr>
              <w:t>，所涉及费用已包含在本次采购项目整体费用中。（提供承诺函并加盖投标供应商公章）</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jc w:val="both"/>
              <w:outlineLvl w:val="3"/>
            </w:pPr>
            <w:r>
              <w:rPr>
                <w:rFonts w:ascii="仿宋_GB2312" w:hAnsi="仿宋_GB2312" w:cs="仿宋_GB2312" w:eastAsia="仿宋_GB2312"/>
                <w:sz w:val="28"/>
                <w:b/>
              </w:rPr>
              <w:t>（</w:t>
            </w:r>
            <w:r>
              <w:rPr>
                <w:rFonts w:ascii="仿宋_GB2312" w:hAnsi="仿宋_GB2312" w:cs="仿宋_GB2312" w:eastAsia="仿宋_GB2312"/>
                <w:sz w:val="28"/>
                <w:b/>
              </w:rPr>
              <w:t>一）采购标的数量、采购项目交付或者实施的时间和地点</w:t>
            </w:r>
          </w:p>
          <w:p>
            <w:pPr>
              <w:pStyle w:val="null3"/>
              <w:ind w:firstLine="560"/>
              <w:jc w:val="both"/>
            </w:pPr>
            <w:r>
              <w:rPr>
                <w:rFonts w:ascii="仿宋_GB2312" w:hAnsi="仿宋_GB2312" w:cs="仿宋_GB2312" w:eastAsia="仿宋_GB2312"/>
                <w:sz w:val="28"/>
              </w:rPr>
              <w:t>1.采购标的交付时间</w:t>
            </w:r>
          </w:p>
          <w:p>
            <w:pPr>
              <w:pStyle w:val="null3"/>
              <w:ind w:firstLine="560"/>
              <w:jc w:val="left"/>
            </w:pPr>
            <w:r>
              <w:rPr>
                <w:rFonts w:ascii="仿宋_GB2312" w:hAnsi="仿宋_GB2312" w:cs="仿宋_GB2312" w:eastAsia="仿宋_GB2312"/>
                <w:sz w:val="28"/>
                <w:color w:val="000000"/>
              </w:rPr>
              <w:t>采购标的</w:t>
            </w:r>
            <w:r>
              <w:rPr>
                <w:rFonts w:ascii="仿宋_GB2312" w:hAnsi="仿宋_GB2312" w:cs="仿宋_GB2312" w:eastAsia="仿宋_GB2312"/>
                <w:sz w:val="28"/>
                <w:color w:val="000000"/>
              </w:rPr>
              <w:t>服务期限</w:t>
            </w:r>
            <w:r>
              <w:rPr>
                <w:rFonts w:ascii="仿宋_GB2312" w:hAnsi="仿宋_GB2312" w:cs="仿宋_GB2312" w:eastAsia="仿宋_GB2312"/>
                <w:sz w:val="28"/>
                <w:color w:val="000000"/>
              </w:rPr>
              <w:t>为自合同签订之日起</w:t>
            </w:r>
            <w:r>
              <w:rPr>
                <w:rFonts w:ascii="仿宋_GB2312" w:hAnsi="仿宋_GB2312" w:cs="仿宋_GB2312" w:eastAsia="仿宋_GB2312"/>
                <w:sz w:val="28"/>
                <w:color w:val="000000"/>
              </w:rPr>
              <w:t>1年。在合同签订生效之日起3个月内，中标供应商需完成包括需求分析、业务确认、功能设计、数据对接、功能模块开发、系统相关报告撰写、配套设备安装、系统部署等工作；</w:t>
            </w:r>
            <w:r>
              <w:rPr>
                <w:rFonts w:ascii="仿宋_GB2312" w:hAnsi="仿宋_GB2312" w:cs="仿宋_GB2312" w:eastAsia="仿宋_GB2312"/>
                <w:sz w:val="28"/>
                <w:color w:val="000000"/>
              </w:rPr>
              <w:t>服务期限结束后的</w:t>
            </w:r>
            <w:r>
              <w:rPr>
                <w:rFonts w:ascii="仿宋_GB2312" w:hAnsi="仿宋_GB2312" w:cs="仿宋_GB2312" w:eastAsia="仿宋_GB2312"/>
                <w:sz w:val="28"/>
                <w:color w:val="000000"/>
              </w:rPr>
              <w:t>1个月内，经采购人书面确认，完成项目最终验收。</w:t>
            </w:r>
          </w:p>
          <w:p>
            <w:pPr>
              <w:pStyle w:val="null3"/>
              <w:ind w:firstLine="560"/>
              <w:jc w:val="both"/>
            </w:pPr>
            <w:r>
              <w:rPr>
                <w:rFonts w:ascii="仿宋_GB2312" w:hAnsi="仿宋_GB2312" w:cs="仿宋_GB2312" w:eastAsia="仿宋_GB2312"/>
                <w:sz w:val="28"/>
              </w:rPr>
              <w:t>2.交付地点：彭州市中医医院。</w:t>
            </w:r>
          </w:p>
          <w:p>
            <w:pPr>
              <w:pStyle w:val="null3"/>
              <w:ind w:firstLine="560"/>
              <w:jc w:val="both"/>
            </w:pPr>
            <w:r>
              <w:rPr>
                <w:rFonts w:ascii="仿宋_GB2312" w:hAnsi="仿宋_GB2312" w:cs="仿宋_GB2312" w:eastAsia="仿宋_GB2312"/>
                <w:sz w:val="28"/>
              </w:rPr>
              <w:t>3.付款方式</w:t>
            </w:r>
          </w:p>
          <w:p>
            <w:pPr>
              <w:pStyle w:val="null3"/>
              <w:ind w:firstLine="560"/>
              <w:jc w:val="both"/>
            </w:pPr>
            <w:r>
              <w:rPr>
                <w:rFonts w:ascii="仿宋_GB2312" w:hAnsi="仿宋_GB2312" w:cs="仿宋_GB2312" w:eastAsia="仿宋_GB2312"/>
                <w:sz w:val="28"/>
              </w:rPr>
              <w:t>合同签订后，采购人收到成交供应商提供与当次付款等额</w:t>
            </w:r>
            <w:r>
              <w:rPr>
                <w:rFonts w:ascii="仿宋_GB2312" w:hAnsi="仿宋_GB2312" w:cs="仿宋_GB2312" w:eastAsia="仿宋_GB2312"/>
                <w:sz w:val="28"/>
              </w:rPr>
              <w:t>完税合法发票</w:t>
            </w:r>
            <w:r>
              <w:rPr>
                <w:rFonts w:ascii="仿宋_GB2312" w:hAnsi="仿宋_GB2312" w:cs="仿宋_GB2312" w:eastAsia="仿宋_GB2312"/>
                <w:sz w:val="28"/>
              </w:rPr>
              <w:t>之日起</w:t>
            </w:r>
            <w:r>
              <w:rPr>
                <w:rFonts w:ascii="仿宋_GB2312" w:hAnsi="仿宋_GB2312" w:cs="仿宋_GB2312" w:eastAsia="仿宋_GB2312"/>
                <w:sz w:val="28"/>
              </w:rPr>
              <w:t>10个工作日内预付合同价的40%；成交供应商完成全部系统建设内容，</w:t>
            </w:r>
            <w:r>
              <w:rPr>
                <w:rFonts w:ascii="仿宋_GB2312" w:hAnsi="仿宋_GB2312" w:cs="仿宋_GB2312" w:eastAsia="仿宋_GB2312"/>
                <w:sz w:val="28"/>
              </w:rPr>
              <w:t>服务期满后</w:t>
            </w:r>
            <w:r>
              <w:rPr>
                <w:rFonts w:ascii="仿宋_GB2312" w:hAnsi="仿宋_GB2312" w:cs="仿宋_GB2312" w:eastAsia="仿宋_GB2312"/>
                <w:sz w:val="28"/>
              </w:rPr>
              <w:t>经采购人最终验收合格，能够稳定运行，且采购人收到成交供应商提供的与当次付款等额</w:t>
            </w:r>
            <w:r>
              <w:rPr>
                <w:rFonts w:ascii="仿宋_GB2312" w:hAnsi="仿宋_GB2312" w:cs="仿宋_GB2312" w:eastAsia="仿宋_GB2312"/>
                <w:sz w:val="28"/>
              </w:rPr>
              <w:t>完税合法发票</w:t>
            </w:r>
            <w:r>
              <w:rPr>
                <w:rFonts w:ascii="仿宋_GB2312" w:hAnsi="仿宋_GB2312" w:cs="仿宋_GB2312" w:eastAsia="仿宋_GB2312"/>
                <w:sz w:val="28"/>
              </w:rPr>
              <w:t>之日起</w:t>
            </w:r>
            <w:r>
              <w:rPr>
                <w:rFonts w:ascii="仿宋_GB2312" w:hAnsi="仿宋_GB2312" w:cs="仿宋_GB2312" w:eastAsia="仿宋_GB2312"/>
                <w:sz w:val="28"/>
              </w:rPr>
              <w:t>10个工作日内支付合同总价的60%。</w:t>
            </w:r>
          </w:p>
          <w:p>
            <w:pPr>
              <w:pStyle w:val="null3"/>
              <w:jc w:val="both"/>
              <w:outlineLvl w:val="4"/>
            </w:pPr>
            <w:r>
              <w:rPr>
                <w:rFonts w:ascii="仿宋_GB2312" w:hAnsi="仿宋_GB2312" w:cs="仿宋_GB2312" w:eastAsia="仿宋_GB2312"/>
                <w:sz w:val="28"/>
                <w:b/>
              </w:rPr>
              <w:t>（</w:t>
            </w:r>
            <w:r>
              <w:rPr>
                <w:rFonts w:ascii="仿宋_GB2312" w:hAnsi="仿宋_GB2312" w:cs="仿宋_GB2312" w:eastAsia="仿宋_GB2312"/>
                <w:sz w:val="28"/>
                <w:b/>
              </w:rPr>
              <w:t>二）采购标的的验收标准</w:t>
            </w:r>
          </w:p>
          <w:p>
            <w:pPr>
              <w:pStyle w:val="null3"/>
              <w:ind w:firstLine="560"/>
              <w:jc w:val="both"/>
            </w:pPr>
            <w:r>
              <w:rPr>
                <w:rFonts w:ascii="仿宋_GB2312" w:hAnsi="仿宋_GB2312" w:cs="仿宋_GB2312" w:eastAsia="仿宋_GB2312"/>
                <w:sz w:val="28"/>
              </w:rPr>
              <w:t>1.验收标准</w:t>
            </w:r>
          </w:p>
          <w:p>
            <w:pPr>
              <w:pStyle w:val="null3"/>
              <w:ind w:firstLine="560"/>
              <w:jc w:val="left"/>
            </w:pPr>
            <w:r>
              <w:rPr>
                <w:rFonts w:ascii="仿宋_GB2312" w:hAnsi="仿宋_GB2312" w:cs="仿宋_GB2312" w:eastAsia="仿宋_GB2312"/>
                <w:sz w:val="28"/>
              </w:rPr>
              <w:t>严格按照本项目《竞争性磋商文件》技术参数及要求，《财政部关于进一步加强政府采购需求和履约验收管理的指导意见》（财库〔</w:t>
            </w:r>
            <w:r>
              <w:rPr>
                <w:rFonts w:ascii="仿宋_GB2312" w:hAnsi="仿宋_GB2312" w:cs="仿宋_GB2312" w:eastAsia="仿宋_GB2312"/>
                <w:sz w:val="28"/>
              </w:rPr>
              <w:t>2016〕205号）的要求进行验收。</w:t>
            </w:r>
          </w:p>
          <w:p>
            <w:pPr>
              <w:pStyle w:val="null3"/>
              <w:ind w:firstLine="560"/>
              <w:jc w:val="left"/>
            </w:pPr>
            <w:r>
              <w:rPr>
                <w:rFonts w:ascii="仿宋_GB2312" w:hAnsi="仿宋_GB2312" w:cs="仿宋_GB2312" w:eastAsia="仿宋_GB2312"/>
                <w:sz w:val="28"/>
              </w:rPr>
              <w:t>2.验收时间：</w:t>
            </w:r>
            <w:r>
              <w:rPr>
                <w:rFonts w:ascii="仿宋_GB2312" w:hAnsi="仿宋_GB2312" w:cs="仿宋_GB2312" w:eastAsia="仿宋_GB2312"/>
                <w:sz w:val="28"/>
              </w:rPr>
              <w:t>服务期满后，</w:t>
            </w:r>
            <w:r>
              <w:rPr>
                <w:rFonts w:ascii="仿宋_GB2312" w:hAnsi="仿宋_GB2312" w:cs="仿宋_GB2312" w:eastAsia="仿宋_GB2312"/>
                <w:sz w:val="28"/>
              </w:rPr>
              <w:t>成交供应商在满足验收条件后</w:t>
            </w:r>
            <w:r>
              <w:rPr>
                <w:rFonts w:ascii="仿宋_GB2312" w:hAnsi="仿宋_GB2312" w:cs="仿宋_GB2312" w:eastAsia="仿宋_GB2312"/>
                <w:sz w:val="28"/>
              </w:rPr>
              <w:t>3日内书面通知采购人组织验收，采购人收到申请后5个工作日内进行验收。需达到本项目《竞争性磋商文件》所有技术要求和商务要求，</w:t>
            </w:r>
            <w:r>
              <w:rPr>
                <w:rFonts w:ascii="仿宋_GB2312" w:hAnsi="仿宋_GB2312" w:cs="仿宋_GB2312" w:eastAsia="仿宋_GB2312"/>
                <w:sz w:val="28"/>
              </w:rPr>
              <w:t>项目整体运行良好</w:t>
            </w:r>
            <w:r>
              <w:rPr>
                <w:rFonts w:ascii="仿宋_GB2312" w:hAnsi="仿宋_GB2312" w:cs="仿宋_GB2312" w:eastAsia="仿宋_GB2312"/>
                <w:sz w:val="28"/>
              </w:rPr>
              <w:t>，提交本项目所有软件文档资料。</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3）质保期</w:t>
            </w:r>
          </w:p>
          <w:p>
            <w:pPr>
              <w:pStyle w:val="null3"/>
              <w:ind w:firstLine="560"/>
              <w:jc w:val="both"/>
            </w:pPr>
            <w:r>
              <w:rPr>
                <w:rFonts w:ascii="仿宋_GB2312" w:hAnsi="仿宋_GB2312" w:cs="仿宋_GB2312" w:eastAsia="仿宋_GB2312"/>
                <w:sz w:val="28"/>
              </w:rPr>
              <w:t>本次采购服务自成交供应商完成配套硬件设备</w:t>
            </w:r>
            <w:r>
              <w:rPr>
                <w:rFonts w:ascii="仿宋_GB2312" w:hAnsi="仿宋_GB2312" w:cs="仿宋_GB2312" w:eastAsia="仿宋_GB2312"/>
                <w:sz w:val="28"/>
              </w:rPr>
              <w:t>（包括网络准入控制设备、零信任安全网关设备、运维审计设备和数据库审计设备）</w:t>
            </w:r>
            <w:r>
              <w:rPr>
                <w:rFonts w:ascii="仿宋_GB2312" w:hAnsi="仿宋_GB2312" w:cs="仿宋_GB2312" w:eastAsia="仿宋_GB2312"/>
                <w:sz w:val="28"/>
              </w:rPr>
              <w:t>的安装之日起，提供</w:t>
            </w:r>
            <w:r>
              <w:rPr>
                <w:rFonts w:ascii="仿宋_GB2312" w:hAnsi="仿宋_GB2312" w:cs="仿宋_GB2312" w:eastAsia="仿宋_GB2312"/>
                <w:sz w:val="28"/>
              </w:rPr>
              <w:t>≥1年的</w:t>
            </w:r>
            <w:r>
              <w:rPr>
                <w:rFonts w:ascii="仿宋_GB2312" w:hAnsi="仿宋_GB2312" w:cs="仿宋_GB2312" w:eastAsia="仿宋_GB2312"/>
                <w:sz w:val="28"/>
              </w:rPr>
              <w:t>配套</w:t>
            </w:r>
            <w:r>
              <w:rPr>
                <w:rFonts w:ascii="仿宋_GB2312" w:hAnsi="仿宋_GB2312" w:cs="仿宋_GB2312" w:eastAsia="仿宋_GB2312"/>
                <w:sz w:val="28"/>
              </w:rPr>
              <w:t>软件升级以及</w:t>
            </w:r>
            <w:r>
              <w:rPr>
                <w:rFonts w:ascii="仿宋_GB2312" w:hAnsi="仿宋_GB2312" w:cs="仿宋_GB2312" w:eastAsia="仿宋_GB2312"/>
                <w:sz w:val="28"/>
              </w:rPr>
              <w:t>URL&amp;应用识别规则库升级服务，</w:t>
            </w:r>
            <w:r>
              <w:rPr>
                <w:rFonts w:ascii="仿宋_GB2312" w:hAnsi="仿宋_GB2312" w:cs="仿宋_GB2312" w:eastAsia="仿宋_GB2312"/>
                <w:sz w:val="28"/>
              </w:rPr>
              <w:t>提供</w:t>
            </w:r>
            <w:r>
              <w:rPr>
                <w:rFonts w:ascii="仿宋_GB2312" w:hAnsi="仿宋_GB2312" w:cs="仿宋_GB2312" w:eastAsia="仿宋_GB2312"/>
                <w:sz w:val="28"/>
              </w:rPr>
              <w:t>≥3年的硬件质保服务。</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4）售后服务</w:t>
            </w:r>
          </w:p>
          <w:p>
            <w:pPr>
              <w:pStyle w:val="null3"/>
              <w:ind w:firstLine="560"/>
              <w:jc w:val="both"/>
            </w:pPr>
            <w:r>
              <w:rPr>
                <w:rFonts w:ascii="仿宋_GB2312" w:hAnsi="仿宋_GB2312" w:cs="仿宋_GB2312" w:eastAsia="仿宋_GB2312"/>
                <w:sz w:val="28"/>
              </w:rPr>
              <w:t>1.成交供应商应按采购人通知时间到达现场按采购人要求组织安装、调试，达到正常运行要求，保证采购人正常使用。</w:t>
            </w:r>
          </w:p>
          <w:p>
            <w:pPr>
              <w:pStyle w:val="null3"/>
              <w:ind w:firstLine="560"/>
              <w:jc w:val="both"/>
            </w:pPr>
            <w:r>
              <w:rPr>
                <w:rFonts w:ascii="仿宋_GB2312" w:hAnsi="仿宋_GB2312" w:cs="仿宋_GB2312" w:eastAsia="仿宋_GB2312"/>
                <w:sz w:val="28"/>
              </w:rPr>
              <w:t>2.成交供应商应就产品的安装、调试、操作、维修、保养等对采购人维修技术人员进行培训。直至采购人的技术人员能独立操作，同时能完成一般常见故障的维修工作。</w:t>
            </w:r>
          </w:p>
          <w:p>
            <w:pPr>
              <w:pStyle w:val="null3"/>
              <w:ind w:firstLine="560"/>
              <w:jc w:val="both"/>
            </w:pPr>
            <w:r>
              <w:rPr>
                <w:rFonts w:ascii="仿宋_GB2312" w:hAnsi="仿宋_GB2312" w:cs="仿宋_GB2312" w:eastAsia="仿宋_GB2312"/>
                <w:sz w:val="28"/>
              </w:rPr>
              <w:t>3.采购人在验收时，对成交供应商提供的产品的性能和技术指标进行逐一测试,若发现虚假响应,采购人将按照相关法律法规追究成交供应商责任，并严格按照政府采购法有关规定执行。</w:t>
            </w:r>
          </w:p>
          <w:p>
            <w:pPr>
              <w:pStyle w:val="null3"/>
              <w:ind w:firstLine="560"/>
              <w:jc w:val="both"/>
            </w:pPr>
            <w:r>
              <w:rPr>
                <w:rFonts w:ascii="仿宋_GB2312" w:hAnsi="仿宋_GB2312" w:cs="仿宋_GB2312" w:eastAsia="仿宋_GB2312"/>
                <w:sz w:val="28"/>
              </w:rPr>
              <w:t>4.若供应商在实施过程中需要与第三方厂家进行接口对接数据交换，实施过程中所产生的所有费用均由供应商独立承担；</w:t>
            </w:r>
          </w:p>
          <w:p>
            <w:pPr>
              <w:pStyle w:val="null3"/>
              <w:ind w:firstLine="560"/>
              <w:jc w:val="both"/>
            </w:pPr>
            <w:r>
              <w:rPr>
                <w:rFonts w:ascii="仿宋_GB2312" w:hAnsi="仿宋_GB2312" w:cs="仿宋_GB2312" w:eastAsia="仿宋_GB2312"/>
                <w:sz w:val="28"/>
              </w:rPr>
              <w:t>5.供应商承诺成交后在接到采购人报修后的2小时技术响应，24小时内到现场，供应商设置的售后服务机构须派人到达现场处理。设备安装完毕，由成交供应商负责对工程师和操作人员进行现场培训和指导，直至其掌握该设备的操作流程及基本维护方法。</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365</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彭州市中医医院采购人指定地点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1.采购标的交付时间 采购标的服务期限为自合同签订之日起1年。在合同签订生效之日起3个月内，中标供应商需完成包括需求分析、业务确认、功能设计、数据对接、功能模块开发、系统相关报告撰写、配套设备安装、系统部署等工作；服务期限结束后的1个月内，经采购人书面确认，完成项目最终验收。 2.交付地点：彭州市中医医院。 3.采购标的的验收标准 （1）验收标准 严格按照本项目《竞争性磋商文件》技术参数及要求，《财政部关于进一步加强政府采购需求和履约验收管理的指导意见》（财库〔2016〕205号）的要求进行验收。 （2）.验收时间：服务期满后，成交供应商在满足验收条件后3日内书面通知采购人组织验收，采购人收到申请后5个工作日内进行验收。需达到本项目《竞争性磋商文件》所有技术要求和商务要求，项目整体运行良好，提交本项目所有软件文档资料。</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1、合同签订后，采购人收到成交供应商提供与当次付款等额完税合法发票之日起10个工作日或，达到付款条件起15日内，支付合同总金额的40.00%</w:t>
            </w:r>
          </w:p>
          <w:p>
            <w:pPr>
              <w:pStyle w:val="null3"/>
              <w:jc w:val="left"/>
            </w:pPr>
            <w:r>
              <w:rPr>
                <w:rFonts w:ascii="仿宋_GB2312" w:hAnsi="仿宋_GB2312" w:cs="仿宋_GB2312" w:eastAsia="仿宋_GB2312"/>
              </w:rPr>
              <w:t>2、成交供应商完成全部系统建设内容，服务期满后经采购人最终验收合格，能够稳定运行，且采购人收到成交供应商提供的与当次付款等额完税合法发票之日起10个工作日或，达到付款条件起15日内，支付合同总金额的60.00%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1.甲方违约责任 （1）甲方逾期向乙方支付资金的，每逾期一日，甲方应以逾期金额为基数，按合同订立时1年期贷款市场报价利率向乙方支付违约金。逾期付款超过60天的，乙方有权终止合同。 2.乙方违约责任 （1）乙方提供的服务或交付的项目成果不符合合同约定的，乙方应向甲方支付合同总价10%的违约金，并且甲方有权要求乙方须在合同约定的交付时间内提供服务、交付符合国家相关要求的项目成果给甲方，否则，视作乙方不能交付成果而违约，按本条本款下述第“（2）”项规定由乙方偿付违约金给甲方。 （2）乙方不能按时提供服务、交付成果或逾期交付成果而违约的，除应及时提供服务、交付成果外，应向甲方偿付合同总价的万分之五/天的违约金。逾期交付超过60天，甲方有权终止合同，乙方则应按合同总价的10%的款额向甲方偿付违约金，并须全额退还甲方已经付给乙方的合同款及其利息（利息标准按照一年期LPR利率，自应退合同款之日起计算至合同款全部退还日止）。 （3）乙方提供的服务或成果经甲方送交具有法定资格条件的质量技术监督机构检测后，如检测结果认定服务或成果质量不符合本合同约定标准的，则视为乙方交付成果不符合合同约定而违约，乙方须在30天内无条件更换合格的服务或成果，如逾期不能更换合格的服务或成果，甲方有权终止本合同，乙方应全额退还甲方已经付给乙方的合同款及其利息（利息标准为：按照一年期LPR利率，自应退合同款之日起计算至合同款全部退还日止），除此之外，乙方应另付合同总价的10%的违约金给甲方。 （4）乙方保证本合同服务及成果的权利无瑕疵，包括服务、成果所有权及知识产权等权利无瑕疵。如任何第三方经法院（或仲裁机构或其他有权机关）裁决有权对上述服务或成果主张权利或国家机关依法对服务或成果进行没收查处的，乙方除应向甲方返还全部已收款项外，还应另按合同总价的10%向甲方支付违约金并赔偿因此给甲方造成的一切损失。 （5）乙方不得以任何形式对本合同或其任何一部分进行分包、转包，否则乙方应支付甲方合同总价的10%的违约金，且甲方有权解除本合同。因乙方分包、转包给甲方造成损失或导致甲方承担先行或连带赔偿责任的，甲方有权向乙方或其他责任方追偿，乙方应就其他责任方责任向甲方承担连带清偿义务。 （6）乙方在履行本合同过程中违约但合同最终继续履行的或虽未继续履行但仍存在甲方需向乙方支付费用的情形，对于乙方应承担的违约金、赔偿金及其他相关费用，甲方均有权在应当支付给乙方的费用中直接扣除，不足部分，乙方还应负责补足。 （7）项目验收完成后乙方未按甲方及合同要求进行售后响应，乙方应支付甲方合同总价1%/次的违约金并承担甲方所遭受的一切损失；且甲方有权代为处理，相关费用在应付未付款项中进行扣除。如累计达3次的，甲方有权解除本合同，乙方应向甲方退还已收取的全部费用，并承担合同总价10%的违约金。 （8）系统使用过程中的故障经乙方处理后未达到合同约定的质量标准的，乙方承担由此造成的一切后果；若同一故障经乙方处理三次仍未达到合同约定的质量标准，乙方应支付甲方的违约金并负责解释、继续解决问题，且甲方有权解除本合同并要求乙方返还全部已收款项。 （9）乙方违反本合同但本合同未约定违约金或约定了违约金但乙方偿付的违约金不足以弥补甲方损失的，还应按甲方损失尚未弥补的部分，支付赔偿金给甲方。 3.本合同所称的因违约行为给对方造成的“损失”的范围包括但不限于守约方遭受的直接经济损失、间接损失、可预期损失以及守约方为解决争议、实现权利支出的各项费用（包括但不限于差旅费、律师费、保全保函费、诉讼费、公证费、保全保险费）、他人索赔的费用、守约方承担的先行赔偿责任、连带赔偿责任或其他法律责任等。 二、解决合同纠纷的方式 在执行本合同中发生的或与本合同有关的争端，双方应向甲方住所地有管辖权人民法院提起诉讼。（以上甲方为采购人、乙方为中标人）</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3.4.1：（1）供应商应针对本项目提供实施方案（①网络安全分析②项目进度安排③风险评估④应急处理措施）、售后服务方案（①售后服务保障措施②维护保养计划③远程和现场响应机制④售后服务承诺）、培训方案（①培训目的②培训计划③培训方式④培训内容及培训流程）。 （2）供应商需为本项目进行人员配置、需具备履约能力； （3）提供供应商自2023年1月1日（含）以来（递交响应文件截止时间）类似项目业绩。★3.4.2特别说明：因系统模板固化原因，本项目商务要求以本章3.3.1.服务内容要求为准，原3.3.2.商务要求无须响应。3.4.3本项目涉及与采购人现有安全组件包括态势感知平台（深信服 SIP-1000-F800）、终端安全管理软件平台（深信服 EDR）联动对接，接口文档详见磋商文件附件-深信服态势感知接口文档和磋商文件附件-深信服EDR接口文档（接口文档内容无需单独响应）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“3.2.技术要求”中全部内容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“拟签订采购合同文本”中全部内容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（1）投标人需在使用投标(响应)客户端编制投标文件时，按要求填写《投标（响应）函》完成承诺并进行电子签章。 （2）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注：提供影印件。以上各项具有同等效力，可根据自身实际任选一项提供</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“第三章-技术、服务及其他要求”中的实质性要求。</w:t>
            </w:r>
          </w:p>
        </w:tc>
        <w:tc>
          <w:tcPr>
            <w:tcW w:type="dxa" w:w="3322"/>
          </w:tcPr>
          <w:p>
            <w:pPr>
              <w:pStyle w:val="null3"/>
              <w:jc w:val="left"/>
            </w:pPr>
            <w:r>
              <w:rPr>
                <w:rFonts w:ascii="仿宋_GB2312" w:hAnsi="仿宋_GB2312" w:cs="仿宋_GB2312" w:eastAsia="仿宋_GB2312"/>
              </w:rPr>
              <w:t>针对“第三章-技术、服务要求及其他要求”中的实质性要求，需要供应商单独提供材料进行响应的，供应商提供应答表并按照该章具体要求上传相应的证明材料。</w:t>
            </w:r>
          </w:p>
        </w:tc>
        <w:tc>
          <w:tcPr>
            <w:tcW w:type="dxa" w:w="1661"/>
          </w:tcPr>
          <w:p>
            <w:pPr>
              <w:pStyle w:val="null3"/>
              <w:jc w:val="left"/>
            </w:pPr>
            <w:r>
              <w:rPr>
                <w:rFonts w:ascii="仿宋_GB2312" w:hAnsi="仿宋_GB2312" w:cs="仿宋_GB2312" w:eastAsia="仿宋_GB2312"/>
              </w:rPr>
              <w:t>响应文件封面,资格审查相关证明材料.docx,商务要求应答表-1.docx,供应商应提交的相关证明材料,投标（响应）函,技术要求应答表.docx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法定代表人/单位负责人授权书</w:t>
            </w:r>
          </w:p>
        </w:tc>
        <w:tc>
          <w:tcPr>
            <w:tcW w:type="dxa" w:w="3322"/>
          </w:tcPr>
          <w:p>
            <w:pPr>
              <w:pStyle w:val="null3"/>
              <w:jc w:val="left"/>
            </w:pPr>
            <w:r>
              <w:rPr>
                <w:rFonts w:ascii="仿宋_GB2312" w:hAnsi="仿宋_GB2312" w:cs="仿宋_GB2312" w:eastAsia="仿宋_GB2312"/>
              </w:rPr>
              <w:t>投标人需按照格式填写法定代表人/单位负责人授权书并按要求提供证明材料。</w:t>
            </w:r>
          </w:p>
        </w:tc>
        <w:tc>
          <w:tcPr>
            <w:tcW w:type="dxa" w:w="1661"/>
          </w:tcPr>
          <w:p>
            <w:pPr>
              <w:pStyle w:val="null3"/>
              <w:jc w:val="left"/>
            </w:pPr>
            <w:r>
              <w:rPr>
                <w:rFonts w:ascii="仿宋_GB2312" w:hAnsi="仿宋_GB2312" w:cs="仿宋_GB2312" w:eastAsia="仿宋_GB2312"/>
              </w:rPr>
              <w:t>法定代表人单位负责人授权书.docx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技术指标和配置</w:t>
            </w:r>
          </w:p>
        </w:tc>
        <w:tc>
          <w:tcPr>
            <w:tcW w:type="dxa" w:w="2575"/>
          </w:tcPr>
          <w:p>
            <w:pPr>
              <w:pStyle w:val="null3"/>
              <w:jc w:val="left"/>
            </w:pPr>
            <w:r>
              <w:rPr>
                <w:rFonts w:ascii="仿宋_GB2312" w:hAnsi="仿宋_GB2312" w:cs="仿宋_GB2312" w:eastAsia="仿宋_GB2312"/>
              </w:rPr>
              <w:t>供应商针对磋商文件3.2“技术要求”条款的响应得分为A+B： A.一般条款响应得分=（供应商满足一般条款的数量÷一般条款的总数量共30条）×30分。 B.“▲”条款响应得分=（供应商满足“▲”条款的数量÷“▲”条款的总数量共10条）×15分。 注：①“★”条款是本项目的实质性要求，供应商未全部满足的按照无效投标处理，不再用于打分。②一般条款为未标注“★”和“▲”的条款。③针对技术、服务要求条款的响应，如果招标文件第六章“技术、服务要求”条款中对佐证材料有要求的应按要求提供，否则对应条款将视为不满足。</w:t>
            </w:r>
          </w:p>
        </w:tc>
        <w:tc>
          <w:tcPr>
            <w:tcW w:type="dxa" w:w="831"/>
          </w:tcPr>
          <w:p>
            <w:pPr>
              <w:pStyle w:val="null3"/>
              <w:jc w:val="center"/>
            </w:pPr>
            <w:r>
              <w:rPr>
                <w:rFonts w:ascii="仿宋_GB2312" w:hAnsi="仿宋_GB2312" w:cs="仿宋_GB2312" w:eastAsia="仿宋_GB2312"/>
              </w:rPr>
              <w:t>45.0000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技术要求应答表.docx</w:t>
            </w:r>
          </w:p>
        </w:tc>
      </w:tr>
      <w:tr>
        <w:tc>
          <w:tcPr>
            <w:tcW w:type="dxa" w:w="831"/>
            <w:vMerge/>
          </w:tcPr>
          <w:p/>
        </w:tc>
        <w:tc>
          <w:tcPr>
            <w:tcW w:type="dxa" w:w="1661"/>
          </w:tcPr>
          <w:p>
            <w:pPr>
              <w:pStyle w:val="null3"/>
              <w:jc w:val="left"/>
            </w:pPr>
            <w:r>
              <w:rPr>
                <w:rFonts w:ascii="仿宋_GB2312" w:hAnsi="仿宋_GB2312" w:cs="仿宋_GB2312" w:eastAsia="仿宋_GB2312"/>
              </w:rPr>
              <w:t>供应商信誉及综合实力</w:t>
            </w:r>
          </w:p>
        </w:tc>
        <w:tc>
          <w:tcPr>
            <w:tcW w:type="dxa" w:w="2575"/>
          </w:tcPr>
          <w:p>
            <w:pPr>
              <w:pStyle w:val="null3"/>
              <w:jc w:val="left"/>
            </w:pPr>
            <w:r>
              <w:rPr>
                <w:rFonts w:ascii="仿宋_GB2312" w:hAnsi="仿宋_GB2312" w:cs="仿宋_GB2312" w:eastAsia="仿宋_GB2312"/>
              </w:rPr>
              <w:t>1、为保证本次信息网络安全整改服务中实现对业务系统账号安全及账号爆破等攻击行为的有效防护、检测与实时响应，要求服务提供厂商或供应商具有国家版权局颁发的账号安全保护类相关软件著作权证书，提供证书得1.5分，本项最多得1.5分，未提供不得分。（提供相关软件著作权证书复印件并加盖投标投标人公章） 2、项目管理人员：本次服务配备的项目经理具备①信息系统项目管理师高级(人力资源和社会保障部、工业和信息化部颁发)、②中级信息安全工程师(人力资源和社会保障部、工业和信息化部颁发)、③CISP-CISO(注册信息安全管理人员)中的任意1种得0.5分，可累加，本项最多得1.5分。 3、技术服务人员：本次拟派服务人员①具备中国网络安全审查技术与认证中心颁发的“信息安全保障人员认证证书”，②具备中国信息安全测评中心颁发的“注册信息安全工程师（CISP-CISE）”，每提供一类证书得1分，最高得2分，一人多证不重复计分，不响应不得分。</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对供应商项目实施方案，内容包括：①网络安全分析②项目进度安排③风险评估④应急处理措施；上述内容满分得6分，每有一项缺项扣1.5分，每有一处内容存在不足的扣0.75分，每项最多扣1.5分，6分扣完为止。不足是指：方案内容脱离项目背景、项目需求以及行业或市场客观事实；涉及的政策规范及标准对本项目不适用；方案技术环节存在漏缺项、内容交叉混乱、缺乏重点、套用错用其他项目内容；仅有标题或框架缺乏具体说明阐述等以上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供应商提供完善的售后服务方案，内容包括：①售后服务保障措施②维护保养计划③远程和现场响应机制④售后服务承诺；上述内容满分得6分，每有一项缺项扣1.5分，每有一处内容存在不足的扣0.75分，每项最多扣1.5分，6分扣完为止。不足是指：方案内容脱离项目背景、项目需求以及行业或市场客观事实；涉及的政策规范及标准对本项目不适用；方案技术环节存在漏缺项、内容交叉混乱、缺乏重点、套用错用其他项目内容；仅有标题或框架缺乏具体说明阐述等以上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培训方案</w:t>
            </w:r>
          </w:p>
        </w:tc>
        <w:tc>
          <w:tcPr>
            <w:tcW w:type="dxa" w:w="2575"/>
          </w:tcPr>
          <w:p>
            <w:pPr>
              <w:pStyle w:val="null3"/>
              <w:jc w:val="left"/>
            </w:pPr>
            <w:r>
              <w:rPr>
                <w:rFonts w:ascii="仿宋_GB2312" w:hAnsi="仿宋_GB2312" w:cs="仿宋_GB2312" w:eastAsia="仿宋_GB2312"/>
              </w:rPr>
              <w:t>根据供应商提供的培训方案，内容包括：①培训目的②培训计划③培训方式④培训内容及培训流程。上述内容满分得4分，每有一项缺项扣1分，每有一处内容存在不足的扣0.5分，每项最多扣1分，4分扣完为止。不足是指：方案内容脱离项目背景、项目需求以及行业或市场客观事实；涉及的政策规范及标准对本项目不适用；方案技术环节存在漏缺项、内容交叉混乱、缺乏重点、套用错用其他项目内容；仅有标题或框架缺乏具体说明阐述等以上任意一种情形。</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供应商提供自2023年1月1日（含）以来（递交响应文件截止时间）类似项目业绩，每提供1个得1份，本项最高得4分。 注：提供成交（中标）通知书或合同复印件并加盖供应商公章。提供合同的以合同签订时间为准；提供成交（中标）通知书的以成交（中标）通知书发出时间为准。</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详见附件：法定代表人单位负责人授权书.docx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详见附件：商务要求应答表-1.docx</w:t>
      </w:r>
    </w:p>
    <w:p>
      <w:pPr>
        <w:pStyle w:val="null3"/>
        <w:ind w:firstLine="960"/>
        <w:jc w:val="left"/>
      </w:pPr>
      <w:r>
        <w:rPr>
          <w:rFonts w:ascii="仿宋_GB2312" w:hAnsi="仿宋_GB2312" w:cs="仿宋_GB2312" w:eastAsia="仿宋_GB2312"/>
        </w:rPr>
        <w:t>详见附件：资格审查相关证明材料.docx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详见附件：3.30合同-信息网络安全整改采购项目.docx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