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版本号：N511823202600004820260427001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中央公共文化建设服务体系资金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N5118232026000048</w:t>
      </w:r>
    </w:p>
    <w:p>
      <w:pPr>
        <w:pStyle w:val="null3"/>
        <w:jc w:val="center"/>
        <w:outlineLvl w:val="2"/>
      </w:pPr>
      <w:r>
        <w:rPr>
          <w:rFonts w:ascii="仿宋_GB2312" w:hAnsi="仿宋_GB2312" w:cs="仿宋_GB2312" w:eastAsia="仿宋_GB2312"/>
          <w:sz w:val="28"/>
          <w:b/>
        </w:rPr>
        <w:t>中国共产党汉源县委员会宣传部</w:t>
      </w:r>
    </w:p>
    <w:p>
      <w:pPr>
        <w:pStyle w:val="null3"/>
        <w:jc w:val="center"/>
        <w:outlineLvl w:val="2"/>
      </w:pPr>
      <w:r>
        <w:rPr>
          <w:rFonts w:ascii="仿宋_GB2312" w:hAnsi="仿宋_GB2312" w:cs="仿宋_GB2312" w:eastAsia="仿宋_GB2312"/>
          <w:sz w:val="28"/>
          <w:b/>
        </w:rPr>
        <w:t>四川丰和工程管理有限公司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四川丰和工程管理有限公司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中国共产党汉源县委员会宣传部</w:t>
      </w:r>
      <w:r>
        <w:rPr>
          <w:rFonts w:ascii="仿宋_GB2312" w:hAnsi="仿宋_GB2312" w:cs="仿宋_GB2312" w:eastAsia="仿宋_GB2312"/>
        </w:rPr>
        <w:t xml:space="preserve"> 委托，拟对 </w:t>
      </w:r>
      <w:r>
        <w:rPr>
          <w:rFonts w:ascii="仿宋_GB2312" w:hAnsi="仿宋_GB2312" w:cs="仿宋_GB2312" w:eastAsia="仿宋_GB2312"/>
        </w:rPr>
        <w:t>中央公共文化建设服务体系资金</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雅安市汉源县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N5118232026000048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中央公共文化建设服务体系资金</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本项目为中央公共文化建设服务体系资金项目。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1、供应商须具有电影放映经营许可证；（描述：供应商须具有电影放映经营许可证；）</w:t>
      </w:r>
    </w:p>
    <w:p>
      <w:pPr>
        <w:pStyle w:val="null3"/>
        <w:jc w:val="left"/>
      </w:pPr>
      <w:r>
        <w:rPr>
          <w:rFonts w:ascii="仿宋_GB2312" w:hAnsi="仿宋_GB2312" w:cs="仿宋_GB2312" w:eastAsia="仿宋_GB2312"/>
        </w:rPr>
        <w:t>2、供应商具有在省级电影行政主管部门备案的农村数字电影院线公司资质证明材料（描述：供应商具有在省级电影行政主管部门备案的农村数字电影院线公司资质证明材料）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中国共产党汉源县委员会宣传部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四川省雅安市汉源县富林镇富林大道二段130号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13881435305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四川丰和工程管理有限公司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中国（四川）自由贸易试验区成都高新区益州大道中段722号3栋1单元21楼2104号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028-86033211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采购包1：548,460.00元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代理服务费收费标准：1、本项目代理服务费按成本加合理利润原则收取，代理服务费为8226元。 2、收款单位：四川丰和工程管理有限公司西南分公司。 开 户 行：中国银行雅安雨城区支行。 银行账号：130737176102。</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中国共产党汉源县委员会宣传部</w:t>
      </w:r>
      <w:r>
        <w:rPr>
          <w:rFonts w:ascii="仿宋_GB2312" w:hAnsi="仿宋_GB2312" w:cs="仿宋_GB2312" w:eastAsia="仿宋_GB2312"/>
        </w:rPr>
        <w:t xml:space="preserve"> 和 </w:t>
      </w:r>
      <w:r>
        <w:rPr>
          <w:rFonts w:ascii="仿宋_GB2312" w:hAnsi="仿宋_GB2312" w:cs="仿宋_GB2312" w:eastAsia="仿宋_GB2312"/>
        </w:rPr>
        <w:t>四川丰和工程管理有限公司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中国共产党汉源县委员会宣传部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四川丰和工程管理有限公司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供应商提出验收申请之日起5日内组织验收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以及采购文件的质量要求和技术指标、乙方的响应文件及承诺与本合同约定标准进行验收；甲乙双方如对质量要求和技术指标的约定标准有相互抵触或异议的事项，由甲方在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以及采购文件的质量要求和技术指标、乙方的响应文件及承诺与本合同约定标准进行验收；甲乙双方如对质量要求和技术指标的约定标准有相互抵触或异议的事项，由甲方在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以及采购文件的质量要求和技术指标、乙方的响应文件及承诺与本合同约定标准进行验收；甲乙双方如对质量要求和技术指标的约定标准有相互抵触或异议的事项，由甲方在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按照《财政部关于进一步加强政府采购需求和履约验收管理的指导意见》（财库﹝2016﹞205号）以及项目相关的质量要求和技术指标、成交供应商的响应文件及承诺与本合同约定标准的要求进行验收。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中国共产党汉源县委员会宣传部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四川丰和工程管理有限公司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四川丰和工程管理有限公司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联系电话：13881435305</w:t>
      </w:r>
    </w:p>
    <w:p>
      <w:pPr>
        <w:pStyle w:val="null3"/>
        <w:jc w:val="left"/>
      </w:pPr>
      <w:r>
        <w:rPr>
          <w:rFonts w:ascii="仿宋_GB2312" w:hAnsi="仿宋_GB2312" w:cs="仿宋_GB2312" w:eastAsia="仿宋_GB2312"/>
        </w:rPr>
        <w:t>地址：四川省雅安市汉源县富林镇富林大道二段130号</w:t>
      </w:r>
    </w:p>
    <w:p>
      <w:pPr>
        <w:pStyle w:val="null3"/>
        <w:jc w:val="left"/>
      </w:pPr>
      <w:r>
        <w:rPr>
          <w:rFonts w:ascii="仿宋_GB2312" w:hAnsi="仿宋_GB2312" w:cs="仿宋_GB2312" w:eastAsia="仿宋_GB2312"/>
        </w:rPr>
        <w:t>邮编：625300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联系人：章女士</w:t>
      </w:r>
    </w:p>
    <w:p>
      <w:pPr>
        <w:pStyle w:val="null3"/>
        <w:jc w:val="left"/>
      </w:pPr>
      <w:r>
        <w:rPr>
          <w:rFonts w:ascii="仿宋_GB2312" w:hAnsi="仿宋_GB2312" w:cs="仿宋_GB2312" w:eastAsia="仿宋_GB2312"/>
        </w:rPr>
        <w:t>联系电话：19940535657</w:t>
      </w:r>
    </w:p>
    <w:p>
      <w:pPr>
        <w:pStyle w:val="null3"/>
        <w:jc w:val="left"/>
      </w:pPr>
      <w:r>
        <w:rPr>
          <w:rFonts w:ascii="仿宋_GB2312" w:hAnsi="仿宋_GB2312" w:cs="仿宋_GB2312" w:eastAsia="仿宋_GB2312"/>
        </w:rPr>
        <w:t>地址：中国（四川）自由贸易试验区成都高新区益州大道中段宇洲酒店21楼2104号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548,460.00</w:t>
      </w:r>
    </w:p>
    <w:p>
      <w:pPr>
        <w:pStyle w:val="null3"/>
        <w:jc w:val="left"/>
      </w:pPr>
      <w:r>
        <w:rPr>
          <w:rFonts w:ascii="仿宋_GB2312" w:hAnsi="仿宋_GB2312" w:cs="仿宋_GB2312" w:eastAsia="仿宋_GB2312"/>
        </w:rPr>
        <w:t>采购包最高限价（元）: 548,460.00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C06020300 电影服务</w:t>
            </w:r>
          </w:p>
        </w:tc>
        <w:tc>
          <w:tcPr>
            <w:tcW w:type="dxa" w:w="821"/>
          </w:tcPr>
          <w:p>
            <w:pPr>
              <w:pStyle w:val="null3"/>
              <w:jc w:val="left"/>
            </w:pPr>
            <w:r>
              <w:rPr>
                <w:rFonts w:ascii="仿宋_GB2312" w:hAnsi="仿宋_GB2312" w:cs="仿宋_GB2312" w:eastAsia="仿宋_GB2312"/>
              </w:rPr>
              <w:t>中央公共文化建设服务体系资金</w:t>
            </w:r>
          </w:p>
        </w:tc>
        <w:tc>
          <w:tcPr>
            <w:tcW w:type="dxa" w:w="821"/>
          </w:tcPr>
          <w:p>
            <w:pPr>
              <w:pStyle w:val="null3"/>
              <w:jc w:val="right"/>
            </w:pPr>
            <w:r>
              <w:rPr>
                <w:rFonts w:ascii="仿宋_GB2312" w:hAnsi="仿宋_GB2312" w:cs="仿宋_GB2312" w:eastAsia="仿宋_GB2312"/>
              </w:rPr>
              <w:t>2,493.00（场）</w:t>
            </w:r>
          </w:p>
        </w:tc>
        <w:tc>
          <w:tcPr>
            <w:tcW w:type="dxa" w:w="821"/>
          </w:tcPr>
          <w:p>
            <w:pPr>
              <w:pStyle w:val="null3"/>
              <w:jc w:val="right"/>
            </w:pPr>
            <w:r>
              <w:rPr>
                <w:rFonts w:ascii="仿宋_GB2312" w:hAnsi="仿宋_GB2312" w:cs="仿宋_GB2312" w:eastAsia="仿宋_GB2312"/>
              </w:rPr>
              <w:t>548,460.00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中央公共文化建设服务体系资金</w:t>
            </w:r>
          </w:p>
        </w:tc>
        <w:tc>
          <w:tcPr>
            <w:tcW w:type="dxa" w:w="1138"/>
          </w:tcPr>
          <w:p>
            <w:pPr>
              <w:pStyle w:val="null3"/>
              <w:jc w:val="center"/>
            </w:pPr>
            <w:r>
              <w:rPr>
                <w:rFonts w:ascii="仿宋_GB2312" w:hAnsi="仿宋_GB2312" w:cs="仿宋_GB2312" w:eastAsia="仿宋_GB2312"/>
              </w:rPr>
              <w:t>2,493.00（场）</w:t>
            </w:r>
          </w:p>
        </w:tc>
        <w:tc>
          <w:tcPr>
            <w:tcW w:type="dxa" w:w="1365"/>
          </w:tcPr>
          <w:p>
            <w:pPr>
              <w:pStyle w:val="null3"/>
              <w:jc w:val="center"/>
            </w:pPr>
            <w:r>
              <w:rPr>
                <w:rFonts w:ascii="仿宋_GB2312" w:hAnsi="仿宋_GB2312" w:cs="仿宋_GB2312" w:eastAsia="仿宋_GB2312"/>
              </w:rPr>
              <w:t>548,460.00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标的名称：中央公共文化建设服务体系资金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一、项目概述</w:t>
            </w:r>
          </w:p>
        </w:tc>
        <w:tc>
          <w:tcPr>
            <w:tcW w:type="dxa" w:w="5814"/>
          </w:tcPr>
          <w:p>
            <w:pPr>
              <w:pStyle w:val="null3"/>
              <w:jc w:val="left"/>
            </w:pPr>
            <w:r>
              <w:rPr>
                <w:rFonts w:ascii="仿宋_GB2312" w:hAnsi="仿宋_GB2312" w:cs="仿宋_GB2312" w:eastAsia="仿宋_GB2312"/>
                <w:sz w:val="24"/>
              </w:rPr>
              <w:t>本项目为中央公共文化建设服务体系资金项目。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二、服务内容</w:t>
            </w:r>
          </w:p>
        </w:tc>
        <w:tc>
          <w:tcPr>
            <w:tcW w:type="dxa" w:w="5814"/>
          </w:tcPr>
          <w:p>
            <w:pPr>
              <w:pStyle w:val="null3"/>
              <w:ind w:firstLine="482"/>
              <w:jc w:val="both"/>
            </w:pPr>
            <w:r>
              <w:rPr>
                <w:rFonts w:ascii="仿宋_GB2312" w:hAnsi="仿宋_GB2312" w:cs="仿宋_GB2312" w:eastAsia="仿宋_GB2312"/>
                <w:sz w:val="24"/>
                <w:b/>
              </w:rPr>
              <w:t>1、服务要求</w:t>
            </w:r>
          </w:p>
          <w:p>
            <w:pPr>
              <w:pStyle w:val="null3"/>
              <w:ind w:firstLine="480"/>
              <w:jc w:val="both"/>
            </w:pPr>
            <w:r>
              <w:rPr>
                <w:rFonts w:ascii="仿宋_GB2312" w:hAnsi="仿宋_GB2312" w:cs="仿宋_GB2312" w:eastAsia="仿宋_GB2312"/>
                <w:sz w:val="24"/>
              </w:rPr>
              <w:t>1.按照《四川省财政厅、中共四川省委宣传部、四川省文化和旅游厅、四川省广播电视局、四川省体育局、四川省文物局关于印发（四川省公共文化服务体系建设专项资金管理办法）的通知》（川财教〔2020〕109 号)要求，2026年农村电影公益放映场次共计2448场，</w:t>
            </w:r>
            <w:r>
              <w:rPr>
                <w:rFonts w:ascii="仿宋_GB2312" w:hAnsi="仿宋_GB2312" w:cs="仿宋_GB2312" w:eastAsia="仿宋_GB2312"/>
                <w:sz w:val="24"/>
              </w:rPr>
              <w:t>桃源村电影院45场，共计2493场，每场单价不得超过220元（含节目费）。如在履行本项目合同</w:t>
            </w:r>
            <w:r>
              <w:rPr>
                <w:rFonts w:ascii="仿宋_GB2312" w:hAnsi="仿宋_GB2312" w:cs="仿宋_GB2312" w:eastAsia="仿宋_GB2312"/>
                <w:sz w:val="24"/>
              </w:rPr>
              <w:t>过程中放映场次有调整，根据当年下达的文件进行调整，严格按照相关标准预算执行年度场次补贴资金。</w:t>
            </w:r>
          </w:p>
          <w:p>
            <w:pPr>
              <w:pStyle w:val="null3"/>
              <w:ind w:firstLine="480"/>
              <w:jc w:val="both"/>
            </w:pPr>
            <w:r>
              <w:rPr>
                <w:rFonts w:ascii="仿宋_GB2312" w:hAnsi="仿宋_GB2312" w:cs="仿宋_GB2312" w:eastAsia="仿宋_GB2312"/>
                <w:sz w:val="24"/>
              </w:rPr>
              <w:t>2.一场的标准为：科教片</w:t>
            </w:r>
            <w:r>
              <w:rPr>
                <w:rFonts w:ascii="仿宋_GB2312" w:hAnsi="仿宋_GB2312" w:cs="仿宋_GB2312" w:eastAsia="仿宋_GB2312"/>
                <w:sz w:val="24"/>
              </w:rPr>
              <w:t>或故事片</w:t>
            </w:r>
            <w:r>
              <w:rPr>
                <w:rFonts w:ascii="仿宋_GB2312" w:hAnsi="仿宋_GB2312" w:cs="仿宋_GB2312" w:eastAsia="仿宋_GB2312"/>
                <w:sz w:val="24"/>
              </w:rPr>
              <w:t>（均为1小时及以上）。</w:t>
            </w:r>
          </w:p>
          <w:p>
            <w:pPr>
              <w:pStyle w:val="null3"/>
              <w:ind w:firstLine="482"/>
              <w:jc w:val="both"/>
            </w:pPr>
            <w:r>
              <w:rPr>
                <w:rFonts w:ascii="仿宋_GB2312" w:hAnsi="仿宋_GB2312" w:cs="仿宋_GB2312" w:eastAsia="仿宋_GB2312"/>
                <w:sz w:val="24"/>
                <w:b/>
              </w:rPr>
              <w:t>2、放映服务要求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供应商须开展农村公益电影放映实时监控工作，与电影公共服务运营和管理省级数据专区互联互通。</w:t>
            </w:r>
          </w:p>
          <w:p>
            <w:pPr>
              <w:pStyle w:val="null3"/>
              <w:ind w:firstLine="480"/>
              <w:jc w:val="both"/>
            </w:pPr>
            <w:r>
              <w:rPr>
                <w:rFonts w:ascii="仿宋_GB2312" w:hAnsi="仿宋_GB2312" w:cs="仿宋_GB2312" w:eastAsia="仿宋_GB2312"/>
                <w:sz w:val="24"/>
              </w:rPr>
              <w:t>2.建立电影放映公示制度，加强映前宣传和现场宣传活动，充分运用微信群、QQ群和固定宣传板(栏)等形式，特别要注重运用村(社)广播，广泛宣传放映片名、时间和地点，使群众广为知晓、积极观影。</w:t>
            </w:r>
          </w:p>
          <w:p>
            <w:pPr>
              <w:pStyle w:val="null3"/>
              <w:ind w:firstLine="480"/>
              <w:jc w:val="both"/>
            </w:pPr>
            <w:r>
              <w:rPr>
                <w:rFonts w:ascii="仿宋_GB2312" w:hAnsi="仿宋_GB2312" w:cs="仿宋_GB2312" w:eastAsia="仿宋_GB2312"/>
                <w:sz w:val="24"/>
              </w:rPr>
              <w:t>3.完善片源选购机制，以群众满意为第一标准，不断完善预约选片机制，建立适合群众习惯的“菜单式”选片方式，充分依托放映员准确收集意见，切实做到供给精准化，所放影片受到群众欢迎。</w:t>
            </w:r>
          </w:p>
          <w:p>
            <w:pPr>
              <w:pStyle w:val="null3"/>
              <w:ind w:firstLine="480"/>
              <w:jc w:val="both"/>
            </w:pPr>
            <w:r>
              <w:rPr>
                <w:rFonts w:ascii="仿宋_GB2312" w:hAnsi="仿宋_GB2312" w:cs="仿宋_GB2312" w:eastAsia="仿宋_GB2312"/>
                <w:sz w:val="24"/>
              </w:rPr>
              <w:t>4.成立专项工作机构，主要负责放映计划、放映实施进度搜集归档、放映数据统计、放映人员和设备安排以及放映安全等工作。</w:t>
            </w:r>
          </w:p>
          <w:p>
            <w:pPr>
              <w:pStyle w:val="null3"/>
              <w:ind w:firstLine="480"/>
              <w:jc w:val="both"/>
            </w:pPr>
            <w:r>
              <w:rPr>
                <w:rFonts w:ascii="仿宋_GB2312" w:hAnsi="仿宋_GB2312" w:cs="仿宋_GB2312" w:eastAsia="仿宋_GB2312"/>
                <w:sz w:val="24"/>
              </w:rPr>
              <w:t>5.放映衔接组织，根据放映计划，电影放映前，放映人员提前与计划放映村的负责人联系，根据行政村实际情况，协调安排落实好放映时间、地点、场地、影片、组织观影等具体工作。</w:t>
            </w:r>
          </w:p>
          <w:p>
            <w:pPr>
              <w:pStyle w:val="null3"/>
              <w:ind w:firstLine="480"/>
              <w:jc w:val="both"/>
            </w:pPr>
            <w:r>
              <w:rPr>
                <w:rFonts w:ascii="仿宋_GB2312" w:hAnsi="仿宋_GB2312" w:cs="仿宋_GB2312" w:eastAsia="仿宋_GB2312"/>
                <w:sz w:val="24"/>
              </w:rPr>
              <w:t>6.放映过程中，放映员不得擅自离开放映岗位，确保放映影像明亮、音质清晰、放映设备安全，协助放映村的负责人做好现场安保工作。</w:t>
            </w:r>
          </w:p>
          <w:p>
            <w:pPr>
              <w:pStyle w:val="null3"/>
              <w:ind w:firstLine="480"/>
              <w:jc w:val="both"/>
            </w:pPr>
            <w:r>
              <w:rPr>
                <w:rFonts w:ascii="仿宋_GB2312" w:hAnsi="仿宋_GB2312" w:cs="仿宋_GB2312" w:eastAsia="仿宋_GB2312"/>
                <w:sz w:val="24"/>
              </w:rPr>
              <w:t>7.提升放映质量，制定完善《放映管理制度》《设备使用管理规定》《放映考核实施细则》等，加强放映员培训和设备管养，对影片放映数量和质量严格把关，确保既定目标任务安全有序完成。</w:t>
            </w:r>
          </w:p>
          <w:p>
            <w:pPr>
              <w:pStyle w:val="null3"/>
              <w:ind w:firstLine="480"/>
              <w:jc w:val="both"/>
            </w:pPr>
            <w:r>
              <w:rPr>
                <w:rFonts w:ascii="仿宋_GB2312" w:hAnsi="仿宋_GB2312" w:cs="仿宋_GB2312" w:eastAsia="仿宋_GB2312"/>
                <w:sz w:val="24"/>
              </w:rPr>
              <w:t>8.每月3日，将上月放映情况及累计放映情况统计上报给釆购人，每年年底提供每个行政村真实有效的放映场次佐证材料，确保农村公益电影放映按照釆购人要求有序的开展。</w:t>
            </w:r>
          </w:p>
          <w:p>
            <w:pPr>
              <w:pStyle w:val="null3"/>
              <w:ind w:firstLine="480"/>
              <w:jc w:val="both"/>
            </w:pPr>
            <w:r>
              <w:rPr>
                <w:rFonts w:ascii="仿宋_GB2312" w:hAnsi="仿宋_GB2312" w:cs="仿宋_GB2312" w:eastAsia="仿宋_GB2312"/>
                <w:sz w:val="24"/>
              </w:rPr>
              <w:t>9. 建立存档备案制度，每场放映完成后，需填写《雅安市农村公益电影放映登记表》，写明放映时间、地点、场地、影片名称，放映员、村负责人同时签章。交由行政村所在乡镇签章确认，按月将登记表汇总报县委宣传部审核签章，统一整理装订成册存档。</w:t>
            </w:r>
          </w:p>
          <w:p>
            <w:pPr>
              <w:pStyle w:val="null3"/>
              <w:ind w:firstLine="482"/>
              <w:jc w:val="both"/>
            </w:pPr>
            <w:r>
              <w:rPr>
                <w:rFonts w:ascii="仿宋_GB2312" w:hAnsi="仿宋_GB2312" w:cs="仿宋_GB2312" w:eastAsia="仿宋_GB2312"/>
                <w:sz w:val="24"/>
                <w:b/>
              </w:rPr>
              <w:t>3、放映队伍要求</w:t>
            </w:r>
          </w:p>
          <w:p>
            <w:pPr>
              <w:pStyle w:val="null3"/>
              <w:ind w:firstLine="480"/>
              <w:jc w:val="both"/>
            </w:pPr>
            <w:r>
              <w:rPr>
                <w:rFonts w:ascii="仿宋_GB2312" w:hAnsi="仿宋_GB2312" w:cs="仿宋_GB2312" w:eastAsia="仿宋_GB2312"/>
                <w:sz w:val="24"/>
              </w:rPr>
              <w:t>1.在汉源县至少配备5名放映员、5套0.8K数字电影放映设备且能在中宣部节目管理中心登记购买节目。</w:t>
            </w:r>
          </w:p>
          <w:p>
            <w:pPr>
              <w:pStyle w:val="null3"/>
              <w:ind w:firstLine="480"/>
              <w:jc w:val="both"/>
            </w:pPr>
            <w:r>
              <w:rPr>
                <w:rFonts w:ascii="仿宋_GB2312" w:hAnsi="仿宋_GB2312" w:cs="仿宋_GB2312" w:eastAsia="仿宋_GB2312"/>
                <w:sz w:val="24"/>
              </w:rPr>
              <w:t>2.放映人员严格遵守数字电影放映操作规程，选择安全合适的放映场地，确保建筑物、消防、用电等安全，严防安全事故发生。</w:t>
            </w:r>
          </w:p>
          <w:p>
            <w:pPr>
              <w:pStyle w:val="null3"/>
              <w:ind w:firstLine="480"/>
              <w:jc w:val="both"/>
            </w:pPr>
            <w:r>
              <w:rPr>
                <w:rFonts w:ascii="仿宋_GB2312" w:hAnsi="仿宋_GB2312" w:cs="仿宋_GB2312" w:eastAsia="仿宋_GB2312"/>
                <w:sz w:val="24"/>
              </w:rPr>
              <w:t>3.应做好放映队、放映人员的各项管理工作。</w:t>
            </w:r>
          </w:p>
          <w:p>
            <w:pPr>
              <w:pStyle w:val="null3"/>
              <w:ind w:firstLine="482"/>
              <w:jc w:val="both"/>
            </w:pPr>
            <w:r>
              <w:rPr>
                <w:rFonts w:ascii="仿宋_GB2312" w:hAnsi="仿宋_GB2312" w:cs="仿宋_GB2312" w:eastAsia="仿宋_GB2312"/>
                <w:sz w:val="24"/>
                <w:b/>
              </w:rPr>
              <w:t>4、放映安全要求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rPr>
              <w:t>.成交供应商与所有放映人员签订安全放映协议书，明确落实安全放映的规范管理要求。</w:t>
            </w:r>
          </w:p>
          <w:p>
            <w:pPr>
              <w:pStyle w:val="null3"/>
              <w:ind w:firstLine="480"/>
              <w:jc w:val="both"/>
            </w:pPr>
            <w:r>
              <w:rPr>
                <w:rFonts w:ascii="仿宋_GB2312" w:hAnsi="仿宋_GB2312" w:cs="仿宋_GB2312" w:eastAsia="仿宋_GB2312"/>
                <w:sz w:val="24"/>
              </w:rPr>
              <w:t>2.放映设备应当集中进行专业检修维护，确保放映设备安全，避免放映过程中发生故障和技术责任事故。</w:t>
            </w:r>
          </w:p>
          <w:p>
            <w:pPr>
              <w:pStyle w:val="null3"/>
              <w:ind w:firstLine="480"/>
              <w:jc w:val="both"/>
            </w:pPr>
            <w:r>
              <w:rPr>
                <w:rFonts w:ascii="仿宋_GB2312" w:hAnsi="仿宋_GB2312" w:cs="仿宋_GB2312" w:eastAsia="仿宋_GB2312"/>
                <w:sz w:val="24"/>
              </w:rPr>
              <w:t>3.釆购人不定期抽查、巡查电影放映现场，检查放映员是否按照相关放映规范落实执行。</w:t>
            </w:r>
          </w:p>
          <w:p>
            <w:pPr>
              <w:pStyle w:val="null3"/>
              <w:ind w:firstLine="480"/>
              <w:jc w:val="both"/>
            </w:pPr>
            <w:r>
              <w:rPr>
                <w:rFonts w:ascii="仿宋_GB2312" w:hAnsi="仿宋_GB2312" w:cs="仿宋_GB2312" w:eastAsia="仿宋_GB2312"/>
                <w:sz w:val="24"/>
              </w:rPr>
              <w:t>4.电影放映主体自建的监控平台搭建和放映人员车旅、保险、安全责任、运输和其他一切费用由成交供应商自行承担。</w:t>
            </w:r>
          </w:p>
          <w:p>
            <w:pPr>
              <w:pStyle w:val="null3"/>
              <w:ind w:firstLine="480"/>
              <w:jc w:val="both"/>
            </w:pPr>
            <w:r>
              <w:rPr>
                <w:rFonts w:ascii="仿宋_GB2312" w:hAnsi="仿宋_GB2312" w:cs="仿宋_GB2312" w:eastAsia="仿宋_GB2312"/>
                <w:sz w:val="24"/>
              </w:rPr>
              <w:t>5.成交供应商须完成项目外临时加映的电影任务，其费用按中标单价据实结算。</w:t>
            </w:r>
          </w:p>
          <w:p>
            <w:pPr>
              <w:pStyle w:val="null3"/>
              <w:ind w:firstLine="480"/>
              <w:jc w:val="both"/>
            </w:pPr>
            <w:r>
              <w:rPr>
                <w:rFonts w:ascii="仿宋_GB2312" w:hAnsi="仿宋_GB2312" w:cs="仿宋_GB2312" w:eastAsia="仿宋_GB2312"/>
                <w:sz w:val="24"/>
              </w:rPr>
              <w:t>6.成交供应商须在服务期内结清放映员报酬。</w:t>
            </w:r>
          </w:p>
          <w:p>
            <w:pPr>
              <w:pStyle w:val="null3"/>
              <w:ind w:firstLine="480"/>
              <w:jc w:val="both"/>
            </w:pPr>
            <w:r>
              <w:rPr>
                <w:rFonts w:ascii="仿宋_GB2312" w:hAnsi="仿宋_GB2312" w:cs="仿宋_GB2312" w:eastAsia="仿宋_GB2312"/>
                <w:sz w:val="24"/>
              </w:rPr>
              <w:t>7.成交供应商要自觉接受各级电影主管部门的监督、管理，认真、规范对下属农村放映队（员）的管理，保质保量完成农村电影公益放映场次，加强对放映过程的质量控制，并按相关规定编制审核各类报表，不得偷报瞒报、弄虚作假。</w:t>
            </w:r>
          </w:p>
          <w:p>
            <w:pPr>
              <w:pStyle w:val="null3"/>
              <w:ind w:firstLine="482"/>
              <w:jc w:val="both"/>
            </w:pPr>
            <w:r>
              <w:rPr>
                <w:rFonts w:ascii="仿宋_GB2312" w:hAnsi="仿宋_GB2312" w:cs="仿宋_GB2312" w:eastAsia="仿宋_GB2312"/>
                <w:sz w:val="24"/>
              </w:rPr>
              <w:t>8.放映效果要求：观众满意度不能低于90%。具体执行标准待采购合同签订后，由釆购人与成交供应商进行商定。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三、其他要求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放映服务</w:t>
            </w:r>
            <w:r>
              <w:rPr>
                <w:rFonts w:ascii="仿宋_GB2312" w:hAnsi="仿宋_GB2312" w:cs="仿宋_GB2312" w:eastAsia="仿宋_GB2312"/>
                <w:sz w:val="24"/>
              </w:rPr>
              <w:t>：制定年度放映实施方案和月度放映计划，根据气候、农民群众观影需求等因素，合理安排放映时间及地点。稳步推进放映进度，全面保质保量完成当年农村公益电影放映任务；</w:t>
            </w:r>
          </w:p>
          <w:p>
            <w:pPr>
              <w:pStyle w:val="null3"/>
              <w:ind w:firstLine="480"/>
              <w:jc w:val="both"/>
            </w:pPr>
            <w:r>
              <w:rPr>
                <w:rFonts w:ascii="仿宋_GB2312" w:hAnsi="仿宋_GB2312" w:cs="仿宋_GB2312" w:eastAsia="仿宋_GB2312"/>
                <w:sz w:val="24"/>
              </w:rPr>
              <w:t>2.放映安全管理：成交供应商做好放映影片的控制管理，不得放映未取得电影公映许可证和来源不明的影片，放映主体作为影片放映工作的安全责任主体，要加强放映场地的安全管控，制定放映安全应急预案，妥善处理随时可能发生的安全事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知识产权</w:t>
            </w:r>
            <w:r>
              <w:rPr>
                <w:rFonts w:ascii="仿宋_GB2312" w:hAnsi="仿宋_GB2312" w:cs="仿宋_GB2312" w:eastAsia="仿宋_GB2312"/>
                <w:sz w:val="24"/>
              </w:rPr>
              <w:t>：</w:t>
            </w:r>
            <w:r>
              <w:rPr>
                <w:rFonts w:ascii="仿宋_GB2312" w:hAnsi="仿宋_GB2312" w:cs="仿宋_GB2312" w:eastAsia="仿宋_GB2312"/>
                <w:sz w:val="24"/>
              </w:rPr>
              <w:t>供应商在本项目使用任何产品和服务(包括部分使用)时，不会产生因第三方提出侵犯其专利权、商标权或其它知识产权而引起的法律和经济纠纷，如因专利权、商标权或其它知识产权而引起法律和经济纠纷，由供应商承担所有相关责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left"/>
            </w:pPr>
            <w:r>
              <w:rPr>
                <w:rFonts w:ascii="仿宋_GB2312" w:hAnsi="仿宋_GB2312" w:cs="仿宋_GB2312" w:eastAsia="仿宋_GB2312"/>
                <w:sz w:val="24"/>
              </w:rPr>
              <w:t>供应商应根据本项目特点编制相应的服务方案和应急预案，方案内容及要求详见评分细则要求，不提供或者不满足要求按照评分细则进行扣分。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2026年12月31日前完成所有工作。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验收标准：按照《财政部关于进一步加强政府采购需求和履约验收管理的指导意见》（财库﹝2016﹞205号）以及项目相关的质量要求和技术指标、成交供应商的响应文件及承诺与本合同约定标准的要求进行验收。 验收方法：1.供应商提出验收申请报告；2.采购人确认验收要求，确定验收时间、地点、参加人员等；3.供应商提出验收流程、验收计划，准备有关验收单据；4.双方共同核对采购文件的服务要求和技术指标、投标文件及承诺合同约定标准；5.如验收不通过，则提出理由及主要问题，采购人应做出详尽的现场记录，或由采购双方签署备忘录，此现场记录或备忘录可用作补充、缺失和整改的有效证据，由此产生的时间延误与有关费用由供应商承担，验收期限相应顺延，并由供应商在规定时间内整改；验收不合格且拒不整改的，将不予支付采购资金，采购人有权单方面解除合同，还可能上报本项目同级财政部门按照政府采购法律法规等有关规定给予行政处罚；6.供应商整改后，重新提出验收申请报告，重复以上各步。7.如验收通过，则整理相关文档资料，形成验收纪要，双方签署《验收报告》，供应商凭《验收报告》办理采购资金支付手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1、合同款，采购项目履约完成后，供应商向采购人出具合法有效完整的完税发票及凭证资料，达到付款条件起10日内，据实结算说明为根据实际放映情况据实结算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本违约责任： 1.成交供应商必须严格遵守并执行合同中的各项规定，保证采购合同的正常履行。 2.如因成交供应商在履行职务中疏忽、失职、过错等原因给采购人造成损失、侵害或由此导致的采购人对任何第三方的法律责任，成交供应商对此承担全部责任。 3.成交供应商支付的违约金不足以弥补采购人损失的，还应按采购人经济损失尚未弥补的部分，支付赔偿金给采购人，包括但不限于采购人本身的财产损失、采购人因维护权益产生的律师费、诉讼费、公证费、鉴定费、保全费、保全保险费等。 争议解决： 1.在解释或者执行本合同的过程中发生争议时，双方应通过协商方式解决。 2.经协商不能解决的争议，可提起诉讼。 3.在法院审理或仲裁期间，除有争议部分外，本合同其他部分可以履行的仍应按合同条款继续履行。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营业执照（正本或副本）或法人登记证（正本或副本）或其他能够证明供应商具有独立承担民事责任能力的相关证明材料复印件【注：①营业执照或法人登记证或其他证明材料载明有期限的，应在有效期限内；②在中华人民共和国境内注册。】</w:t>
            </w:r>
          </w:p>
        </w:tc>
        <w:tc>
          <w:tcPr>
            <w:tcW w:type="dxa" w:w="1661"/>
          </w:tcPr>
          <w:p>
            <w:pPr>
              <w:pStyle w:val="null3"/>
              <w:jc w:val="left"/>
            </w:pPr>
            <w:r>
              <w:rPr>
                <w:rFonts w:ascii="仿宋_GB2312" w:hAnsi="仿宋_GB2312" w:cs="仿宋_GB2312" w:eastAsia="仿宋_GB2312"/>
              </w:rPr>
              <w:t>响应文件封面,供应商需提供的营业执照复印件.docx,投标（响应）函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　提供2024年度或2025年度成交供应商内部的年度财务报表（至少提供资产负债表）； ②　提供2025年度或2025年度经审计的财务报告（包含审计报告和审计报告中所涉及的财务报表和报表附注）； ③　银行出具的资信证明。 ④　供应商工商注册时间截止至响应文件递交截止之日不足一年的，可提供加盖工商备案主管部门印章的公司章程复印件。 ⑤　供应商为事业单位或其他组织（不具备法人条件的组织，如合伙组织、个体工商户、农村承包经营户等）或自然人的，可提供承诺函。 ⑥ 提供具有健全的财务会计制度的承诺函； 注：以上①②③④⑤⑥项均具有同等效力，提供一项即可。以上材料均需进行电子签章。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供应商须具有电影放映经营许可证；</w:t>
            </w:r>
          </w:p>
        </w:tc>
        <w:tc>
          <w:tcPr>
            <w:tcW w:type="dxa" w:w="3322"/>
          </w:tcPr>
          <w:p>
            <w:pPr>
              <w:pStyle w:val="null3"/>
              <w:jc w:val="left"/>
            </w:pPr>
            <w:r>
              <w:rPr>
                <w:rFonts w:ascii="仿宋_GB2312" w:hAnsi="仿宋_GB2312" w:cs="仿宋_GB2312" w:eastAsia="仿宋_GB2312"/>
              </w:rPr>
              <w:t>供应商须具有电影放映经营许可证；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供应商具有在省级电影行政主管部门备案的农村数字电影院线公司资质证明材料</w:t>
            </w:r>
          </w:p>
        </w:tc>
        <w:tc>
          <w:tcPr>
            <w:tcW w:type="dxa" w:w="3322"/>
          </w:tcPr>
          <w:p>
            <w:pPr>
              <w:pStyle w:val="null3"/>
              <w:jc w:val="left"/>
            </w:pPr>
            <w:r>
              <w:rPr>
                <w:rFonts w:ascii="仿宋_GB2312" w:hAnsi="仿宋_GB2312" w:cs="仿宋_GB2312" w:eastAsia="仿宋_GB2312"/>
              </w:rPr>
              <w:t>供应商具有在省级电影行政主管部门备案的农村数字电影院线公司资质证明材料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其他符合性审查内容</w:t>
            </w:r>
          </w:p>
        </w:tc>
        <w:tc>
          <w:tcPr>
            <w:tcW w:type="dxa" w:w="3322"/>
          </w:tcPr>
          <w:p>
            <w:pPr>
              <w:pStyle w:val="null3"/>
              <w:jc w:val="left"/>
            </w:pPr>
            <w:r>
              <w:rPr>
                <w:rFonts w:ascii="仿宋_GB2312" w:hAnsi="仿宋_GB2312" w:cs="仿宋_GB2312" w:eastAsia="仿宋_GB2312"/>
              </w:rPr>
              <w:t>包含采购文件第三章带“★”在内的，其他符合性审查内容。</w:t>
            </w:r>
          </w:p>
        </w:tc>
        <w:tc>
          <w:tcPr>
            <w:tcW w:type="dxa" w:w="1661"/>
          </w:tcPr>
          <w:p>
            <w:pPr>
              <w:pStyle w:val="null3"/>
              <w:jc w:val="left"/>
            </w:pPr>
            <w:r>
              <w:rPr>
                <w:rFonts w:ascii="仿宋_GB2312" w:hAnsi="仿宋_GB2312" w:cs="仿宋_GB2312" w:eastAsia="仿宋_GB2312"/>
              </w:rPr>
              <w:t>报价明细表,服务应答表,报价表,商务应答表.docx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项目实施方案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供应商针对本项目服务方案进行综合评审：服务方案包含：①项目整体策划实施方案、②放映进度计划、③放映队伍安排布局规划、④放映人员培训方案、⑤放映质量保障措施、⑥放映宣传动员措施等，供应商提供方案包含以上6项内容得48分，每缺一项扣8分，每有一处具有缺陷（内容缺陷是指存在项目名称错误、地方区域错误、内容与本项目需求无关、方案内容矛盾或前后内容不连贯、仅有框架或标题、适用的标准(方法)错误明显复制其他项目内容等任意一种情形）的扣4分，扣完为止。 2、根据供应商针对本项目应急预案进行综合评审：应急预案包含：①防火预案及防范措施、②踩踏预案及防范措施、③用电安全预案及防范措施等。供应商提供方案包含以上3项内容得24分，每缺一项扣8分，每有一处具有缺陷（内容缺陷是指存在项目名称错误、地方区域错误、内容与本项目需求无关、方案内容矛盾或前后内容不连贯、仅有框架或标题、适用的标准(方法)错误明显复制其他项目内容等任意一种情形）的扣4分，扣完为止。</w:t>
            </w:r>
          </w:p>
        </w:tc>
        <w:tc>
          <w:tcPr>
            <w:tcW w:type="dxa" w:w="831"/>
          </w:tcPr>
          <w:p>
            <w:pPr>
              <w:pStyle w:val="null3"/>
              <w:jc w:val="center"/>
            </w:pPr>
            <w:r>
              <w:rPr>
                <w:rFonts w:ascii="仿宋_GB2312" w:hAnsi="仿宋_GB2312" w:cs="仿宋_GB2312" w:eastAsia="仿宋_GB2312"/>
              </w:rPr>
              <w:t>72.0000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类似项目案例</w:t>
            </w:r>
          </w:p>
        </w:tc>
        <w:tc>
          <w:tcPr>
            <w:tcW w:type="dxa" w:w="2575"/>
          </w:tcPr>
          <w:p>
            <w:pPr>
              <w:pStyle w:val="null3"/>
              <w:jc w:val="left"/>
            </w:pPr>
            <w:r>
              <w:rPr>
                <w:rFonts w:ascii="仿宋_GB2312" w:hAnsi="仿宋_GB2312" w:cs="仿宋_GB2312" w:eastAsia="仿宋_GB2312"/>
              </w:rPr>
              <w:t>供应商提供2023年1月1日以来类似项目业绩，每提供一个得2分，本项最多得8分。 注：提供中标（成交）通知书或合同复印件等相关证明材料。</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以满足采购文件要求且报价最低的供应商的价格为评审基准价，其价格分为满分。其他供应商的价格分统一按照下列公式计算：报价得分=(评审基准价／最终报价)×20%×100；</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详见附件：供应商需提供的营业执照复印件.docx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