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版本号：N513332202600004720260428001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石渠县2025年中央财政林业草原专项资金预算（第二批）森林修复项目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N5133322026000047</w:t>
      </w:r>
    </w:p>
    <w:p>
      <w:pPr>
        <w:pStyle w:val="null3"/>
        <w:jc w:val="center"/>
        <w:outlineLvl w:val="2"/>
      </w:pPr>
      <w:r>
        <w:rPr>
          <w:rFonts w:ascii="仿宋_GB2312" w:hAnsi="仿宋_GB2312" w:cs="仿宋_GB2312" w:eastAsia="仿宋_GB2312"/>
          <w:sz w:val="28"/>
          <w:b/>
        </w:rPr>
        <w:t>石渠县林业和草原局</w:t>
      </w:r>
    </w:p>
    <w:p>
      <w:pPr>
        <w:pStyle w:val="null3"/>
        <w:jc w:val="center"/>
        <w:outlineLvl w:val="2"/>
      </w:pPr>
      <w:r>
        <w:rPr>
          <w:rFonts w:ascii="仿宋_GB2312" w:hAnsi="仿宋_GB2312" w:cs="仿宋_GB2312" w:eastAsia="仿宋_GB2312"/>
          <w:sz w:val="28"/>
          <w:b/>
        </w:rPr>
        <w:t>四川久河工程技术有限公司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四川久河工程技术有限公司</w:t>
      </w:r>
      <w:r>
        <w:rPr>
          <w:rFonts w:ascii="仿宋_GB2312" w:hAnsi="仿宋_GB2312" w:cs="仿宋_GB2312" w:eastAsia="仿宋_GB2312"/>
        </w:rPr>
        <w:t xml:space="preserve"> （以下简称“代理机构”）受 </w:t>
      </w:r>
      <w:r>
        <w:rPr>
          <w:rFonts w:ascii="仿宋_GB2312" w:hAnsi="仿宋_GB2312" w:cs="仿宋_GB2312" w:eastAsia="仿宋_GB2312"/>
        </w:rPr>
        <w:t>石渠县林业和草原局</w:t>
      </w:r>
      <w:r>
        <w:rPr>
          <w:rFonts w:ascii="仿宋_GB2312" w:hAnsi="仿宋_GB2312" w:cs="仿宋_GB2312" w:eastAsia="仿宋_GB2312"/>
        </w:rPr>
        <w:t xml:space="preserve"> 委托，拟对 </w:t>
      </w:r>
      <w:r>
        <w:rPr>
          <w:rFonts w:ascii="仿宋_GB2312" w:hAnsi="仿宋_GB2312" w:cs="仿宋_GB2312" w:eastAsia="仿宋_GB2312"/>
        </w:rPr>
        <w:t>石渠县2025年中央财政林业草原专项资金预算（第二批）森林修复项目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甘孜藏族自治州石渠县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N5133322026000047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石渠县2025年中央财政林业草原专项资金预算（第二批）森林修复项目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本项目共一个包，为石渠县2025年中央财政林业草原专项资金预算（第二批）森林修复项目。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石渠县林业和草原局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石渠县尼呷镇金牛西街1号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曲扎老师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0836-8622167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四川久河工程技术有限公司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四川省成都市金牛区金周路595号4栋15楼1505-2号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028-60176405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采购包1：3,110,000.00元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代理服务费收费标准：本次招标代理服务费按照成本加合理利润的原则向（中标）成交供应商收取：34880.00元。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石渠县林业和草原局</w:t>
      </w:r>
      <w:r>
        <w:rPr>
          <w:rFonts w:ascii="仿宋_GB2312" w:hAnsi="仿宋_GB2312" w:cs="仿宋_GB2312" w:eastAsia="仿宋_GB2312"/>
        </w:rPr>
        <w:t xml:space="preserve"> 和 </w:t>
      </w:r>
      <w:r>
        <w:rPr>
          <w:rFonts w:ascii="仿宋_GB2312" w:hAnsi="仿宋_GB2312" w:cs="仿宋_GB2312" w:eastAsia="仿宋_GB2312"/>
        </w:rPr>
        <w:t>四川久河工程技术有限公司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石渠县林业和草原局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四川久河工程技术有限公司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（1）履约验收主体：采购人。 （2）履约验收方式：成交人提出验收申请后，由采购人自行组织验收，验收时采购人、成交人双方皆应派员参加。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采购文件的服务要求和技术指标、成交人的响应文件及承诺与合同约定标准进行技术条款逐项验收。验收时如发现服务要求和技术指标不符合标准及合同约定之情形者，采购人做出详尽的现场记录，或由双方签署备忘录，此现场记录或备忘录可用作补充、整改的有效证据，由此产生的时间延误与有关费用由成交人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按采购文件要求、成交人的响应文件及承诺、签订的合同、国家及行业相关规范标准进行商务条款逐条验收；如出现未在采购文件中明确规定的，以行业相关标准为准。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（1）验收相关事宜及法律责任：如出现成交人提供虚假材料谋取中标或达不到采购要求的，采购人有权拒绝验收，并按《中华人民共和国民法典》追究其相关法律责任。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石渠县林业和草原局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四川久河工程技术有限公司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四川久河工程技术有限公司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联系人：曲扎老师</w:t>
      </w:r>
    </w:p>
    <w:p>
      <w:pPr>
        <w:pStyle w:val="null3"/>
        <w:jc w:val="left"/>
      </w:pPr>
      <w:r>
        <w:rPr>
          <w:rFonts w:ascii="仿宋_GB2312" w:hAnsi="仿宋_GB2312" w:cs="仿宋_GB2312" w:eastAsia="仿宋_GB2312"/>
        </w:rPr>
        <w:t>联系电话：13808103148</w:t>
      </w:r>
    </w:p>
    <w:p>
      <w:pPr>
        <w:pStyle w:val="null3"/>
        <w:jc w:val="left"/>
      </w:pPr>
      <w:r>
        <w:rPr>
          <w:rFonts w:ascii="仿宋_GB2312" w:hAnsi="仿宋_GB2312" w:cs="仿宋_GB2312" w:eastAsia="仿宋_GB2312"/>
        </w:rPr>
        <w:t>地址：石渠县尼呷镇金牛西街1号</w:t>
      </w:r>
    </w:p>
    <w:p>
      <w:pPr>
        <w:pStyle w:val="null3"/>
        <w:jc w:val="left"/>
      </w:pPr>
      <w:r>
        <w:rPr>
          <w:rFonts w:ascii="仿宋_GB2312" w:hAnsi="仿宋_GB2312" w:cs="仿宋_GB2312" w:eastAsia="仿宋_GB2312"/>
        </w:rPr>
        <w:t>邮编：627350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联系电话：028-60176405</w:t>
      </w:r>
    </w:p>
    <w:p>
      <w:pPr>
        <w:pStyle w:val="null3"/>
        <w:jc w:val="left"/>
      </w:pPr>
      <w:r>
        <w:rPr>
          <w:rFonts w:ascii="仿宋_GB2312" w:hAnsi="仿宋_GB2312" w:cs="仿宋_GB2312" w:eastAsia="仿宋_GB2312"/>
        </w:rPr>
        <w:t>地址：四川省成都市金牛区金周路595号4栋15楼1505-2号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3,110,000.00</w:t>
      </w:r>
    </w:p>
    <w:p>
      <w:pPr>
        <w:pStyle w:val="null3"/>
        <w:jc w:val="left"/>
      </w:pPr>
      <w:r>
        <w:rPr>
          <w:rFonts w:ascii="仿宋_GB2312" w:hAnsi="仿宋_GB2312" w:cs="仿宋_GB2312" w:eastAsia="仿宋_GB2312"/>
        </w:rPr>
        <w:t>采购包最高限价（元）: 3,103,079.60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C09020200 林木抚育管理服务</w:t>
            </w:r>
          </w:p>
        </w:tc>
        <w:tc>
          <w:tcPr>
            <w:tcW w:type="dxa" w:w="821"/>
          </w:tcPr>
          <w:p>
            <w:pPr>
              <w:pStyle w:val="null3"/>
              <w:jc w:val="left"/>
            </w:pPr>
            <w:r>
              <w:rPr>
                <w:rFonts w:ascii="仿宋_GB2312" w:hAnsi="仿宋_GB2312" w:cs="仿宋_GB2312" w:eastAsia="仿宋_GB2312"/>
              </w:rPr>
              <w:t>石渠县2025年中央财政林业草原专项资金预算（第二批）森林修复项目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3,103,079.60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石渠县2025年中央财政林业草原专项资金预算（第二批）森林修复项目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3,103,079.60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标的名称：石渠县2025年中央财政林业草原专项资金预算（第二批）森林修复项目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outlineLvl w:val="1"/>
            </w:pPr>
            <w:r>
              <w:rPr>
                <w:rFonts w:ascii="仿宋_GB2312" w:hAnsi="仿宋_GB2312" w:cs="仿宋_GB2312" w:eastAsia="仿宋_GB2312"/>
                <w:sz w:val="28"/>
                <w:b/>
              </w:rPr>
              <w:t>一、项目概述</w:t>
            </w:r>
          </w:p>
          <w:p>
            <w:pPr>
              <w:pStyle w:val="null3"/>
              <w:ind w:firstLine="480"/>
              <w:jc w:val="both"/>
            </w:pPr>
            <w:r>
              <w:rPr>
                <w:rFonts w:ascii="仿宋_GB2312" w:hAnsi="仿宋_GB2312" w:cs="仿宋_GB2312" w:eastAsia="仿宋_GB2312"/>
                <w:sz w:val="24"/>
              </w:rPr>
              <w:t>本项目共一个包</w:t>
            </w:r>
            <w:r>
              <w:rPr>
                <w:rFonts w:ascii="仿宋_GB2312" w:hAnsi="仿宋_GB2312" w:cs="仿宋_GB2312" w:eastAsia="仿宋_GB2312"/>
                <w:sz w:val="24"/>
              </w:rPr>
              <w:t>，</w:t>
            </w:r>
            <w:r>
              <w:rPr>
                <w:rFonts w:ascii="仿宋_GB2312" w:hAnsi="仿宋_GB2312" w:cs="仿宋_GB2312" w:eastAsia="仿宋_GB2312"/>
                <w:sz w:val="24"/>
              </w:rPr>
              <w:t>为</w:t>
            </w:r>
            <w:r>
              <w:rPr>
                <w:rFonts w:ascii="仿宋_GB2312" w:hAnsi="仿宋_GB2312" w:cs="仿宋_GB2312" w:eastAsia="仿宋_GB2312"/>
                <w:sz w:val="24"/>
              </w:rPr>
              <w:t>石渠县</w:t>
            </w:r>
            <w:r>
              <w:rPr>
                <w:rFonts w:ascii="仿宋_GB2312" w:hAnsi="仿宋_GB2312" w:cs="仿宋_GB2312" w:eastAsia="仿宋_GB2312"/>
                <w:sz w:val="24"/>
              </w:rPr>
              <w:t>2025年中央财政林业草原专项资金预算（第二批）森林修复项目</w:t>
            </w:r>
            <w:r>
              <w:rPr>
                <w:rFonts w:ascii="仿宋_GB2312" w:hAnsi="仿宋_GB2312" w:cs="仿宋_GB2312" w:eastAsia="仿宋_GB2312"/>
                <w:sz w:val="24"/>
              </w:rPr>
              <w:t>。</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服务内容及要求</w:t>
            </w:r>
          </w:p>
          <w:p>
            <w:pPr>
              <w:pStyle w:val="null3"/>
              <w:ind w:firstLine="482"/>
              <w:jc w:val="both"/>
            </w:pPr>
            <w:r>
              <w:rPr>
                <w:rFonts w:ascii="仿宋_GB2312" w:hAnsi="仿宋_GB2312" w:cs="仿宋_GB2312" w:eastAsia="仿宋_GB2312"/>
                <w:sz w:val="24"/>
                <w:b/>
              </w:rPr>
              <w:t>（一）总体目标</w:t>
            </w:r>
          </w:p>
          <w:p>
            <w:pPr>
              <w:pStyle w:val="null3"/>
              <w:ind w:firstLine="480"/>
              <w:jc w:val="left"/>
            </w:pPr>
            <w:r>
              <w:rPr>
                <w:rFonts w:ascii="仿宋_GB2312" w:hAnsi="仿宋_GB2312" w:cs="仿宋_GB2312" w:eastAsia="仿宋_GB2312"/>
                <w:sz w:val="24"/>
              </w:rPr>
              <w:t>1.数量目标</w:t>
            </w:r>
          </w:p>
          <w:p>
            <w:pPr>
              <w:pStyle w:val="null3"/>
              <w:ind w:firstLine="480"/>
              <w:jc w:val="left"/>
            </w:pPr>
            <w:r>
              <w:rPr>
                <w:rFonts w:ascii="仿宋_GB2312" w:hAnsi="仿宋_GB2312" w:cs="仿宋_GB2312" w:eastAsia="仿宋_GB2312"/>
                <w:sz w:val="24"/>
              </w:rPr>
              <w:t>实施森林修复面积</w:t>
            </w:r>
            <w:r>
              <w:rPr>
                <w:rFonts w:ascii="仿宋_GB2312" w:hAnsi="仿宋_GB2312" w:cs="仿宋_GB2312" w:eastAsia="仿宋_GB2312"/>
                <w:sz w:val="24"/>
              </w:rPr>
              <w:t>10000亩。透光伐8998亩，生长伐1002亩。</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质量目标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1）采取透光伐措施的小班8998亩，作业面积合格率达到100.0%。调整树种组成与林分结构，改善林木生长环境，促进林木生长，提高林地生产力，培育健康稳定的森林生态系统。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2）采取生长伐措施的小班1002亩，作业面积合格率达到100.0%。合理调整林分密度，提高林分质量，森林蓄积得到持续增长。</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3）辅助修枝面积10000亩，作业面积合格率达到100.0%。</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4）林地清理10000亩，作业面积合格率达到100.0%。</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5）割灌除草10000亩，作业面积合格率达到100.0%。</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6）森林生态系统生态效益发挥和生态功能可持续改善明显，森林涵养水源、固碳释氧、保持水土，改善生态环境的功能和作用进一步增强。</w:t>
            </w:r>
          </w:p>
          <w:p>
            <w:pPr>
              <w:pStyle w:val="null3"/>
              <w:ind w:firstLine="482"/>
              <w:jc w:val="both"/>
            </w:pPr>
            <w:r>
              <w:rPr>
                <w:rFonts w:ascii="仿宋_GB2312" w:hAnsi="仿宋_GB2312" w:cs="仿宋_GB2312" w:eastAsia="仿宋_GB2312"/>
                <w:sz w:val="24"/>
                <w:b/>
              </w:rPr>
              <w:t>（二）森林修复措施</w:t>
            </w:r>
          </w:p>
          <w:p>
            <w:pPr>
              <w:pStyle w:val="null3"/>
              <w:ind w:firstLine="482"/>
              <w:jc w:val="left"/>
            </w:pPr>
            <w:r>
              <w:rPr>
                <w:rFonts w:ascii="仿宋_GB2312" w:hAnsi="仿宋_GB2312" w:cs="仿宋_GB2312" w:eastAsia="仿宋_GB2312"/>
                <w:sz w:val="24"/>
                <w:b/>
              </w:rPr>
              <w:t>1.修复对象</w:t>
            </w:r>
          </w:p>
          <w:p>
            <w:pPr>
              <w:pStyle w:val="null3"/>
              <w:ind w:firstLine="480"/>
              <w:jc w:val="left"/>
            </w:pPr>
            <w:r>
              <w:rPr>
                <w:rFonts w:ascii="仿宋_GB2312" w:hAnsi="仿宋_GB2312" w:cs="仿宋_GB2312" w:eastAsia="仿宋_GB2312"/>
                <w:sz w:val="24"/>
              </w:rPr>
              <w:t>幼龄林：</w:t>
            </w:r>
            <w:r>
              <w:rPr>
                <w:rFonts w:ascii="仿宋_GB2312" w:hAnsi="仿宋_GB2312" w:cs="仿宋_GB2312" w:eastAsia="仿宋_GB2312"/>
                <w:sz w:val="24"/>
              </w:rPr>
              <w:t>1-5、7-12、14-33、36-44小班，共计40个小班，面积8998亩；林分起源为天然；树种组成为10云杉、8云2桦。</w:t>
            </w:r>
          </w:p>
          <w:p>
            <w:pPr>
              <w:pStyle w:val="null3"/>
              <w:ind w:firstLine="480"/>
              <w:jc w:val="left"/>
            </w:pPr>
            <w:r>
              <w:rPr>
                <w:rFonts w:ascii="仿宋_GB2312" w:hAnsi="仿宋_GB2312" w:cs="仿宋_GB2312" w:eastAsia="仿宋_GB2312"/>
                <w:sz w:val="24"/>
              </w:rPr>
              <w:t>中龄林：</w:t>
            </w:r>
            <w:r>
              <w:rPr>
                <w:rFonts w:ascii="仿宋_GB2312" w:hAnsi="仿宋_GB2312" w:cs="仿宋_GB2312" w:eastAsia="仿宋_GB2312"/>
                <w:sz w:val="24"/>
              </w:rPr>
              <w:t>6、13、34、35小班，共计4个小班，面积1002亩；林分起源为天然，树种组成为10云杉、7云3桦。</w:t>
            </w:r>
          </w:p>
          <w:p>
            <w:pPr>
              <w:pStyle w:val="null3"/>
              <w:ind w:firstLine="482"/>
              <w:jc w:val="left"/>
            </w:pPr>
            <w:r>
              <w:rPr>
                <w:rFonts w:ascii="仿宋_GB2312" w:hAnsi="仿宋_GB2312" w:cs="仿宋_GB2312" w:eastAsia="仿宋_GB2312"/>
                <w:sz w:val="24"/>
                <w:b/>
              </w:rPr>
              <w:t>2.采伐类型与采伐方式</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1）采伐类型</w:t>
            </w:r>
          </w:p>
          <w:p>
            <w:pPr>
              <w:pStyle w:val="null3"/>
              <w:ind w:firstLine="480"/>
              <w:jc w:val="left"/>
            </w:pPr>
            <w:r>
              <w:rPr>
                <w:rFonts w:ascii="仿宋_GB2312" w:hAnsi="仿宋_GB2312" w:cs="仿宋_GB2312" w:eastAsia="仿宋_GB2312"/>
                <w:sz w:val="24"/>
              </w:rPr>
              <w:t>抚育采伐。</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采伐方式</w:t>
            </w:r>
          </w:p>
          <w:p>
            <w:pPr>
              <w:pStyle w:val="null3"/>
              <w:ind w:firstLine="480"/>
              <w:jc w:val="left"/>
            </w:pPr>
            <w:r>
              <w:rPr>
                <w:rFonts w:ascii="仿宋_GB2312" w:hAnsi="仿宋_GB2312" w:cs="仿宋_GB2312" w:eastAsia="仿宋_GB2312"/>
                <w:sz w:val="24"/>
              </w:rPr>
              <w:t>采伐方式为透光伐、生长伐。</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采伐强度</w:t>
            </w:r>
          </w:p>
          <w:p>
            <w:pPr>
              <w:pStyle w:val="null3"/>
              <w:ind w:firstLine="480"/>
              <w:jc w:val="left"/>
            </w:pPr>
            <w:r>
              <w:rPr>
                <w:rFonts w:ascii="仿宋_GB2312" w:hAnsi="仿宋_GB2312" w:cs="仿宋_GB2312" w:eastAsia="仿宋_GB2312"/>
                <w:sz w:val="24"/>
              </w:rPr>
              <w:t>本次设计采伐地点位于洛须林场洛须作业区</w:t>
            </w:r>
            <w:r>
              <w:rPr>
                <w:rFonts w:ascii="仿宋_GB2312" w:hAnsi="仿宋_GB2312" w:cs="仿宋_GB2312" w:eastAsia="仿宋_GB2312"/>
                <w:sz w:val="24"/>
              </w:rPr>
              <w:t>1、2、5林班，面积10000亩。</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透光伐</w:t>
            </w:r>
          </w:p>
          <w:p>
            <w:pPr>
              <w:pStyle w:val="null3"/>
              <w:ind w:firstLine="480"/>
              <w:jc w:val="left"/>
            </w:pPr>
            <w:r>
              <w:rPr>
                <w:rFonts w:ascii="仿宋_GB2312" w:hAnsi="仿宋_GB2312" w:cs="仿宋_GB2312" w:eastAsia="仿宋_GB2312"/>
                <w:sz w:val="24"/>
              </w:rPr>
              <w:t>采伐株数</w:t>
            </w:r>
            <w:r>
              <w:rPr>
                <w:rFonts w:ascii="仿宋_GB2312" w:hAnsi="仿宋_GB2312" w:cs="仿宋_GB2312" w:eastAsia="仿宋_GB2312"/>
                <w:sz w:val="24"/>
              </w:rPr>
              <w:t>10～24株/亩，蓄积强度1.38%～2.33%，采伐株数强度为7.41%～13.73%；</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生长伐</w:t>
            </w:r>
          </w:p>
          <w:p>
            <w:pPr>
              <w:pStyle w:val="null3"/>
              <w:ind w:firstLine="480"/>
              <w:jc w:val="left"/>
            </w:pPr>
            <w:r>
              <w:rPr>
                <w:rFonts w:ascii="仿宋_GB2312" w:hAnsi="仿宋_GB2312" w:cs="仿宋_GB2312" w:eastAsia="仿宋_GB2312"/>
                <w:sz w:val="24"/>
              </w:rPr>
              <w:t>采伐株数</w:t>
            </w:r>
            <w:r>
              <w:rPr>
                <w:rFonts w:ascii="仿宋_GB2312" w:hAnsi="仿宋_GB2312" w:cs="仿宋_GB2312" w:eastAsia="仿宋_GB2312"/>
                <w:sz w:val="24"/>
              </w:rPr>
              <w:t>7～20株/亩，蓄积强度1.46%～2.24%，采伐株数强度为8.00%～13.15%；</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技术要求</w:t>
            </w:r>
          </w:p>
          <w:p>
            <w:pPr>
              <w:pStyle w:val="null3"/>
              <w:ind w:firstLine="480"/>
              <w:jc w:val="left"/>
            </w:pPr>
            <w:r>
              <w:rPr>
                <w:rFonts w:ascii="仿宋_GB2312" w:hAnsi="仿宋_GB2312" w:cs="仿宋_GB2312" w:eastAsia="仿宋_GB2312"/>
                <w:sz w:val="24"/>
              </w:rPr>
              <w:t>本次抚育方式为生长伐和透光伐</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透光伐技术要求：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1）幼龄林阶段对于林木分布不均，林木间对光、空间等竞争激烈，幼树幼苗生长受到胁迫。</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2）全面踏查目的树种分布与杂灌压制状况；确认以干形通直、顶芽饱满的目的幼树为核心保留群体后，按“先藤本、后灌木、再非目的乔木”的次序实施单株择伐，伐根贴地不留桩，倒向避开保留木。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3）对天然更新过密地段，采用团状疏开，确保目的树可以受到良好光照条件。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4）采伐剩余物就地短截平铺，防止地表裸露；作业结束现场复核，确保目的树幼树冠幅获得充分侧光，林分无集中空地、无压苗现象。</w:t>
            </w:r>
          </w:p>
          <w:p>
            <w:pPr>
              <w:pStyle w:val="null3"/>
              <w:ind w:firstLine="482"/>
              <w:jc w:val="left"/>
            </w:pPr>
            <w:r>
              <w:rPr>
                <w:rFonts w:ascii="仿宋_GB2312" w:hAnsi="仿宋_GB2312" w:cs="仿宋_GB2312" w:eastAsia="仿宋_GB2312"/>
                <w:sz w:val="24"/>
                <w:b/>
              </w:rPr>
              <w:t>生长伐技术要求：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1）主要针对中龄林阶段，林木生长量连年下降、林分存在较多枯死木、病死木目的树生长受到影响且林分结构不合理的林分。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中龄林作业前，标记林分中干扰木、枯死木等，保留干形优好的目的树。优先砍除干扰树、病死木、枯死木，严禁砍好留劣、砍稀留密、砍大留小、砍直留弯，严禁采伐目标树、辅助树，不允许出现林窗，注意保护采伐边界外的林木。伐根高度控制在10厘米以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3）作业后现场复查，要求目标树种明显占据主林层，林分结构合理，无大面积天窗，林分稳定性增强。</w:t>
            </w:r>
          </w:p>
          <w:p>
            <w:pPr>
              <w:pStyle w:val="null3"/>
              <w:ind w:firstLine="482"/>
              <w:jc w:val="left"/>
            </w:pPr>
            <w:r>
              <w:rPr>
                <w:rFonts w:ascii="仿宋_GB2312" w:hAnsi="仿宋_GB2312" w:cs="仿宋_GB2312" w:eastAsia="仿宋_GB2312"/>
                <w:sz w:val="24"/>
                <w:b/>
              </w:rPr>
              <w:t>安全要求</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技术</w:t>
            </w:r>
            <w:r>
              <w:rPr>
                <w:rFonts w:ascii="仿宋_GB2312" w:hAnsi="仿宋_GB2312" w:cs="仿宋_GB2312" w:eastAsia="仿宋_GB2312"/>
                <w:sz w:val="24"/>
              </w:rPr>
              <w:t>人员服从安排，严格按各工序操作流程进行，配备完善的安全设施，采伐时严禁上下串坡作业和班组之间重叠作业生产，以免发生安全事故。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2）严格管控火源，禁止带火上山，坚决杜绝因采伐施工而带来的森林火灾隐患。</w:t>
            </w:r>
          </w:p>
          <w:p>
            <w:pPr>
              <w:pStyle w:val="null3"/>
              <w:ind w:firstLine="482"/>
              <w:jc w:val="both"/>
            </w:pPr>
            <w:r>
              <w:rPr>
                <w:rFonts w:ascii="仿宋_GB2312" w:hAnsi="仿宋_GB2312" w:cs="仿宋_GB2312" w:eastAsia="仿宋_GB2312"/>
                <w:sz w:val="24"/>
                <w:b/>
              </w:rPr>
              <w:t>5.控制指标</w:t>
            </w:r>
          </w:p>
          <w:p>
            <w:pPr>
              <w:pStyle w:val="null3"/>
              <w:ind w:firstLine="482"/>
              <w:jc w:val="left"/>
            </w:pPr>
            <w:r>
              <w:rPr>
                <w:rFonts w:ascii="仿宋_GB2312" w:hAnsi="仿宋_GB2312" w:cs="仿宋_GB2312" w:eastAsia="仿宋_GB2312"/>
                <w:sz w:val="24"/>
                <w:b/>
              </w:rPr>
              <w:t>透光伐控制指标</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透光伐后林分郁闭度不低于</w:t>
            </w:r>
            <w:r>
              <w:rPr>
                <w:rFonts w:ascii="仿宋_GB2312" w:hAnsi="仿宋_GB2312" w:cs="仿宋_GB2312" w:eastAsia="仿宋_GB2312"/>
                <w:sz w:val="24"/>
              </w:rPr>
              <w:t>0.6；</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在容易遭受风倒雪压危害的地段，或第一次透光伐时，郁闭度降低不超过</w:t>
            </w:r>
            <w:r>
              <w:rPr>
                <w:rFonts w:ascii="仿宋_GB2312" w:hAnsi="仿宋_GB2312" w:cs="仿宋_GB2312" w:eastAsia="仿宋_GB2312"/>
                <w:sz w:val="24"/>
              </w:rPr>
              <w:t>0.2；</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透光伐后林分目标树数量不减少；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透光伐后林分平均胸径不低于采伐前平均胸径；</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透光伐后林木分布均匀，不造成林窗、林中空地等。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透光伐后保留株数不少于该森林类型、生长发育阶段、立地条件的最低保留株数。</w:t>
            </w:r>
          </w:p>
          <w:p>
            <w:pPr>
              <w:pStyle w:val="null3"/>
              <w:ind w:firstLine="482"/>
              <w:jc w:val="left"/>
            </w:pPr>
            <w:r>
              <w:rPr>
                <w:rFonts w:ascii="仿宋_GB2312" w:hAnsi="仿宋_GB2312" w:cs="仿宋_GB2312" w:eastAsia="仿宋_GB2312"/>
                <w:sz w:val="24"/>
                <w:b/>
              </w:rPr>
              <w:t>生长伐控制指标</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生长伐后林分郁闭度不低于</w:t>
            </w:r>
            <w:r>
              <w:rPr>
                <w:rFonts w:ascii="仿宋_GB2312" w:hAnsi="仿宋_GB2312" w:cs="仿宋_GB2312" w:eastAsia="仿宋_GB2312"/>
                <w:sz w:val="24"/>
              </w:rPr>
              <w:t>0.6；</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在容易遭受风倒雪压危害的地段，或第一次生长伐时，郁闭度降低不超过</w:t>
            </w:r>
            <w:r>
              <w:rPr>
                <w:rFonts w:ascii="仿宋_GB2312" w:hAnsi="仿宋_GB2312" w:cs="仿宋_GB2312" w:eastAsia="仿宋_GB2312"/>
                <w:sz w:val="24"/>
              </w:rPr>
              <w:t>0.2；</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生长伐后林分目标树数量不减少；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生长伐后林分平均胸径不低于采伐前平均胸径；</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生长伐后林木分布均匀，不造成林窗、林中空地等。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生长伐后保留株数不少于该森林类型、生长发育阶段、立地条件的最低保留株数。</w:t>
            </w:r>
          </w:p>
          <w:p>
            <w:pPr>
              <w:pStyle w:val="null3"/>
              <w:ind w:firstLine="482"/>
              <w:jc w:val="left"/>
            </w:pPr>
            <w:r>
              <w:rPr>
                <w:rFonts w:ascii="仿宋_GB2312" w:hAnsi="仿宋_GB2312" w:cs="仿宋_GB2312" w:eastAsia="仿宋_GB2312"/>
                <w:sz w:val="24"/>
                <w:b/>
              </w:rPr>
              <w:t>修枝控制指标</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修去枯死枝和树冠下部</w:t>
            </w:r>
            <w:r>
              <w:rPr>
                <w:rFonts w:ascii="仿宋_GB2312" w:hAnsi="仿宋_GB2312" w:cs="仿宋_GB2312" w:eastAsia="仿宋_GB2312"/>
                <w:sz w:val="24"/>
              </w:rPr>
              <w:t>1轮～2轮活枝；</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幼龄林阶段修枝后保留冠长不低于树高的</w:t>
            </w:r>
            <w:r>
              <w:rPr>
                <w:rFonts w:ascii="仿宋_GB2312" w:hAnsi="仿宋_GB2312" w:cs="仿宋_GB2312" w:eastAsia="仿宋_GB2312"/>
                <w:sz w:val="24"/>
              </w:rPr>
              <w:t>2/3、枝桩尽量修平，剪口不能伤害树干的韧皮部和木质部；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中龄林阶段修枝后保留冠长不低于树高的</w:t>
            </w:r>
            <w:r>
              <w:rPr>
                <w:rFonts w:ascii="仿宋_GB2312" w:hAnsi="仿宋_GB2312" w:cs="仿宋_GB2312" w:eastAsia="仿宋_GB2312"/>
                <w:sz w:val="24"/>
              </w:rPr>
              <w:t>1/2、枝桩尽量修平，剪口不能伤害树干的韧皮部和木质部。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抚育采伐剩余物和林地已采用措施进行全面清理。</w:t>
            </w:r>
          </w:p>
          <w:p>
            <w:pPr>
              <w:pStyle w:val="null3"/>
              <w:ind w:firstLine="482"/>
              <w:jc w:val="both"/>
            </w:pPr>
            <w:r>
              <w:rPr>
                <w:rFonts w:ascii="仿宋_GB2312" w:hAnsi="仿宋_GB2312" w:cs="仿宋_GB2312" w:eastAsia="仿宋_GB2312"/>
                <w:sz w:val="24"/>
                <w:b/>
              </w:rPr>
              <w:t>6.其他辅助措施</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rPr>
              <w:t>辅助修枝</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-44小班，设计辅助修枝小班44个，面积10000亩。林分起源均为天然。树种为云杉、桦木。林地、林木权属均为国有。森林类别为国家级二级公益林，林种为防护林，林地保护等级为二级。以上44个小班，目的树种间对光、水、肥、空间等竞争激烈。均存在一定林分生长过密林分结构不合理，且存在部分霸王树过于高大且其枝条妨碍目标树生长的其他树。符合《森林抚育规程》（GB/T15781－2015）中6.7章节修枝的技术标准要求，因此，采用因此均采取一定程度的修枝措施，主要清除死枝、枯枝和树冠下部1-2轮活枝。枝桩应修平，剪口不能伤害树干的韧皮部和木质部，改善林分通透性。</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割灌除草</w:t>
            </w:r>
          </w:p>
          <w:p>
            <w:pPr>
              <w:pStyle w:val="null3"/>
              <w:ind w:firstLine="480"/>
              <w:jc w:val="left"/>
            </w:pPr>
            <w:r>
              <w:rPr>
                <w:rFonts w:ascii="仿宋_GB2312" w:hAnsi="仿宋_GB2312" w:cs="仿宋_GB2312" w:eastAsia="仿宋_GB2312"/>
                <w:sz w:val="24"/>
              </w:rPr>
              <w:t>1-44小班，设计辅助修枝小班44个，面积10000亩。林分起源均为天然。树种为云杉、桦木。林地、林木权属均为国有。森林类别为国家级二级公益林，林种为防护林，林地保护等级为二级。以上44个小班，幼树高度低于周边杂灌杂草、藤本植物等，生长发育受到显著影响，林分结构不合理，符合《森林抚育规程》（GB/T15781－2015）中6.8章节割灌除草的技术标准要求，因此均采取一定程度的割灌措施。对于影响目的树种幼树生长的杂灌杂草和藤本植物进行剔除，围绕目的树种幼苗幼树进行局部割灌，避免全部割灌，割灌除草施工要注重保护幼树幼苗及林下有生长潜力的幼树幼苗。</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林地清理</w:t>
            </w:r>
          </w:p>
          <w:p>
            <w:pPr>
              <w:pStyle w:val="null3"/>
              <w:ind w:firstLine="480"/>
              <w:jc w:val="left"/>
            </w:pPr>
            <w:r>
              <w:rPr>
                <w:rFonts w:ascii="仿宋_GB2312" w:hAnsi="仿宋_GB2312" w:cs="仿宋_GB2312" w:eastAsia="仿宋_GB2312"/>
                <w:sz w:val="24"/>
              </w:rPr>
              <w:t>1-44小班，设计林地清理小班44个，面积10000亩。林分起源均为天然。树种为云杉、桦木。林地、林木权属均为国有。森林类别为国家级二级公益林，林种为防护林，林地保护等级为二级。</w:t>
            </w:r>
          </w:p>
          <w:p>
            <w:pPr>
              <w:pStyle w:val="null3"/>
              <w:ind w:firstLine="480"/>
              <w:jc w:val="left"/>
            </w:pPr>
            <w:r>
              <w:rPr>
                <w:rFonts w:ascii="仿宋_GB2312" w:hAnsi="仿宋_GB2312" w:cs="仿宋_GB2312" w:eastAsia="仿宋_GB2312"/>
                <w:sz w:val="24"/>
              </w:rPr>
              <w:t>①对采伐作业的剩余物枝梢、枝桠等需及时清理，截短带状堆腐。堆放点避开小河、小溪径流。</w:t>
            </w:r>
          </w:p>
          <w:p>
            <w:pPr>
              <w:pStyle w:val="null3"/>
              <w:ind w:firstLine="480"/>
              <w:jc w:val="left"/>
            </w:pPr>
            <w:r>
              <w:rPr>
                <w:rFonts w:ascii="仿宋_GB2312" w:hAnsi="仿宋_GB2312" w:cs="仿宋_GB2312" w:eastAsia="仿宋_GB2312"/>
                <w:sz w:val="24"/>
              </w:rPr>
              <w:t>②对于剔除的杂灌杂草，需及时清理并选择林中地势平缓的空地进行分层叠放堆腐。</w:t>
            </w:r>
          </w:p>
          <w:p>
            <w:pPr>
              <w:pStyle w:val="null3"/>
              <w:ind w:firstLine="480"/>
              <w:jc w:val="left"/>
            </w:pPr>
            <w:r>
              <w:rPr>
                <w:rFonts w:ascii="仿宋_GB2312" w:hAnsi="仿宋_GB2312" w:cs="仿宋_GB2312" w:eastAsia="仿宋_GB2312"/>
                <w:sz w:val="24"/>
              </w:rPr>
              <w:t>③在清理剩余物时，尽量避免损伤林木和破坏林下植被、造成对生物多样性影响和引发水土流失。</w:t>
            </w:r>
          </w:p>
          <w:p>
            <w:pPr>
              <w:pStyle w:val="null3"/>
              <w:ind w:firstLine="480"/>
              <w:jc w:val="left"/>
            </w:pPr>
            <w:r>
              <w:rPr>
                <w:rFonts w:ascii="仿宋_GB2312" w:hAnsi="仿宋_GB2312" w:cs="仿宋_GB2312" w:eastAsia="仿宋_GB2312"/>
                <w:sz w:val="24"/>
              </w:rPr>
              <w:t>④对抚育作业施工时，带入林地内的食品包装袋、塑料袋等应捡回统一集中处理，对临时生活区的废弃物应及时进行清理运出林地。</w:t>
            </w:r>
          </w:p>
          <w:p>
            <w:pPr>
              <w:pStyle w:val="null3"/>
              <w:ind w:firstLine="482"/>
              <w:jc w:val="both"/>
            </w:pPr>
            <w:r>
              <w:rPr>
                <w:rFonts w:ascii="仿宋_GB2312" w:hAnsi="仿宋_GB2312" w:cs="仿宋_GB2312" w:eastAsia="仿宋_GB2312"/>
                <w:sz w:val="24"/>
                <w:b/>
              </w:rPr>
              <w:t>（三）伐区作业设计</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rPr>
              <w:t>采伐准备</w:t>
            </w:r>
          </w:p>
          <w:p>
            <w:pPr>
              <w:pStyle w:val="null3"/>
              <w:ind w:firstLine="482"/>
              <w:jc w:val="left"/>
            </w:pPr>
            <w:r>
              <w:rPr>
                <w:rFonts w:ascii="仿宋_GB2312" w:hAnsi="仿宋_GB2312" w:cs="仿宋_GB2312" w:eastAsia="仿宋_GB2312"/>
                <w:sz w:val="24"/>
                <w:b/>
              </w:rPr>
              <w:t>准备作业工作</w:t>
            </w:r>
            <w:r>
              <w:rPr>
                <w:rFonts w:ascii="仿宋_GB2312" w:hAnsi="仿宋_GB2312" w:cs="仿宋_GB2312" w:eastAsia="仿宋_GB2312"/>
                <w:sz w:val="24"/>
                <w:b/>
              </w:rPr>
              <w:t>：</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1）办理林木采伐许可证</w:t>
            </w:r>
          </w:p>
          <w:p>
            <w:pPr>
              <w:pStyle w:val="null3"/>
              <w:ind w:firstLine="480"/>
              <w:jc w:val="left"/>
            </w:pPr>
            <w:r>
              <w:rPr>
                <w:rFonts w:ascii="仿宋_GB2312" w:hAnsi="仿宋_GB2312" w:cs="仿宋_GB2312" w:eastAsia="仿宋_GB2312"/>
                <w:sz w:val="24"/>
              </w:rPr>
              <w:t>采伐林木前按照相关法律法规到林业行政主管部门申请办理林木采伐许可证。</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2）伐前公示</w:t>
            </w:r>
          </w:p>
          <w:p>
            <w:pPr>
              <w:pStyle w:val="null3"/>
              <w:ind w:firstLine="480"/>
              <w:jc w:val="left"/>
            </w:pPr>
            <w:r>
              <w:rPr>
                <w:rFonts w:ascii="仿宋_GB2312" w:hAnsi="仿宋_GB2312" w:cs="仿宋_GB2312" w:eastAsia="仿宋_GB2312"/>
                <w:sz w:val="24"/>
              </w:rPr>
              <w:t>建立伐前公示制度，明确采伐的目的、地点、范围、采伐类型、采伐方式、采伐蓄积等。在伐区及其附近的交通要道设立公示牌，对林木采伐许可证进行公示。</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采伐工具</w:t>
            </w:r>
          </w:p>
          <w:p>
            <w:pPr>
              <w:pStyle w:val="null3"/>
              <w:ind w:firstLine="480"/>
              <w:jc w:val="left"/>
            </w:pPr>
            <w:r>
              <w:rPr>
                <w:rFonts w:ascii="仿宋_GB2312" w:hAnsi="仿宋_GB2312" w:cs="仿宋_GB2312" w:eastAsia="仿宋_GB2312"/>
                <w:sz w:val="24"/>
              </w:rPr>
              <w:t>采伐、打枝、截短使用工具设计为油锯、斧头、锯子、砍刀等。</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伐区边界控制</w:t>
            </w:r>
          </w:p>
          <w:p>
            <w:pPr>
              <w:pStyle w:val="null3"/>
              <w:ind w:firstLine="480"/>
              <w:jc w:val="left"/>
            </w:pPr>
            <w:r>
              <w:rPr>
                <w:rFonts w:ascii="仿宋_GB2312" w:hAnsi="仿宋_GB2312" w:cs="仿宋_GB2312" w:eastAsia="仿宋_GB2312"/>
                <w:sz w:val="24"/>
              </w:rPr>
              <w:t>在林木采伐作业区域，通过</w:t>
            </w:r>
            <w:r>
              <w:rPr>
                <w:rFonts w:ascii="仿宋_GB2312" w:hAnsi="仿宋_GB2312" w:cs="仿宋_GB2312" w:eastAsia="仿宋_GB2312"/>
                <w:sz w:val="24"/>
              </w:rPr>
              <w:t>GPS定位设备精确锁定伐区边界控制点。沿着伐区的界限，对伐区外的树木用红油漆进行标记，以此作为警示，确保这些树木不会被误采伐，从而有效控制伐区范围，保护伐区外的林木资源。</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劳动力组合</w:t>
            </w:r>
          </w:p>
          <w:p>
            <w:pPr>
              <w:pStyle w:val="null3"/>
              <w:ind w:firstLine="480"/>
              <w:jc w:val="left"/>
            </w:pPr>
            <w:r>
              <w:rPr>
                <w:rFonts w:ascii="仿宋_GB2312" w:hAnsi="仿宋_GB2312" w:cs="仿宋_GB2312" w:eastAsia="仿宋_GB2312"/>
                <w:sz w:val="24"/>
              </w:rPr>
              <w:t>采伐作业采用</w:t>
            </w:r>
            <w:r>
              <w:rPr>
                <w:rFonts w:ascii="仿宋_GB2312" w:hAnsi="仿宋_GB2312" w:cs="仿宋_GB2312" w:eastAsia="仿宋_GB2312"/>
                <w:sz w:val="24"/>
              </w:rPr>
              <w:t>8小时一班作业制，采伐时为2人一组，不能1人单独作业，伐木时，助手不能在另一树下清理作业场所，2人不能在同树下砍上口或砍下口，在相对安全的条件下可采伐1人采伐，另1人打枝、截短。</w:t>
            </w:r>
          </w:p>
          <w:p>
            <w:pPr>
              <w:pStyle w:val="null3"/>
              <w:ind w:firstLine="480"/>
              <w:jc w:val="left"/>
            </w:pPr>
            <w:r>
              <w:rPr>
                <w:rFonts w:ascii="仿宋_GB2312" w:hAnsi="仿宋_GB2312" w:cs="仿宋_GB2312" w:eastAsia="仿宋_GB2312"/>
                <w:sz w:val="24"/>
              </w:rPr>
              <w:t>严格遵守采伐作业安全生产的有关规定，搞好安全生产和防火工作。</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林木分类与标记</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采伐对象</w:t>
            </w:r>
          </w:p>
          <w:p>
            <w:pPr>
              <w:pStyle w:val="null3"/>
              <w:ind w:firstLine="480"/>
              <w:jc w:val="left"/>
            </w:pPr>
            <w:r>
              <w:rPr>
                <w:rFonts w:ascii="仿宋_GB2312" w:hAnsi="仿宋_GB2312" w:cs="仿宋_GB2312" w:eastAsia="仿宋_GB2312"/>
                <w:sz w:val="24"/>
              </w:rPr>
              <w:t>林分中影响林木正常生长的干扰树（林分中的不良木、被压木、弯曲木、受害木、濒死木、枯死木等）。</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采伐树种</w:t>
            </w:r>
          </w:p>
          <w:p>
            <w:pPr>
              <w:pStyle w:val="null3"/>
              <w:ind w:firstLine="480"/>
              <w:jc w:val="left"/>
            </w:pPr>
            <w:r>
              <w:rPr>
                <w:rFonts w:ascii="仿宋_GB2312" w:hAnsi="仿宋_GB2312" w:cs="仿宋_GB2312" w:eastAsia="仿宋_GB2312"/>
                <w:sz w:val="24"/>
              </w:rPr>
              <w:t>采伐树种为云杉、桦木的干扰木（濒死木、下层木、受害木、被压木、枯死木等）。</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采伐木标记</w:t>
            </w:r>
          </w:p>
          <w:p>
            <w:pPr>
              <w:pStyle w:val="null3"/>
              <w:ind w:firstLine="480"/>
              <w:jc w:val="left"/>
            </w:pPr>
            <w:r>
              <w:rPr>
                <w:rFonts w:ascii="仿宋_GB2312" w:hAnsi="仿宋_GB2312" w:cs="仿宋_GB2312" w:eastAsia="仿宋_GB2312"/>
                <w:sz w:val="24"/>
              </w:rPr>
              <w:t>在采伐前确认抚育采伐的边界，核对采伐木、保留木，对需采伐的干扰树进行标记（采用红油漆对采伐的濒死木、枯死木、受害木、被压木等进行标记），对于林木稀疏地段，适当保留濒死木，以避免造成新的林中空隙地）。</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采伐</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采伐措施</w:t>
            </w:r>
          </w:p>
          <w:p>
            <w:pPr>
              <w:pStyle w:val="null3"/>
              <w:ind w:firstLine="480"/>
              <w:jc w:val="left"/>
            </w:pPr>
            <w:r>
              <w:rPr>
                <w:rFonts w:ascii="仿宋_GB2312" w:hAnsi="仿宋_GB2312" w:cs="仿宋_GB2312" w:eastAsia="仿宋_GB2312"/>
                <w:sz w:val="24"/>
              </w:rPr>
              <w:t>按《林木采伐技术规程》（</w:t>
            </w:r>
            <w:r>
              <w:rPr>
                <w:rFonts w:ascii="仿宋_GB2312" w:hAnsi="仿宋_GB2312" w:cs="仿宋_GB2312" w:eastAsia="仿宋_GB2312"/>
                <w:sz w:val="24"/>
              </w:rPr>
              <w:t>DB51/T 2918-2022）的技术要求伐除林地内干扰树（濒死木、枯死木、受害木、下层木、被压木等）。采伐时不能造成新的林中空地或林窗，同时注意保护采伐边界外的林木。</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采伐类型与方式</w:t>
            </w:r>
          </w:p>
          <w:p>
            <w:pPr>
              <w:pStyle w:val="null3"/>
              <w:ind w:firstLine="480"/>
              <w:jc w:val="left"/>
            </w:pPr>
            <w:r>
              <w:rPr>
                <w:rFonts w:ascii="仿宋_GB2312" w:hAnsi="仿宋_GB2312" w:cs="仿宋_GB2312" w:eastAsia="仿宋_GB2312"/>
                <w:sz w:val="24"/>
              </w:rPr>
              <w:t>采伐类型</w:t>
            </w:r>
            <w:r>
              <w:rPr>
                <w:rFonts w:ascii="仿宋_GB2312" w:hAnsi="仿宋_GB2312" w:cs="仿宋_GB2312" w:eastAsia="仿宋_GB2312"/>
                <w:sz w:val="24"/>
              </w:rPr>
              <w:t>：</w:t>
            </w:r>
            <w:r>
              <w:rPr>
                <w:rFonts w:ascii="仿宋_GB2312" w:hAnsi="仿宋_GB2312" w:cs="仿宋_GB2312" w:eastAsia="仿宋_GB2312"/>
                <w:sz w:val="24"/>
              </w:rPr>
              <w:t>抚育采伐。</w:t>
            </w:r>
          </w:p>
          <w:p>
            <w:pPr>
              <w:pStyle w:val="null3"/>
              <w:ind w:firstLine="480"/>
              <w:jc w:val="left"/>
            </w:pPr>
            <w:r>
              <w:rPr>
                <w:rFonts w:ascii="仿宋_GB2312" w:hAnsi="仿宋_GB2312" w:cs="仿宋_GB2312" w:eastAsia="仿宋_GB2312"/>
                <w:sz w:val="24"/>
              </w:rPr>
              <w:t>采伐方式</w:t>
            </w:r>
            <w:r>
              <w:rPr>
                <w:rFonts w:ascii="仿宋_GB2312" w:hAnsi="仿宋_GB2312" w:cs="仿宋_GB2312" w:eastAsia="仿宋_GB2312"/>
                <w:sz w:val="24"/>
              </w:rPr>
              <w:t>：</w:t>
            </w:r>
            <w:r>
              <w:rPr>
                <w:rFonts w:ascii="仿宋_GB2312" w:hAnsi="仿宋_GB2312" w:cs="仿宋_GB2312" w:eastAsia="仿宋_GB2312"/>
                <w:sz w:val="24"/>
              </w:rPr>
              <w:t>采伐方式为透光伐、生长伐。</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采伐规模</w:t>
            </w:r>
          </w:p>
          <w:p>
            <w:pPr>
              <w:pStyle w:val="null3"/>
              <w:ind w:firstLine="480"/>
              <w:jc w:val="left"/>
            </w:pPr>
            <w:r>
              <w:rPr>
                <w:rFonts w:ascii="仿宋_GB2312" w:hAnsi="仿宋_GB2312" w:cs="仿宋_GB2312" w:eastAsia="仿宋_GB2312"/>
                <w:sz w:val="24"/>
              </w:rPr>
              <w:t>采伐面积</w:t>
            </w:r>
            <w:r>
              <w:rPr>
                <w:rFonts w:ascii="仿宋_GB2312" w:hAnsi="仿宋_GB2312" w:cs="仿宋_GB2312" w:eastAsia="仿宋_GB2312"/>
                <w:sz w:val="24"/>
              </w:rPr>
              <w:t>：</w:t>
            </w:r>
            <w:r>
              <w:rPr>
                <w:rFonts w:ascii="仿宋_GB2312" w:hAnsi="仿宋_GB2312" w:cs="仿宋_GB2312" w:eastAsia="仿宋_GB2312"/>
                <w:sz w:val="24"/>
              </w:rPr>
              <w:t>本次采伐设计面积</w:t>
            </w:r>
            <w:r>
              <w:rPr>
                <w:rFonts w:ascii="仿宋_GB2312" w:hAnsi="仿宋_GB2312" w:cs="仿宋_GB2312" w:eastAsia="仿宋_GB2312"/>
                <w:sz w:val="24"/>
              </w:rPr>
              <w:t>10000亩；生长伐面积1002亩，透光伐8998亩。</w:t>
            </w:r>
          </w:p>
          <w:p>
            <w:pPr>
              <w:pStyle w:val="null3"/>
              <w:ind w:firstLine="480"/>
              <w:jc w:val="left"/>
            </w:pPr>
            <w:r>
              <w:rPr>
                <w:rFonts w:ascii="仿宋_GB2312" w:hAnsi="仿宋_GB2312" w:cs="仿宋_GB2312" w:eastAsia="仿宋_GB2312"/>
                <w:sz w:val="24"/>
              </w:rPr>
              <w:t>采伐株数、蓄积、出材量</w:t>
            </w:r>
            <w:r>
              <w:rPr>
                <w:rFonts w:ascii="仿宋_GB2312" w:hAnsi="仿宋_GB2312" w:cs="仿宋_GB2312" w:eastAsia="仿宋_GB2312"/>
                <w:sz w:val="24"/>
              </w:rPr>
              <w:t>：</w:t>
            </w:r>
            <w:r>
              <w:rPr>
                <w:rFonts w:ascii="仿宋_GB2312" w:hAnsi="仿宋_GB2312" w:cs="仿宋_GB2312" w:eastAsia="仿宋_GB2312"/>
                <w:sz w:val="24"/>
              </w:rPr>
              <w:t>本次设计采伐林木株数</w:t>
            </w:r>
            <w:r>
              <w:rPr>
                <w:rFonts w:ascii="仿宋_GB2312" w:hAnsi="仿宋_GB2312" w:cs="仿宋_GB2312" w:eastAsia="仿宋_GB2312"/>
                <w:sz w:val="24"/>
              </w:rPr>
              <w:t>129846株，蓄积818.51</w:t>
            </w:r>
            <w:r>
              <w:rPr>
                <w:rFonts w:ascii="仿宋_GB2312" w:hAnsi="仿宋_GB2312" w:cs="仿宋_GB2312" w:eastAsia="仿宋_GB2312"/>
                <w:sz w:val="24"/>
              </w:rPr>
              <w:t>m</w:t>
            </w:r>
            <w:r>
              <w:rPr>
                <w:rFonts w:ascii="仿宋_GB2312" w:hAnsi="仿宋_GB2312" w:cs="仿宋_GB2312" w:eastAsia="仿宋_GB2312"/>
                <w:sz w:val="24"/>
              </w:rPr>
              <w:t>3</w:t>
            </w:r>
            <w:r>
              <w:rPr>
                <w:rFonts w:ascii="仿宋_GB2312" w:hAnsi="仿宋_GB2312" w:cs="仿宋_GB2312" w:eastAsia="仿宋_GB2312"/>
                <w:sz w:val="24"/>
              </w:rPr>
              <w:t>，出材量</w:t>
            </w:r>
            <w:r>
              <w:rPr>
                <w:rFonts w:ascii="仿宋_GB2312" w:hAnsi="仿宋_GB2312" w:cs="仿宋_GB2312" w:eastAsia="仿宋_GB2312"/>
                <w:sz w:val="24"/>
              </w:rPr>
              <w:t>168.24m</w:t>
            </w:r>
            <w:r>
              <w:rPr>
                <w:rFonts w:ascii="仿宋_GB2312" w:hAnsi="仿宋_GB2312" w:cs="仿宋_GB2312" w:eastAsia="仿宋_GB2312"/>
                <w:sz w:val="24"/>
              </w:rPr>
              <w:t>3</w:t>
            </w:r>
            <w:r>
              <w:rPr>
                <w:rFonts w:ascii="仿宋_GB2312" w:hAnsi="仿宋_GB2312" w:cs="仿宋_GB2312" w:eastAsia="仿宋_GB2312"/>
                <w:sz w:val="24"/>
              </w:rPr>
              <w:t>，均为非规格材。其中：透光伐采伐株数</w:t>
            </w:r>
            <w:r>
              <w:rPr>
                <w:rFonts w:ascii="仿宋_GB2312" w:hAnsi="仿宋_GB2312" w:cs="仿宋_GB2312" w:eastAsia="仿宋_GB2312"/>
                <w:sz w:val="24"/>
              </w:rPr>
              <w:t>115267株，蓄积618.76m</w:t>
            </w:r>
            <w:r>
              <w:rPr>
                <w:rFonts w:ascii="仿宋_GB2312" w:hAnsi="仿宋_GB2312" w:cs="仿宋_GB2312" w:eastAsia="仿宋_GB2312"/>
                <w:sz w:val="24"/>
              </w:rPr>
              <w:t>3</w:t>
            </w:r>
            <w:r>
              <w:rPr>
                <w:rFonts w:ascii="仿宋_GB2312" w:hAnsi="仿宋_GB2312" w:cs="仿宋_GB2312" w:eastAsia="仿宋_GB2312"/>
                <w:sz w:val="24"/>
              </w:rPr>
              <w:t>，出材量</w:t>
            </w:r>
            <w:r>
              <w:rPr>
                <w:rFonts w:ascii="仿宋_GB2312" w:hAnsi="仿宋_GB2312" w:cs="仿宋_GB2312" w:eastAsia="仿宋_GB2312"/>
                <w:sz w:val="24"/>
              </w:rPr>
              <w:t>121.34m</w:t>
            </w:r>
            <w:r>
              <w:rPr>
                <w:rFonts w:ascii="仿宋_GB2312" w:hAnsi="仿宋_GB2312" w:cs="仿宋_GB2312" w:eastAsia="仿宋_GB2312"/>
                <w:sz w:val="24"/>
              </w:rPr>
              <w:t>3</w:t>
            </w:r>
            <w:r>
              <w:rPr>
                <w:rFonts w:ascii="仿宋_GB2312" w:hAnsi="仿宋_GB2312" w:cs="仿宋_GB2312" w:eastAsia="仿宋_GB2312"/>
                <w:sz w:val="24"/>
              </w:rPr>
              <w:t>；生长伐采伐株数</w:t>
            </w:r>
            <w:r>
              <w:rPr>
                <w:rFonts w:ascii="仿宋_GB2312" w:hAnsi="仿宋_GB2312" w:cs="仿宋_GB2312" w:eastAsia="仿宋_GB2312"/>
                <w:sz w:val="24"/>
              </w:rPr>
              <w:t>14579株，蓄积199.75 m</w:t>
            </w:r>
            <w:r>
              <w:rPr>
                <w:rFonts w:ascii="仿宋_GB2312" w:hAnsi="仿宋_GB2312" w:cs="仿宋_GB2312" w:eastAsia="仿宋_GB2312"/>
                <w:sz w:val="24"/>
              </w:rPr>
              <w:t>3</w:t>
            </w:r>
            <w:r>
              <w:rPr>
                <w:rFonts w:ascii="仿宋_GB2312" w:hAnsi="仿宋_GB2312" w:cs="仿宋_GB2312" w:eastAsia="仿宋_GB2312"/>
                <w:sz w:val="24"/>
              </w:rPr>
              <w:t>，出材量</w:t>
            </w:r>
            <w:r>
              <w:rPr>
                <w:rFonts w:ascii="仿宋_GB2312" w:hAnsi="仿宋_GB2312" w:cs="仿宋_GB2312" w:eastAsia="仿宋_GB2312"/>
                <w:sz w:val="24"/>
              </w:rPr>
              <w:t>46.90m</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采伐枯死木株数</w:t>
            </w:r>
            <w:r>
              <w:rPr>
                <w:rFonts w:ascii="仿宋_GB2312" w:hAnsi="仿宋_GB2312" w:cs="仿宋_GB2312" w:eastAsia="仿宋_GB2312"/>
                <w:sz w:val="24"/>
              </w:rPr>
              <w:t>19025株。其中：透光伐采伐株数17316株，生长伐采伐株数1709株。</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采伐时间</w:t>
            </w:r>
          </w:p>
          <w:p>
            <w:pPr>
              <w:pStyle w:val="null3"/>
              <w:ind w:firstLine="480"/>
              <w:jc w:val="left"/>
            </w:pPr>
            <w:r>
              <w:rPr>
                <w:rFonts w:ascii="仿宋_GB2312" w:hAnsi="仿宋_GB2312" w:cs="仿宋_GB2312" w:eastAsia="仿宋_GB2312"/>
                <w:sz w:val="24"/>
              </w:rPr>
              <w:t>2026年7-9月。</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采伐强度</w:t>
            </w:r>
          </w:p>
          <w:p>
            <w:pPr>
              <w:pStyle w:val="null3"/>
              <w:ind w:firstLine="480"/>
              <w:jc w:val="left"/>
            </w:pPr>
            <w:r>
              <w:rPr>
                <w:rFonts w:ascii="仿宋_GB2312" w:hAnsi="仿宋_GB2312" w:cs="仿宋_GB2312" w:eastAsia="仿宋_GB2312"/>
                <w:sz w:val="24"/>
              </w:rPr>
              <w:t>采伐地点位于洛须林场洛须作业区</w:t>
            </w:r>
            <w:r>
              <w:rPr>
                <w:rFonts w:ascii="仿宋_GB2312" w:hAnsi="仿宋_GB2312" w:cs="仿宋_GB2312" w:eastAsia="仿宋_GB2312"/>
                <w:sz w:val="24"/>
              </w:rPr>
              <w:t>1、2、5林班，面积10000亩。</w:t>
            </w:r>
          </w:p>
          <w:p>
            <w:pPr>
              <w:pStyle w:val="null3"/>
              <w:ind w:firstLine="480"/>
              <w:jc w:val="left"/>
            </w:pPr>
            <w:r>
              <w:rPr>
                <w:rFonts w:ascii="仿宋_GB2312" w:hAnsi="仿宋_GB2312" w:cs="仿宋_GB2312" w:eastAsia="仿宋_GB2312"/>
                <w:sz w:val="24"/>
              </w:rPr>
              <w:t>透光伐</w:t>
            </w:r>
            <w:r>
              <w:rPr>
                <w:rFonts w:ascii="仿宋_GB2312" w:hAnsi="仿宋_GB2312" w:cs="仿宋_GB2312" w:eastAsia="仿宋_GB2312"/>
                <w:sz w:val="24"/>
              </w:rPr>
              <w:t>：</w:t>
            </w:r>
            <w:r>
              <w:rPr>
                <w:rFonts w:ascii="仿宋_GB2312" w:hAnsi="仿宋_GB2312" w:cs="仿宋_GB2312" w:eastAsia="仿宋_GB2312"/>
                <w:sz w:val="24"/>
              </w:rPr>
              <w:t>采伐株数</w:t>
            </w:r>
            <w:r>
              <w:rPr>
                <w:rFonts w:ascii="仿宋_GB2312" w:hAnsi="仿宋_GB2312" w:cs="仿宋_GB2312" w:eastAsia="仿宋_GB2312"/>
                <w:sz w:val="24"/>
              </w:rPr>
              <w:t>10～24株/亩，蓄积强度1.38%～2.33%，采伐株数强度为7.41%～13.73%；</w:t>
            </w:r>
          </w:p>
          <w:p>
            <w:pPr>
              <w:pStyle w:val="null3"/>
              <w:ind w:firstLine="480"/>
              <w:jc w:val="left"/>
            </w:pPr>
            <w:r>
              <w:rPr>
                <w:rFonts w:ascii="仿宋_GB2312" w:hAnsi="仿宋_GB2312" w:cs="仿宋_GB2312" w:eastAsia="仿宋_GB2312"/>
                <w:sz w:val="24"/>
              </w:rPr>
              <w:t>生长伐</w:t>
            </w:r>
            <w:r>
              <w:rPr>
                <w:rFonts w:ascii="仿宋_GB2312" w:hAnsi="仿宋_GB2312" w:cs="仿宋_GB2312" w:eastAsia="仿宋_GB2312"/>
                <w:sz w:val="24"/>
              </w:rPr>
              <w:t>：</w:t>
            </w:r>
            <w:r>
              <w:rPr>
                <w:rFonts w:ascii="仿宋_GB2312" w:hAnsi="仿宋_GB2312" w:cs="仿宋_GB2312" w:eastAsia="仿宋_GB2312"/>
                <w:sz w:val="24"/>
              </w:rPr>
              <w:t>采伐株数</w:t>
            </w:r>
            <w:r>
              <w:rPr>
                <w:rFonts w:ascii="仿宋_GB2312" w:hAnsi="仿宋_GB2312" w:cs="仿宋_GB2312" w:eastAsia="仿宋_GB2312"/>
                <w:sz w:val="24"/>
              </w:rPr>
              <w:t>7～20株/亩，蓄积强度1.46%～2.24%，采伐株数强度为8.00%～13.15%；</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采伐后的林分</w:t>
            </w:r>
          </w:p>
          <w:p>
            <w:pPr>
              <w:pStyle w:val="null3"/>
              <w:ind w:firstLine="480"/>
              <w:jc w:val="left"/>
            </w:pPr>
            <w:r>
              <w:rPr>
                <w:rFonts w:ascii="仿宋_GB2312" w:hAnsi="仿宋_GB2312" w:cs="仿宋_GB2312" w:eastAsia="仿宋_GB2312"/>
                <w:sz w:val="24"/>
              </w:rPr>
              <w:t>林分郁闭度采伐前为</w:t>
            </w:r>
            <w:r>
              <w:rPr>
                <w:rFonts w:ascii="仿宋_GB2312" w:hAnsi="仿宋_GB2312" w:cs="仿宋_GB2312" w:eastAsia="仿宋_GB2312"/>
                <w:sz w:val="24"/>
              </w:rPr>
              <w:t>0.73-0.85，采伐后0.66-0.80；郁闭度降低未超过0.20。</w:t>
            </w:r>
          </w:p>
          <w:p>
            <w:pPr>
              <w:pStyle w:val="null3"/>
              <w:ind w:firstLine="480"/>
              <w:jc w:val="left"/>
            </w:pPr>
            <w:r>
              <w:rPr>
                <w:rFonts w:ascii="仿宋_GB2312" w:hAnsi="仿宋_GB2312" w:cs="仿宋_GB2312" w:eastAsia="仿宋_GB2312"/>
                <w:sz w:val="24"/>
              </w:rPr>
              <w:t>采伐前平均株数为</w:t>
            </w:r>
            <w:r>
              <w:rPr>
                <w:rFonts w:ascii="仿宋_GB2312" w:hAnsi="仿宋_GB2312" w:cs="仿宋_GB2312" w:eastAsia="仿宋_GB2312"/>
                <w:sz w:val="24"/>
              </w:rPr>
              <w:t>117株/亩，采伐后平均株数为105株/亩。</w:t>
            </w:r>
          </w:p>
          <w:p>
            <w:pPr>
              <w:pStyle w:val="null3"/>
              <w:ind w:firstLine="480"/>
              <w:jc w:val="left"/>
            </w:pPr>
            <w:r>
              <w:rPr>
                <w:rFonts w:ascii="仿宋_GB2312" w:hAnsi="仿宋_GB2312" w:cs="仿宋_GB2312" w:eastAsia="仿宋_GB2312"/>
                <w:sz w:val="24"/>
              </w:rPr>
              <w:t>目的树种的林木株数所占林分总株数的比例未减少。</w:t>
            </w:r>
          </w:p>
          <w:p>
            <w:pPr>
              <w:pStyle w:val="null3"/>
              <w:ind w:firstLine="480"/>
              <w:jc w:val="left"/>
            </w:pPr>
            <w:r>
              <w:rPr>
                <w:rFonts w:ascii="仿宋_GB2312" w:hAnsi="仿宋_GB2312" w:cs="仿宋_GB2312" w:eastAsia="仿宋_GB2312"/>
                <w:sz w:val="24"/>
              </w:rPr>
              <w:t>林分目的树种平均胸径采伐前为</w:t>
            </w:r>
            <w:r>
              <w:rPr>
                <w:rFonts w:ascii="仿宋_GB2312" w:hAnsi="仿宋_GB2312" w:cs="仿宋_GB2312" w:eastAsia="仿宋_GB2312"/>
                <w:sz w:val="24"/>
              </w:rPr>
              <w:t>10.4厘米，采伐后为10.8厘米，平均树高采伐前为6.3米，采伐后为6.7米。</w:t>
            </w:r>
          </w:p>
          <w:p>
            <w:pPr>
              <w:pStyle w:val="null3"/>
              <w:ind w:firstLine="480"/>
              <w:jc w:val="left"/>
            </w:pPr>
            <w:r>
              <w:rPr>
                <w:rFonts w:ascii="仿宋_GB2312" w:hAnsi="仿宋_GB2312" w:cs="仿宋_GB2312" w:eastAsia="仿宋_GB2312"/>
                <w:sz w:val="24"/>
              </w:rPr>
              <w:t>在林分中的乡土树种已作为辅助木保留。保留密度合理，林木分布均匀，未造成林窗、林中空地。</w:t>
            </w:r>
          </w:p>
          <w:p>
            <w:pPr>
              <w:pStyle w:val="null3"/>
              <w:ind w:firstLine="480"/>
              <w:jc w:val="left"/>
            </w:pPr>
            <w:r>
              <w:rPr>
                <w:rFonts w:ascii="仿宋_GB2312" w:hAnsi="仿宋_GB2312" w:cs="仿宋_GB2312" w:eastAsia="仿宋_GB2312"/>
                <w:sz w:val="24"/>
              </w:rPr>
              <w:t>对过密林分进行了修枝，修除了病枝、死枝、干枝，增加林分的通透度。防止一次修枝过重，未造成伤疤过多、难以愈合和影响树木生长的后果。</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采伐技术要求</w:t>
            </w:r>
          </w:p>
          <w:p>
            <w:pPr>
              <w:pStyle w:val="null3"/>
              <w:ind w:firstLine="480"/>
              <w:jc w:val="left"/>
            </w:pPr>
            <w:r>
              <w:rPr>
                <w:rFonts w:ascii="仿宋_GB2312" w:hAnsi="仿宋_GB2312" w:cs="仿宋_GB2312" w:eastAsia="仿宋_GB2312"/>
                <w:sz w:val="24"/>
              </w:rPr>
              <w:t>主要伐除生长落后、径级较小的生长不良木、病腐木、虫害木、濒死木、枯死木等，要求不改变自然选择的趋势，森林仍保持较好的水平郁闭。严禁砍好留劣、砍稀留密、砍大留小、砍直留弯，严禁采伐目标树、辅助树，不允许出现林窗，注意保护采伐边界外的林木。</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采伐技术要求</w:t>
            </w:r>
          </w:p>
          <w:p>
            <w:pPr>
              <w:pStyle w:val="null3"/>
              <w:ind w:firstLine="480"/>
              <w:jc w:val="left"/>
            </w:pPr>
            <w:r>
              <w:rPr>
                <w:rFonts w:ascii="仿宋_GB2312" w:hAnsi="仿宋_GB2312" w:cs="仿宋_GB2312" w:eastAsia="仿宋_GB2312"/>
                <w:sz w:val="24"/>
              </w:rPr>
              <w:t>作业时使用油锯、斧头、弯把锯、弯刀等工具进行采伐林木。主要伐除枯死木、濒死木、受害木。严禁砍好留劣，砍大留小，砍直留弯、砍稀留密，不允许出现林窗，注意保护幼苗树和采伐边界外的林木。</w:t>
            </w:r>
          </w:p>
          <w:p>
            <w:pPr>
              <w:pStyle w:val="null3"/>
              <w:ind w:firstLine="480"/>
              <w:jc w:val="left"/>
            </w:pPr>
            <w:r>
              <w:rPr>
                <w:rFonts w:ascii="仿宋_GB2312" w:hAnsi="仿宋_GB2312" w:cs="仿宋_GB2312" w:eastAsia="仿宋_GB2312"/>
                <w:sz w:val="24"/>
              </w:rPr>
              <w:t>按照标记伐除的干扰木（濒死木、受害木或受害木、不良木），做到定向伐木，保护好林地内的幼苗幼树。</w:t>
            </w:r>
          </w:p>
          <w:p>
            <w:pPr>
              <w:pStyle w:val="null3"/>
              <w:ind w:firstLine="480"/>
              <w:jc w:val="left"/>
            </w:pPr>
            <w:r>
              <w:rPr>
                <w:rFonts w:ascii="仿宋_GB2312" w:hAnsi="仿宋_GB2312" w:cs="仿宋_GB2312" w:eastAsia="仿宋_GB2312"/>
                <w:sz w:val="24"/>
              </w:rPr>
              <w:t>伐桩要低于</w:t>
            </w:r>
            <w:r>
              <w:rPr>
                <w:rFonts w:ascii="仿宋_GB2312" w:hAnsi="仿宋_GB2312" w:cs="仿宋_GB2312" w:eastAsia="仿宋_GB2312"/>
                <w:sz w:val="24"/>
              </w:rPr>
              <w:t>10厘米，采伐过程中注意不得破坏土壤。</w:t>
            </w:r>
          </w:p>
          <w:p>
            <w:pPr>
              <w:pStyle w:val="null3"/>
              <w:ind w:firstLine="480"/>
              <w:jc w:val="left"/>
            </w:pPr>
            <w:r>
              <w:rPr>
                <w:rFonts w:ascii="仿宋_GB2312" w:hAnsi="仿宋_GB2312" w:cs="仿宋_GB2312" w:eastAsia="仿宋_GB2312"/>
                <w:sz w:val="24"/>
              </w:rPr>
              <w:t>如遇伐倒木相互重叠时，作业的顺序应先上后下，作业时锯截的方向应和枝丫伸展的方向一致。</w:t>
            </w:r>
          </w:p>
          <w:p>
            <w:pPr>
              <w:pStyle w:val="null3"/>
              <w:ind w:firstLine="480"/>
              <w:jc w:val="left"/>
            </w:pPr>
            <w:r>
              <w:rPr>
                <w:rFonts w:ascii="仿宋_GB2312" w:hAnsi="仿宋_GB2312" w:cs="仿宋_GB2312" w:eastAsia="仿宋_GB2312"/>
                <w:sz w:val="24"/>
              </w:rPr>
              <w:t>打枝必须打尽、修平，保证树干表面平整光滑，不得留有凸出的枝丫和凹陷、劈裂等损伤，树节处砍至与木质部齐。</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堆腐技术要求</w:t>
            </w:r>
          </w:p>
          <w:p>
            <w:pPr>
              <w:pStyle w:val="null3"/>
              <w:ind w:firstLine="480"/>
              <w:jc w:val="left"/>
            </w:pPr>
            <w:r>
              <w:rPr>
                <w:rFonts w:ascii="仿宋_GB2312" w:hAnsi="仿宋_GB2312" w:cs="仿宋_GB2312" w:eastAsia="仿宋_GB2312"/>
                <w:sz w:val="24"/>
              </w:rPr>
              <w:t>不能利用的采用砍短（长度</w:t>
            </w:r>
            <w:r>
              <w:rPr>
                <w:rFonts w:ascii="仿宋_GB2312" w:hAnsi="仿宋_GB2312" w:cs="仿宋_GB2312" w:eastAsia="仿宋_GB2312"/>
                <w:sz w:val="24"/>
              </w:rPr>
              <w:t>0.5～1.0米）进行横山带状堆腐。</w:t>
            </w:r>
          </w:p>
          <w:p>
            <w:pPr>
              <w:pStyle w:val="null3"/>
              <w:ind w:firstLine="480"/>
              <w:jc w:val="left"/>
            </w:pPr>
            <w:r>
              <w:rPr>
                <w:rFonts w:ascii="仿宋_GB2312" w:hAnsi="仿宋_GB2312" w:cs="仿宋_GB2312" w:eastAsia="仿宋_GB2312"/>
                <w:sz w:val="24"/>
              </w:rPr>
              <w:t>对坡度</w:t>
            </w:r>
            <w:r>
              <w:rPr>
                <w:rFonts w:ascii="仿宋_GB2312" w:hAnsi="仿宋_GB2312" w:cs="仿宋_GB2312" w:eastAsia="仿宋_GB2312"/>
                <w:sz w:val="24"/>
              </w:rPr>
              <w:t>&gt;25°的林地，堆腐带应打桩固定。</w:t>
            </w:r>
          </w:p>
          <w:p>
            <w:pPr>
              <w:pStyle w:val="null3"/>
              <w:ind w:firstLine="480"/>
              <w:jc w:val="left"/>
            </w:pPr>
            <w:r>
              <w:rPr>
                <w:rFonts w:ascii="仿宋_GB2312" w:hAnsi="仿宋_GB2312" w:cs="仿宋_GB2312" w:eastAsia="仿宋_GB2312"/>
                <w:sz w:val="24"/>
              </w:rPr>
              <w:t>堆腐地点选择，不得影响林分管理通行，且高度不得超过</w:t>
            </w:r>
            <w:r>
              <w:rPr>
                <w:rFonts w:ascii="仿宋_GB2312" w:hAnsi="仿宋_GB2312" w:cs="仿宋_GB2312" w:eastAsia="仿宋_GB2312"/>
                <w:sz w:val="24"/>
              </w:rPr>
              <w:t>1米。</w:t>
            </w:r>
          </w:p>
          <w:p>
            <w:pPr>
              <w:pStyle w:val="null3"/>
              <w:ind w:firstLine="480"/>
              <w:jc w:val="left"/>
            </w:pPr>
            <w:r>
              <w:rPr>
                <w:rFonts w:ascii="仿宋_GB2312" w:hAnsi="仿宋_GB2312" w:cs="仿宋_GB2312" w:eastAsia="仿宋_GB2312"/>
                <w:sz w:val="24"/>
              </w:rPr>
              <w:t>堆放点避开小河、小溪径流，同时避开可能造成水土流失的区域。</w:t>
            </w:r>
          </w:p>
          <w:p>
            <w:pPr>
              <w:pStyle w:val="null3"/>
              <w:ind w:firstLine="482"/>
              <w:jc w:val="left"/>
            </w:pPr>
            <w:r>
              <w:rPr>
                <w:rFonts w:ascii="仿宋_GB2312" w:hAnsi="仿宋_GB2312" w:cs="仿宋_GB2312" w:eastAsia="仿宋_GB2312"/>
                <w:sz w:val="24"/>
                <w:b/>
              </w:rPr>
              <w:t>5.</w:t>
            </w:r>
            <w:r>
              <w:rPr>
                <w:rFonts w:ascii="仿宋_GB2312" w:hAnsi="仿宋_GB2312" w:cs="仿宋_GB2312" w:eastAsia="仿宋_GB2312"/>
                <w:sz w:val="24"/>
                <w:b/>
              </w:rPr>
              <w:t>剩余物清理</w:t>
            </w:r>
          </w:p>
          <w:p>
            <w:pPr>
              <w:pStyle w:val="null3"/>
              <w:ind w:firstLine="480"/>
              <w:jc w:val="left"/>
            </w:pPr>
            <w:r>
              <w:rPr>
                <w:rFonts w:ascii="仿宋_GB2312" w:hAnsi="仿宋_GB2312" w:cs="仿宋_GB2312" w:eastAsia="仿宋_GB2312"/>
                <w:sz w:val="24"/>
              </w:rPr>
              <w:t>按照林业有害生物防治、森林防火、环境保护等要求，为保持林内卫生状况，以利于林木生长，将抚育林地采取人工方式进行清理，清除抚育剩余物，主要采取以下技术措施进行处理：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对采伐的干扰树主干，截短带状堆腐。对坡度</w:t>
            </w:r>
            <w:r>
              <w:rPr>
                <w:rFonts w:ascii="仿宋_GB2312" w:hAnsi="仿宋_GB2312" w:cs="仿宋_GB2312" w:eastAsia="仿宋_GB2312"/>
                <w:sz w:val="24"/>
              </w:rPr>
              <w:t>&gt;25°的林地，堆腐带应打桩固定。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对抚育作业的剩余物枝梢、枝桠等截短带状堆腐。堆放点避开小河、小溪径流。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对于剔除的杂灌杂草，选择林中地势平缓的空地进行分层叠放堆腐，一层碎料加一层细土作菌源，最外层抹</w:t>
            </w:r>
            <w:r>
              <w:rPr>
                <w:rFonts w:ascii="仿宋_GB2312" w:hAnsi="仿宋_GB2312" w:cs="仿宋_GB2312" w:eastAsia="仿宋_GB2312"/>
                <w:sz w:val="24"/>
              </w:rPr>
              <w:t>2cm稀泥或盖草帘，保温保湿。</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在清理剩余物时，尽量避免损伤林木和破坏林下植被、造成对生物多样性影响和引发水土流失。</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对抚育作业施工时，带入林地内的食品包装袋、塑料袋等应捡回统一集中处理，对临时生活区的废弃物应及时进行清理。</w:t>
            </w:r>
          </w:p>
          <w:p>
            <w:pPr>
              <w:pStyle w:val="null3"/>
              <w:ind w:firstLine="482"/>
              <w:jc w:val="left"/>
            </w:pPr>
            <w:r>
              <w:rPr>
                <w:rFonts w:ascii="仿宋_GB2312" w:hAnsi="仿宋_GB2312" w:cs="仿宋_GB2312" w:eastAsia="仿宋_GB2312"/>
                <w:sz w:val="24"/>
                <w:b/>
              </w:rPr>
              <w:t>6.</w:t>
            </w:r>
            <w:r>
              <w:rPr>
                <w:rFonts w:ascii="仿宋_GB2312" w:hAnsi="仿宋_GB2312" w:cs="仿宋_GB2312" w:eastAsia="仿宋_GB2312"/>
                <w:sz w:val="24"/>
                <w:b/>
              </w:rPr>
              <w:t>安全与场地卫生</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劳动保护</w:t>
            </w:r>
            <w:r>
              <w:rPr>
                <w:rFonts w:ascii="仿宋_GB2312" w:hAnsi="仿宋_GB2312" w:cs="仿宋_GB2312" w:eastAsia="仿宋_GB2312"/>
                <w:sz w:val="24"/>
                <w:b/>
              </w:rPr>
              <w:t>措施</w:t>
            </w:r>
          </w:p>
          <w:p>
            <w:pPr>
              <w:pStyle w:val="null3"/>
              <w:ind w:firstLine="480"/>
              <w:jc w:val="left"/>
            </w:pPr>
            <w:r>
              <w:rPr>
                <w:rFonts w:ascii="仿宋_GB2312" w:hAnsi="仿宋_GB2312" w:cs="仿宋_GB2312" w:eastAsia="仿宋_GB2312"/>
                <w:sz w:val="24"/>
              </w:rPr>
              <w:t>供应商应为实施人员</w:t>
            </w:r>
            <w:r>
              <w:rPr>
                <w:rFonts w:ascii="仿宋_GB2312" w:hAnsi="仿宋_GB2312" w:cs="仿宋_GB2312" w:eastAsia="仿宋_GB2312"/>
                <w:sz w:val="24"/>
              </w:rPr>
              <w:t>提供安全、健康的工作环境，不应超时作业。</w:t>
            </w:r>
          </w:p>
          <w:p>
            <w:pPr>
              <w:pStyle w:val="null3"/>
              <w:ind w:firstLine="480"/>
              <w:jc w:val="left"/>
            </w:pPr>
            <w:r>
              <w:rPr>
                <w:rFonts w:ascii="仿宋_GB2312" w:hAnsi="仿宋_GB2312" w:cs="仿宋_GB2312" w:eastAsia="仿宋_GB2312"/>
                <w:sz w:val="24"/>
              </w:rPr>
              <w:t>供应商应为实施人员</w:t>
            </w:r>
            <w:r>
              <w:rPr>
                <w:rFonts w:ascii="仿宋_GB2312" w:hAnsi="仿宋_GB2312" w:cs="仿宋_GB2312" w:eastAsia="仿宋_GB2312"/>
                <w:sz w:val="24"/>
              </w:rPr>
              <w:t>提供必备的安全帽、手套等防护用品。</w:t>
            </w:r>
          </w:p>
          <w:p>
            <w:pPr>
              <w:pStyle w:val="null3"/>
              <w:ind w:firstLine="480"/>
              <w:jc w:val="left"/>
            </w:pPr>
            <w:r>
              <w:rPr>
                <w:rFonts w:ascii="仿宋_GB2312" w:hAnsi="仿宋_GB2312" w:cs="仿宋_GB2312" w:eastAsia="仿宋_GB2312"/>
                <w:sz w:val="24"/>
              </w:rPr>
              <w:t>供应商应为实施人员</w:t>
            </w:r>
            <w:r>
              <w:rPr>
                <w:rFonts w:ascii="仿宋_GB2312" w:hAnsi="仿宋_GB2312" w:cs="仿宋_GB2312" w:eastAsia="仿宋_GB2312"/>
                <w:sz w:val="24"/>
              </w:rPr>
              <w:t>提供足够的、符合饮用标准的生活用水。</w:t>
            </w:r>
          </w:p>
          <w:p>
            <w:pPr>
              <w:pStyle w:val="null3"/>
              <w:ind w:firstLine="480"/>
              <w:jc w:val="left"/>
            </w:pPr>
            <w:r>
              <w:rPr>
                <w:rFonts w:ascii="仿宋_GB2312" w:hAnsi="仿宋_GB2312" w:cs="仿宋_GB2312" w:eastAsia="仿宋_GB2312"/>
                <w:sz w:val="24"/>
              </w:rPr>
              <w:t>供应商应为实施人员提供</w:t>
            </w:r>
            <w:r>
              <w:rPr>
                <w:rFonts w:ascii="仿宋_GB2312" w:hAnsi="仿宋_GB2312" w:cs="仿宋_GB2312" w:eastAsia="仿宋_GB2312"/>
                <w:sz w:val="24"/>
              </w:rPr>
              <w:t>常见的预防、急救、自救方法</w:t>
            </w:r>
            <w:r>
              <w:rPr>
                <w:rFonts w:ascii="仿宋_GB2312" w:hAnsi="仿宋_GB2312" w:cs="仿宋_GB2312" w:eastAsia="仿宋_GB2312"/>
                <w:sz w:val="24"/>
              </w:rPr>
              <w:t>培训</w:t>
            </w:r>
            <w:r>
              <w:rPr>
                <w:rFonts w:ascii="仿宋_GB2312" w:hAnsi="仿宋_GB2312" w:cs="仿宋_GB2312" w:eastAsia="仿宋_GB2312"/>
                <w:sz w:val="24"/>
              </w:rPr>
              <w:t>（如流血、昏厥、虫、蛇咬伤等）。</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供应商应为实施人员</w:t>
            </w:r>
            <w:r>
              <w:rPr>
                <w:rFonts w:ascii="仿宋_GB2312" w:hAnsi="仿宋_GB2312" w:cs="仿宋_GB2312" w:eastAsia="仿宋_GB2312"/>
                <w:sz w:val="24"/>
              </w:rPr>
              <w:t>作业点或作业点附近应有常用的急救药品和器具。</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落实森林防火责任</w:t>
            </w:r>
          </w:p>
          <w:p>
            <w:pPr>
              <w:pStyle w:val="null3"/>
              <w:ind w:firstLine="480"/>
              <w:jc w:val="left"/>
            </w:pPr>
            <w:r>
              <w:rPr>
                <w:rFonts w:ascii="仿宋_GB2312" w:hAnsi="仿宋_GB2312" w:cs="仿宋_GB2312" w:eastAsia="仿宋_GB2312"/>
                <w:sz w:val="24"/>
              </w:rPr>
              <w:t>在实施森林修复施工作业时，按照《森林防火条例》、《四川省森林防火条例》、《甘孜州林区野外用火管理办法》、《甘孜藏族自治州森林草原防火工作责任追究暂行办法》等有关规定，严格执行森林草原防火纪律与规章制度，把防火责任落实到</w:t>
            </w:r>
            <w:r>
              <w:rPr>
                <w:rFonts w:ascii="仿宋_GB2312" w:hAnsi="仿宋_GB2312" w:cs="仿宋_GB2312" w:eastAsia="仿宋_GB2312"/>
                <w:sz w:val="24"/>
              </w:rPr>
              <w:t>供应商</w:t>
            </w:r>
            <w:r>
              <w:rPr>
                <w:rFonts w:ascii="仿宋_GB2312" w:hAnsi="仿宋_GB2312" w:cs="仿宋_GB2312" w:eastAsia="仿宋_GB2312"/>
                <w:sz w:val="24"/>
              </w:rPr>
              <w:t>和个人，签订防火责任书，分解和细化责任，层级落实责任，实行领导包点、干部包片、人人联责，层层约束，加大防火责任考核和问责力度，建立森林防火工作责任追究机制。</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加强防火培训</w:t>
            </w:r>
          </w:p>
          <w:p>
            <w:pPr>
              <w:pStyle w:val="null3"/>
              <w:ind w:firstLine="480"/>
              <w:jc w:val="left"/>
            </w:pPr>
            <w:r>
              <w:rPr>
                <w:rFonts w:ascii="仿宋_GB2312" w:hAnsi="仿宋_GB2312" w:cs="仿宋_GB2312" w:eastAsia="仿宋_GB2312"/>
                <w:sz w:val="24"/>
              </w:rPr>
              <w:t>在森林修复施工作业前，</w:t>
            </w:r>
            <w:r>
              <w:rPr>
                <w:rFonts w:ascii="仿宋_GB2312" w:hAnsi="仿宋_GB2312" w:cs="仿宋_GB2312" w:eastAsia="仿宋_GB2312"/>
                <w:sz w:val="24"/>
              </w:rPr>
              <w:t>协助</w:t>
            </w:r>
            <w:r>
              <w:rPr>
                <w:rFonts w:ascii="仿宋_GB2312" w:hAnsi="仿宋_GB2312" w:cs="仿宋_GB2312" w:eastAsia="仿宋_GB2312"/>
                <w:sz w:val="24"/>
              </w:rPr>
              <w:t>县林草局组织举办森林修复业务技能培训，结合森林草原防火培训一并进行，学习如何防止、组织扑救森林火灾，根据施工作业区（地点）的资源分布、自然条件、沟道（水源）、道路等实际情况，讲解和分析防灭火必要措施，把安全扑救森林火灾放在首位。对森林灭火机具使用进行演练培训，提高认识、提高技能、凝聚力量、明确职责，达到我知情、我参与，有效防范森林草原火灾。</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严格火源管控</w:t>
            </w:r>
          </w:p>
          <w:p>
            <w:pPr>
              <w:pStyle w:val="null3"/>
              <w:ind w:firstLine="480"/>
              <w:jc w:val="left"/>
            </w:pPr>
            <w:r>
              <w:rPr>
                <w:rFonts w:ascii="仿宋_GB2312" w:hAnsi="仿宋_GB2312" w:cs="仿宋_GB2312" w:eastAsia="仿宋_GB2312"/>
                <w:sz w:val="24"/>
              </w:rPr>
              <w:t>在实施森林修复时，严格执行《甘孜藏族自治州森林草原防火条例》、《甘孜藏族自治州林区野外用火管理办法》等规定要求，未经许可严禁携带火种及其它易引起森林火灾的物品进入林区，严禁野外吸烟、点火取暖及野炊，采取严厉措施，严管进山火源、做到不留隐患、不留漏洞，看住人、管住火，有效防控森林火灾，保护国家森林生态资源，维护林区社会稳定和谐。</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防火主要措施</w:t>
            </w:r>
          </w:p>
          <w:p>
            <w:pPr>
              <w:pStyle w:val="null3"/>
              <w:ind w:firstLine="480"/>
              <w:jc w:val="left"/>
            </w:pPr>
            <w:r>
              <w:rPr>
                <w:rFonts w:ascii="仿宋_GB2312" w:hAnsi="仿宋_GB2312" w:cs="仿宋_GB2312" w:eastAsia="仿宋_GB2312"/>
                <w:sz w:val="24"/>
              </w:rPr>
              <w:t>在森林修复施工期间，严格按《甘孜藏族自治州林区野外用火管理办法》执行，野外用火必须经审批后，方可用火，并采取以下主要措施：</w:t>
            </w:r>
          </w:p>
          <w:p>
            <w:pPr>
              <w:pStyle w:val="null3"/>
              <w:ind w:firstLine="480"/>
              <w:jc w:val="left"/>
            </w:pPr>
            <w:r>
              <w:rPr>
                <w:rFonts w:ascii="仿宋_GB2312" w:hAnsi="仿宋_GB2312" w:cs="仿宋_GB2312" w:eastAsia="仿宋_GB2312"/>
                <w:sz w:val="24"/>
              </w:rPr>
              <w:t>防火设备配置：在实施森林修复期间，对施工作业点配备必备的防灭火消防器材。</w:t>
            </w:r>
          </w:p>
          <w:p>
            <w:pPr>
              <w:pStyle w:val="null3"/>
              <w:ind w:firstLine="480"/>
              <w:jc w:val="left"/>
            </w:pPr>
            <w:r>
              <w:rPr>
                <w:rFonts w:ascii="仿宋_GB2312" w:hAnsi="仿宋_GB2312" w:cs="仿宋_GB2312" w:eastAsia="仿宋_GB2312"/>
                <w:sz w:val="24"/>
              </w:rPr>
              <w:t>严格控制火源：</w:t>
            </w:r>
            <w:r>
              <w:rPr>
                <w:rFonts w:ascii="仿宋_GB2312" w:hAnsi="仿宋_GB2312" w:cs="仿宋_GB2312" w:eastAsia="仿宋_GB2312"/>
                <w:sz w:val="24"/>
              </w:rPr>
              <w:t>供应商</w:t>
            </w:r>
            <w:r>
              <w:rPr>
                <w:rFonts w:ascii="仿宋_GB2312" w:hAnsi="仿宋_GB2312" w:cs="仿宋_GB2312" w:eastAsia="仿宋_GB2312"/>
                <w:sz w:val="24"/>
              </w:rPr>
              <w:t>及个人未经森林防灭火相关部门批准，严禁在林区擅自野外使用火源，严格执行《石渠县封山禁火令》，不携带火种进入森林修复林地，不在林区吸烟，不在野外烧火取暖、烧茶、野炊。</w:t>
            </w:r>
          </w:p>
          <w:p>
            <w:pPr>
              <w:pStyle w:val="null3"/>
              <w:ind w:firstLine="480"/>
              <w:jc w:val="left"/>
            </w:pPr>
            <w:r>
              <w:rPr>
                <w:rFonts w:ascii="仿宋_GB2312" w:hAnsi="仿宋_GB2312" w:cs="仿宋_GB2312" w:eastAsia="仿宋_GB2312"/>
                <w:sz w:val="24"/>
              </w:rPr>
              <w:t>作业区防火：经批准同意野外用火，首先应对用火点进行全面清理用火场地，在火源周边</w:t>
            </w:r>
            <w:r>
              <w:rPr>
                <w:rFonts w:ascii="仿宋_GB2312" w:hAnsi="仿宋_GB2312" w:cs="仿宋_GB2312" w:eastAsia="仿宋_GB2312"/>
                <w:sz w:val="24"/>
              </w:rPr>
              <w:t>10-15米内不能有任何可燃物，安排专人负责现地用火，用火点应选择在林地外靠水源近的溪流或沟道边，准备好消防桶备好水，用火结束后，应彻底将火熄灭。</w:t>
            </w:r>
          </w:p>
          <w:p>
            <w:pPr>
              <w:pStyle w:val="null3"/>
              <w:ind w:firstLine="480"/>
              <w:jc w:val="left"/>
            </w:pPr>
            <w:r>
              <w:rPr>
                <w:rFonts w:ascii="仿宋_GB2312" w:hAnsi="仿宋_GB2312" w:cs="仿宋_GB2312" w:eastAsia="仿宋_GB2312"/>
                <w:sz w:val="24"/>
              </w:rPr>
              <w:t>机械设备防火：在使用机械设备时，对机械设备进行全面检查，是否完好无损、是否漏油，清除机械设备表面油污，以防高温或其它因素而引发火灾隐患。在对机械设备加油时，应确保周边无可燃物质，对机械的排气、点火或产生高温的系统，应安装防火装置或采取防火措施。</w:t>
            </w:r>
          </w:p>
          <w:p>
            <w:pPr>
              <w:pStyle w:val="null3"/>
              <w:ind w:firstLine="480"/>
              <w:jc w:val="left"/>
            </w:pPr>
            <w:r>
              <w:rPr>
                <w:rFonts w:ascii="仿宋_GB2312" w:hAnsi="仿宋_GB2312" w:cs="仿宋_GB2312" w:eastAsia="仿宋_GB2312"/>
                <w:sz w:val="24"/>
              </w:rPr>
              <w:t>护林防火安全：</w:t>
            </w:r>
            <w:r>
              <w:rPr>
                <w:rFonts w:ascii="仿宋_GB2312" w:hAnsi="仿宋_GB2312" w:cs="仿宋_GB2312" w:eastAsia="仿宋_GB2312"/>
                <w:sz w:val="24"/>
              </w:rPr>
              <w:t>服务</w:t>
            </w:r>
            <w:r>
              <w:rPr>
                <w:rFonts w:ascii="仿宋_GB2312" w:hAnsi="仿宋_GB2312" w:cs="仿宋_GB2312" w:eastAsia="仿宋_GB2312"/>
                <w:sz w:val="24"/>
              </w:rPr>
              <w:t>人员通过培训应熟练掌握森林防火、灭火、清理、控制等灭火基本技能常识，遇到突发情况，能快速判断火情，采取必要的灭火措施，并及时向有关部门报告，在处理火情时，应对火情进行危险性估计，以保证人身安全。</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场地</w:t>
            </w:r>
            <w:r>
              <w:rPr>
                <w:rFonts w:ascii="仿宋_GB2312" w:hAnsi="仿宋_GB2312" w:cs="仿宋_GB2312" w:eastAsia="仿宋_GB2312"/>
                <w:sz w:val="24"/>
                <w:b/>
              </w:rPr>
              <w:t>卫生</w:t>
            </w:r>
          </w:p>
          <w:p>
            <w:pPr>
              <w:pStyle w:val="null3"/>
              <w:ind w:firstLine="480"/>
              <w:jc w:val="left"/>
            </w:pPr>
            <w:r>
              <w:rPr>
                <w:rFonts w:ascii="仿宋_GB2312" w:hAnsi="仿宋_GB2312" w:cs="仿宋_GB2312" w:eastAsia="仿宋_GB2312"/>
                <w:sz w:val="24"/>
              </w:rPr>
              <w:t>本项目实施过程中</w:t>
            </w:r>
            <w:r>
              <w:rPr>
                <w:rFonts w:ascii="仿宋_GB2312" w:hAnsi="仿宋_GB2312" w:cs="仿宋_GB2312" w:eastAsia="仿宋_GB2312"/>
                <w:sz w:val="24"/>
              </w:rPr>
              <w:t>的生活废水，不得排入附近水体，不要乱扔垃圾，生活废水、废渣要在固定位置倒放，并随时进行清理，在林地内生活产生的食品外包装、废弃材料等白色垃圾应带出林地外集中处理，不得就地遗弃。</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其他相关要求</w:t>
            </w:r>
          </w:p>
        </w:tc>
        <w:tc>
          <w:tcPr>
            <w:tcW w:type="dxa" w:w="5814"/>
          </w:tcPr>
          <w:p>
            <w:pPr>
              <w:pStyle w:val="null3"/>
              <w:jc w:val="both"/>
            </w:pPr>
            <w:r>
              <w:rPr>
                <w:rFonts w:ascii="仿宋_GB2312" w:hAnsi="仿宋_GB2312" w:cs="仿宋_GB2312" w:eastAsia="仿宋_GB2312"/>
                <w:sz w:val="24"/>
              </w:rPr>
              <w:t>1.本项目自</w:t>
            </w:r>
            <w:r>
              <w:rPr>
                <w:rFonts w:ascii="仿宋_GB2312" w:hAnsi="仿宋_GB2312" w:cs="仿宋_GB2312" w:eastAsia="仿宋_GB2312"/>
                <w:sz w:val="24"/>
              </w:rPr>
              <w:t>成交供应商</w:t>
            </w:r>
            <w:r>
              <w:rPr>
                <w:rFonts w:ascii="仿宋_GB2312" w:hAnsi="仿宋_GB2312" w:cs="仿宋_GB2312" w:eastAsia="仿宋_GB2312"/>
                <w:sz w:val="24"/>
              </w:rPr>
              <w:t>签订合同之日起至提交全部成果验收合格之日止，</w:t>
            </w:r>
            <w:r>
              <w:rPr>
                <w:rFonts w:ascii="仿宋_GB2312" w:hAnsi="仿宋_GB2312" w:cs="仿宋_GB2312" w:eastAsia="仿宋_GB2312"/>
                <w:sz w:val="24"/>
              </w:rPr>
              <w:t>成交供应商</w:t>
            </w:r>
            <w:r>
              <w:rPr>
                <w:rFonts w:ascii="仿宋_GB2312" w:hAnsi="仿宋_GB2312" w:cs="仿宋_GB2312" w:eastAsia="仿宋_GB2312"/>
                <w:sz w:val="24"/>
              </w:rPr>
              <w:t>将负责该项目实施过程中的人身安全、财产安全、环境安全，因本项目实施过程中造成的直接或间接损失，均由</w:t>
            </w:r>
            <w:r>
              <w:rPr>
                <w:rFonts w:ascii="仿宋_GB2312" w:hAnsi="仿宋_GB2312" w:cs="仿宋_GB2312" w:eastAsia="仿宋_GB2312"/>
                <w:sz w:val="24"/>
              </w:rPr>
              <w:t>成交供应商</w:t>
            </w:r>
            <w:r>
              <w:rPr>
                <w:rFonts w:ascii="仿宋_GB2312" w:hAnsi="仿宋_GB2312" w:cs="仿宋_GB2312" w:eastAsia="仿宋_GB2312"/>
                <w:sz w:val="24"/>
              </w:rPr>
              <w:t>自行承担</w:t>
            </w:r>
            <w:r>
              <w:rPr>
                <w:rFonts w:ascii="仿宋_GB2312" w:hAnsi="仿宋_GB2312" w:cs="仿宋_GB2312" w:eastAsia="仿宋_GB2312"/>
                <w:sz w:val="24"/>
                <w:b/>
              </w:rPr>
              <w:t>（单独提供承诺函，格式自拟并加盖</w:t>
            </w:r>
            <w:r>
              <w:rPr>
                <w:rFonts w:ascii="仿宋_GB2312" w:hAnsi="仿宋_GB2312" w:cs="仿宋_GB2312" w:eastAsia="仿宋_GB2312"/>
                <w:sz w:val="24"/>
                <w:b/>
              </w:rPr>
              <w:t>供应商</w:t>
            </w:r>
            <w:r>
              <w:rPr>
                <w:rFonts w:ascii="仿宋_GB2312" w:hAnsi="仿宋_GB2312" w:cs="仿宋_GB2312" w:eastAsia="仿宋_GB2312"/>
                <w:sz w:val="24"/>
                <w:b/>
              </w:rPr>
              <w:t>公章）。</w:t>
            </w:r>
          </w:p>
          <w:p>
            <w:pPr>
              <w:pStyle w:val="null3"/>
              <w:jc w:val="both"/>
            </w:pPr>
            <w:r>
              <w:rPr>
                <w:rFonts w:ascii="仿宋_GB2312" w:hAnsi="仿宋_GB2312" w:cs="仿宋_GB2312" w:eastAsia="仿宋_GB2312"/>
                <w:sz w:val="24"/>
              </w:rPr>
              <w:t>2.保密要求：中标单位因履行本合同所获得的一切原始资料、信息及相关工作成果属采购人所有，中标单位负有保密义务。未经采购人书面同意，中标单位不得在合同期内或合同履行完毕后以任何方式对外泄露或用于与本项目无关的其他任何事项。如因中标单位过错导致采购人遭受损失的，中标单位应承担全部赔偿责任。采购人提供的所有技术资料和基础资料（文字、图纸、电子数据等）均受知识产保护，未经采购人授权，任何人不得将其内容复制、引用、改编、分发、发布、外借、转让。</w:t>
            </w:r>
          </w:p>
          <w:p>
            <w:pPr>
              <w:pStyle w:val="null3"/>
              <w:jc w:val="both"/>
            </w:pPr>
            <w:r>
              <w:rPr>
                <w:rFonts w:ascii="仿宋_GB2312" w:hAnsi="仿宋_GB2312" w:cs="仿宋_GB2312" w:eastAsia="仿宋_GB2312"/>
                <w:sz w:val="24"/>
              </w:rPr>
              <w:t>3.本项目采购文件若在实施过程中颁布了最新的国家、行业及相关标准则按最新标准执行。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其他相关要求</w:t>
            </w:r>
          </w:p>
        </w:tc>
        <w:tc>
          <w:tcPr>
            <w:tcW w:type="dxa" w:w="5814"/>
          </w:tcPr>
          <w:p>
            <w:pPr>
              <w:pStyle w:val="null3"/>
              <w:jc w:val="both"/>
            </w:pPr>
            <w:r>
              <w:rPr>
                <w:rFonts w:ascii="仿宋_GB2312" w:hAnsi="仿宋_GB2312" w:cs="仿宋_GB2312" w:eastAsia="仿宋_GB2312"/>
                <w:sz w:val="24"/>
              </w:rPr>
              <w:t>4.为保障项目质量，供应商应为本项目提供相关的实施方案、保障方案等内容，并为本项目配备相关人员，具有相关履约经验。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4"/>
              </w:rPr>
              <w:t>本</w:t>
            </w:r>
            <w:r>
              <w:rPr>
                <w:rFonts w:ascii="仿宋_GB2312" w:hAnsi="仿宋_GB2312" w:cs="仿宋_GB2312" w:eastAsia="仿宋_GB2312"/>
                <w:sz w:val="24"/>
              </w:rPr>
              <w:t>项目所报价格包含</w:t>
            </w:r>
            <w:r>
              <w:rPr>
                <w:rFonts w:ascii="仿宋_GB2312" w:hAnsi="仿宋_GB2312" w:cs="仿宋_GB2312" w:eastAsia="仿宋_GB2312"/>
                <w:sz w:val="24"/>
              </w:rPr>
              <w:t>人工费、差旅费、资料费、税费、</w:t>
            </w:r>
            <w:r>
              <w:rPr>
                <w:rFonts w:ascii="仿宋_GB2312" w:hAnsi="仿宋_GB2312" w:cs="仿宋_GB2312" w:eastAsia="仿宋_GB2312"/>
                <w:sz w:val="24"/>
              </w:rPr>
              <w:t>利润</w:t>
            </w:r>
            <w:r>
              <w:rPr>
                <w:rFonts w:ascii="仿宋_GB2312" w:hAnsi="仿宋_GB2312" w:cs="仿宋_GB2312" w:eastAsia="仿宋_GB2312"/>
                <w:sz w:val="24"/>
              </w:rPr>
              <w:t>及磋商文件要求的其他费用等项目相关的所有费用，采购人不再另行支付其他费用</w:t>
            </w:r>
            <w:r>
              <w:rPr>
                <w:rFonts w:ascii="仿宋_GB2312" w:hAnsi="仿宋_GB2312" w:cs="仿宋_GB2312" w:eastAsia="仿宋_GB2312"/>
                <w:sz w:val="24"/>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合同签订后210日。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石渠县（采购人指定的地点）。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①验收方式：供应商提出验收申请后，由采购人自行组织验收，验收时采购人、供应商双方皆应派员参加。 ②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1、合同签订后，达到付款条件起15日内，支付合同总金额的30.00%</w:t>
            </w:r>
          </w:p>
          <w:p>
            <w:pPr>
              <w:pStyle w:val="null3"/>
              <w:jc w:val="left"/>
            </w:pPr>
            <w:r>
              <w:rPr>
                <w:rFonts w:ascii="仿宋_GB2312" w:hAnsi="仿宋_GB2312" w:cs="仿宋_GB2312" w:eastAsia="仿宋_GB2312"/>
              </w:rPr>
              <w:t>2、完成所有服务内容后，达到付款条件起15日内，支付合同总金额的50.00%</w:t>
            </w:r>
          </w:p>
          <w:p>
            <w:pPr>
              <w:pStyle w:val="null3"/>
              <w:jc w:val="left"/>
            </w:pPr>
            <w:r>
              <w:rPr>
                <w:rFonts w:ascii="仿宋_GB2312" w:hAnsi="仿宋_GB2312" w:cs="仿宋_GB2312" w:eastAsia="仿宋_GB2312"/>
              </w:rPr>
              <w:t>3、经采购人验收合格后，达到付款条件起15日内，支付合同总金额的20.00%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①采购人及成交人双方必须遵守采购合同并执行合同中的各项规定，保证采购合同的正常履行。任何一方违约给对方造成的直接损失均负有赔偿责任，对方均有权视情况要求对方继续履行合同或提出解除合同。 ②如因成交人在履行过程中的疏忽、失职、过错等故意或者过失原因给采购人造成损失或侵害，包括但不限于采购人本身的财产损失、由此而导致的采购人对任何第三方的法律责任等，成交人对此均应承担全部的赔偿责任。 ③如成交人提交的成果达不到相关质量要求或未按采购人时间进度安排完成成果，采购人有权扣除合同支付金额和提出解除合同。 （2）争议解决办法 ①采购人及成交人双方就采购合同所产生的任何争议都应该进行友好协商，协商解决不成的，任何一方均可向项目所在地仲裁委员会申请仲裁。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若供应商有递交质疑函的情况，具体邮寄信息详见采购文件第二章供应商须知附表中的 2.8 询问、质疑和投诉相关事宜，并须在邮寄后电话告知相 关当事人（此条无需供应商进行响应）。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或2024或2025年度经审计的财务报告复印件（包含审计报告和审计报告中所涉及的财务报表和报表附注），②也可提供2023或2024或2025年度投标人的财务报表复印件（至少包含资产负债表），③也可提供距文件递交截止日一年内银行出具的资信证明（复印件），④投标人注册时间截至响应文件递交截止日不足一年的，也可提供工商管理部门备案的公司章程（复印件），⑤也可提供具有健全的财务会计制度的承诺函。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注：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并进行电子签章，残疾人福利性单位提供《残疾人福利性单位声明函》并进行电子签章，监狱企业提供由省级以上监狱管理局、戒毒管理局（含新疆生产建设兵团）出具的属于监狱企业的证明文件并进行电子签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技术要求中的实质性要求，对供应商响应内容进行审查，未响应或未响应完全的，磋商小组应当将其响应文件作为无效投标处理（若采购文件第三章技术要求中无实质性要求，则不对此项进行审查）。</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在评审过程中，磋商小组应按照采购文件第三章服务内容要求中实质性要求，对供应商响应内容进行审查，未响应或未响应完全的，磋商小组应当将其响应文件作为无效投标处理。</w:t>
            </w:r>
          </w:p>
        </w:tc>
        <w:tc>
          <w:tcPr>
            <w:tcW w:type="dxa" w:w="1661"/>
          </w:tcPr>
          <w:p>
            <w:pPr>
              <w:pStyle w:val="null3"/>
              <w:jc w:val="left"/>
            </w:pPr>
            <w:r>
              <w:rPr>
                <w:rFonts w:ascii="仿宋_GB2312" w:hAnsi="仿宋_GB2312" w:cs="仿宋_GB2312" w:eastAsia="仿宋_GB2312"/>
              </w:rPr>
              <w:t>服务内容要求应答表.docx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在评审过程中，磋商小组应按照采购文件第三章商务要求中实质性要求，对供应商响应内容进行审查，未响应或未响应完全的，磋商小组应当将其响应文件作为无效投标处理。</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本项目若涉及异常低价投标审查的，按照采购文件5.3.6相关要求执行。</w:t>
            </w:r>
          </w:p>
        </w:tc>
        <w:tc>
          <w:tcPr>
            <w:tcW w:type="dxa" w:w="1661"/>
          </w:tcPr>
          <w:p>
            <w:pPr>
              <w:pStyle w:val="null3"/>
              <w:jc w:val="left"/>
            </w:pPr>
            <w:r>
              <w:rPr>
                <w:rFonts w:ascii="仿宋_GB2312" w:hAnsi="仿宋_GB2312" w:cs="仿宋_GB2312" w:eastAsia="仿宋_GB2312"/>
              </w:rPr>
              <w:t>其它供应商认为应该提供的相关材料.docx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审过程中，磋商小组应对供应商提供的按采购文件中的明确要求进行单独承诺或提供承诺函或要求提供原件扫描件（认证信息截图）等实质性要求的响应资料进行审查，未响应或未响应完全的，磋商小组应当将其响应文件作为无效投标处理。</w:t>
            </w:r>
          </w:p>
        </w:tc>
        <w:tc>
          <w:tcPr>
            <w:tcW w:type="dxa" w:w="1661"/>
          </w:tcPr>
          <w:p>
            <w:pPr>
              <w:pStyle w:val="null3"/>
              <w:jc w:val="left"/>
            </w:pPr>
            <w:r>
              <w:rPr>
                <w:rFonts w:ascii="仿宋_GB2312" w:hAnsi="仿宋_GB2312" w:cs="仿宋_GB2312" w:eastAsia="仿宋_GB2312"/>
              </w:rPr>
              <w:t>响应文件封面,其它供应商认为应该提供的相关材料.docx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实施方案（包含①项目重难点分析及对应解决措施；②项目具体实施流程及技术路线；③项目人员岗位职责及日常管理制度；④档案信息管理方案；⑤森林防火技术方案；⑥应急处理预案）进行评审，方案齐全且无缺陷的得48分，每缺少一项内容的扣8分；每项中每有一处缺陷的扣4分，每项最多扣8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供应商针对本项目提供的保障方案（包含①进度计划安排及进度保障措施；②质量保障措施；③人员安全保障措施；④环境保护及生物多样性保护措施）进行评审，方案齐全且无缺陷的得24分，每缺少一项内容的扣6分；每项中每有一处缺陷的扣3分，每项最多扣6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1、投标人拟投入本项目的项目负责人（1人）：具有林业相关专业中级职称证书得3分，具有林业相关专业高级职称证书得6分；本项最多得6分。 2、投标人拟投入本项目的项目团队其他人员：每有1人具有林业相关专业初级职称证书得1分；每有1人具有林业相关专业中级或以上职称证书得2分；本项最多得6分。 注：以上所有人员不重复计分（若有重复时，按就高不就低原则一次计分），需提供人员职称证书复印件并加盖供应商公章。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其它供应商认为应该提供的相关材料.docx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自2023年1月1日（含1月1日）以来至响应文件递交截止之日止，供应商每提供一个类似业绩的得6分，本项最多得6分。 注：提供中标/成交通知书（以中标/成交通知书落款时间为准）复印件或协议/合同（协议/合同以签订时间为准）复印件，并加盖供应商公章，否则不得分。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其它供应商认为应该提供的相关材料.docx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详见附件：其它供应商认为应该提供的相关材料.docx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