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E3D392">
      <w:pPr>
        <w:rPr>
          <w:rFonts w:hint="eastAsia" w:ascii="仿宋" w:hAnsi="仿宋" w:eastAsia="仿宋" w:cs="仿宋"/>
          <w:color w:val="auto"/>
          <w:lang w:eastAsia="zh-Hans"/>
        </w:rPr>
      </w:pPr>
    </w:p>
    <w:p w14:paraId="32213538">
      <w:pPr>
        <w:rPr>
          <w:rFonts w:hint="eastAsia" w:ascii="仿宋" w:hAnsi="仿宋" w:eastAsia="仿宋" w:cs="仿宋"/>
          <w:color w:val="auto"/>
          <w:lang w:eastAsia="zh-Hans"/>
        </w:rPr>
      </w:pPr>
    </w:p>
    <w:p w14:paraId="5D04D2A5">
      <w:pPr>
        <w:jc w:val="center"/>
        <w:outlineLvl w:val="0"/>
        <w:rPr>
          <w:rFonts w:hint="eastAsia" w:ascii="仿宋" w:hAnsi="仿宋" w:eastAsia="仿宋" w:cs="仿宋"/>
          <w:color w:val="auto"/>
          <w:lang w:eastAsia="zh-Hans"/>
        </w:rPr>
      </w:pPr>
      <w:r>
        <w:rPr>
          <w:rFonts w:hint="eastAsia" w:ascii="仿宋" w:hAnsi="仿宋" w:eastAsia="仿宋" w:cs="仿宋"/>
          <w:b/>
          <w:color w:val="auto"/>
          <w:sz w:val="48"/>
          <w:lang w:eastAsia="zh-Hans"/>
        </w:rPr>
        <w:t xml:space="preserve"> </w:t>
      </w:r>
      <w:r>
        <w:rPr>
          <w:rFonts w:hint="eastAsia" w:ascii="仿宋" w:hAnsi="仿宋" w:eastAsia="仿宋" w:cs="仿宋"/>
          <w:b/>
          <w:bCs/>
          <w:color w:val="auto"/>
          <w:sz w:val="36"/>
          <w:szCs w:val="36"/>
          <w:lang w:eastAsia="zh-Hans"/>
        </w:rPr>
        <w:t>202</w:t>
      </w:r>
      <w:r>
        <w:rPr>
          <w:rFonts w:hint="eastAsia" w:ascii="仿宋" w:hAnsi="仿宋" w:eastAsia="仿宋" w:cs="仿宋"/>
          <w:b/>
          <w:bCs/>
          <w:color w:val="auto"/>
          <w:sz w:val="36"/>
          <w:szCs w:val="36"/>
          <w:lang w:val="en-US" w:eastAsia="zh-CN"/>
        </w:rPr>
        <w:t>6</w:t>
      </w:r>
      <w:r>
        <w:rPr>
          <w:rFonts w:hint="eastAsia" w:ascii="仿宋" w:hAnsi="仿宋" w:eastAsia="仿宋" w:cs="仿宋"/>
          <w:b/>
          <w:bCs/>
          <w:color w:val="auto"/>
          <w:sz w:val="36"/>
          <w:szCs w:val="36"/>
          <w:lang w:eastAsia="zh-Hans"/>
        </w:rPr>
        <w:t>年教工食堂大宗食材配送服务采购合同</w:t>
      </w:r>
      <w:r>
        <w:rPr>
          <w:rFonts w:hint="eastAsia" w:ascii="仿宋" w:hAnsi="仿宋" w:eastAsia="仿宋" w:cs="仿宋"/>
          <w:color w:val="auto"/>
          <w:lang w:eastAsia="zh-Hans"/>
        </w:rPr>
        <w:br w:type="textWrapping"/>
      </w:r>
    </w:p>
    <w:p w14:paraId="6E56323C">
      <w:pPr>
        <w:jc w:val="center"/>
        <w:outlineLvl w:val="0"/>
        <w:rPr>
          <w:rFonts w:hint="eastAsia" w:ascii="仿宋" w:hAnsi="仿宋" w:eastAsia="仿宋" w:cs="仿宋"/>
          <w:color w:val="auto"/>
        </w:rPr>
      </w:pPr>
      <w:r>
        <w:rPr>
          <w:rFonts w:hint="eastAsia" w:ascii="仿宋" w:hAnsi="仿宋" w:eastAsia="仿宋" w:cs="仿宋"/>
          <w:color w:val="auto"/>
        </w:rPr>
        <w:t>（采购包XXX ：XXX）</w:t>
      </w:r>
    </w:p>
    <w:p w14:paraId="546F8625">
      <w:pPr>
        <w:jc w:val="center"/>
        <w:outlineLvl w:val="0"/>
        <w:rPr>
          <w:rFonts w:hint="eastAsia" w:ascii="仿宋" w:hAnsi="仿宋" w:eastAsia="仿宋" w:cs="仿宋"/>
          <w:color w:val="auto"/>
          <w:lang w:eastAsia="zh-Hans"/>
        </w:rPr>
      </w:pPr>
    </w:p>
    <w:p w14:paraId="7904A394">
      <w:pPr>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 xml:space="preserve"> 甲方（采购人）：</w:t>
      </w:r>
      <w:r>
        <w:rPr>
          <w:rFonts w:hint="eastAsia" w:ascii="宋体" w:hAnsi="宋体" w:eastAsia="宋体" w:cs="宋体"/>
          <w:color w:val="auto"/>
          <w:sz w:val="21"/>
          <w:szCs w:val="21"/>
          <w:u w:val="single"/>
          <w:lang w:eastAsia="zh-Hans"/>
        </w:rPr>
        <w:t>眉山职业技术学院</w:t>
      </w:r>
    </w:p>
    <w:p w14:paraId="66075BEF">
      <w:pPr>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 xml:space="preserve"> 地址：</w:t>
      </w:r>
      <w:r>
        <w:rPr>
          <w:rFonts w:hint="eastAsia" w:ascii="宋体" w:hAnsi="宋体" w:eastAsia="宋体" w:cs="宋体"/>
          <w:color w:val="auto"/>
          <w:sz w:val="21"/>
          <w:szCs w:val="21"/>
          <w:u w:val="single"/>
          <w:lang w:eastAsia="zh-Hans"/>
        </w:rPr>
        <w:t>眉山市东坡区眉州大道岷东段5号</w:t>
      </w:r>
    </w:p>
    <w:p w14:paraId="28B18086">
      <w:pPr>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 xml:space="preserve"> 乙方(供应商)：__________________</w:t>
      </w:r>
    </w:p>
    <w:p w14:paraId="6B110F14">
      <w:pPr>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 xml:space="preserve"> 地址：__________________</w:t>
      </w:r>
    </w:p>
    <w:p w14:paraId="75E5368A">
      <w:pPr>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 xml:space="preserve"> </w:t>
      </w:r>
      <w:r>
        <w:rPr>
          <w:rFonts w:hint="eastAsia" w:ascii="宋体" w:hAnsi="宋体" w:eastAsia="宋体" w:cs="宋体"/>
          <w:color w:val="auto"/>
          <w:sz w:val="21"/>
          <w:szCs w:val="21"/>
        </w:rPr>
        <w:t xml:space="preserve">   </w:t>
      </w:r>
      <w:r>
        <w:rPr>
          <w:rFonts w:hint="eastAsia" w:ascii="宋体" w:hAnsi="宋体" w:eastAsia="宋体" w:cs="宋体"/>
          <w:color w:val="auto"/>
          <w:sz w:val="21"/>
          <w:szCs w:val="21"/>
          <w:lang w:eastAsia="zh-Hans"/>
        </w:rPr>
        <w:t>依据《中华人民共和国民法典》《中华人民共和国政府采购法》</w:t>
      </w:r>
      <w:r>
        <w:rPr>
          <w:rFonts w:hint="eastAsia" w:ascii="宋体" w:hAnsi="宋体" w:eastAsia="宋体" w:cs="宋体"/>
          <w:color w:val="auto"/>
          <w:sz w:val="21"/>
          <w:szCs w:val="21"/>
        </w:rPr>
        <w:t>及实施条例，以及</w:t>
      </w:r>
      <w:r>
        <w:rPr>
          <w:rFonts w:hint="eastAsia" w:ascii="宋体" w:hAnsi="宋体" w:eastAsia="宋体" w:cs="宋体"/>
          <w:color w:val="auto"/>
          <w:sz w:val="21"/>
          <w:szCs w:val="21"/>
          <w:lang w:eastAsia="zh-Hans"/>
        </w:rPr>
        <w:t>行业有关的法律法规，XXX采购项目</w:t>
      </w:r>
      <w:r>
        <w:rPr>
          <w:rFonts w:hint="eastAsia" w:ascii="宋体" w:hAnsi="宋体" w:eastAsia="宋体" w:cs="宋体"/>
          <w:color w:val="auto"/>
          <w:sz w:val="21"/>
          <w:szCs w:val="21"/>
        </w:rPr>
        <w:t>包一或包二或包三</w:t>
      </w:r>
      <w:r>
        <w:rPr>
          <w:rFonts w:hint="eastAsia" w:ascii="宋体" w:hAnsi="宋体" w:eastAsia="宋体" w:cs="宋体"/>
          <w:color w:val="auto"/>
          <w:sz w:val="21"/>
          <w:szCs w:val="21"/>
          <w:lang w:eastAsia="zh-Hans"/>
        </w:rPr>
        <w:t>的 《</w:t>
      </w:r>
      <w:r>
        <w:rPr>
          <w:rFonts w:hint="eastAsia" w:ascii="宋体" w:hAnsi="宋体" w:eastAsia="宋体" w:cs="宋体"/>
          <w:color w:val="auto"/>
          <w:sz w:val="21"/>
          <w:szCs w:val="21"/>
        </w:rPr>
        <w:t>谈判</w:t>
      </w:r>
      <w:r>
        <w:rPr>
          <w:rFonts w:hint="eastAsia" w:ascii="宋体" w:hAnsi="宋体" w:eastAsia="宋体" w:cs="宋体"/>
          <w:color w:val="auto"/>
          <w:sz w:val="21"/>
          <w:szCs w:val="21"/>
          <w:lang w:eastAsia="zh-Hans"/>
        </w:rPr>
        <w:t>文件》，乙方的《响应文件》</w:t>
      </w:r>
      <w:r>
        <w:rPr>
          <w:rFonts w:hint="eastAsia" w:ascii="宋体" w:hAnsi="宋体" w:eastAsia="宋体" w:cs="宋体"/>
          <w:color w:val="auto"/>
          <w:sz w:val="21"/>
          <w:szCs w:val="21"/>
        </w:rPr>
        <w:t>、项目</w:t>
      </w:r>
      <w:r>
        <w:rPr>
          <w:rFonts w:hint="eastAsia" w:ascii="宋体" w:hAnsi="宋体" w:eastAsia="宋体" w:cs="宋体"/>
          <w:color w:val="auto"/>
          <w:sz w:val="21"/>
          <w:szCs w:val="21"/>
          <w:lang w:eastAsia="zh-Hans"/>
        </w:rPr>
        <w:t>《成交通知书》</w:t>
      </w:r>
      <w:r>
        <w:rPr>
          <w:rFonts w:hint="eastAsia" w:ascii="宋体" w:hAnsi="宋体" w:eastAsia="宋体" w:cs="宋体"/>
          <w:color w:val="auto"/>
          <w:sz w:val="21"/>
          <w:szCs w:val="21"/>
        </w:rPr>
        <w:t>等</w:t>
      </w:r>
      <w:r>
        <w:rPr>
          <w:rFonts w:hint="eastAsia" w:ascii="宋体" w:hAnsi="宋体" w:eastAsia="宋体" w:cs="宋体"/>
          <w:color w:val="auto"/>
          <w:sz w:val="21"/>
          <w:szCs w:val="21"/>
          <w:lang w:eastAsia="zh-Hans"/>
        </w:rPr>
        <w:t>，甲、乙双方同意签订本合同</w:t>
      </w:r>
      <w:r>
        <w:rPr>
          <w:rFonts w:hint="eastAsia" w:ascii="宋体" w:hAnsi="宋体" w:eastAsia="宋体" w:cs="宋体"/>
          <w:color w:val="auto"/>
          <w:sz w:val="21"/>
          <w:szCs w:val="21"/>
        </w:rPr>
        <w:t>并</w:t>
      </w:r>
      <w:r>
        <w:rPr>
          <w:rFonts w:hint="eastAsia" w:ascii="宋体" w:hAnsi="宋体" w:eastAsia="宋体" w:cs="宋体"/>
          <w:color w:val="auto"/>
          <w:sz w:val="21"/>
          <w:szCs w:val="21"/>
          <w:lang w:eastAsia="zh-Hans"/>
        </w:rPr>
        <w:t>共同遵守如下条款。详细条款说明及其他有关合同项目的特定信息由合同附件予以说明，合同附件及本项目的谈判文件、响应文件、成交通知书等均为本合同不可分割的部分。</w:t>
      </w:r>
    </w:p>
    <w:p w14:paraId="570BC0D8">
      <w:pPr>
        <w:numPr>
          <w:ilvl w:val="0"/>
          <w:numId w:val="1"/>
        </w:numPr>
        <w:ind w:left="331" w:leftChars="57" w:hanging="211" w:hangingChars="100"/>
        <w:outlineLvl w:val="3"/>
        <w:rPr>
          <w:rFonts w:hint="eastAsia" w:ascii="宋体" w:hAnsi="宋体" w:eastAsia="宋体" w:cs="宋体"/>
          <w:b/>
          <w:color w:val="auto"/>
          <w:sz w:val="21"/>
          <w:szCs w:val="21"/>
        </w:rPr>
      </w:pPr>
      <w:r>
        <w:rPr>
          <w:rFonts w:hint="eastAsia" w:ascii="宋体" w:hAnsi="宋体" w:eastAsia="宋体" w:cs="宋体"/>
          <w:b/>
          <w:color w:val="auto"/>
          <w:sz w:val="21"/>
          <w:szCs w:val="21"/>
        </w:rPr>
        <w:t>服务内容</w:t>
      </w:r>
    </w:p>
    <w:p w14:paraId="7C3874FD">
      <w:pPr>
        <w:rPr>
          <w:rFonts w:hint="eastAsia" w:ascii="宋体" w:hAnsi="宋体" w:eastAsia="宋体" w:cs="宋体"/>
          <w:b/>
          <w:color w:val="auto"/>
          <w:sz w:val="21"/>
          <w:szCs w:val="21"/>
        </w:rPr>
      </w:pPr>
      <w:r>
        <w:rPr>
          <w:rFonts w:hint="eastAsia" w:ascii="宋体" w:hAnsi="宋体" w:eastAsia="宋体" w:cs="宋体"/>
          <w:color w:val="auto"/>
          <w:sz w:val="21"/>
          <w:szCs w:val="21"/>
        </w:rPr>
        <w:t>本项目为满足学校教工食堂食材配送需求，保障全体干部职工用餐要求，配送物资的种类包括但不限于采购包一：</w:t>
      </w:r>
      <w:r>
        <w:rPr>
          <w:rFonts w:hint="eastAsia" w:ascii="宋体" w:hAnsi="宋体" w:cs="宋体"/>
          <w:color w:val="auto"/>
          <w:sz w:val="21"/>
          <w:szCs w:val="21"/>
          <w:highlight w:val="none"/>
        </w:rPr>
        <w:t>大米、面粉</w:t>
      </w:r>
      <w:r>
        <w:rPr>
          <w:rFonts w:hint="eastAsia" w:ascii="宋体" w:hAnsi="宋体" w:cs="宋体"/>
          <w:color w:val="auto"/>
          <w:sz w:val="21"/>
          <w:szCs w:val="21"/>
          <w:highlight w:val="none"/>
          <w:lang w:val="en-US" w:eastAsia="zh-CN"/>
        </w:rPr>
        <w:t>(含酵母、泡打粉）</w:t>
      </w:r>
      <w:r>
        <w:rPr>
          <w:rFonts w:hint="eastAsia" w:ascii="宋体" w:hAnsi="宋体" w:cs="宋体"/>
          <w:color w:val="auto"/>
          <w:sz w:val="21"/>
          <w:szCs w:val="21"/>
          <w:highlight w:val="none"/>
        </w:rPr>
        <w:t>、食用油、干杂调味品</w:t>
      </w:r>
      <w:r>
        <w:rPr>
          <w:rFonts w:hint="eastAsia" w:ascii="宋体" w:hAnsi="宋体" w:cs="宋体"/>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lang w:eastAsia="zh-CN"/>
        </w:rPr>
        <w:t>禽蛋类、</w:t>
      </w:r>
      <w:r>
        <w:rPr>
          <w:rFonts w:hint="eastAsia" w:asciiTheme="minorEastAsia" w:hAnsiTheme="minorEastAsia" w:eastAsiaTheme="minorEastAsia" w:cstheme="minorEastAsia"/>
          <w:color w:val="auto"/>
          <w:sz w:val="21"/>
          <w:szCs w:val="21"/>
        </w:rPr>
        <w:t>乳制品、快消品</w:t>
      </w:r>
      <w:r>
        <w:rPr>
          <w:rFonts w:hint="eastAsia" w:ascii="宋体" w:hAnsi="宋体" w:cs="宋体"/>
          <w:color w:val="auto"/>
          <w:sz w:val="21"/>
          <w:szCs w:val="21"/>
          <w:highlight w:val="none"/>
          <w:lang w:eastAsia="zh-CN"/>
        </w:rPr>
        <w:t>类</w:t>
      </w:r>
      <w:r>
        <w:rPr>
          <w:rFonts w:hint="eastAsia" w:ascii="宋体" w:hAnsi="宋体" w:cs="宋体"/>
          <w:color w:val="auto"/>
          <w:sz w:val="21"/>
          <w:szCs w:val="21"/>
          <w:highlight w:val="none"/>
        </w:rPr>
        <w:t>等配送服务</w:t>
      </w:r>
      <w:r>
        <w:rPr>
          <w:rFonts w:hint="eastAsia" w:ascii="宋体" w:hAnsi="宋体" w:eastAsia="宋体" w:cs="宋体"/>
          <w:color w:val="auto"/>
          <w:sz w:val="21"/>
          <w:szCs w:val="21"/>
        </w:rPr>
        <w:t>；采购包二：生鲜肉类</w:t>
      </w:r>
      <w:r>
        <w:rPr>
          <w:rFonts w:hint="eastAsia" w:ascii="宋体" w:hAnsi="宋体" w:cs="宋体"/>
          <w:color w:val="auto"/>
          <w:sz w:val="21"/>
          <w:szCs w:val="21"/>
          <w:lang w:eastAsia="zh-CN"/>
        </w:rPr>
        <w:t>、</w:t>
      </w:r>
      <w:r>
        <w:rPr>
          <w:rFonts w:hint="eastAsia" w:ascii="宋体" w:hAnsi="宋体" w:eastAsia="宋体" w:cs="宋体"/>
          <w:color w:val="auto"/>
          <w:sz w:val="21"/>
          <w:szCs w:val="21"/>
        </w:rPr>
        <w:t>禽肉类</w:t>
      </w:r>
      <w:r>
        <w:rPr>
          <w:rFonts w:hint="eastAsia" w:ascii="宋体" w:hAnsi="宋体" w:cs="宋体"/>
          <w:color w:val="auto"/>
          <w:sz w:val="21"/>
          <w:szCs w:val="21"/>
          <w:lang w:eastAsia="zh-CN"/>
        </w:rPr>
        <w:t>、</w:t>
      </w:r>
      <w:r>
        <w:rPr>
          <w:rFonts w:hint="eastAsia" w:ascii="宋体" w:hAnsi="宋体" w:eastAsia="宋体" w:cs="宋体"/>
          <w:color w:val="auto"/>
          <w:sz w:val="21"/>
          <w:szCs w:val="21"/>
        </w:rPr>
        <w:t>水产品类</w:t>
      </w:r>
      <w:r>
        <w:rPr>
          <w:rFonts w:hint="eastAsia" w:ascii="宋体" w:hAnsi="宋体" w:cs="宋体"/>
          <w:color w:val="auto"/>
          <w:sz w:val="21"/>
          <w:szCs w:val="21"/>
          <w:lang w:eastAsia="zh-CN"/>
        </w:rPr>
        <w:t>、</w:t>
      </w:r>
      <w:r>
        <w:rPr>
          <w:rFonts w:hint="eastAsia" w:ascii="宋体" w:hAnsi="宋体" w:cs="宋体"/>
          <w:color w:val="auto"/>
          <w:sz w:val="21"/>
          <w:szCs w:val="21"/>
          <w:highlight w:val="none"/>
        </w:rPr>
        <w:t>冻货类</w:t>
      </w:r>
      <w:r>
        <w:rPr>
          <w:rFonts w:hint="eastAsia" w:ascii="宋体" w:hAnsi="宋体" w:cs="宋体"/>
          <w:color w:val="auto"/>
          <w:sz w:val="21"/>
          <w:szCs w:val="21"/>
          <w:lang w:val="en-US" w:eastAsia="zh-CN"/>
        </w:rPr>
        <w:t>；</w:t>
      </w:r>
      <w:r>
        <w:rPr>
          <w:rFonts w:hint="eastAsia" w:ascii="宋体" w:hAnsi="宋体" w:eastAsia="宋体" w:cs="宋体"/>
          <w:color w:val="auto"/>
          <w:sz w:val="21"/>
          <w:szCs w:val="21"/>
        </w:rPr>
        <w:t>采购包</w:t>
      </w:r>
      <w:r>
        <w:rPr>
          <w:rFonts w:hint="eastAsia" w:ascii="宋体" w:hAnsi="宋体" w:cs="宋体"/>
          <w:color w:val="auto"/>
          <w:sz w:val="21"/>
          <w:szCs w:val="21"/>
          <w:lang w:val="en-US" w:eastAsia="zh-CN"/>
        </w:rPr>
        <w:t>三</w:t>
      </w:r>
      <w:r>
        <w:rPr>
          <w:rFonts w:hint="eastAsia" w:ascii="宋体" w:hAnsi="宋体" w:eastAsia="宋体" w:cs="宋体"/>
          <w:color w:val="auto"/>
          <w:sz w:val="21"/>
          <w:szCs w:val="21"/>
        </w:rPr>
        <w:t>：蔬菜水果类、豆腐豆制品类、面制品类配送服务。</w:t>
      </w:r>
      <w:r>
        <w:rPr>
          <w:rFonts w:hint="eastAsia" w:ascii="宋体" w:hAnsi="宋体" w:eastAsia="宋体" w:cs="宋体"/>
          <w:color w:val="auto"/>
          <w:sz w:val="21"/>
          <w:szCs w:val="21"/>
          <w:lang w:eastAsia="zh-Hans"/>
        </w:rPr>
        <w:br w:type="textWrapping"/>
      </w:r>
      <w:r>
        <w:rPr>
          <w:rFonts w:hint="eastAsia" w:ascii="宋体" w:hAnsi="宋体" w:eastAsia="宋体" w:cs="宋体"/>
          <w:color w:val="auto"/>
          <w:sz w:val="21"/>
          <w:szCs w:val="21"/>
        </w:rPr>
        <w:t xml:space="preserve"> </w:t>
      </w:r>
      <w:r>
        <w:rPr>
          <w:rFonts w:hint="eastAsia" w:ascii="宋体" w:hAnsi="宋体" w:eastAsia="宋体" w:cs="宋体"/>
          <w:b/>
          <w:color w:val="auto"/>
          <w:sz w:val="21"/>
          <w:szCs w:val="21"/>
        </w:rPr>
        <w:t xml:space="preserve"> 二、服务期限</w:t>
      </w:r>
    </w:p>
    <w:p w14:paraId="578CB4E9">
      <w:pPr>
        <w:ind w:left="-90" w:leftChars="-43" w:firstLine="422" w:firstLineChars="200"/>
        <w:outlineLvl w:val="3"/>
        <w:rPr>
          <w:rFonts w:hint="default" w:ascii="宋体" w:hAnsi="宋体" w:eastAsia="宋体" w:cs="宋体"/>
          <w:b/>
          <w:color w:val="auto"/>
          <w:sz w:val="21"/>
          <w:szCs w:val="21"/>
          <w:lang w:val="en-US"/>
        </w:rPr>
      </w:pPr>
      <w:r>
        <w:rPr>
          <w:rFonts w:hint="eastAsia" w:ascii="宋体" w:hAnsi="宋体" w:eastAsia="宋体" w:cs="宋体"/>
          <w:b/>
          <w:color w:val="auto"/>
          <w:sz w:val="21"/>
          <w:szCs w:val="21"/>
        </w:rPr>
        <w:t>本合同服务期限为1年(2026年秋季学期至2027年暑期结束)。</w:t>
      </w:r>
    </w:p>
    <w:p w14:paraId="17F08B4C">
      <w:pPr>
        <w:numPr>
          <w:ilvl w:val="0"/>
          <w:numId w:val="0"/>
        </w:numPr>
        <w:ind w:leftChars="-43" w:firstLine="211" w:firstLineChars="100"/>
        <w:outlineLvl w:val="3"/>
        <w:rPr>
          <w:rFonts w:hint="eastAsia" w:ascii="宋体" w:hAnsi="宋体" w:eastAsia="宋体" w:cs="宋体"/>
          <w:b/>
          <w:color w:val="auto"/>
          <w:sz w:val="21"/>
          <w:szCs w:val="21"/>
          <w:lang w:eastAsia="zh-Hans"/>
        </w:rPr>
      </w:pPr>
      <w:r>
        <w:rPr>
          <w:rFonts w:hint="eastAsia" w:ascii="宋体" w:hAnsi="宋体" w:eastAsia="宋体" w:cs="宋体"/>
          <w:b/>
          <w:color w:val="auto"/>
          <w:sz w:val="21"/>
          <w:szCs w:val="21"/>
          <w:lang w:val="en-US" w:eastAsia="zh-CN"/>
        </w:rPr>
        <w:t>三、</w:t>
      </w:r>
      <w:r>
        <w:rPr>
          <w:rFonts w:hint="eastAsia" w:ascii="宋体" w:hAnsi="宋体" w:eastAsia="宋体" w:cs="宋体"/>
          <w:b/>
          <w:color w:val="auto"/>
          <w:sz w:val="21"/>
          <w:szCs w:val="21"/>
          <w:lang w:eastAsia="zh-Hans"/>
        </w:rPr>
        <w:t>服务要求</w:t>
      </w:r>
    </w:p>
    <w:p w14:paraId="7E634D87">
      <w:pPr>
        <w:ind w:left="-90" w:leftChars="-43" w:firstLine="420" w:firstLineChars="200"/>
        <w:outlineLvl w:val="3"/>
        <w:rPr>
          <w:rFonts w:hint="eastAsia" w:ascii="宋体" w:hAnsi="宋体" w:eastAsia="宋体" w:cs="宋体"/>
          <w:color w:val="auto"/>
          <w:sz w:val="21"/>
          <w:szCs w:val="21"/>
        </w:rPr>
      </w:pPr>
      <w:r>
        <w:rPr>
          <w:rFonts w:hint="eastAsia" w:ascii="宋体" w:hAnsi="宋体" w:eastAsia="宋体" w:cs="宋体"/>
          <w:color w:val="auto"/>
          <w:sz w:val="21"/>
          <w:szCs w:val="21"/>
        </w:rPr>
        <w:t>XXX（根据各包采购内容和响应情况填写）</w:t>
      </w:r>
    </w:p>
    <w:p w14:paraId="6846736F">
      <w:pPr>
        <w:ind w:firstLine="211" w:firstLineChars="100"/>
        <w:outlineLvl w:val="3"/>
        <w:rPr>
          <w:rFonts w:hint="eastAsia" w:ascii="宋体" w:hAnsi="宋体" w:eastAsia="宋体" w:cs="宋体"/>
          <w:b/>
          <w:color w:val="auto"/>
          <w:sz w:val="21"/>
          <w:szCs w:val="21"/>
        </w:rPr>
      </w:pPr>
      <w:r>
        <w:rPr>
          <w:rFonts w:hint="eastAsia" w:ascii="宋体" w:hAnsi="宋体" w:eastAsia="宋体" w:cs="宋体"/>
          <w:b/>
          <w:color w:val="auto"/>
          <w:sz w:val="21"/>
          <w:szCs w:val="21"/>
          <w:lang w:val="en-US" w:eastAsia="zh-CN"/>
        </w:rPr>
        <w:t>四、</w:t>
      </w:r>
      <w:r>
        <w:rPr>
          <w:rFonts w:hint="eastAsia" w:ascii="宋体" w:hAnsi="宋体" w:eastAsia="宋体" w:cs="宋体"/>
          <w:b/>
          <w:color w:val="auto"/>
          <w:sz w:val="21"/>
          <w:szCs w:val="21"/>
        </w:rPr>
        <w:t>配送服务要求</w:t>
      </w:r>
    </w:p>
    <w:p w14:paraId="79D733EB">
      <w:pPr>
        <w:ind w:left="-90" w:leftChars="-43" w:firstLine="420" w:firstLineChars="200"/>
        <w:outlineLvl w:val="3"/>
        <w:rPr>
          <w:rFonts w:hint="eastAsia" w:ascii="宋体" w:hAnsi="宋体" w:eastAsia="宋体" w:cs="宋体"/>
          <w:color w:val="auto"/>
          <w:sz w:val="21"/>
          <w:szCs w:val="21"/>
        </w:rPr>
      </w:pPr>
      <w:r>
        <w:rPr>
          <w:rFonts w:hint="eastAsia" w:ascii="宋体" w:hAnsi="宋体" w:eastAsia="宋体" w:cs="宋体"/>
          <w:color w:val="auto"/>
          <w:sz w:val="21"/>
          <w:szCs w:val="21"/>
        </w:rPr>
        <w:t>1.乙方为本项目配备的配送工作人员应无违法犯罪记录、无吸毒史。</w:t>
      </w:r>
      <w:r>
        <w:rPr>
          <w:rFonts w:hint="eastAsia" w:ascii="宋体" w:hAnsi="宋体" w:eastAsia="宋体" w:cs="宋体"/>
          <w:color w:val="auto"/>
          <w:sz w:val="21"/>
          <w:szCs w:val="21"/>
        </w:rPr>
        <w:br w:type="textWrapping"/>
      </w:r>
      <w:r>
        <w:rPr>
          <w:rFonts w:hint="eastAsia" w:ascii="宋体" w:hAnsi="宋体" w:eastAsia="宋体" w:cs="宋体"/>
          <w:color w:val="auto"/>
          <w:sz w:val="21"/>
          <w:szCs w:val="21"/>
        </w:rPr>
        <w:t xml:space="preserve">    2.乙方为本项目配备的配送工作人员必须具有国家相关部门出具的有效健康证明且配送人员相对固定。</w:t>
      </w:r>
    </w:p>
    <w:p w14:paraId="476E495F">
      <w:pPr>
        <w:ind w:left="-90" w:leftChars="-43" w:firstLine="420" w:firstLineChars="200"/>
        <w:outlineLvl w:val="3"/>
        <w:rPr>
          <w:rFonts w:hint="eastAsia" w:ascii="宋体" w:hAnsi="宋体" w:eastAsia="宋体" w:cs="宋体"/>
          <w:color w:val="auto"/>
          <w:sz w:val="21"/>
          <w:szCs w:val="21"/>
        </w:rPr>
      </w:pPr>
      <w:r>
        <w:rPr>
          <w:rFonts w:hint="eastAsia" w:ascii="宋体" w:hAnsi="宋体" w:eastAsia="宋体" w:cs="宋体"/>
          <w:color w:val="auto"/>
          <w:sz w:val="21"/>
          <w:szCs w:val="21"/>
        </w:rPr>
        <w:t>3.乙方保证配送物资质量、数量、送货时间等均符合甲方要求。如遇不可抗力造成送货延误的，经甲方同意后，乙方应按甲方另行指定的地点和时间及时送达。</w:t>
      </w:r>
    </w:p>
    <w:p w14:paraId="24136EB3">
      <w:pPr>
        <w:ind w:left="-90" w:leftChars="-43" w:firstLine="420" w:firstLineChars="200"/>
        <w:outlineLvl w:val="3"/>
        <w:rPr>
          <w:rFonts w:hint="eastAsia" w:ascii="宋体" w:hAnsi="宋体" w:eastAsia="宋体" w:cs="宋体"/>
          <w:color w:val="auto"/>
          <w:sz w:val="21"/>
          <w:szCs w:val="21"/>
        </w:rPr>
      </w:pPr>
      <w:r>
        <w:rPr>
          <w:rFonts w:hint="eastAsia" w:ascii="宋体" w:hAnsi="宋体" w:eastAsia="宋体" w:cs="宋体"/>
          <w:color w:val="auto"/>
          <w:sz w:val="21"/>
          <w:szCs w:val="21"/>
        </w:rPr>
        <w:t>4.乙方在配送过程中要作好配送食材的保鲜、保质措施，同时不得喷洒有毒有物质进行保鲜或保质。</w:t>
      </w:r>
    </w:p>
    <w:p w14:paraId="3DC61AE3">
      <w:pPr>
        <w:ind w:left="-90" w:leftChars="-43" w:firstLine="420" w:firstLineChars="200"/>
        <w:outlineLvl w:val="3"/>
        <w:rPr>
          <w:rFonts w:hint="eastAsia" w:ascii="宋体" w:hAnsi="宋体" w:eastAsia="宋体" w:cs="宋体"/>
          <w:color w:val="auto"/>
          <w:sz w:val="21"/>
          <w:szCs w:val="21"/>
        </w:rPr>
      </w:pPr>
      <w:r>
        <w:rPr>
          <w:rFonts w:hint="eastAsia" w:ascii="宋体" w:hAnsi="宋体" w:eastAsia="宋体" w:cs="宋体"/>
          <w:color w:val="auto"/>
          <w:sz w:val="21"/>
          <w:szCs w:val="21"/>
        </w:rPr>
        <w:t>5.乙方负责运输、装卸全过程，一切费用由乙方承担。乙方在配送运输中要确保安全，在运输装卸过程中发生的安全事故或不良事件，由乙方承担一切责任。</w:t>
      </w:r>
    </w:p>
    <w:p w14:paraId="5B785085">
      <w:pPr>
        <w:ind w:left="-90" w:leftChars="-43" w:firstLine="420" w:firstLineChars="200"/>
        <w:outlineLvl w:val="3"/>
        <w:rPr>
          <w:rFonts w:hint="eastAsia" w:ascii="宋体" w:hAnsi="宋体" w:eastAsia="宋体" w:cs="宋体"/>
          <w:color w:val="auto"/>
          <w:sz w:val="21"/>
          <w:szCs w:val="21"/>
        </w:rPr>
      </w:pPr>
      <w:r>
        <w:rPr>
          <w:rFonts w:hint="eastAsia" w:ascii="宋体" w:hAnsi="宋体" w:eastAsia="宋体" w:cs="宋体"/>
          <w:color w:val="auto"/>
          <w:sz w:val="21"/>
          <w:szCs w:val="21"/>
        </w:rPr>
        <w:t>6.乙方须为本项目确定一名项目负责人。甲、乙双方均需安排专人负责联系，并确认产品需求量、加工要求（如有）、配送时间及配送要求。乙方应具备各项应急措施，保证在各种市场变化及遇突发事件下，能保证货品数量、质量并能及时满足食材供应。</w:t>
      </w:r>
    </w:p>
    <w:p w14:paraId="766DCB4B">
      <w:pPr>
        <w:ind w:left="-90" w:leftChars="-43" w:firstLine="420" w:firstLineChars="200"/>
        <w:outlineLvl w:val="3"/>
        <w:rPr>
          <w:rFonts w:hint="eastAsia" w:ascii="宋体" w:hAnsi="宋体" w:eastAsia="宋体" w:cs="宋体"/>
          <w:color w:val="auto"/>
          <w:sz w:val="21"/>
          <w:szCs w:val="21"/>
        </w:rPr>
      </w:pPr>
      <w:r>
        <w:rPr>
          <w:rFonts w:hint="eastAsia" w:ascii="宋体" w:hAnsi="宋体" w:eastAsia="宋体" w:cs="宋体"/>
          <w:color w:val="auto"/>
          <w:sz w:val="21"/>
          <w:szCs w:val="21"/>
        </w:rPr>
        <w:t>7.乙方必须自行提供配送服务，不得将配送项目进行任何方式的转包、分包。</w:t>
      </w:r>
    </w:p>
    <w:p w14:paraId="762D5C4C">
      <w:pPr>
        <w:ind w:left="-90" w:leftChars="-43" w:firstLine="420" w:firstLineChars="200"/>
        <w:outlineLvl w:val="3"/>
        <w:rPr>
          <w:rFonts w:hint="eastAsia" w:ascii="宋体" w:hAnsi="宋体" w:eastAsia="宋体" w:cs="宋体"/>
          <w:color w:val="auto"/>
          <w:sz w:val="21"/>
          <w:szCs w:val="21"/>
        </w:rPr>
      </w:pPr>
      <w:r>
        <w:rPr>
          <w:rFonts w:hint="eastAsia" w:ascii="宋体" w:hAnsi="宋体" w:eastAsia="宋体" w:cs="宋体"/>
          <w:color w:val="auto"/>
          <w:sz w:val="21"/>
          <w:szCs w:val="21"/>
        </w:rPr>
        <w:t>8、乙方应做好食品安全的保障工作：</w:t>
      </w:r>
    </w:p>
    <w:p w14:paraId="6D68759C">
      <w:pPr>
        <w:ind w:left="-90" w:leftChars="-43" w:firstLine="420" w:firstLineChars="200"/>
        <w:outlineLvl w:val="3"/>
        <w:rPr>
          <w:rFonts w:hint="eastAsia" w:ascii="宋体" w:hAnsi="宋体" w:eastAsia="宋体" w:cs="宋体"/>
          <w:color w:val="auto"/>
          <w:sz w:val="21"/>
          <w:szCs w:val="21"/>
        </w:rPr>
      </w:pPr>
      <w:r>
        <w:rPr>
          <w:rFonts w:hint="eastAsia" w:ascii="宋体" w:hAnsi="宋体" w:eastAsia="宋体" w:cs="宋体"/>
          <w:color w:val="auto"/>
          <w:sz w:val="21"/>
          <w:szCs w:val="21"/>
        </w:rPr>
        <w:t>（1）必须按所填订单配送，按规定时间送达，确保食品新鲜、优质、安全、可靠。</w:t>
      </w:r>
    </w:p>
    <w:p w14:paraId="3CD3BAD6">
      <w:pPr>
        <w:ind w:left="-90" w:leftChars="-43" w:firstLine="420" w:firstLineChars="200"/>
        <w:outlineLvl w:val="3"/>
        <w:rPr>
          <w:rFonts w:hint="eastAsia" w:ascii="宋体" w:hAnsi="宋体" w:eastAsia="宋体" w:cs="宋体"/>
          <w:color w:val="auto"/>
          <w:sz w:val="21"/>
          <w:szCs w:val="21"/>
        </w:rPr>
      </w:pPr>
      <w:r>
        <w:rPr>
          <w:rFonts w:hint="eastAsia" w:ascii="宋体" w:hAnsi="宋体" w:eastAsia="宋体" w:cs="宋体"/>
          <w:color w:val="auto"/>
          <w:sz w:val="21"/>
          <w:szCs w:val="21"/>
        </w:rPr>
        <w:t>（2）配送人员应具备有效的健康合格证明，车辆应符合相关卫生要求，做到每日清洗、消毒并做好消毒记录。</w:t>
      </w:r>
    </w:p>
    <w:p w14:paraId="035B2860">
      <w:pPr>
        <w:ind w:left="-90" w:leftChars="-43" w:firstLine="420" w:firstLineChars="200"/>
        <w:outlineLvl w:val="3"/>
        <w:rPr>
          <w:rFonts w:hint="eastAsia" w:ascii="宋体" w:hAnsi="宋体" w:eastAsia="宋体" w:cs="宋体"/>
          <w:color w:val="auto"/>
          <w:sz w:val="21"/>
          <w:szCs w:val="21"/>
        </w:rPr>
      </w:pPr>
      <w:r>
        <w:rPr>
          <w:rFonts w:hint="eastAsia" w:ascii="宋体" w:hAnsi="宋体" w:eastAsia="宋体" w:cs="宋体"/>
          <w:color w:val="auto"/>
          <w:sz w:val="21"/>
          <w:szCs w:val="21"/>
        </w:rPr>
        <w:t>（3）建立责任追究制度。甲方食堂管理部门将定期或不定期地地配送工作进行监查。</w:t>
      </w:r>
    </w:p>
    <w:p w14:paraId="3A28A1DB">
      <w:pPr>
        <w:ind w:left="-90" w:leftChars="-43" w:firstLine="420" w:firstLineChars="200"/>
        <w:outlineLvl w:val="3"/>
        <w:rPr>
          <w:rFonts w:hint="eastAsia" w:ascii="宋体" w:hAnsi="宋体" w:eastAsia="宋体" w:cs="宋体"/>
          <w:color w:val="auto"/>
          <w:sz w:val="21"/>
          <w:szCs w:val="21"/>
        </w:rPr>
      </w:pPr>
      <w:r>
        <w:rPr>
          <w:rFonts w:hint="eastAsia" w:ascii="宋体" w:hAnsi="宋体" w:eastAsia="宋体" w:cs="宋体"/>
          <w:color w:val="auto"/>
          <w:sz w:val="21"/>
          <w:szCs w:val="21"/>
        </w:rPr>
        <w:t>（4）乙方在配送过程中要做好配送物资保鲜、保质措施，同时不得喷洒有毒有害物质进行保鲜或保质。否则一经查实，乙方须承担相应的责任。</w:t>
      </w:r>
    </w:p>
    <w:p w14:paraId="17959D6C">
      <w:pPr>
        <w:ind w:left="-90" w:leftChars="-43" w:firstLine="420" w:firstLineChars="200"/>
        <w:outlineLvl w:val="3"/>
        <w:rPr>
          <w:rFonts w:hint="eastAsia" w:ascii="宋体" w:hAnsi="宋体" w:eastAsia="宋体" w:cs="宋体"/>
          <w:color w:val="auto"/>
          <w:sz w:val="21"/>
          <w:szCs w:val="21"/>
        </w:rPr>
      </w:pPr>
      <w:r>
        <w:rPr>
          <w:rFonts w:hint="eastAsia" w:ascii="宋体" w:hAnsi="宋体" w:eastAsia="宋体" w:cs="宋体"/>
          <w:color w:val="auto"/>
          <w:sz w:val="21"/>
          <w:szCs w:val="21"/>
        </w:rPr>
        <w:t>（5）若甲方发现在质保期内食材腐烂变质，将及时通知乙方进行处理，并更换相应数量的物资。</w:t>
      </w:r>
    </w:p>
    <w:p w14:paraId="13DC1CC5">
      <w:pPr>
        <w:ind w:left="-90" w:leftChars="-43" w:firstLine="420" w:firstLineChars="200"/>
        <w:outlineLvl w:val="3"/>
        <w:rPr>
          <w:rFonts w:hint="eastAsia" w:ascii="宋体" w:hAnsi="宋体" w:eastAsia="宋体" w:cs="宋体"/>
          <w:color w:val="auto"/>
          <w:sz w:val="21"/>
          <w:szCs w:val="21"/>
        </w:rPr>
      </w:pPr>
      <w:r>
        <w:rPr>
          <w:rFonts w:hint="eastAsia" w:ascii="宋体" w:hAnsi="宋体" w:eastAsia="宋体" w:cs="宋体"/>
          <w:color w:val="auto"/>
          <w:sz w:val="21"/>
          <w:szCs w:val="21"/>
        </w:rPr>
        <w:t>（6）乙方送货时须提供食材送货清单、合格证明（合格证或每批次的质量检测报告）、，甲方对食材种类、质量、数量、价格、合格证、检测报告等进行验收确认后签字。如乙方未提供合格证、检测报告、送货清单，或甲方对食材质量、数量、价格等有异议，甲方将拒绝验收，乙方须在30分钟内予以妥善处理，不得影响甲方食堂运行，如不能及时解决，且无甲方认可的理由，甲方视影响程度扣罚当月货款。</w:t>
      </w:r>
    </w:p>
    <w:p w14:paraId="5F2FDB64">
      <w:pPr>
        <w:ind w:firstLine="211" w:firstLineChars="100"/>
        <w:outlineLvl w:val="3"/>
        <w:rPr>
          <w:rFonts w:hint="eastAsia" w:ascii="宋体" w:hAnsi="宋体" w:eastAsia="宋体" w:cs="宋体"/>
          <w:b/>
          <w:color w:val="auto"/>
          <w:sz w:val="21"/>
          <w:szCs w:val="21"/>
          <w:lang w:val="en-US" w:eastAsia="zh-CN"/>
        </w:rPr>
      </w:pPr>
      <w:r>
        <w:rPr>
          <w:rFonts w:hint="eastAsia" w:ascii="宋体" w:hAnsi="宋体" w:eastAsia="宋体" w:cs="宋体"/>
          <w:b/>
          <w:color w:val="auto"/>
          <w:sz w:val="21"/>
          <w:szCs w:val="21"/>
          <w:lang w:val="en-US" w:eastAsia="zh-CN"/>
        </w:rPr>
        <w:t>五</w:t>
      </w:r>
      <w:r>
        <w:rPr>
          <w:rFonts w:hint="eastAsia" w:ascii="宋体" w:hAnsi="宋体" w:eastAsia="宋体" w:cs="宋体"/>
          <w:b/>
          <w:color w:val="auto"/>
          <w:sz w:val="21"/>
          <w:szCs w:val="21"/>
          <w:lang w:eastAsia="zh-Hans"/>
        </w:rPr>
        <w:t>、合同定价方式、付款方式</w:t>
      </w:r>
      <w:r>
        <w:rPr>
          <w:rFonts w:hint="eastAsia" w:ascii="宋体" w:hAnsi="宋体" w:eastAsia="宋体" w:cs="宋体"/>
          <w:b/>
          <w:color w:val="auto"/>
          <w:sz w:val="21"/>
          <w:szCs w:val="21"/>
          <w:lang w:val="en-US" w:eastAsia="zh-CN"/>
        </w:rPr>
        <w:t>及要求</w:t>
      </w:r>
    </w:p>
    <w:p w14:paraId="5FECB9C8">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1.本项目（</w:t>
      </w:r>
      <w:r>
        <w:rPr>
          <w:rFonts w:hint="eastAsia" w:ascii="宋体" w:hAnsi="宋体" w:eastAsia="宋体" w:cs="宋体"/>
          <w:color w:val="auto"/>
          <w:sz w:val="21"/>
          <w:szCs w:val="21"/>
          <w:lang w:val="en-US" w:eastAsia="zh-CN"/>
        </w:rPr>
        <w:t>含</w:t>
      </w:r>
      <w:r>
        <w:rPr>
          <w:rFonts w:hint="eastAsia" w:ascii="宋体" w:hAnsi="宋体" w:eastAsia="宋体" w:cs="宋体"/>
          <w:color w:val="auto"/>
          <w:sz w:val="21"/>
          <w:szCs w:val="21"/>
        </w:rPr>
        <w:t>包一、包二、包三）最高支付限价为：XXX</w:t>
      </w:r>
    </w:p>
    <w:p w14:paraId="4974E6C3">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配送执行价格：实际结算价=市场参考价格*（1-下浮比例）。市场参考价格的确定：以配送当地眉山市发展和改革委员会官方网站公布的《主城区部分农贸市场价格》为准；如果官网价格表上没有的，由中标人和采购人、加工方代表根据实际需求到眉山市大型超市（永辉、大润发等）进行现场调查询价，以零售平均价作市场参考价格。</w:t>
      </w:r>
    </w:p>
    <w:p w14:paraId="465FA372">
      <w:pPr>
        <w:ind w:firstLine="210" w:firstLineChars="100"/>
        <w:rPr>
          <w:rFonts w:hint="eastAsia" w:ascii="宋体" w:hAnsi="宋体" w:eastAsia="宋体" w:cs="宋体"/>
          <w:color w:val="auto"/>
          <w:sz w:val="21"/>
          <w:szCs w:val="21"/>
        </w:rPr>
      </w:pPr>
      <w:r>
        <w:rPr>
          <w:rFonts w:hint="eastAsia" w:ascii="宋体" w:hAnsi="宋体" w:eastAsia="宋体" w:cs="宋体"/>
          <w:color w:val="auto"/>
          <w:sz w:val="21"/>
          <w:szCs w:val="21"/>
        </w:rPr>
        <w:t>3.</w:t>
      </w:r>
      <w:r>
        <w:rPr>
          <w:rFonts w:hint="eastAsia" w:ascii="宋体" w:hAnsi="宋体" w:eastAsia="宋体" w:cs="宋体"/>
          <w:color w:val="auto"/>
          <w:sz w:val="21"/>
          <w:szCs w:val="21"/>
          <w:lang w:eastAsia="zh-Hans"/>
        </w:rPr>
        <w:t>合同签订生效后，</w:t>
      </w:r>
      <w:r>
        <w:rPr>
          <w:rFonts w:hint="eastAsia" w:ascii="宋体" w:hAnsi="宋体" w:cs="宋体"/>
          <w:color w:val="auto"/>
          <w:sz w:val="21"/>
          <w:szCs w:val="21"/>
          <w:lang w:eastAsia="zh-CN"/>
        </w:rPr>
        <w:t>在收到</w:t>
      </w:r>
      <w:r>
        <w:rPr>
          <w:rFonts w:hint="eastAsia" w:ascii="宋体" w:hAnsi="宋体" w:cs="宋体"/>
          <w:color w:val="auto"/>
          <w:sz w:val="21"/>
          <w:szCs w:val="21"/>
          <w:lang w:val="en-US" w:eastAsia="zh-CN"/>
        </w:rPr>
        <w:t>乙方</w:t>
      </w:r>
      <w:r>
        <w:rPr>
          <w:rFonts w:hint="eastAsia" w:ascii="宋体" w:hAnsi="宋体" w:cs="宋体"/>
          <w:color w:val="auto"/>
          <w:sz w:val="21"/>
          <w:szCs w:val="21"/>
          <w:lang w:eastAsia="zh-CN"/>
        </w:rPr>
        <w:t>相关收据后</w:t>
      </w:r>
      <w:r>
        <w:rPr>
          <w:rFonts w:hint="eastAsia" w:ascii="宋体" w:hAnsi="宋体" w:eastAsia="宋体" w:cs="宋体"/>
          <w:color w:val="auto"/>
          <w:sz w:val="21"/>
          <w:szCs w:val="21"/>
          <w:lang w:eastAsia="zh-Hans"/>
        </w:rPr>
        <w:t>15日内支付</w:t>
      </w:r>
      <w:r>
        <w:rPr>
          <w:rFonts w:hint="eastAsia" w:ascii="宋体" w:hAnsi="宋体" w:eastAsia="宋体" w:cs="宋体"/>
          <w:color w:val="auto"/>
          <w:sz w:val="21"/>
          <w:szCs w:val="21"/>
          <w:lang w:val="en-US" w:eastAsia="zh-CN"/>
        </w:rPr>
        <w:t>预付款，即</w:t>
      </w:r>
      <w:r>
        <w:rPr>
          <w:rFonts w:hint="eastAsia" w:ascii="宋体" w:hAnsi="宋体" w:eastAsia="宋体" w:cs="宋体"/>
          <w:color w:val="auto"/>
          <w:sz w:val="21"/>
          <w:szCs w:val="21"/>
          <w:lang w:eastAsia="zh-Hans"/>
        </w:rPr>
        <w:t>合同总金额的30%</w:t>
      </w:r>
      <w:bookmarkStart w:id="0" w:name="OLE_LINK8"/>
      <w:r>
        <w:rPr>
          <w:rFonts w:hint="eastAsia" w:ascii="宋体" w:hAnsi="宋体" w:eastAsia="宋体" w:cs="宋体"/>
          <w:color w:val="auto"/>
          <w:sz w:val="21"/>
          <w:szCs w:val="21"/>
          <w:lang w:eastAsia="zh-Hans"/>
        </w:rPr>
        <w:t>（若成交供应商为民营中小企业则支付预付款为合同总价的40%）</w:t>
      </w:r>
      <w:bookmarkEnd w:id="0"/>
      <w:r>
        <w:rPr>
          <w:rFonts w:hint="eastAsia" w:ascii="宋体" w:hAnsi="宋体" w:eastAsia="宋体" w:cs="宋体"/>
          <w:color w:val="auto"/>
          <w:sz w:val="21"/>
          <w:szCs w:val="21"/>
          <w:lang w:eastAsia="zh-Hans"/>
        </w:rPr>
        <w:t>；按12个月一月一结，当月服务次月结算费用，</w:t>
      </w:r>
      <w:r>
        <w:rPr>
          <w:rFonts w:hint="eastAsia" w:ascii="宋体" w:hAnsi="宋体" w:eastAsia="宋体" w:cs="宋体"/>
          <w:color w:val="auto"/>
          <w:sz w:val="21"/>
          <w:szCs w:val="21"/>
          <w:lang w:val="en-US" w:eastAsia="zh-CN"/>
        </w:rPr>
        <w:t>由采购人</w:t>
      </w:r>
      <w:r>
        <w:rPr>
          <w:rFonts w:hint="eastAsia" w:ascii="宋体" w:hAnsi="宋体" w:eastAsia="宋体" w:cs="宋体"/>
          <w:color w:val="auto"/>
          <w:sz w:val="21"/>
          <w:szCs w:val="21"/>
          <w:lang w:eastAsia="zh-Hans"/>
        </w:rPr>
        <w:t>每月</w:t>
      </w:r>
      <w:r>
        <w:rPr>
          <w:rFonts w:hint="eastAsia" w:ascii="宋体" w:hAnsi="宋体" w:eastAsia="宋体" w:cs="宋体"/>
          <w:color w:val="auto"/>
          <w:sz w:val="21"/>
          <w:szCs w:val="21"/>
          <w:lang w:val="en-US" w:eastAsia="zh-CN"/>
        </w:rPr>
        <w:t>根据考评结果</w:t>
      </w:r>
      <w:r>
        <w:rPr>
          <w:rFonts w:hint="eastAsia" w:ascii="宋体" w:hAnsi="宋体" w:eastAsia="宋体" w:cs="宋体"/>
          <w:color w:val="auto"/>
          <w:sz w:val="21"/>
          <w:szCs w:val="21"/>
          <w:lang w:eastAsia="zh-Hans"/>
        </w:rPr>
        <w:t>按实际用量</w:t>
      </w:r>
      <w:r>
        <w:rPr>
          <w:rFonts w:hint="eastAsia" w:ascii="宋体" w:hAnsi="宋体" w:eastAsia="宋体" w:cs="宋体"/>
          <w:color w:val="auto"/>
          <w:sz w:val="21"/>
          <w:szCs w:val="21"/>
          <w:lang w:val="en-US" w:eastAsia="zh-CN"/>
        </w:rPr>
        <w:t>据实</w:t>
      </w:r>
      <w:r>
        <w:rPr>
          <w:rFonts w:hint="eastAsia" w:ascii="宋体" w:hAnsi="宋体" w:eastAsia="宋体" w:cs="宋体"/>
          <w:color w:val="auto"/>
          <w:sz w:val="21"/>
          <w:szCs w:val="21"/>
          <w:lang w:eastAsia="zh-Hans"/>
        </w:rPr>
        <w:t>结算并扣回预付款</w:t>
      </w:r>
      <w:r>
        <w:rPr>
          <w:rFonts w:hint="eastAsia" w:ascii="宋体" w:hAnsi="宋体" w:eastAsia="宋体" w:cs="宋体"/>
          <w:color w:val="auto"/>
          <w:sz w:val="21"/>
          <w:szCs w:val="21"/>
          <w:lang w:eastAsia="zh-CN"/>
        </w:rPr>
        <w:t>。</w:t>
      </w:r>
      <w:bookmarkStart w:id="1" w:name="OLE_LINK9"/>
      <w:r>
        <w:rPr>
          <w:rFonts w:hint="eastAsia" w:ascii="宋体" w:hAnsi="宋体" w:eastAsia="宋体" w:cs="宋体"/>
          <w:color w:val="auto"/>
          <w:sz w:val="21"/>
          <w:szCs w:val="21"/>
          <w:lang w:eastAsia="zh-Hans"/>
        </w:rPr>
        <w:t>供应商须向采购人出具合法有效完整的完税发票及支付资料进行支付结算。付款方式均采用对公账号银行转账。注：实际结算价=市场参考价格*（1-下浮比例）</w:t>
      </w:r>
      <w:bookmarkEnd w:id="1"/>
    </w:p>
    <w:p w14:paraId="05561A84">
      <w:pPr>
        <w:numPr>
          <w:ilvl w:val="0"/>
          <w:numId w:val="0"/>
        </w:numPr>
        <w:ind w:left="120" w:leftChars="0"/>
        <w:rPr>
          <w:rFonts w:hint="eastAsia" w:ascii="宋体" w:hAnsi="宋体" w:eastAsia="宋体" w:cs="宋体"/>
          <w:b/>
          <w:color w:val="auto"/>
          <w:sz w:val="21"/>
          <w:szCs w:val="21"/>
          <w:lang w:eastAsia="zh-Hans"/>
        </w:rPr>
      </w:pPr>
      <w:r>
        <w:rPr>
          <w:rFonts w:hint="eastAsia" w:ascii="宋体" w:hAnsi="宋体" w:eastAsia="宋体" w:cs="宋体"/>
          <w:b/>
          <w:color w:val="auto"/>
          <w:sz w:val="21"/>
          <w:szCs w:val="21"/>
          <w:lang w:val="en-US" w:eastAsia="zh-CN"/>
        </w:rPr>
        <w:t>六、</w:t>
      </w:r>
      <w:r>
        <w:rPr>
          <w:rFonts w:hint="eastAsia" w:ascii="宋体" w:hAnsi="宋体" w:eastAsia="宋体" w:cs="宋体"/>
          <w:b/>
          <w:color w:val="auto"/>
          <w:sz w:val="21"/>
          <w:szCs w:val="21"/>
          <w:lang w:eastAsia="zh-Hans"/>
        </w:rPr>
        <w:t>验收标准和方法</w:t>
      </w:r>
    </w:p>
    <w:p w14:paraId="02E9CE69">
      <w:pPr>
        <w:ind w:left="120"/>
        <w:rPr>
          <w:rFonts w:hint="eastAsia" w:ascii="宋体" w:hAnsi="宋体" w:eastAsia="宋体" w:cs="宋体"/>
          <w:b/>
          <w:color w:val="auto"/>
          <w:sz w:val="21"/>
          <w:szCs w:val="21"/>
        </w:rPr>
      </w:pPr>
      <w:r>
        <w:rPr>
          <w:rFonts w:hint="eastAsia" w:ascii="宋体" w:hAnsi="宋体" w:eastAsia="宋体" w:cs="宋体"/>
          <w:b/>
          <w:color w:val="auto"/>
          <w:sz w:val="21"/>
          <w:szCs w:val="21"/>
        </w:rPr>
        <w:t xml:space="preserve">    </w:t>
      </w:r>
      <w:r>
        <w:rPr>
          <w:rFonts w:hint="eastAsia" w:ascii="宋体" w:hAnsi="宋体" w:eastAsia="宋体" w:cs="宋体"/>
          <w:color w:val="auto"/>
          <w:sz w:val="21"/>
          <w:szCs w:val="21"/>
          <w:lang w:eastAsia="zh-Hans"/>
        </w:rPr>
        <w:t>乙方将食材运至甲方指定地点，甲方按要求进行过秤验收，核验送货清单、合格证明、等，对食材种类、质量、数量等进行验收确认。</w:t>
      </w:r>
    </w:p>
    <w:p w14:paraId="18256854">
      <w:pPr>
        <w:ind w:firstLine="420" w:firstLineChars="200"/>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（1）验收依据：</w:t>
      </w:r>
      <w:r>
        <w:rPr>
          <w:rFonts w:hint="eastAsia" w:ascii="宋体" w:hAnsi="宋体" w:eastAsia="宋体" w:cs="宋体"/>
          <w:color w:val="auto"/>
          <w:sz w:val="21"/>
          <w:szCs w:val="21"/>
        </w:rPr>
        <w:t>按</w:t>
      </w:r>
      <w:r>
        <w:rPr>
          <w:rFonts w:hint="eastAsia" w:ascii="宋体" w:hAnsi="宋体" w:eastAsia="宋体" w:cs="宋体"/>
          <w:color w:val="auto"/>
          <w:sz w:val="21"/>
          <w:szCs w:val="21"/>
          <w:lang w:eastAsia="zh-Hans"/>
        </w:rPr>
        <w:t>照</w:t>
      </w:r>
      <w:r>
        <w:rPr>
          <w:rFonts w:hint="eastAsia" w:ascii="宋体" w:hAnsi="宋体" w:eastAsia="宋体" w:cs="宋体"/>
          <w:color w:val="auto"/>
          <w:sz w:val="21"/>
          <w:szCs w:val="21"/>
        </w:rPr>
        <w:t>采购</w:t>
      </w:r>
      <w:r>
        <w:rPr>
          <w:rFonts w:hint="eastAsia" w:ascii="宋体" w:hAnsi="宋体" w:eastAsia="宋体" w:cs="宋体"/>
          <w:color w:val="auto"/>
          <w:sz w:val="21"/>
          <w:szCs w:val="21"/>
          <w:lang w:eastAsia="zh-Hans"/>
        </w:rPr>
        <w:t>文件要求、</w:t>
      </w:r>
      <w:r>
        <w:rPr>
          <w:rFonts w:hint="eastAsia" w:ascii="宋体" w:hAnsi="宋体" w:eastAsia="宋体" w:cs="宋体"/>
          <w:color w:val="auto"/>
          <w:sz w:val="21"/>
          <w:szCs w:val="21"/>
        </w:rPr>
        <w:t>响应</w:t>
      </w:r>
      <w:r>
        <w:rPr>
          <w:rFonts w:hint="eastAsia" w:ascii="宋体" w:hAnsi="宋体" w:eastAsia="宋体" w:cs="宋体"/>
          <w:color w:val="auto"/>
          <w:sz w:val="21"/>
          <w:szCs w:val="21"/>
          <w:lang w:eastAsia="zh-Hans"/>
        </w:rPr>
        <w:t>文件、以及双方签订的合同条款约定</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Hans"/>
        </w:rPr>
        <w:t>国家</w:t>
      </w:r>
      <w:r>
        <w:rPr>
          <w:rFonts w:hint="eastAsia" w:ascii="宋体" w:hAnsi="宋体" w:eastAsia="宋体" w:cs="宋体"/>
          <w:color w:val="auto"/>
          <w:sz w:val="21"/>
          <w:szCs w:val="21"/>
        </w:rPr>
        <w:t>有关</w:t>
      </w:r>
      <w:r>
        <w:rPr>
          <w:rFonts w:hint="eastAsia" w:ascii="宋体" w:hAnsi="宋体" w:eastAsia="宋体" w:cs="宋体"/>
          <w:color w:val="auto"/>
          <w:sz w:val="21"/>
          <w:szCs w:val="21"/>
          <w:lang w:eastAsia="zh-Hans"/>
        </w:rPr>
        <w:t>法律法规的相关规定为准</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Hans"/>
        </w:rPr>
        <w:t>采购人与</w:t>
      </w:r>
      <w:r>
        <w:rPr>
          <w:rFonts w:hint="eastAsia" w:ascii="宋体" w:hAnsi="宋体" w:eastAsia="宋体" w:cs="宋体"/>
          <w:color w:val="auto"/>
          <w:sz w:val="21"/>
          <w:szCs w:val="21"/>
        </w:rPr>
        <w:t>供应商</w:t>
      </w:r>
      <w:r>
        <w:rPr>
          <w:rFonts w:hint="eastAsia" w:ascii="宋体" w:hAnsi="宋体" w:eastAsia="宋体" w:cs="宋体"/>
          <w:color w:val="auto"/>
          <w:sz w:val="21"/>
          <w:szCs w:val="21"/>
          <w:lang w:eastAsia="zh-Hans"/>
        </w:rPr>
        <w:t>双方如对质量要求和技术、服务要求的约定标准有相互抵触或异议的事项，由采购人在</w:t>
      </w:r>
      <w:r>
        <w:rPr>
          <w:rFonts w:hint="eastAsia" w:ascii="宋体" w:hAnsi="宋体" w:eastAsia="宋体" w:cs="宋体"/>
          <w:color w:val="auto"/>
          <w:sz w:val="21"/>
          <w:szCs w:val="21"/>
        </w:rPr>
        <w:t>采购</w:t>
      </w:r>
      <w:r>
        <w:rPr>
          <w:rFonts w:hint="eastAsia" w:ascii="宋体" w:hAnsi="宋体" w:eastAsia="宋体" w:cs="宋体"/>
          <w:color w:val="auto"/>
          <w:sz w:val="21"/>
          <w:szCs w:val="21"/>
          <w:lang w:eastAsia="zh-Hans"/>
        </w:rPr>
        <w:t>文件及</w:t>
      </w:r>
      <w:r>
        <w:rPr>
          <w:rFonts w:hint="eastAsia" w:ascii="宋体" w:hAnsi="宋体" w:eastAsia="宋体" w:cs="宋体"/>
          <w:color w:val="auto"/>
          <w:sz w:val="21"/>
          <w:szCs w:val="21"/>
        </w:rPr>
        <w:t>响应</w:t>
      </w:r>
      <w:r>
        <w:rPr>
          <w:rFonts w:hint="eastAsia" w:ascii="宋体" w:hAnsi="宋体" w:eastAsia="宋体" w:cs="宋体"/>
          <w:color w:val="auto"/>
          <w:sz w:val="21"/>
          <w:szCs w:val="21"/>
          <w:lang w:eastAsia="zh-Hans"/>
        </w:rPr>
        <w:t>文件中按质量要求和技术、服务要求比较优胜的原则确定该项的约定标准进行验收。</w:t>
      </w:r>
    </w:p>
    <w:p w14:paraId="0EDA5118">
      <w:pPr>
        <w:ind w:firstLine="420" w:firstLineChars="200"/>
        <w:rPr>
          <w:rFonts w:hint="eastAsia" w:ascii="宋体" w:hAnsi="宋体" w:eastAsia="宋体" w:cs="宋体"/>
          <w:color w:val="auto"/>
          <w:sz w:val="21"/>
          <w:szCs w:val="21"/>
          <w:lang w:eastAsia="zh-Hans"/>
        </w:rPr>
      </w:pPr>
      <w:r>
        <w:rPr>
          <w:rFonts w:hint="eastAsia" w:ascii="宋体" w:hAnsi="宋体" w:eastAsia="宋体" w:cs="宋体"/>
          <w:color w:val="auto"/>
          <w:sz w:val="21"/>
          <w:szCs w:val="21"/>
        </w:rPr>
        <w:t>（2）</w:t>
      </w:r>
      <w:r>
        <w:rPr>
          <w:rFonts w:hint="eastAsia" w:ascii="宋体" w:hAnsi="宋体" w:eastAsia="宋体" w:cs="宋体"/>
          <w:color w:val="auto"/>
          <w:sz w:val="21"/>
          <w:szCs w:val="21"/>
          <w:lang w:eastAsia="zh-Hans"/>
        </w:rPr>
        <w:t>验收办法：采购人安排验收人员在成交供应商每批次供货现场查验验收。采购人验收</w:t>
      </w:r>
      <w:r>
        <w:rPr>
          <w:rFonts w:hint="eastAsia" w:ascii="宋体" w:hAnsi="宋体" w:eastAsia="宋体" w:cs="宋体"/>
          <w:color w:val="auto"/>
          <w:sz w:val="21"/>
          <w:szCs w:val="21"/>
        </w:rPr>
        <w:t>时若</w:t>
      </w:r>
      <w:r>
        <w:rPr>
          <w:rFonts w:hint="eastAsia" w:ascii="宋体" w:hAnsi="宋体" w:eastAsia="宋体" w:cs="宋体"/>
          <w:color w:val="auto"/>
          <w:sz w:val="21"/>
          <w:szCs w:val="21"/>
          <w:lang w:eastAsia="zh-Hans"/>
        </w:rPr>
        <w:t>发现数量</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Hans"/>
        </w:rPr>
        <w:t>重量</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Hans"/>
        </w:rPr>
        <w:t>不足的，以实际配送数量</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Hans"/>
        </w:rPr>
        <w:t>重量</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Hans"/>
        </w:rPr>
        <w:t>验收登记入库。 采购人验收时发现质量不符合要求的，供应商应无条件退换，由此发生的一切费用及损失由供应商自行承担。采购人可请第三方检测机构对成交供应商所供产品的质量标准进行检测，若产品质量不符合</w:t>
      </w:r>
      <w:r>
        <w:rPr>
          <w:rFonts w:hint="eastAsia" w:ascii="宋体" w:hAnsi="宋体" w:eastAsia="宋体" w:cs="宋体"/>
          <w:color w:val="auto"/>
          <w:sz w:val="21"/>
          <w:szCs w:val="21"/>
        </w:rPr>
        <w:t>采购</w:t>
      </w:r>
      <w:r>
        <w:rPr>
          <w:rFonts w:hint="eastAsia" w:ascii="宋体" w:hAnsi="宋体" w:eastAsia="宋体" w:cs="宋体"/>
          <w:color w:val="auto"/>
          <w:sz w:val="21"/>
          <w:szCs w:val="21"/>
          <w:lang w:eastAsia="zh-Hans"/>
        </w:rPr>
        <w:t>文件要求</w:t>
      </w:r>
      <w:r>
        <w:rPr>
          <w:rFonts w:hint="eastAsia" w:ascii="宋体" w:hAnsi="宋体" w:eastAsia="宋体" w:cs="宋体"/>
          <w:color w:val="auto"/>
          <w:sz w:val="21"/>
          <w:szCs w:val="21"/>
        </w:rPr>
        <w:t>的</w:t>
      </w:r>
      <w:r>
        <w:rPr>
          <w:rFonts w:hint="eastAsia" w:ascii="宋体" w:hAnsi="宋体" w:eastAsia="宋体" w:cs="宋体"/>
          <w:color w:val="auto"/>
          <w:sz w:val="21"/>
          <w:szCs w:val="21"/>
          <w:lang w:eastAsia="zh-Hans"/>
        </w:rPr>
        <w:t>，采购人有权不予支付合同价款，并追究成交供应商相应的违约责任。</w:t>
      </w:r>
    </w:p>
    <w:p w14:paraId="307C1B9D">
      <w:pPr>
        <w:ind w:firstLine="420" w:firstLineChars="200"/>
        <w:rPr>
          <w:rFonts w:hint="eastAsia" w:ascii="宋体" w:hAnsi="宋体" w:eastAsia="宋体" w:cs="宋体"/>
          <w:color w:val="auto"/>
          <w:sz w:val="21"/>
          <w:szCs w:val="21"/>
          <w:lang w:eastAsia="zh-Hans"/>
        </w:rPr>
      </w:pPr>
      <w:r>
        <w:rPr>
          <w:rFonts w:hint="eastAsia" w:ascii="宋体" w:hAnsi="宋体" w:eastAsia="宋体" w:cs="宋体"/>
          <w:color w:val="auto"/>
          <w:sz w:val="21"/>
          <w:szCs w:val="21"/>
        </w:rPr>
        <w:t>（3）</w:t>
      </w:r>
      <w:r>
        <w:rPr>
          <w:rFonts w:hint="eastAsia" w:ascii="宋体" w:hAnsi="宋体" w:eastAsia="宋体" w:cs="宋体"/>
          <w:color w:val="auto"/>
          <w:sz w:val="21"/>
          <w:szCs w:val="21"/>
          <w:lang w:eastAsia="zh-Hans"/>
        </w:rPr>
        <w:t>其他未尽事宜应严格按照相关法律法规以及《财政部关于进一步加强政府采购需求和履约验收管理的指导意见》（财库〔2016〕205号）进行验收。</w:t>
      </w:r>
    </w:p>
    <w:p w14:paraId="750F7CBA">
      <w:pPr>
        <w:ind w:firstLine="211" w:firstLineChars="100"/>
        <w:outlineLvl w:val="3"/>
        <w:rPr>
          <w:rFonts w:hint="eastAsia" w:ascii="宋体" w:hAnsi="宋体" w:eastAsia="宋体" w:cs="宋体"/>
          <w:b/>
          <w:color w:val="auto"/>
          <w:sz w:val="21"/>
          <w:szCs w:val="21"/>
          <w:lang w:val="en-US" w:eastAsia="zh-CN"/>
        </w:rPr>
      </w:pPr>
      <w:r>
        <w:rPr>
          <w:rFonts w:hint="eastAsia" w:ascii="宋体" w:hAnsi="宋体" w:eastAsia="宋体" w:cs="宋体"/>
          <w:b/>
          <w:color w:val="auto"/>
          <w:sz w:val="21"/>
          <w:szCs w:val="21"/>
          <w:lang w:val="en-US" w:eastAsia="zh-CN"/>
        </w:rPr>
        <w:t>七、售后服务</w:t>
      </w:r>
    </w:p>
    <w:p w14:paraId="5FF20B6B">
      <w:pPr>
        <w:keepNext w:val="0"/>
        <w:keepLines w:val="0"/>
        <w:widowControl/>
        <w:suppressLineNumbers w:val="0"/>
        <w:ind w:firstLine="210" w:firstLineChars="10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1.供应商应无条件接受每学期期末剩余原材料退货。</w:t>
      </w:r>
    </w:p>
    <w:p w14:paraId="2322D9A5">
      <w:pPr>
        <w:keepNext w:val="0"/>
        <w:keepLines w:val="0"/>
        <w:widowControl/>
        <w:suppressLineNumbers w:val="0"/>
        <w:ind w:firstLine="210" w:firstLineChars="10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2.采购人出现临时供货情况，供应商应无条件及时响应，应当在1小时内送达采购人指定地点。</w:t>
      </w:r>
    </w:p>
    <w:p w14:paraId="665D3520">
      <w:pPr>
        <w:ind w:firstLine="210" w:firstLineChars="100"/>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3.供应商应严格按照国家食材质量标准进行供货，如经相关行政部门查实因原材料出现质量问题，由供应商承担相关法律责任及经济赔偿。</w:t>
      </w:r>
    </w:p>
    <w:p w14:paraId="2C539CF3">
      <w:pPr>
        <w:outlineLvl w:val="3"/>
        <w:rPr>
          <w:rFonts w:hint="eastAsia" w:ascii="宋体" w:hAnsi="宋体" w:eastAsia="宋体" w:cs="宋体"/>
          <w:b/>
          <w:color w:val="auto"/>
          <w:sz w:val="21"/>
          <w:szCs w:val="21"/>
          <w:lang w:val="en-US" w:eastAsia="zh-CN"/>
        </w:rPr>
      </w:pPr>
      <w:r>
        <w:rPr>
          <w:rFonts w:hint="eastAsia" w:ascii="宋体" w:hAnsi="宋体" w:eastAsia="宋体" w:cs="宋体"/>
          <w:b/>
          <w:color w:val="auto"/>
          <w:sz w:val="21"/>
          <w:szCs w:val="21"/>
          <w:lang w:val="en-US" w:eastAsia="zh-CN"/>
        </w:rPr>
        <w:t xml:space="preserve">  八、知识产权</w:t>
      </w:r>
    </w:p>
    <w:p w14:paraId="55622E8F">
      <w:pPr>
        <w:keepNext w:val="0"/>
        <w:keepLines w:val="0"/>
        <w:widowControl/>
        <w:suppressLineNumbers w:val="0"/>
        <w:ind w:firstLine="210" w:firstLineChars="10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供应商应保证在本项目中使用的任何技术、产品和服务（包括部分使用），不会产生因第三方提出侵犯其专利权、商标权或其它知识产权而引起的法律和经济纠纷，如存在前述情形，由供应商承担所有相关责任。</w:t>
      </w:r>
    </w:p>
    <w:p w14:paraId="2E26209B">
      <w:pPr>
        <w:ind w:firstLine="211" w:firstLineChars="100"/>
        <w:outlineLvl w:val="3"/>
        <w:rPr>
          <w:rFonts w:hint="eastAsia" w:ascii="宋体" w:hAnsi="宋体" w:eastAsia="宋体" w:cs="宋体"/>
          <w:color w:val="auto"/>
          <w:sz w:val="21"/>
          <w:szCs w:val="21"/>
          <w:lang w:eastAsia="zh-Hans"/>
        </w:rPr>
      </w:pPr>
      <w:r>
        <w:rPr>
          <w:rFonts w:hint="eastAsia" w:ascii="宋体" w:hAnsi="宋体" w:eastAsia="宋体" w:cs="宋体"/>
          <w:b/>
          <w:color w:val="auto"/>
          <w:sz w:val="21"/>
          <w:szCs w:val="21"/>
          <w:lang w:eastAsia="zh-Hans"/>
        </w:rPr>
        <w:t xml:space="preserve"> </w:t>
      </w:r>
      <w:r>
        <w:rPr>
          <w:rFonts w:hint="eastAsia" w:ascii="宋体" w:hAnsi="宋体" w:eastAsia="宋体" w:cs="宋体"/>
          <w:b/>
          <w:color w:val="auto"/>
          <w:sz w:val="21"/>
          <w:szCs w:val="21"/>
          <w:lang w:val="en-US" w:eastAsia="zh-CN"/>
        </w:rPr>
        <w:t>九</w:t>
      </w:r>
      <w:r>
        <w:rPr>
          <w:rFonts w:hint="eastAsia" w:ascii="宋体" w:hAnsi="宋体" w:eastAsia="宋体" w:cs="宋体"/>
          <w:b/>
          <w:color w:val="auto"/>
          <w:sz w:val="21"/>
          <w:szCs w:val="21"/>
          <w:lang w:eastAsia="zh-Hans"/>
        </w:rPr>
        <w:t>、甲方的权利和义务</w:t>
      </w:r>
    </w:p>
    <w:p w14:paraId="2129D4B8">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lang w:eastAsia="zh-Hans"/>
        </w:rPr>
        <w:t>1.甲方有权对合同规定范围内乙方的服务行为进行监督和检查，拥有监管权。有权定期核对乙方提供服务所配备的人员数量。对甲方认为不合理的部分</w:t>
      </w:r>
      <w:r>
        <w:rPr>
          <w:rFonts w:hint="eastAsia" w:ascii="宋体" w:hAnsi="宋体" w:eastAsia="宋体" w:cs="宋体"/>
          <w:color w:val="auto"/>
          <w:sz w:val="21"/>
          <w:szCs w:val="21"/>
        </w:rPr>
        <w:t>有</w:t>
      </w:r>
      <w:r>
        <w:rPr>
          <w:rFonts w:hint="eastAsia" w:ascii="宋体" w:hAnsi="宋体" w:eastAsia="宋体" w:cs="宋体"/>
          <w:color w:val="auto"/>
          <w:sz w:val="21"/>
          <w:szCs w:val="21"/>
          <w:lang w:eastAsia="zh-Hans"/>
        </w:rPr>
        <w:t>权下达整改通知书，并要求乙方限期整改。</w:t>
      </w:r>
    </w:p>
    <w:p w14:paraId="3F217B25">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2.甲方有权依据双方签订的考核办法对乙方提供的服务进行定期考核。</w:t>
      </w:r>
    </w:p>
    <w:p w14:paraId="0AA765FA">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3.负责检查监督乙方管理工作的实施及制度的执行情况。</w:t>
      </w:r>
    </w:p>
    <w:p w14:paraId="350F736B">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4.根据本合同规定，按时向乙方支付应付服务费用。</w:t>
      </w:r>
    </w:p>
    <w:p w14:paraId="116CC403">
      <w:pPr>
        <w:ind w:firstLine="420" w:firstLineChars="200"/>
        <w:rPr>
          <w:rFonts w:hint="eastAsia" w:ascii="宋体" w:hAnsi="宋体" w:eastAsia="宋体" w:cs="宋体"/>
          <w:color w:val="auto"/>
          <w:sz w:val="21"/>
          <w:szCs w:val="21"/>
          <w:lang w:eastAsia="zh-Hans"/>
        </w:rPr>
      </w:pPr>
      <w:r>
        <w:rPr>
          <w:rFonts w:hint="eastAsia" w:ascii="宋体" w:hAnsi="宋体" w:eastAsia="宋体" w:cs="宋体"/>
          <w:color w:val="auto"/>
          <w:sz w:val="21"/>
          <w:szCs w:val="21"/>
        </w:rPr>
        <w:t>5</w:t>
      </w:r>
      <w:r>
        <w:rPr>
          <w:rFonts w:hint="eastAsia" w:ascii="宋体" w:hAnsi="宋体" w:eastAsia="宋体" w:cs="宋体"/>
          <w:color w:val="auto"/>
          <w:sz w:val="21"/>
          <w:szCs w:val="21"/>
          <w:lang w:eastAsia="zh-Hans"/>
        </w:rPr>
        <w:t>.国家法律、法规所规定由甲方承担的其它责任。</w:t>
      </w:r>
    </w:p>
    <w:p w14:paraId="7EA0A85E">
      <w:pPr>
        <w:ind w:firstLine="211" w:firstLineChars="100"/>
        <w:outlineLvl w:val="3"/>
        <w:rPr>
          <w:rFonts w:hint="eastAsia" w:ascii="宋体" w:hAnsi="宋体" w:eastAsia="宋体" w:cs="宋体"/>
          <w:color w:val="auto"/>
          <w:sz w:val="21"/>
          <w:szCs w:val="21"/>
          <w:lang w:eastAsia="zh-Hans"/>
        </w:rPr>
      </w:pPr>
      <w:r>
        <w:rPr>
          <w:rFonts w:hint="eastAsia" w:ascii="宋体" w:hAnsi="宋体" w:eastAsia="宋体" w:cs="宋体"/>
          <w:b/>
          <w:color w:val="auto"/>
          <w:sz w:val="21"/>
          <w:szCs w:val="21"/>
          <w:lang w:val="en-US" w:eastAsia="zh-CN"/>
        </w:rPr>
        <w:t>十</w:t>
      </w:r>
      <w:r>
        <w:rPr>
          <w:rFonts w:hint="eastAsia" w:ascii="宋体" w:hAnsi="宋体" w:eastAsia="宋体" w:cs="宋体"/>
          <w:b/>
          <w:color w:val="auto"/>
          <w:sz w:val="21"/>
          <w:szCs w:val="21"/>
          <w:lang w:eastAsia="zh-Hans"/>
        </w:rPr>
        <w:t>、乙方的权利和义务</w:t>
      </w:r>
    </w:p>
    <w:p w14:paraId="3CD91E09">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lang w:eastAsia="zh-Hans"/>
        </w:rPr>
        <w:t>1.</w:t>
      </w:r>
      <w:r>
        <w:rPr>
          <w:rFonts w:hint="eastAsia" w:ascii="宋体" w:hAnsi="宋体" w:eastAsia="宋体" w:cs="宋体"/>
          <w:color w:val="auto"/>
          <w:sz w:val="21"/>
          <w:szCs w:val="21"/>
        </w:rPr>
        <w:t>对</w:t>
      </w:r>
      <w:r>
        <w:rPr>
          <w:rFonts w:hint="eastAsia" w:ascii="宋体" w:hAnsi="宋体" w:eastAsia="宋体" w:cs="宋体"/>
          <w:color w:val="auto"/>
          <w:sz w:val="21"/>
          <w:szCs w:val="21"/>
          <w:lang w:eastAsia="zh-Hans"/>
        </w:rPr>
        <w:t>本合同规定的委托服务范围内的项目享有管理权及服务义务。</w:t>
      </w:r>
    </w:p>
    <w:p w14:paraId="5B2A2746">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2.根据本合同的规定向甲方收取相关服务费用，并有权在本项目管理范围内管理及合理使用。</w:t>
      </w:r>
    </w:p>
    <w:p w14:paraId="75F58D24">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3.及时向甲方通告本项目服务范围内有关服务的重大事项，及时配合处理投诉。</w:t>
      </w:r>
    </w:p>
    <w:p w14:paraId="39F4E604">
      <w:pPr>
        <w:ind w:firstLine="420" w:firstLineChars="200"/>
        <w:rPr>
          <w:rFonts w:hint="eastAsia" w:ascii="宋体" w:hAnsi="宋体" w:eastAsia="宋体" w:cs="宋体"/>
          <w:color w:val="auto"/>
          <w:sz w:val="21"/>
          <w:szCs w:val="21"/>
          <w:lang w:eastAsia="zh-Hans"/>
        </w:rPr>
      </w:pPr>
      <w:r>
        <w:rPr>
          <w:rFonts w:hint="eastAsia" w:ascii="宋体" w:hAnsi="宋体" w:eastAsia="宋体" w:cs="宋体"/>
          <w:color w:val="auto"/>
          <w:sz w:val="21"/>
          <w:szCs w:val="21"/>
        </w:rPr>
        <w:t>4.</w:t>
      </w:r>
      <w:r>
        <w:rPr>
          <w:rFonts w:hint="eastAsia" w:ascii="宋体" w:hAnsi="宋体" w:eastAsia="宋体" w:cs="宋体"/>
          <w:color w:val="auto"/>
          <w:sz w:val="21"/>
          <w:szCs w:val="21"/>
          <w:lang w:eastAsia="zh-Hans"/>
        </w:rPr>
        <w:t>.接受项目行业管理部门及政府有关部门的指导，接受甲方的监督。</w:t>
      </w:r>
    </w:p>
    <w:p w14:paraId="058852F0">
      <w:pPr>
        <w:ind w:firstLine="420" w:firstLineChars="200"/>
        <w:rPr>
          <w:rFonts w:hint="eastAsia" w:ascii="宋体" w:hAnsi="宋体" w:eastAsia="宋体" w:cs="宋体"/>
          <w:color w:val="auto"/>
          <w:sz w:val="21"/>
          <w:szCs w:val="21"/>
          <w:lang w:eastAsia="zh-Hans"/>
        </w:rPr>
      </w:pPr>
      <w:r>
        <w:rPr>
          <w:rFonts w:hint="eastAsia" w:ascii="宋体" w:hAnsi="宋体" w:eastAsia="宋体" w:cs="宋体"/>
          <w:color w:val="auto"/>
          <w:sz w:val="21"/>
          <w:szCs w:val="21"/>
        </w:rPr>
        <w:t>5</w:t>
      </w:r>
      <w:r>
        <w:rPr>
          <w:rFonts w:hint="eastAsia" w:ascii="宋体" w:hAnsi="宋体" w:eastAsia="宋体" w:cs="宋体"/>
          <w:color w:val="auto"/>
          <w:sz w:val="21"/>
          <w:szCs w:val="21"/>
          <w:lang w:eastAsia="zh-Hans"/>
        </w:rPr>
        <w:t>.国家法律、法规所规定由乙方承担的其它责任。</w:t>
      </w:r>
    </w:p>
    <w:p w14:paraId="52CE1C36">
      <w:pPr>
        <w:ind w:firstLine="211" w:firstLineChars="100"/>
        <w:outlineLvl w:val="3"/>
        <w:rPr>
          <w:rFonts w:hint="eastAsia" w:ascii="宋体" w:hAnsi="宋体" w:eastAsia="宋体" w:cs="宋体"/>
          <w:b/>
          <w:color w:val="auto"/>
          <w:sz w:val="21"/>
          <w:szCs w:val="21"/>
          <w:lang w:eastAsia="zh-Hans"/>
        </w:rPr>
      </w:pPr>
      <w:r>
        <w:rPr>
          <w:rFonts w:hint="eastAsia" w:ascii="宋体" w:hAnsi="宋体" w:eastAsia="宋体" w:cs="宋体"/>
          <w:b/>
          <w:color w:val="auto"/>
          <w:sz w:val="21"/>
          <w:szCs w:val="21"/>
          <w:lang w:val="en-US" w:eastAsia="zh-CN"/>
        </w:rPr>
        <w:t>十一</w:t>
      </w:r>
      <w:r>
        <w:rPr>
          <w:rFonts w:hint="eastAsia" w:ascii="宋体" w:hAnsi="宋体" w:eastAsia="宋体" w:cs="宋体"/>
          <w:b/>
          <w:color w:val="auto"/>
          <w:sz w:val="21"/>
          <w:szCs w:val="21"/>
        </w:rPr>
        <w:t>、</w:t>
      </w:r>
      <w:r>
        <w:rPr>
          <w:rFonts w:hint="eastAsia" w:ascii="宋体" w:hAnsi="宋体" w:eastAsia="宋体" w:cs="宋体"/>
          <w:b/>
          <w:color w:val="auto"/>
          <w:sz w:val="21"/>
          <w:szCs w:val="21"/>
          <w:lang w:eastAsia="zh-Hans"/>
        </w:rPr>
        <w:t>其他要求</w:t>
      </w:r>
    </w:p>
    <w:p w14:paraId="5FDEB743">
      <w:pPr>
        <w:ind w:firstLine="480"/>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1.供应商实际配送产品必须与投标时承诺的质量指标保持一致或配送更高质量指标标准的产品(具体以采购人实际需求开展配送)。</w:t>
      </w:r>
    </w:p>
    <w:p w14:paraId="5D8D4A12">
      <w:pPr>
        <w:ind w:firstLine="480"/>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2.供应商须按照</w:t>
      </w:r>
      <w:r>
        <w:rPr>
          <w:rFonts w:hint="eastAsia" w:ascii="宋体" w:hAnsi="宋体" w:eastAsia="宋体" w:cs="宋体"/>
          <w:color w:val="auto"/>
          <w:sz w:val="21"/>
          <w:szCs w:val="21"/>
        </w:rPr>
        <w:t>采购人</w:t>
      </w:r>
      <w:r>
        <w:rPr>
          <w:rFonts w:hint="eastAsia" w:ascii="宋体" w:hAnsi="宋体" w:eastAsia="宋体" w:cs="宋体"/>
          <w:color w:val="auto"/>
          <w:sz w:val="21"/>
          <w:szCs w:val="21"/>
          <w:lang w:eastAsia="zh-Hans"/>
        </w:rPr>
        <w:t>规定的时间进行配送，采购人验收</w:t>
      </w:r>
      <w:r>
        <w:rPr>
          <w:rFonts w:hint="eastAsia" w:ascii="宋体" w:hAnsi="宋体" w:eastAsia="宋体" w:cs="宋体"/>
          <w:color w:val="auto"/>
          <w:sz w:val="21"/>
          <w:szCs w:val="21"/>
        </w:rPr>
        <w:t>人</w:t>
      </w:r>
      <w:r>
        <w:rPr>
          <w:rFonts w:hint="eastAsia" w:ascii="宋体" w:hAnsi="宋体" w:eastAsia="宋体" w:cs="宋体"/>
          <w:color w:val="auto"/>
          <w:sz w:val="21"/>
          <w:szCs w:val="21"/>
          <w:lang w:eastAsia="zh-Hans"/>
        </w:rPr>
        <w:t>员通过看、闻、触摸等方法当场验收，检查食材是否有腐烂、异味等，拒收不符合要求的产品。供应商须提供配送产品相关的产品合格证和检验、检疫报告等材料。</w:t>
      </w:r>
    </w:p>
    <w:p w14:paraId="3679085F">
      <w:pPr>
        <w:ind w:firstLine="482"/>
        <w:rPr>
          <w:rFonts w:hint="eastAsia" w:ascii="宋体" w:hAnsi="宋体" w:eastAsia="宋体" w:cs="宋体"/>
          <w:b w:val="0"/>
          <w:bCs/>
          <w:color w:val="auto"/>
          <w:sz w:val="21"/>
          <w:szCs w:val="21"/>
          <w:lang w:eastAsia="zh-Hans"/>
        </w:rPr>
      </w:pPr>
      <w:r>
        <w:rPr>
          <w:rFonts w:hint="eastAsia" w:ascii="宋体" w:hAnsi="宋体" w:eastAsia="宋体" w:cs="宋体"/>
          <w:b w:val="0"/>
          <w:bCs/>
          <w:color w:val="auto"/>
          <w:sz w:val="21"/>
          <w:szCs w:val="21"/>
          <w:lang w:eastAsia="zh-Hans"/>
        </w:rPr>
        <w:t>3.配送产品质量和服务考核</w:t>
      </w:r>
    </w:p>
    <w:p w14:paraId="5382711E">
      <w:pPr>
        <w:ind w:firstLine="480"/>
        <w:jc w:val="center"/>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产品质量和服务评议考核标准表</w:t>
      </w:r>
    </w:p>
    <w:tbl>
      <w:tblPr>
        <w:tblStyle w:val="7"/>
        <w:tblW w:w="5000" w:type="pct"/>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fixed"/>
        <w:tblCellMar>
          <w:top w:w="0" w:type="dxa"/>
          <w:left w:w="108" w:type="dxa"/>
          <w:bottom w:w="0" w:type="dxa"/>
          <w:right w:w="108" w:type="dxa"/>
        </w:tblCellMar>
      </w:tblPr>
      <w:tblGrid>
        <w:gridCol w:w="997"/>
        <w:gridCol w:w="717"/>
        <w:gridCol w:w="5540"/>
        <w:gridCol w:w="1262"/>
      </w:tblGrid>
      <w:tr w14:paraId="3109274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000" w:type="pct"/>
            <w:gridSpan w:val="4"/>
            <w:tcBorders>
              <w:top w:val="single" w:color="000000" w:sz="4" w:space="0"/>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3E02E07B">
            <w:pPr>
              <w:jc w:val="center"/>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产品质量和服务评议考核标准表(总分100分)</w:t>
            </w:r>
          </w:p>
        </w:tc>
      </w:tr>
      <w:tr w14:paraId="70A83B4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85" w:type="pct"/>
            <w:vMerge w:val="restart"/>
            <w:tcBorders>
              <w:top w:val="nil"/>
              <w:left w:val="single" w:color="000000" w:sz="4" w:space="0"/>
              <w:bottom w:val="single" w:color="000000" w:sz="4" w:space="0"/>
              <w:right w:val="single" w:color="000000" w:sz="4" w:space="0"/>
            </w:tcBorders>
            <w:noWrap w:val="0"/>
            <w:tcMar>
              <w:top w:w="0" w:type="dxa"/>
              <w:left w:w="105" w:type="dxa"/>
              <w:bottom w:w="0" w:type="dxa"/>
              <w:right w:w="105" w:type="dxa"/>
            </w:tcMar>
            <w:vAlign w:val="top"/>
          </w:tcPr>
          <w:p w14:paraId="0B162C16">
            <w:pPr>
              <w:jc w:val="center"/>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质</w:t>
            </w:r>
          </w:p>
          <w:p w14:paraId="6F6E67D8">
            <w:pPr>
              <w:jc w:val="center"/>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量</w:t>
            </w:r>
          </w:p>
          <w:p w14:paraId="153ED6F4">
            <w:pPr>
              <w:jc w:val="center"/>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类</w:t>
            </w:r>
          </w:p>
          <w:p w14:paraId="1A13D41E">
            <w:pPr>
              <w:jc w:val="center"/>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(90分)</w:t>
            </w:r>
          </w:p>
        </w:tc>
        <w:tc>
          <w:tcPr>
            <w:tcW w:w="420" w:type="pct"/>
            <w:tcBorders>
              <w:top w:val="single" w:color="000000" w:sz="4" w:space="0"/>
              <w:left w:val="nil"/>
              <w:bottom w:val="single" w:color="000000" w:sz="4" w:space="0"/>
              <w:right w:val="single" w:color="000000" w:sz="4" w:space="0"/>
            </w:tcBorders>
            <w:noWrap w:val="0"/>
            <w:tcMar>
              <w:top w:w="0" w:type="dxa"/>
              <w:left w:w="105" w:type="dxa"/>
              <w:bottom w:w="0" w:type="dxa"/>
              <w:right w:w="105" w:type="dxa"/>
            </w:tcMar>
            <w:vAlign w:val="top"/>
          </w:tcPr>
          <w:p w14:paraId="06ABFDA2">
            <w:pPr>
              <w:jc w:val="center"/>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序号</w:t>
            </w:r>
          </w:p>
        </w:tc>
        <w:tc>
          <w:tcPr>
            <w:tcW w:w="3252" w:type="pct"/>
            <w:tcBorders>
              <w:top w:val="single" w:color="000000" w:sz="4" w:space="0"/>
              <w:left w:val="nil"/>
              <w:bottom w:val="single" w:color="000000" w:sz="4" w:space="0"/>
              <w:right w:val="single" w:color="000000" w:sz="4" w:space="0"/>
            </w:tcBorders>
            <w:noWrap w:val="0"/>
            <w:tcMar>
              <w:top w:w="0" w:type="dxa"/>
              <w:left w:w="105" w:type="dxa"/>
              <w:bottom w:w="0" w:type="dxa"/>
              <w:right w:w="105" w:type="dxa"/>
            </w:tcMar>
            <w:vAlign w:val="top"/>
          </w:tcPr>
          <w:p w14:paraId="23FDF7E9">
            <w:pPr>
              <w:jc w:val="center"/>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考核标准</w:t>
            </w:r>
          </w:p>
        </w:tc>
        <w:tc>
          <w:tcPr>
            <w:tcW w:w="740" w:type="pct"/>
            <w:tcBorders>
              <w:top w:val="single" w:color="000000" w:sz="4" w:space="0"/>
              <w:left w:val="nil"/>
              <w:bottom w:val="single" w:color="000000" w:sz="4" w:space="0"/>
              <w:right w:val="single" w:color="000000" w:sz="4" w:space="0"/>
            </w:tcBorders>
            <w:noWrap w:val="0"/>
            <w:tcMar>
              <w:top w:w="0" w:type="dxa"/>
              <w:left w:w="105" w:type="dxa"/>
              <w:bottom w:w="0" w:type="dxa"/>
              <w:right w:w="105" w:type="dxa"/>
            </w:tcMar>
            <w:vAlign w:val="top"/>
          </w:tcPr>
          <w:p w14:paraId="3FFDB34A">
            <w:pPr>
              <w:jc w:val="center"/>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最多扣分制</w:t>
            </w:r>
          </w:p>
        </w:tc>
      </w:tr>
      <w:tr w14:paraId="2CE8302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85" w:type="pct"/>
            <w:vMerge w:val="continue"/>
            <w:tcBorders>
              <w:top w:val="nil"/>
              <w:left w:val="single" w:color="000000" w:sz="4" w:space="0"/>
              <w:bottom w:val="single" w:color="000000" w:sz="4" w:space="0"/>
              <w:right w:val="single" w:color="000000" w:sz="4" w:space="0"/>
            </w:tcBorders>
            <w:noWrap w:val="0"/>
            <w:vAlign w:val="top"/>
          </w:tcPr>
          <w:p w14:paraId="35012EE6">
            <w:pPr>
              <w:rPr>
                <w:rFonts w:hint="eastAsia" w:ascii="宋体" w:hAnsi="宋体" w:eastAsia="宋体" w:cs="宋体"/>
                <w:color w:val="auto"/>
                <w:sz w:val="21"/>
                <w:szCs w:val="21"/>
              </w:rPr>
            </w:pPr>
          </w:p>
        </w:tc>
        <w:tc>
          <w:tcPr>
            <w:tcW w:w="420" w:type="pct"/>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7F100597">
            <w:pPr>
              <w:jc w:val="center"/>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1</w:t>
            </w:r>
          </w:p>
        </w:tc>
        <w:tc>
          <w:tcPr>
            <w:tcW w:w="3252" w:type="pct"/>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141C8E27">
            <w:pPr>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食材不新鲜有变质倾向的</w:t>
            </w:r>
          </w:p>
        </w:tc>
        <w:tc>
          <w:tcPr>
            <w:tcW w:w="740" w:type="pct"/>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7BEA269E">
            <w:pPr>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-2</w:t>
            </w:r>
          </w:p>
        </w:tc>
      </w:tr>
      <w:tr w14:paraId="70E0716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85" w:type="pct"/>
            <w:vMerge w:val="continue"/>
            <w:tcBorders>
              <w:top w:val="nil"/>
              <w:left w:val="single" w:color="000000" w:sz="4" w:space="0"/>
              <w:bottom w:val="single" w:color="000000" w:sz="4" w:space="0"/>
              <w:right w:val="single" w:color="000000" w:sz="4" w:space="0"/>
            </w:tcBorders>
            <w:noWrap w:val="0"/>
            <w:vAlign w:val="top"/>
          </w:tcPr>
          <w:p w14:paraId="2861DB9D">
            <w:pPr>
              <w:rPr>
                <w:rFonts w:hint="eastAsia" w:ascii="宋体" w:hAnsi="宋体" w:eastAsia="宋体" w:cs="宋体"/>
                <w:color w:val="auto"/>
                <w:sz w:val="21"/>
                <w:szCs w:val="21"/>
              </w:rPr>
            </w:pPr>
          </w:p>
        </w:tc>
        <w:tc>
          <w:tcPr>
            <w:tcW w:w="420" w:type="pct"/>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60FC738E">
            <w:pPr>
              <w:jc w:val="center"/>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2</w:t>
            </w:r>
          </w:p>
        </w:tc>
        <w:tc>
          <w:tcPr>
            <w:tcW w:w="3252" w:type="pct"/>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394B42F7">
            <w:pPr>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肉类制品有异味的</w:t>
            </w:r>
          </w:p>
        </w:tc>
        <w:tc>
          <w:tcPr>
            <w:tcW w:w="740" w:type="pct"/>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57D434D3">
            <w:pPr>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-5</w:t>
            </w:r>
          </w:p>
        </w:tc>
      </w:tr>
      <w:tr w14:paraId="400CF25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85" w:type="pct"/>
            <w:vMerge w:val="continue"/>
            <w:tcBorders>
              <w:top w:val="nil"/>
              <w:left w:val="single" w:color="000000" w:sz="4" w:space="0"/>
              <w:bottom w:val="single" w:color="000000" w:sz="4" w:space="0"/>
              <w:right w:val="single" w:color="000000" w:sz="4" w:space="0"/>
            </w:tcBorders>
            <w:noWrap w:val="0"/>
            <w:vAlign w:val="top"/>
          </w:tcPr>
          <w:p w14:paraId="777A8197">
            <w:pPr>
              <w:rPr>
                <w:rFonts w:hint="eastAsia" w:ascii="宋体" w:hAnsi="宋体" w:eastAsia="宋体" w:cs="宋体"/>
                <w:color w:val="auto"/>
                <w:sz w:val="21"/>
                <w:szCs w:val="21"/>
              </w:rPr>
            </w:pPr>
          </w:p>
        </w:tc>
        <w:tc>
          <w:tcPr>
            <w:tcW w:w="420" w:type="pct"/>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7597EEFA">
            <w:pPr>
              <w:jc w:val="center"/>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3</w:t>
            </w:r>
          </w:p>
        </w:tc>
        <w:tc>
          <w:tcPr>
            <w:tcW w:w="3252" w:type="pct"/>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3B0C730C">
            <w:pPr>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食材被水浸泡后增重的</w:t>
            </w:r>
          </w:p>
        </w:tc>
        <w:tc>
          <w:tcPr>
            <w:tcW w:w="740" w:type="pct"/>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468FE528">
            <w:pPr>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-2</w:t>
            </w:r>
          </w:p>
        </w:tc>
      </w:tr>
      <w:tr w14:paraId="277CE14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85" w:type="pct"/>
            <w:vMerge w:val="continue"/>
            <w:tcBorders>
              <w:top w:val="nil"/>
              <w:left w:val="single" w:color="000000" w:sz="4" w:space="0"/>
              <w:bottom w:val="single" w:color="000000" w:sz="4" w:space="0"/>
              <w:right w:val="single" w:color="000000" w:sz="4" w:space="0"/>
            </w:tcBorders>
            <w:noWrap w:val="0"/>
            <w:vAlign w:val="top"/>
          </w:tcPr>
          <w:p w14:paraId="57F2554A">
            <w:pPr>
              <w:rPr>
                <w:rFonts w:hint="eastAsia" w:ascii="宋体" w:hAnsi="宋体" w:eastAsia="宋体" w:cs="宋体"/>
                <w:color w:val="auto"/>
                <w:sz w:val="21"/>
                <w:szCs w:val="21"/>
              </w:rPr>
            </w:pPr>
          </w:p>
        </w:tc>
        <w:tc>
          <w:tcPr>
            <w:tcW w:w="420" w:type="pct"/>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6FB2FF47">
            <w:pPr>
              <w:jc w:val="center"/>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4</w:t>
            </w:r>
          </w:p>
        </w:tc>
        <w:tc>
          <w:tcPr>
            <w:tcW w:w="3252" w:type="pct"/>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5E939325">
            <w:pPr>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食材有砂石污染的</w:t>
            </w:r>
          </w:p>
        </w:tc>
        <w:tc>
          <w:tcPr>
            <w:tcW w:w="740" w:type="pct"/>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1840B967">
            <w:pPr>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-2</w:t>
            </w:r>
          </w:p>
        </w:tc>
      </w:tr>
      <w:tr w14:paraId="017C7E5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85" w:type="pct"/>
            <w:vMerge w:val="continue"/>
            <w:tcBorders>
              <w:top w:val="nil"/>
              <w:left w:val="single" w:color="000000" w:sz="4" w:space="0"/>
              <w:bottom w:val="single" w:color="000000" w:sz="4" w:space="0"/>
              <w:right w:val="single" w:color="000000" w:sz="4" w:space="0"/>
            </w:tcBorders>
            <w:noWrap w:val="0"/>
            <w:vAlign w:val="top"/>
          </w:tcPr>
          <w:p w14:paraId="0745E8EB">
            <w:pPr>
              <w:rPr>
                <w:rFonts w:hint="eastAsia" w:ascii="宋体" w:hAnsi="宋体" w:eastAsia="宋体" w:cs="宋体"/>
                <w:color w:val="auto"/>
                <w:sz w:val="21"/>
                <w:szCs w:val="21"/>
              </w:rPr>
            </w:pPr>
          </w:p>
        </w:tc>
        <w:tc>
          <w:tcPr>
            <w:tcW w:w="420" w:type="pct"/>
            <w:tcBorders>
              <w:top w:val="nil"/>
              <w:left w:val="nil"/>
              <w:bottom w:val="single" w:color="000000" w:sz="4" w:space="0"/>
              <w:right w:val="single" w:color="000000" w:sz="4" w:space="0"/>
            </w:tcBorders>
            <w:shd w:val="clear" w:color="auto" w:fill="auto"/>
            <w:noWrap w:val="0"/>
            <w:tcMar>
              <w:top w:w="0" w:type="dxa"/>
              <w:left w:w="105" w:type="dxa"/>
              <w:bottom w:w="0" w:type="dxa"/>
              <w:right w:w="105" w:type="dxa"/>
            </w:tcMar>
            <w:vAlign w:val="top"/>
          </w:tcPr>
          <w:p w14:paraId="58F9FC2E">
            <w:pPr>
              <w:jc w:val="center"/>
              <w:rPr>
                <w:rFonts w:hint="eastAsia" w:ascii="宋体" w:hAnsi="宋体" w:eastAsia="宋体" w:cs="宋体"/>
                <w:color w:val="auto"/>
                <w:kern w:val="2"/>
                <w:sz w:val="21"/>
                <w:szCs w:val="21"/>
                <w:lang w:val="en-US" w:eastAsia="zh-Hans" w:bidi="ar-SA"/>
              </w:rPr>
            </w:pPr>
            <w:r>
              <w:rPr>
                <w:rFonts w:hint="eastAsia" w:ascii="宋体" w:hAnsi="宋体" w:eastAsia="宋体" w:cs="宋体"/>
                <w:color w:val="auto"/>
                <w:sz w:val="21"/>
                <w:szCs w:val="21"/>
                <w:lang w:eastAsia="zh-Hans"/>
              </w:rPr>
              <w:t>5</w:t>
            </w:r>
          </w:p>
        </w:tc>
        <w:tc>
          <w:tcPr>
            <w:tcW w:w="3252" w:type="pct"/>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4D59CBAD">
            <w:pPr>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食材被交叉轻微污损的</w:t>
            </w:r>
          </w:p>
        </w:tc>
        <w:tc>
          <w:tcPr>
            <w:tcW w:w="740" w:type="pct"/>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6D655E7F">
            <w:pPr>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-2</w:t>
            </w:r>
          </w:p>
        </w:tc>
      </w:tr>
      <w:tr w14:paraId="24E06A6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85" w:type="pct"/>
            <w:vMerge w:val="continue"/>
            <w:tcBorders>
              <w:top w:val="nil"/>
              <w:left w:val="single" w:color="000000" w:sz="4" w:space="0"/>
              <w:bottom w:val="single" w:color="000000" w:sz="4" w:space="0"/>
              <w:right w:val="single" w:color="000000" w:sz="4" w:space="0"/>
            </w:tcBorders>
            <w:noWrap w:val="0"/>
            <w:vAlign w:val="top"/>
          </w:tcPr>
          <w:p w14:paraId="0E992402">
            <w:pPr>
              <w:rPr>
                <w:rFonts w:hint="eastAsia" w:ascii="宋体" w:hAnsi="宋体" w:eastAsia="宋体" w:cs="宋体"/>
                <w:color w:val="auto"/>
                <w:sz w:val="21"/>
                <w:szCs w:val="21"/>
              </w:rPr>
            </w:pPr>
          </w:p>
        </w:tc>
        <w:tc>
          <w:tcPr>
            <w:tcW w:w="420" w:type="pct"/>
            <w:tcBorders>
              <w:top w:val="nil"/>
              <w:left w:val="nil"/>
              <w:bottom w:val="single" w:color="000000" w:sz="4" w:space="0"/>
              <w:right w:val="single" w:color="000000" w:sz="4" w:space="0"/>
            </w:tcBorders>
            <w:shd w:val="clear" w:color="auto" w:fill="auto"/>
            <w:noWrap w:val="0"/>
            <w:tcMar>
              <w:top w:w="0" w:type="dxa"/>
              <w:left w:w="105" w:type="dxa"/>
              <w:bottom w:w="0" w:type="dxa"/>
              <w:right w:w="105" w:type="dxa"/>
            </w:tcMar>
            <w:vAlign w:val="top"/>
          </w:tcPr>
          <w:p w14:paraId="540BA7D0">
            <w:pPr>
              <w:jc w:val="center"/>
              <w:rPr>
                <w:rFonts w:hint="eastAsia" w:ascii="宋体" w:hAnsi="宋体" w:eastAsia="宋体" w:cs="宋体"/>
                <w:color w:val="auto"/>
                <w:kern w:val="2"/>
                <w:sz w:val="21"/>
                <w:szCs w:val="21"/>
                <w:lang w:val="en-US" w:eastAsia="zh-Hans" w:bidi="ar-SA"/>
              </w:rPr>
            </w:pPr>
            <w:r>
              <w:rPr>
                <w:rFonts w:hint="eastAsia" w:ascii="宋体" w:hAnsi="宋体" w:eastAsia="宋体" w:cs="宋体"/>
                <w:color w:val="auto"/>
                <w:sz w:val="21"/>
                <w:szCs w:val="21"/>
                <w:lang w:eastAsia="zh-Hans"/>
              </w:rPr>
              <w:t>6</w:t>
            </w:r>
          </w:p>
        </w:tc>
        <w:tc>
          <w:tcPr>
            <w:tcW w:w="3252" w:type="pct"/>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233DA6CB">
            <w:pPr>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未按食材标准进行配送的</w:t>
            </w:r>
          </w:p>
        </w:tc>
        <w:tc>
          <w:tcPr>
            <w:tcW w:w="740" w:type="pct"/>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12FD0DA2">
            <w:pPr>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-3</w:t>
            </w:r>
          </w:p>
        </w:tc>
      </w:tr>
      <w:tr w14:paraId="2764F72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85" w:type="pct"/>
            <w:vMerge w:val="continue"/>
            <w:tcBorders>
              <w:top w:val="nil"/>
              <w:left w:val="single" w:color="000000" w:sz="4" w:space="0"/>
              <w:bottom w:val="single" w:color="000000" w:sz="4" w:space="0"/>
              <w:right w:val="single" w:color="000000" w:sz="4" w:space="0"/>
            </w:tcBorders>
            <w:noWrap w:val="0"/>
            <w:vAlign w:val="top"/>
          </w:tcPr>
          <w:p w14:paraId="18F35A53">
            <w:pPr>
              <w:rPr>
                <w:rFonts w:hint="eastAsia" w:ascii="宋体" w:hAnsi="宋体" w:eastAsia="宋体" w:cs="宋体"/>
                <w:color w:val="auto"/>
                <w:sz w:val="21"/>
                <w:szCs w:val="21"/>
              </w:rPr>
            </w:pPr>
          </w:p>
        </w:tc>
        <w:tc>
          <w:tcPr>
            <w:tcW w:w="420" w:type="pct"/>
            <w:tcBorders>
              <w:top w:val="nil"/>
              <w:left w:val="nil"/>
              <w:bottom w:val="single" w:color="000000" w:sz="4" w:space="0"/>
              <w:right w:val="single" w:color="000000" w:sz="4" w:space="0"/>
            </w:tcBorders>
            <w:shd w:val="clear" w:color="auto" w:fill="auto"/>
            <w:noWrap w:val="0"/>
            <w:tcMar>
              <w:top w:w="0" w:type="dxa"/>
              <w:left w:w="105" w:type="dxa"/>
              <w:bottom w:w="0" w:type="dxa"/>
              <w:right w:w="105" w:type="dxa"/>
            </w:tcMar>
            <w:vAlign w:val="top"/>
          </w:tcPr>
          <w:p w14:paraId="41FE1CD5">
            <w:pPr>
              <w:jc w:val="center"/>
              <w:rPr>
                <w:rFonts w:hint="eastAsia" w:ascii="宋体" w:hAnsi="宋体" w:eastAsia="宋体" w:cs="宋体"/>
                <w:color w:val="auto"/>
                <w:kern w:val="2"/>
                <w:sz w:val="21"/>
                <w:szCs w:val="21"/>
                <w:lang w:val="en-US" w:eastAsia="zh-Hans" w:bidi="ar-SA"/>
              </w:rPr>
            </w:pPr>
            <w:r>
              <w:rPr>
                <w:rFonts w:hint="eastAsia" w:ascii="宋体" w:hAnsi="宋体" w:eastAsia="宋体" w:cs="宋体"/>
                <w:color w:val="auto"/>
                <w:sz w:val="21"/>
                <w:szCs w:val="21"/>
                <w:lang w:eastAsia="zh-Hans"/>
              </w:rPr>
              <w:t>7</w:t>
            </w:r>
          </w:p>
        </w:tc>
        <w:tc>
          <w:tcPr>
            <w:tcW w:w="3252" w:type="pct"/>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3312937C">
            <w:pPr>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食材以次充好的</w:t>
            </w:r>
          </w:p>
        </w:tc>
        <w:tc>
          <w:tcPr>
            <w:tcW w:w="740" w:type="pct"/>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0DCEC2FA">
            <w:pPr>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-5</w:t>
            </w:r>
          </w:p>
        </w:tc>
      </w:tr>
      <w:tr w14:paraId="3C9F243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85" w:type="pct"/>
            <w:vMerge w:val="continue"/>
            <w:tcBorders>
              <w:top w:val="nil"/>
              <w:left w:val="single" w:color="000000" w:sz="4" w:space="0"/>
              <w:bottom w:val="single" w:color="000000" w:sz="4" w:space="0"/>
              <w:right w:val="single" w:color="000000" w:sz="4" w:space="0"/>
            </w:tcBorders>
            <w:noWrap w:val="0"/>
            <w:vAlign w:val="top"/>
          </w:tcPr>
          <w:p w14:paraId="73621DEE">
            <w:pPr>
              <w:rPr>
                <w:rFonts w:hint="eastAsia" w:ascii="宋体" w:hAnsi="宋体" w:eastAsia="宋体" w:cs="宋体"/>
                <w:color w:val="auto"/>
                <w:sz w:val="21"/>
                <w:szCs w:val="21"/>
              </w:rPr>
            </w:pPr>
          </w:p>
        </w:tc>
        <w:tc>
          <w:tcPr>
            <w:tcW w:w="420" w:type="pct"/>
            <w:tcBorders>
              <w:top w:val="nil"/>
              <w:left w:val="nil"/>
              <w:bottom w:val="single" w:color="000000" w:sz="4" w:space="0"/>
              <w:right w:val="single" w:color="000000" w:sz="4" w:space="0"/>
            </w:tcBorders>
            <w:shd w:val="clear" w:color="auto" w:fill="auto"/>
            <w:noWrap w:val="0"/>
            <w:tcMar>
              <w:top w:w="0" w:type="dxa"/>
              <w:left w:w="105" w:type="dxa"/>
              <w:bottom w:w="0" w:type="dxa"/>
              <w:right w:w="105" w:type="dxa"/>
            </w:tcMar>
            <w:vAlign w:val="top"/>
          </w:tcPr>
          <w:p w14:paraId="6DE1B75A">
            <w:pPr>
              <w:jc w:val="center"/>
              <w:rPr>
                <w:rFonts w:hint="eastAsia" w:ascii="宋体" w:hAnsi="宋体" w:eastAsia="宋体" w:cs="宋体"/>
                <w:color w:val="auto"/>
                <w:kern w:val="2"/>
                <w:sz w:val="21"/>
                <w:szCs w:val="21"/>
                <w:lang w:val="en-US" w:eastAsia="zh-Hans" w:bidi="ar-SA"/>
              </w:rPr>
            </w:pPr>
            <w:r>
              <w:rPr>
                <w:rFonts w:hint="eastAsia" w:ascii="宋体" w:hAnsi="宋体" w:eastAsia="宋体" w:cs="宋体"/>
                <w:color w:val="auto"/>
                <w:sz w:val="21"/>
                <w:szCs w:val="21"/>
                <w:lang w:eastAsia="zh-Hans"/>
              </w:rPr>
              <w:t>8</w:t>
            </w:r>
          </w:p>
        </w:tc>
        <w:tc>
          <w:tcPr>
            <w:tcW w:w="3252" w:type="pct"/>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6B7934FB">
            <w:pPr>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一批次食材个别品种不洁净的</w:t>
            </w:r>
          </w:p>
        </w:tc>
        <w:tc>
          <w:tcPr>
            <w:tcW w:w="740" w:type="pct"/>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43754F74">
            <w:pPr>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-2</w:t>
            </w:r>
          </w:p>
        </w:tc>
      </w:tr>
      <w:tr w14:paraId="15BACCE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85" w:type="pct"/>
            <w:vMerge w:val="continue"/>
            <w:tcBorders>
              <w:top w:val="nil"/>
              <w:left w:val="single" w:color="000000" w:sz="4" w:space="0"/>
              <w:bottom w:val="single" w:color="000000" w:sz="4" w:space="0"/>
              <w:right w:val="single" w:color="000000" w:sz="4" w:space="0"/>
            </w:tcBorders>
            <w:noWrap w:val="0"/>
            <w:vAlign w:val="top"/>
          </w:tcPr>
          <w:p w14:paraId="1074CF3E">
            <w:pPr>
              <w:rPr>
                <w:rFonts w:hint="eastAsia" w:ascii="宋体" w:hAnsi="宋体" w:eastAsia="宋体" w:cs="宋体"/>
                <w:color w:val="auto"/>
                <w:sz w:val="21"/>
                <w:szCs w:val="21"/>
              </w:rPr>
            </w:pPr>
          </w:p>
        </w:tc>
        <w:tc>
          <w:tcPr>
            <w:tcW w:w="420" w:type="pct"/>
            <w:tcBorders>
              <w:top w:val="nil"/>
              <w:left w:val="nil"/>
              <w:bottom w:val="single" w:color="000000" w:sz="4" w:space="0"/>
              <w:right w:val="single" w:color="000000" w:sz="4" w:space="0"/>
            </w:tcBorders>
            <w:shd w:val="clear" w:color="auto" w:fill="auto"/>
            <w:noWrap w:val="0"/>
            <w:tcMar>
              <w:top w:w="0" w:type="dxa"/>
              <w:left w:w="105" w:type="dxa"/>
              <w:bottom w:w="0" w:type="dxa"/>
              <w:right w:w="105" w:type="dxa"/>
            </w:tcMar>
            <w:vAlign w:val="top"/>
          </w:tcPr>
          <w:p w14:paraId="1D8733F6">
            <w:pPr>
              <w:jc w:val="center"/>
              <w:rPr>
                <w:rFonts w:hint="eastAsia" w:ascii="宋体" w:hAnsi="宋体" w:eastAsia="宋体" w:cs="宋体"/>
                <w:color w:val="auto"/>
                <w:kern w:val="2"/>
                <w:sz w:val="21"/>
                <w:szCs w:val="21"/>
                <w:lang w:val="en-US" w:eastAsia="zh-Hans" w:bidi="ar-SA"/>
              </w:rPr>
            </w:pPr>
            <w:r>
              <w:rPr>
                <w:rFonts w:hint="eastAsia" w:ascii="宋体" w:hAnsi="宋体" w:eastAsia="宋体" w:cs="宋体"/>
                <w:color w:val="auto"/>
                <w:sz w:val="21"/>
                <w:szCs w:val="21"/>
                <w:lang w:eastAsia="zh-Hans"/>
              </w:rPr>
              <w:t>9</w:t>
            </w:r>
          </w:p>
        </w:tc>
        <w:tc>
          <w:tcPr>
            <w:tcW w:w="3252" w:type="pct"/>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2667A36D">
            <w:pPr>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一批次食材3个以上品种不洁净的</w:t>
            </w:r>
          </w:p>
        </w:tc>
        <w:tc>
          <w:tcPr>
            <w:tcW w:w="740" w:type="pct"/>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730DF7A4">
            <w:pPr>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-4</w:t>
            </w:r>
          </w:p>
        </w:tc>
      </w:tr>
      <w:tr w14:paraId="7F7E28C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85" w:type="pct"/>
            <w:vMerge w:val="continue"/>
            <w:tcBorders>
              <w:top w:val="nil"/>
              <w:left w:val="single" w:color="000000" w:sz="4" w:space="0"/>
              <w:bottom w:val="single" w:color="000000" w:sz="4" w:space="0"/>
              <w:right w:val="single" w:color="000000" w:sz="4" w:space="0"/>
            </w:tcBorders>
            <w:noWrap w:val="0"/>
            <w:vAlign w:val="top"/>
          </w:tcPr>
          <w:p w14:paraId="560BA2D2">
            <w:pPr>
              <w:rPr>
                <w:rFonts w:hint="eastAsia" w:ascii="宋体" w:hAnsi="宋体" w:eastAsia="宋体" w:cs="宋体"/>
                <w:color w:val="auto"/>
                <w:sz w:val="21"/>
                <w:szCs w:val="21"/>
              </w:rPr>
            </w:pPr>
          </w:p>
        </w:tc>
        <w:tc>
          <w:tcPr>
            <w:tcW w:w="420" w:type="pct"/>
            <w:tcBorders>
              <w:top w:val="nil"/>
              <w:left w:val="nil"/>
              <w:bottom w:val="single" w:color="000000" w:sz="4" w:space="0"/>
              <w:right w:val="single" w:color="000000" w:sz="4" w:space="0"/>
            </w:tcBorders>
            <w:shd w:val="clear" w:color="auto" w:fill="auto"/>
            <w:noWrap w:val="0"/>
            <w:tcMar>
              <w:top w:w="0" w:type="dxa"/>
              <w:left w:w="105" w:type="dxa"/>
              <w:bottom w:w="0" w:type="dxa"/>
              <w:right w:w="105" w:type="dxa"/>
            </w:tcMar>
            <w:vAlign w:val="top"/>
          </w:tcPr>
          <w:p w14:paraId="79AF6CC7">
            <w:pPr>
              <w:jc w:val="center"/>
              <w:rPr>
                <w:rFonts w:hint="eastAsia" w:ascii="宋体" w:hAnsi="宋体" w:eastAsia="宋体" w:cs="宋体"/>
                <w:color w:val="auto"/>
                <w:kern w:val="2"/>
                <w:sz w:val="21"/>
                <w:szCs w:val="21"/>
                <w:lang w:val="en-US" w:eastAsia="zh-Hans" w:bidi="ar-SA"/>
              </w:rPr>
            </w:pPr>
            <w:r>
              <w:rPr>
                <w:rFonts w:hint="eastAsia" w:ascii="宋体" w:hAnsi="宋体" w:eastAsia="宋体" w:cs="宋体"/>
                <w:color w:val="auto"/>
                <w:sz w:val="21"/>
                <w:szCs w:val="21"/>
                <w:lang w:eastAsia="zh-Hans"/>
              </w:rPr>
              <w:t>10</w:t>
            </w:r>
          </w:p>
        </w:tc>
        <w:tc>
          <w:tcPr>
            <w:tcW w:w="3252" w:type="pct"/>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063A248E">
            <w:pPr>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食材整批不洁净的</w:t>
            </w:r>
          </w:p>
        </w:tc>
        <w:tc>
          <w:tcPr>
            <w:tcW w:w="740" w:type="pct"/>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674D0FFE">
            <w:pPr>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-6</w:t>
            </w:r>
          </w:p>
        </w:tc>
      </w:tr>
      <w:tr w14:paraId="0668BB1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85" w:type="pct"/>
            <w:vMerge w:val="continue"/>
            <w:tcBorders>
              <w:top w:val="nil"/>
              <w:left w:val="single" w:color="000000" w:sz="4" w:space="0"/>
              <w:bottom w:val="single" w:color="000000" w:sz="4" w:space="0"/>
              <w:right w:val="single" w:color="000000" w:sz="4" w:space="0"/>
            </w:tcBorders>
            <w:noWrap w:val="0"/>
            <w:vAlign w:val="top"/>
          </w:tcPr>
          <w:p w14:paraId="6A4E8818">
            <w:pPr>
              <w:rPr>
                <w:rFonts w:hint="eastAsia" w:ascii="宋体" w:hAnsi="宋体" w:eastAsia="宋体" w:cs="宋体"/>
                <w:color w:val="auto"/>
                <w:sz w:val="21"/>
                <w:szCs w:val="21"/>
              </w:rPr>
            </w:pPr>
          </w:p>
        </w:tc>
        <w:tc>
          <w:tcPr>
            <w:tcW w:w="420" w:type="pct"/>
            <w:tcBorders>
              <w:top w:val="nil"/>
              <w:left w:val="nil"/>
              <w:bottom w:val="single" w:color="000000" w:sz="4" w:space="0"/>
              <w:right w:val="single" w:color="000000" w:sz="4" w:space="0"/>
            </w:tcBorders>
            <w:shd w:val="clear" w:color="auto" w:fill="auto"/>
            <w:noWrap w:val="0"/>
            <w:tcMar>
              <w:top w:w="0" w:type="dxa"/>
              <w:left w:w="105" w:type="dxa"/>
              <w:bottom w:w="0" w:type="dxa"/>
              <w:right w:w="105" w:type="dxa"/>
            </w:tcMar>
            <w:vAlign w:val="top"/>
          </w:tcPr>
          <w:p w14:paraId="45A0ABFF">
            <w:pPr>
              <w:jc w:val="center"/>
              <w:rPr>
                <w:rFonts w:hint="eastAsia" w:ascii="宋体" w:hAnsi="宋体" w:eastAsia="宋体" w:cs="宋体"/>
                <w:color w:val="auto"/>
                <w:kern w:val="2"/>
                <w:sz w:val="21"/>
                <w:szCs w:val="21"/>
                <w:lang w:val="en-US" w:eastAsia="zh-Hans" w:bidi="ar-SA"/>
              </w:rPr>
            </w:pPr>
            <w:r>
              <w:rPr>
                <w:rFonts w:hint="eastAsia" w:ascii="宋体" w:hAnsi="宋体" w:eastAsia="宋体" w:cs="宋体"/>
                <w:color w:val="auto"/>
                <w:sz w:val="21"/>
                <w:szCs w:val="21"/>
                <w:lang w:eastAsia="zh-Hans"/>
              </w:rPr>
              <w:t>11</w:t>
            </w:r>
          </w:p>
        </w:tc>
        <w:tc>
          <w:tcPr>
            <w:tcW w:w="3252" w:type="pct"/>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436D0ABA">
            <w:pPr>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配送破损变形食材料的</w:t>
            </w:r>
          </w:p>
        </w:tc>
        <w:tc>
          <w:tcPr>
            <w:tcW w:w="740" w:type="pct"/>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678440ED">
            <w:pPr>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-2</w:t>
            </w:r>
          </w:p>
        </w:tc>
      </w:tr>
      <w:tr w14:paraId="3FE5A6C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85" w:type="pct"/>
            <w:vMerge w:val="continue"/>
            <w:tcBorders>
              <w:top w:val="nil"/>
              <w:left w:val="single" w:color="000000" w:sz="4" w:space="0"/>
              <w:bottom w:val="single" w:color="000000" w:sz="4" w:space="0"/>
              <w:right w:val="single" w:color="000000" w:sz="4" w:space="0"/>
            </w:tcBorders>
            <w:noWrap w:val="0"/>
            <w:vAlign w:val="top"/>
          </w:tcPr>
          <w:p w14:paraId="04621A4F">
            <w:pPr>
              <w:rPr>
                <w:rFonts w:hint="eastAsia" w:ascii="宋体" w:hAnsi="宋体" w:eastAsia="宋体" w:cs="宋体"/>
                <w:color w:val="auto"/>
                <w:sz w:val="21"/>
                <w:szCs w:val="21"/>
              </w:rPr>
            </w:pPr>
          </w:p>
        </w:tc>
        <w:tc>
          <w:tcPr>
            <w:tcW w:w="420" w:type="pct"/>
            <w:tcBorders>
              <w:top w:val="nil"/>
              <w:left w:val="nil"/>
              <w:bottom w:val="single" w:color="000000" w:sz="4" w:space="0"/>
              <w:right w:val="single" w:color="000000" w:sz="4" w:space="0"/>
            </w:tcBorders>
            <w:shd w:val="clear" w:color="auto" w:fill="auto"/>
            <w:noWrap w:val="0"/>
            <w:tcMar>
              <w:top w:w="0" w:type="dxa"/>
              <w:left w:w="105" w:type="dxa"/>
              <w:bottom w:w="0" w:type="dxa"/>
              <w:right w:w="105" w:type="dxa"/>
            </w:tcMar>
            <w:vAlign w:val="top"/>
          </w:tcPr>
          <w:p w14:paraId="6BC071B0">
            <w:pPr>
              <w:jc w:val="center"/>
              <w:rPr>
                <w:rFonts w:hint="eastAsia" w:ascii="宋体" w:hAnsi="宋体" w:eastAsia="宋体" w:cs="宋体"/>
                <w:color w:val="auto"/>
                <w:kern w:val="2"/>
                <w:sz w:val="21"/>
                <w:szCs w:val="21"/>
                <w:lang w:val="en-US" w:eastAsia="zh-Hans" w:bidi="ar-SA"/>
              </w:rPr>
            </w:pPr>
            <w:r>
              <w:rPr>
                <w:rFonts w:hint="eastAsia" w:ascii="宋体" w:hAnsi="宋体" w:eastAsia="宋体" w:cs="宋体"/>
                <w:color w:val="auto"/>
                <w:sz w:val="21"/>
                <w:szCs w:val="21"/>
                <w:lang w:eastAsia="zh-Hans"/>
              </w:rPr>
              <w:t>12</w:t>
            </w:r>
          </w:p>
        </w:tc>
        <w:tc>
          <w:tcPr>
            <w:tcW w:w="3252" w:type="pct"/>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58966517">
            <w:pPr>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配送未经检疫的肉类及其它原材料的</w:t>
            </w:r>
          </w:p>
        </w:tc>
        <w:tc>
          <w:tcPr>
            <w:tcW w:w="740" w:type="pct"/>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4A8CFD78">
            <w:pPr>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-5</w:t>
            </w:r>
          </w:p>
        </w:tc>
      </w:tr>
      <w:tr w14:paraId="527802A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85" w:type="pct"/>
            <w:vMerge w:val="continue"/>
            <w:tcBorders>
              <w:top w:val="nil"/>
              <w:left w:val="single" w:color="000000" w:sz="4" w:space="0"/>
              <w:bottom w:val="single" w:color="000000" w:sz="4" w:space="0"/>
              <w:right w:val="single" w:color="000000" w:sz="4" w:space="0"/>
            </w:tcBorders>
            <w:noWrap w:val="0"/>
            <w:vAlign w:val="top"/>
          </w:tcPr>
          <w:p w14:paraId="344F0FC6">
            <w:pPr>
              <w:rPr>
                <w:rFonts w:hint="eastAsia" w:ascii="宋体" w:hAnsi="宋体" w:eastAsia="宋体" w:cs="宋体"/>
                <w:color w:val="auto"/>
                <w:sz w:val="21"/>
                <w:szCs w:val="21"/>
              </w:rPr>
            </w:pPr>
          </w:p>
        </w:tc>
        <w:tc>
          <w:tcPr>
            <w:tcW w:w="420" w:type="pct"/>
            <w:tcBorders>
              <w:top w:val="nil"/>
              <w:left w:val="nil"/>
              <w:bottom w:val="single" w:color="000000" w:sz="4" w:space="0"/>
              <w:right w:val="single" w:color="000000" w:sz="4" w:space="0"/>
            </w:tcBorders>
            <w:shd w:val="clear" w:color="auto" w:fill="auto"/>
            <w:noWrap w:val="0"/>
            <w:tcMar>
              <w:top w:w="0" w:type="dxa"/>
              <w:left w:w="105" w:type="dxa"/>
              <w:bottom w:w="0" w:type="dxa"/>
              <w:right w:w="105" w:type="dxa"/>
            </w:tcMar>
            <w:vAlign w:val="top"/>
          </w:tcPr>
          <w:p w14:paraId="758BECBB">
            <w:pPr>
              <w:jc w:val="center"/>
              <w:rPr>
                <w:rFonts w:hint="eastAsia" w:ascii="宋体" w:hAnsi="宋体" w:eastAsia="宋体" w:cs="宋体"/>
                <w:color w:val="auto"/>
                <w:kern w:val="2"/>
                <w:sz w:val="21"/>
                <w:szCs w:val="21"/>
                <w:lang w:val="en-US" w:eastAsia="zh-Hans" w:bidi="ar-SA"/>
              </w:rPr>
            </w:pPr>
            <w:r>
              <w:rPr>
                <w:rFonts w:hint="eastAsia" w:ascii="宋体" w:hAnsi="宋体" w:eastAsia="宋体" w:cs="宋体"/>
                <w:color w:val="auto"/>
                <w:sz w:val="21"/>
                <w:szCs w:val="21"/>
                <w:lang w:eastAsia="zh-Hans"/>
              </w:rPr>
              <w:t>13</w:t>
            </w:r>
          </w:p>
        </w:tc>
        <w:tc>
          <w:tcPr>
            <w:tcW w:w="3252" w:type="pct"/>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463794BA">
            <w:pPr>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配送食材混杂有明显异物的</w:t>
            </w:r>
          </w:p>
        </w:tc>
        <w:tc>
          <w:tcPr>
            <w:tcW w:w="740" w:type="pct"/>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1E548B15">
            <w:pPr>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-5</w:t>
            </w:r>
          </w:p>
        </w:tc>
      </w:tr>
      <w:tr w14:paraId="35AE002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85" w:type="pct"/>
            <w:vMerge w:val="continue"/>
            <w:tcBorders>
              <w:top w:val="nil"/>
              <w:left w:val="single" w:color="000000" w:sz="4" w:space="0"/>
              <w:bottom w:val="single" w:color="000000" w:sz="4" w:space="0"/>
              <w:right w:val="single" w:color="000000" w:sz="4" w:space="0"/>
            </w:tcBorders>
            <w:noWrap w:val="0"/>
            <w:vAlign w:val="top"/>
          </w:tcPr>
          <w:p w14:paraId="51C1A17F">
            <w:pPr>
              <w:rPr>
                <w:rFonts w:hint="eastAsia" w:ascii="宋体" w:hAnsi="宋体" w:eastAsia="宋体" w:cs="宋体"/>
                <w:color w:val="auto"/>
                <w:sz w:val="21"/>
                <w:szCs w:val="21"/>
              </w:rPr>
            </w:pPr>
          </w:p>
        </w:tc>
        <w:tc>
          <w:tcPr>
            <w:tcW w:w="420" w:type="pct"/>
            <w:tcBorders>
              <w:top w:val="nil"/>
              <w:left w:val="nil"/>
              <w:bottom w:val="single" w:color="000000" w:sz="4" w:space="0"/>
              <w:right w:val="single" w:color="000000" w:sz="4" w:space="0"/>
            </w:tcBorders>
            <w:shd w:val="clear" w:color="auto" w:fill="auto"/>
            <w:noWrap w:val="0"/>
            <w:tcMar>
              <w:top w:w="0" w:type="dxa"/>
              <w:left w:w="105" w:type="dxa"/>
              <w:bottom w:w="0" w:type="dxa"/>
              <w:right w:w="105" w:type="dxa"/>
            </w:tcMar>
            <w:vAlign w:val="top"/>
          </w:tcPr>
          <w:p w14:paraId="7D59F98F">
            <w:pPr>
              <w:jc w:val="center"/>
              <w:rPr>
                <w:rFonts w:hint="eastAsia" w:ascii="宋体" w:hAnsi="宋体" w:eastAsia="宋体" w:cs="宋体"/>
                <w:color w:val="auto"/>
                <w:kern w:val="2"/>
                <w:sz w:val="21"/>
                <w:szCs w:val="21"/>
                <w:lang w:val="en-US" w:eastAsia="zh-Hans" w:bidi="ar-SA"/>
              </w:rPr>
            </w:pPr>
            <w:r>
              <w:rPr>
                <w:rFonts w:hint="eastAsia" w:ascii="宋体" w:hAnsi="宋体" w:eastAsia="宋体" w:cs="宋体"/>
                <w:color w:val="auto"/>
                <w:sz w:val="21"/>
                <w:szCs w:val="21"/>
                <w:lang w:eastAsia="zh-Hans"/>
              </w:rPr>
              <w:t>14</w:t>
            </w:r>
          </w:p>
        </w:tc>
        <w:tc>
          <w:tcPr>
            <w:tcW w:w="3252" w:type="pct"/>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5CDE2EC7">
            <w:pPr>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退换食材仍然不合格的</w:t>
            </w:r>
          </w:p>
        </w:tc>
        <w:tc>
          <w:tcPr>
            <w:tcW w:w="740" w:type="pct"/>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2BE8D14D">
            <w:pPr>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-5</w:t>
            </w:r>
          </w:p>
        </w:tc>
      </w:tr>
      <w:tr w14:paraId="07C2A5B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85" w:type="pct"/>
            <w:vMerge w:val="continue"/>
            <w:tcBorders>
              <w:top w:val="nil"/>
              <w:left w:val="single" w:color="000000" w:sz="4" w:space="0"/>
              <w:bottom w:val="single" w:color="000000" w:sz="4" w:space="0"/>
              <w:right w:val="single" w:color="000000" w:sz="4" w:space="0"/>
            </w:tcBorders>
            <w:noWrap w:val="0"/>
            <w:vAlign w:val="top"/>
          </w:tcPr>
          <w:p w14:paraId="0ABE6749">
            <w:pPr>
              <w:rPr>
                <w:rFonts w:hint="eastAsia" w:ascii="宋体" w:hAnsi="宋体" w:eastAsia="宋体" w:cs="宋体"/>
                <w:color w:val="auto"/>
                <w:sz w:val="21"/>
                <w:szCs w:val="21"/>
              </w:rPr>
            </w:pPr>
          </w:p>
        </w:tc>
        <w:tc>
          <w:tcPr>
            <w:tcW w:w="420" w:type="pct"/>
            <w:tcBorders>
              <w:top w:val="nil"/>
              <w:left w:val="nil"/>
              <w:bottom w:val="single" w:color="000000" w:sz="4" w:space="0"/>
              <w:right w:val="single" w:color="000000" w:sz="4" w:space="0"/>
            </w:tcBorders>
            <w:shd w:val="clear" w:color="auto" w:fill="auto"/>
            <w:noWrap w:val="0"/>
            <w:tcMar>
              <w:top w:w="0" w:type="dxa"/>
              <w:left w:w="105" w:type="dxa"/>
              <w:bottom w:w="0" w:type="dxa"/>
              <w:right w:w="105" w:type="dxa"/>
            </w:tcMar>
            <w:vAlign w:val="top"/>
          </w:tcPr>
          <w:p w14:paraId="032EE12D">
            <w:pPr>
              <w:jc w:val="center"/>
              <w:rPr>
                <w:rFonts w:hint="eastAsia" w:ascii="宋体" w:hAnsi="宋体" w:eastAsia="宋体" w:cs="宋体"/>
                <w:color w:val="auto"/>
                <w:kern w:val="2"/>
                <w:sz w:val="21"/>
                <w:szCs w:val="21"/>
                <w:lang w:val="en-US" w:eastAsia="zh-Hans" w:bidi="ar-SA"/>
              </w:rPr>
            </w:pPr>
            <w:r>
              <w:rPr>
                <w:rFonts w:hint="eastAsia" w:ascii="宋体" w:hAnsi="宋体" w:eastAsia="宋体" w:cs="宋体"/>
                <w:color w:val="auto"/>
                <w:sz w:val="21"/>
                <w:szCs w:val="21"/>
                <w:lang w:eastAsia="zh-Hans"/>
              </w:rPr>
              <w:t>15</w:t>
            </w:r>
          </w:p>
        </w:tc>
        <w:tc>
          <w:tcPr>
            <w:tcW w:w="3252" w:type="pct"/>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23796CC7">
            <w:pPr>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配送成品原料无包装的</w:t>
            </w:r>
          </w:p>
        </w:tc>
        <w:tc>
          <w:tcPr>
            <w:tcW w:w="740" w:type="pct"/>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263FCC59">
            <w:pPr>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-2</w:t>
            </w:r>
          </w:p>
        </w:tc>
      </w:tr>
      <w:tr w14:paraId="6FCBC71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85" w:type="pct"/>
            <w:vMerge w:val="continue"/>
            <w:tcBorders>
              <w:top w:val="nil"/>
              <w:left w:val="single" w:color="000000" w:sz="4" w:space="0"/>
              <w:bottom w:val="single" w:color="000000" w:sz="4" w:space="0"/>
              <w:right w:val="single" w:color="000000" w:sz="4" w:space="0"/>
            </w:tcBorders>
            <w:noWrap w:val="0"/>
            <w:vAlign w:val="top"/>
          </w:tcPr>
          <w:p w14:paraId="4568EB7B">
            <w:pPr>
              <w:rPr>
                <w:rFonts w:hint="eastAsia" w:ascii="宋体" w:hAnsi="宋体" w:eastAsia="宋体" w:cs="宋体"/>
                <w:color w:val="auto"/>
                <w:sz w:val="21"/>
                <w:szCs w:val="21"/>
              </w:rPr>
            </w:pPr>
          </w:p>
        </w:tc>
        <w:tc>
          <w:tcPr>
            <w:tcW w:w="420" w:type="pct"/>
            <w:tcBorders>
              <w:top w:val="nil"/>
              <w:left w:val="nil"/>
              <w:bottom w:val="single" w:color="000000" w:sz="4" w:space="0"/>
              <w:right w:val="single" w:color="000000" w:sz="4" w:space="0"/>
            </w:tcBorders>
            <w:shd w:val="clear" w:color="auto" w:fill="auto"/>
            <w:noWrap w:val="0"/>
            <w:tcMar>
              <w:top w:w="0" w:type="dxa"/>
              <w:left w:w="105" w:type="dxa"/>
              <w:bottom w:w="0" w:type="dxa"/>
              <w:right w:w="105" w:type="dxa"/>
            </w:tcMar>
            <w:vAlign w:val="top"/>
          </w:tcPr>
          <w:p w14:paraId="0342685D">
            <w:pPr>
              <w:jc w:val="center"/>
              <w:rPr>
                <w:rFonts w:hint="eastAsia" w:ascii="宋体" w:hAnsi="宋体" w:eastAsia="宋体" w:cs="宋体"/>
                <w:color w:val="auto"/>
                <w:kern w:val="2"/>
                <w:sz w:val="21"/>
                <w:szCs w:val="21"/>
                <w:lang w:val="en-US" w:eastAsia="zh-Hans" w:bidi="ar-SA"/>
              </w:rPr>
            </w:pPr>
            <w:r>
              <w:rPr>
                <w:rFonts w:hint="eastAsia" w:ascii="宋体" w:hAnsi="宋体" w:eastAsia="宋体" w:cs="宋体"/>
                <w:color w:val="auto"/>
                <w:sz w:val="21"/>
                <w:szCs w:val="21"/>
                <w:lang w:eastAsia="zh-Hans"/>
              </w:rPr>
              <w:t>16</w:t>
            </w:r>
          </w:p>
        </w:tc>
        <w:tc>
          <w:tcPr>
            <w:tcW w:w="3252" w:type="pct"/>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14E3E7E7">
            <w:pPr>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配送成品原料无生产批号或“三期”的</w:t>
            </w:r>
          </w:p>
        </w:tc>
        <w:tc>
          <w:tcPr>
            <w:tcW w:w="740" w:type="pct"/>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51BD8BDE">
            <w:pPr>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-2</w:t>
            </w:r>
          </w:p>
        </w:tc>
      </w:tr>
      <w:tr w14:paraId="55BADA8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85" w:type="pct"/>
            <w:vMerge w:val="continue"/>
            <w:tcBorders>
              <w:top w:val="nil"/>
              <w:left w:val="single" w:color="000000" w:sz="4" w:space="0"/>
              <w:bottom w:val="single" w:color="000000" w:sz="4" w:space="0"/>
              <w:right w:val="single" w:color="000000" w:sz="4" w:space="0"/>
            </w:tcBorders>
            <w:noWrap w:val="0"/>
            <w:vAlign w:val="top"/>
          </w:tcPr>
          <w:p w14:paraId="7EDA0026">
            <w:pPr>
              <w:rPr>
                <w:rFonts w:hint="eastAsia" w:ascii="宋体" w:hAnsi="宋体" w:eastAsia="宋体" w:cs="宋体"/>
                <w:color w:val="auto"/>
                <w:sz w:val="21"/>
                <w:szCs w:val="21"/>
              </w:rPr>
            </w:pPr>
          </w:p>
        </w:tc>
        <w:tc>
          <w:tcPr>
            <w:tcW w:w="420" w:type="pct"/>
            <w:tcBorders>
              <w:top w:val="nil"/>
              <w:left w:val="nil"/>
              <w:bottom w:val="single" w:color="000000" w:sz="4" w:space="0"/>
              <w:right w:val="single" w:color="000000" w:sz="4" w:space="0"/>
            </w:tcBorders>
            <w:shd w:val="clear" w:color="auto" w:fill="auto"/>
            <w:noWrap w:val="0"/>
            <w:tcMar>
              <w:top w:w="0" w:type="dxa"/>
              <w:left w:w="105" w:type="dxa"/>
              <w:bottom w:w="0" w:type="dxa"/>
              <w:right w:w="105" w:type="dxa"/>
            </w:tcMar>
            <w:vAlign w:val="top"/>
          </w:tcPr>
          <w:p w14:paraId="401905D8">
            <w:pPr>
              <w:jc w:val="center"/>
              <w:rPr>
                <w:rFonts w:hint="eastAsia" w:ascii="宋体" w:hAnsi="宋体" w:eastAsia="宋体" w:cs="宋体"/>
                <w:color w:val="auto"/>
                <w:kern w:val="2"/>
                <w:sz w:val="21"/>
                <w:szCs w:val="21"/>
                <w:lang w:val="en-US" w:eastAsia="zh-Hans" w:bidi="ar-SA"/>
              </w:rPr>
            </w:pPr>
            <w:r>
              <w:rPr>
                <w:rFonts w:hint="eastAsia" w:ascii="宋体" w:hAnsi="宋体" w:eastAsia="宋体" w:cs="宋体"/>
                <w:color w:val="auto"/>
                <w:sz w:val="21"/>
                <w:szCs w:val="21"/>
                <w:lang w:eastAsia="zh-Hans"/>
              </w:rPr>
              <w:t>17</w:t>
            </w:r>
          </w:p>
        </w:tc>
        <w:tc>
          <w:tcPr>
            <w:tcW w:w="3252" w:type="pct"/>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4C2FF0FC">
            <w:pPr>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配送无卫生许可证的食材及原辅料的</w:t>
            </w:r>
          </w:p>
        </w:tc>
        <w:tc>
          <w:tcPr>
            <w:tcW w:w="740" w:type="pct"/>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4EE5DBEE">
            <w:pPr>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-2</w:t>
            </w:r>
          </w:p>
        </w:tc>
      </w:tr>
      <w:tr w14:paraId="416841D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85" w:type="pct"/>
            <w:vMerge w:val="continue"/>
            <w:tcBorders>
              <w:top w:val="nil"/>
              <w:left w:val="single" w:color="000000" w:sz="4" w:space="0"/>
              <w:bottom w:val="single" w:color="000000" w:sz="4" w:space="0"/>
              <w:right w:val="single" w:color="000000" w:sz="4" w:space="0"/>
            </w:tcBorders>
            <w:noWrap w:val="0"/>
            <w:vAlign w:val="top"/>
          </w:tcPr>
          <w:p w14:paraId="66595A4E">
            <w:pPr>
              <w:rPr>
                <w:rFonts w:hint="eastAsia" w:ascii="宋体" w:hAnsi="宋体" w:eastAsia="宋体" w:cs="宋体"/>
                <w:color w:val="auto"/>
                <w:sz w:val="21"/>
                <w:szCs w:val="21"/>
              </w:rPr>
            </w:pPr>
          </w:p>
        </w:tc>
        <w:tc>
          <w:tcPr>
            <w:tcW w:w="420" w:type="pct"/>
            <w:tcBorders>
              <w:top w:val="nil"/>
              <w:left w:val="nil"/>
              <w:bottom w:val="single" w:color="000000" w:sz="4" w:space="0"/>
              <w:right w:val="single" w:color="000000" w:sz="4" w:space="0"/>
            </w:tcBorders>
            <w:shd w:val="clear" w:color="auto" w:fill="auto"/>
            <w:noWrap w:val="0"/>
            <w:tcMar>
              <w:top w:w="0" w:type="dxa"/>
              <w:left w:w="105" w:type="dxa"/>
              <w:bottom w:w="0" w:type="dxa"/>
              <w:right w:w="105" w:type="dxa"/>
            </w:tcMar>
            <w:vAlign w:val="top"/>
          </w:tcPr>
          <w:p w14:paraId="507E56A7">
            <w:pPr>
              <w:jc w:val="center"/>
              <w:rPr>
                <w:rFonts w:hint="eastAsia" w:ascii="宋体" w:hAnsi="宋体" w:eastAsia="宋体" w:cs="宋体"/>
                <w:color w:val="auto"/>
                <w:kern w:val="2"/>
                <w:sz w:val="21"/>
                <w:szCs w:val="21"/>
                <w:lang w:val="en-US" w:eastAsia="zh-Hans" w:bidi="ar-SA"/>
              </w:rPr>
            </w:pPr>
            <w:r>
              <w:rPr>
                <w:rFonts w:hint="eastAsia" w:ascii="宋体" w:hAnsi="宋体" w:eastAsia="宋体" w:cs="宋体"/>
                <w:color w:val="auto"/>
                <w:sz w:val="21"/>
                <w:szCs w:val="21"/>
                <w:lang w:eastAsia="zh-Hans"/>
              </w:rPr>
              <w:t>18</w:t>
            </w:r>
          </w:p>
        </w:tc>
        <w:tc>
          <w:tcPr>
            <w:tcW w:w="3252" w:type="pct"/>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68BC849F">
            <w:pPr>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提供未经检验或检验不合格出厂的食材</w:t>
            </w:r>
          </w:p>
        </w:tc>
        <w:tc>
          <w:tcPr>
            <w:tcW w:w="740" w:type="pct"/>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0951EB97">
            <w:pPr>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-2</w:t>
            </w:r>
          </w:p>
        </w:tc>
      </w:tr>
      <w:tr w14:paraId="7EDBFC8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85" w:type="pct"/>
            <w:vMerge w:val="continue"/>
            <w:tcBorders>
              <w:top w:val="nil"/>
              <w:left w:val="single" w:color="000000" w:sz="4" w:space="0"/>
              <w:bottom w:val="single" w:color="000000" w:sz="4" w:space="0"/>
              <w:right w:val="single" w:color="000000" w:sz="4" w:space="0"/>
            </w:tcBorders>
            <w:noWrap w:val="0"/>
            <w:vAlign w:val="top"/>
          </w:tcPr>
          <w:p w14:paraId="33D234B7">
            <w:pPr>
              <w:rPr>
                <w:rFonts w:hint="eastAsia" w:ascii="宋体" w:hAnsi="宋体" w:eastAsia="宋体" w:cs="宋体"/>
                <w:color w:val="auto"/>
                <w:sz w:val="21"/>
                <w:szCs w:val="21"/>
              </w:rPr>
            </w:pPr>
          </w:p>
        </w:tc>
        <w:tc>
          <w:tcPr>
            <w:tcW w:w="420" w:type="pct"/>
            <w:tcBorders>
              <w:top w:val="nil"/>
              <w:left w:val="nil"/>
              <w:bottom w:val="single" w:color="000000" w:sz="4" w:space="0"/>
              <w:right w:val="single" w:color="000000" w:sz="4" w:space="0"/>
            </w:tcBorders>
            <w:shd w:val="clear" w:color="auto" w:fill="auto"/>
            <w:noWrap w:val="0"/>
            <w:tcMar>
              <w:top w:w="0" w:type="dxa"/>
              <w:left w:w="105" w:type="dxa"/>
              <w:bottom w:w="0" w:type="dxa"/>
              <w:right w:w="105" w:type="dxa"/>
            </w:tcMar>
            <w:vAlign w:val="top"/>
          </w:tcPr>
          <w:p w14:paraId="696083A5">
            <w:pPr>
              <w:jc w:val="center"/>
              <w:rPr>
                <w:rFonts w:hint="eastAsia" w:ascii="宋体" w:hAnsi="宋体" w:eastAsia="宋体" w:cs="宋体"/>
                <w:color w:val="auto"/>
                <w:kern w:val="2"/>
                <w:sz w:val="21"/>
                <w:szCs w:val="21"/>
                <w:lang w:val="en-US" w:eastAsia="zh-Hans" w:bidi="ar-SA"/>
              </w:rPr>
            </w:pPr>
            <w:r>
              <w:rPr>
                <w:rFonts w:hint="eastAsia" w:ascii="宋体" w:hAnsi="宋体" w:eastAsia="宋体" w:cs="宋体"/>
                <w:color w:val="auto"/>
                <w:sz w:val="21"/>
                <w:szCs w:val="21"/>
                <w:lang w:eastAsia="zh-Hans"/>
              </w:rPr>
              <w:t>19</w:t>
            </w:r>
          </w:p>
        </w:tc>
        <w:tc>
          <w:tcPr>
            <w:tcW w:w="3252" w:type="pct"/>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39CE504F">
            <w:pPr>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配送的食材包装变形、渗漏的</w:t>
            </w:r>
          </w:p>
        </w:tc>
        <w:tc>
          <w:tcPr>
            <w:tcW w:w="740" w:type="pct"/>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53DA4834">
            <w:pPr>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-1</w:t>
            </w:r>
          </w:p>
        </w:tc>
      </w:tr>
      <w:tr w14:paraId="6BE6E31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85" w:type="pct"/>
            <w:vMerge w:val="continue"/>
            <w:tcBorders>
              <w:top w:val="nil"/>
              <w:left w:val="single" w:color="000000" w:sz="4" w:space="0"/>
              <w:bottom w:val="single" w:color="000000" w:sz="4" w:space="0"/>
              <w:right w:val="single" w:color="000000" w:sz="4" w:space="0"/>
            </w:tcBorders>
            <w:noWrap w:val="0"/>
            <w:vAlign w:val="top"/>
          </w:tcPr>
          <w:p w14:paraId="2ED2C9AE">
            <w:pPr>
              <w:rPr>
                <w:rFonts w:hint="eastAsia" w:ascii="宋体" w:hAnsi="宋体" w:eastAsia="宋体" w:cs="宋体"/>
                <w:color w:val="auto"/>
                <w:sz w:val="21"/>
                <w:szCs w:val="21"/>
              </w:rPr>
            </w:pPr>
          </w:p>
        </w:tc>
        <w:tc>
          <w:tcPr>
            <w:tcW w:w="420" w:type="pct"/>
            <w:tcBorders>
              <w:top w:val="nil"/>
              <w:left w:val="nil"/>
              <w:bottom w:val="single" w:color="000000" w:sz="4" w:space="0"/>
              <w:right w:val="single" w:color="000000" w:sz="4" w:space="0"/>
            </w:tcBorders>
            <w:shd w:val="clear" w:color="auto" w:fill="auto"/>
            <w:noWrap w:val="0"/>
            <w:tcMar>
              <w:top w:w="0" w:type="dxa"/>
              <w:left w:w="105" w:type="dxa"/>
              <w:bottom w:w="0" w:type="dxa"/>
              <w:right w:w="105" w:type="dxa"/>
            </w:tcMar>
            <w:vAlign w:val="top"/>
          </w:tcPr>
          <w:p w14:paraId="7669FF85">
            <w:pPr>
              <w:jc w:val="center"/>
              <w:rPr>
                <w:rFonts w:hint="eastAsia" w:ascii="宋体" w:hAnsi="宋体" w:eastAsia="宋体" w:cs="宋体"/>
                <w:color w:val="auto"/>
                <w:kern w:val="2"/>
                <w:sz w:val="21"/>
                <w:szCs w:val="21"/>
                <w:lang w:val="en-US" w:eastAsia="zh-Hans" w:bidi="ar-SA"/>
              </w:rPr>
            </w:pPr>
            <w:r>
              <w:rPr>
                <w:rFonts w:hint="eastAsia" w:ascii="宋体" w:hAnsi="宋体" w:eastAsia="宋体" w:cs="宋体"/>
                <w:color w:val="auto"/>
                <w:sz w:val="21"/>
                <w:szCs w:val="21"/>
                <w:lang w:eastAsia="zh-Hans"/>
              </w:rPr>
              <w:t>20</w:t>
            </w:r>
          </w:p>
        </w:tc>
        <w:tc>
          <w:tcPr>
            <w:tcW w:w="3252" w:type="pct"/>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6BC817D2">
            <w:pPr>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配送的食材无正当理由私自调换外包装的</w:t>
            </w:r>
          </w:p>
        </w:tc>
        <w:tc>
          <w:tcPr>
            <w:tcW w:w="740" w:type="pct"/>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303D149A">
            <w:pPr>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-1</w:t>
            </w:r>
          </w:p>
        </w:tc>
      </w:tr>
      <w:tr w14:paraId="4B417F9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85" w:type="pct"/>
            <w:vMerge w:val="continue"/>
            <w:tcBorders>
              <w:top w:val="nil"/>
              <w:left w:val="single" w:color="000000" w:sz="4" w:space="0"/>
              <w:bottom w:val="single" w:color="000000" w:sz="4" w:space="0"/>
              <w:right w:val="single" w:color="000000" w:sz="4" w:space="0"/>
            </w:tcBorders>
            <w:noWrap w:val="0"/>
            <w:vAlign w:val="top"/>
          </w:tcPr>
          <w:p w14:paraId="5A2DF3AE">
            <w:pPr>
              <w:rPr>
                <w:rFonts w:hint="eastAsia" w:ascii="宋体" w:hAnsi="宋体" w:eastAsia="宋体" w:cs="宋体"/>
                <w:color w:val="auto"/>
                <w:sz w:val="21"/>
                <w:szCs w:val="21"/>
              </w:rPr>
            </w:pPr>
          </w:p>
        </w:tc>
        <w:tc>
          <w:tcPr>
            <w:tcW w:w="420" w:type="pct"/>
            <w:tcBorders>
              <w:top w:val="nil"/>
              <w:left w:val="nil"/>
              <w:bottom w:val="single" w:color="000000" w:sz="4" w:space="0"/>
              <w:right w:val="single" w:color="000000" w:sz="4" w:space="0"/>
            </w:tcBorders>
            <w:shd w:val="clear" w:color="auto" w:fill="auto"/>
            <w:noWrap w:val="0"/>
            <w:tcMar>
              <w:top w:w="0" w:type="dxa"/>
              <w:left w:w="105" w:type="dxa"/>
              <w:bottom w:w="0" w:type="dxa"/>
              <w:right w:w="105" w:type="dxa"/>
            </w:tcMar>
            <w:vAlign w:val="top"/>
          </w:tcPr>
          <w:p w14:paraId="1BA6465B">
            <w:pPr>
              <w:jc w:val="center"/>
              <w:rPr>
                <w:rFonts w:hint="eastAsia" w:ascii="宋体" w:hAnsi="宋体" w:eastAsia="宋体" w:cs="宋体"/>
                <w:color w:val="auto"/>
                <w:kern w:val="2"/>
                <w:sz w:val="21"/>
                <w:szCs w:val="21"/>
                <w:lang w:val="en-US" w:eastAsia="zh-Hans" w:bidi="ar-SA"/>
              </w:rPr>
            </w:pPr>
            <w:r>
              <w:rPr>
                <w:rFonts w:hint="eastAsia" w:ascii="宋体" w:hAnsi="宋体" w:eastAsia="宋体" w:cs="宋体"/>
                <w:color w:val="auto"/>
                <w:sz w:val="21"/>
                <w:szCs w:val="21"/>
                <w:lang w:eastAsia="zh-Hans"/>
              </w:rPr>
              <w:t>21</w:t>
            </w:r>
          </w:p>
        </w:tc>
        <w:tc>
          <w:tcPr>
            <w:tcW w:w="3252" w:type="pct"/>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467A3744">
            <w:pPr>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配送的食材外包装污染未造成内装食材受污损的</w:t>
            </w:r>
          </w:p>
        </w:tc>
        <w:tc>
          <w:tcPr>
            <w:tcW w:w="740" w:type="pct"/>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60B0FB5F">
            <w:pPr>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-1</w:t>
            </w:r>
          </w:p>
        </w:tc>
      </w:tr>
      <w:tr w14:paraId="01AB1A7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85" w:type="pct"/>
            <w:vMerge w:val="continue"/>
            <w:tcBorders>
              <w:top w:val="nil"/>
              <w:left w:val="single" w:color="000000" w:sz="4" w:space="0"/>
              <w:bottom w:val="single" w:color="000000" w:sz="4" w:space="0"/>
              <w:right w:val="single" w:color="000000" w:sz="4" w:space="0"/>
            </w:tcBorders>
            <w:noWrap w:val="0"/>
            <w:vAlign w:val="top"/>
          </w:tcPr>
          <w:p w14:paraId="29855D72">
            <w:pPr>
              <w:rPr>
                <w:rFonts w:hint="eastAsia" w:ascii="宋体" w:hAnsi="宋体" w:eastAsia="宋体" w:cs="宋体"/>
                <w:color w:val="auto"/>
                <w:sz w:val="21"/>
                <w:szCs w:val="21"/>
              </w:rPr>
            </w:pPr>
          </w:p>
        </w:tc>
        <w:tc>
          <w:tcPr>
            <w:tcW w:w="420" w:type="pct"/>
            <w:tcBorders>
              <w:top w:val="nil"/>
              <w:left w:val="nil"/>
              <w:bottom w:val="single" w:color="000000" w:sz="4" w:space="0"/>
              <w:right w:val="single" w:color="000000" w:sz="4" w:space="0"/>
            </w:tcBorders>
            <w:shd w:val="clear" w:color="auto" w:fill="auto"/>
            <w:noWrap w:val="0"/>
            <w:tcMar>
              <w:top w:w="0" w:type="dxa"/>
              <w:left w:w="105" w:type="dxa"/>
              <w:bottom w:w="0" w:type="dxa"/>
              <w:right w:w="105" w:type="dxa"/>
            </w:tcMar>
            <w:vAlign w:val="top"/>
          </w:tcPr>
          <w:p w14:paraId="3DA97B3B">
            <w:pPr>
              <w:jc w:val="center"/>
              <w:rPr>
                <w:rFonts w:hint="eastAsia" w:ascii="宋体" w:hAnsi="宋体" w:eastAsia="宋体" w:cs="宋体"/>
                <w:color w:val="auto"/>
                <w:kern w:val="2"/>
                <w:sz w:val="21"/>
                <w:szCs w:val="21"/>
                <w:lang w:val="en-US" w:eastAsia="zh-Hans" w:bidi="ar-SA"/>
              </w:rPr>
            </w:pPr>
            <w:r>
              <w:rPr>
                <w:rFonts w:hint="eastAsia" w:ascii="宋体" w:hAnsi="宋体" w:eastAsia="宋体" w:cs="宋体"/>
                <w:color w:val="auto"/>
                <w:sz w:val="21"/>
                <w:szCs w:val="21"/>
                <w:lang w:eastAsia="zh-Hans"/>
              </w:rPr>
              <w:t>22</w:t>
            </w:r>
          </w:p>
        </w:tc>
        <w:tc>
          <w:tcPr>
            <w:tcW w:w="3252" w:type="pct"/>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233E6FA3">
            <w:pPr>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配送油脂产品不洁净、浑浊的</w:t>
            </w:r>
          </w:p>
        </w:tc>
        <w:tc>
          <w:tcPr>
            <w:tcW w:w="740" w:type="pct"/>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040216B6">
            <w:pPr>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-2</w:t>
            </w:r>
          </w:p>
        </w:tc>
      </w:tr>
      <w:tr w14:paraId="799BD37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85" w:type="pct"/>
            <w:vMerge w:val="continue"/>
            <w:tcBorders>
              <w:top w:val="nil"/>
              <w:left w:val="single" w:color="000000" w:sz="4" w:space="0"/>
              <w:bottom w:val="single" w:color="000000" w:sz="4" w:space="0"/>
              <w:right w:val="single" w:color="000000" w:sz="4" w:space="0"/>
            </w:tcBorders>
            <w:noWrap w:val="0"/>
            <w:vAlign w:val="top"/>
          </w:tcPr>
          <w:p w14:paraId="0D26EFF4">
            <w:pPr>
              <w:rPr>
                <w:rFonts w:hint="eastAsia" w:ascii="宋体" w:hAnsi="宋体" w:eastAsia="宋体" w:cs="宋体"/>
                <w:color w:val="auto"/>
                <w:sz w:val="21"/>
                <w:szCs w:val="21"/>
              </w:rPr>
            </w:pPr>
          </w:p>
        </w:tc>
        <w:tc>
          <w:tcPr>
            <w:tcW w:w="420" w:type="pct"/>
            <w:tcBorders>
              <w:top w:val="nil"/>
              <w:left w:val="nil"/>
              <w:bottom w:val="single" w:color="000000" w:sz="4" w:space="0"/>
              <w:right w:val="single" w:color="000000" w:sz="4" w:space="0"/>
            </w:tcBorders>
            <w:shd w:val="clear" w:color="auto" w:fill="auto"/>
            <w:noWrap w:val="0"/>
            <w:tcMar>
              <w:top w:w="0" w:type="dxa"/>
              <w:left w:w="105" w:type="dxa"/>
              <w:bottom w:w="0" w:type="dxa"/>
              <w:right w:w="105" w:type="dxa"/>
            </w:tcMar>
            <w:vAlign w:val="top"/>
          </w:tcPr>
          <w:p w14:paraId="7C242E60">
            <w:pPr>
              <w:jc w:val="center"/>
              <w:rPr>
                <w:rFonts w:hint="eastAsia" w:ascii="宋体" w:hAnsi="宋体" w:eastAsia="宋体" w:cs="宋体"/>
                <w:color w:val="auto"/>
                <w:kern w:val="2"/>
                <w:sz w:val="21"/>
                <w:szCs w:val="21"/>
                <w:lang w:val="en-US" w:eastAsia="zh-Hans" w:bidi="ar-SA"/>
              </w:rPr>
            </w:pPr>
            <w:r>
              <w:rPr>
                <w:rFonts w:hint="eastAsia" w:ascii="宋体" w:hAnsi="宋体" w:eastAsia="宋体" w:cs="宋体"/>
                <w:color w:val="auto"/>
                <w:sz w:val="21"/>
                <w:szCs w:val="21"/>
                <w:lang w:eastAsia="zh-Hans"/>
              </w:rPr>
              <w:t>23</w:t>
            </w:r>
          </w:p>
        </w:tc>
        <w:tc>
          <w:tcPr>
            <w:tcW w:w="3252" w:type="pct"/>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052D81B1">
            <w:pPr>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配送的米面油类等无与产品的名称、商标相一致的食品卫生检验合格证</w:t>
            </w:r>
          </w:p>
        </w:tc>
        <w:tc>
          <w:tcPr>
            <w:tcW w:w="740" w:type="pct"/>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73153D97">
            <w:pPr>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-2</w:t>
            </w:r>
          </w:p>
        </w:tc>
      </w:tr>
      <w:tr w14:paraId="33CCB6A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85" w:type="pct"/>
            <w:vMerge w:val="continue"/>
            <w:tcBorders>
              <w:top w:val="nil"/>
              <w:left w:val="single" w:color="000000" w:sz="4" w:space="0"/>
              <w:bottom w:val="single" w:color="000000" w:sz="4" w:space="0"/>
              <w:right w:val="single" w:color="000000" w:sz="4" w:space="0"/>
            </w:tcBorders>
            <w:noWrap w:val="0"/>
            <w:vAlign w:val="top"/>
          </w:tcPr>
          <w:p w14:paraId="3EC3990F">
            <w:pPr>
              <w:rPr>
                <w:rFonts w:hint="eastAsia" w:ascii="宋体" w:hAnsi="宋体" w:eastAsia="宋体" w:cs="宋体"/>
                <w:color w:val="auto"/>
                <w:sz w:val="21"/>
                <w:szCs w:val="21"/>
              </w:rPr>
            </w:pPr>
          </w:p>
        </w:tc>
        <w:tc>
          <w:tcPr>
            <w:tcW w:w="420" w:type="pct"/>
            <w:tcBorders>
              <w:top w:val="nil"/>
              <w:left w:val="nil"/>
              <w:bottom w:val="single" w:color="000000" w:sz="4" w:space="0"/>
              <w:right w:val="single" w:color="000000" w:sz="4" w:space="0"/>
            </w:tcBorders>
            <w:shd w:val="clear" w:color="auto" w:fill="auto"/>
            <w:noWrap w:val="0"/>
            <w:tcMar>
              <w:top w:w="0" w:type="dxa"/>
              <w:left w:w="105" w:type="dxa"/>
              <w:bottom w:w="0" w:type="dxa"/>
              <w:right w:w="105" w:type="dxa"/>
            </w:tcMar>
            <w:vAlign w:val="top"/>
          </w:tcPr>
          <w:p w14:paraId="5EA53702">
            <w:pPr>
              <w:jc w:val="center"/>
              <w:rPr>
                <w:rFonts w:hint="eastAsia" w:ascii="宋体" w:hAnsi="宋体" w:eastAsia="宋体" w:cs="宋体"/>
                <w:color w:val="auto"/>
                <w:kern w:val="2"/>
                <w:sz w:val="21"/>
                <w:szCs w:val="21"/>
                <w:lang w:val="en-US" w:eastAsia="zh-Hans" w:bidi="ar-SA"/>
              </w:rPr>
            </w:pPr>
            <w:r>
              <w:rPr>
                <w:rFonts w:hint="eastAsia" w:ascii="宋体" w:hAnsi="宋体" w:eastAsia="宋体" w:cs="宋体"/>
                <w:color w:val="auto"/>
                <w:sz w:val="21"/>
                <w:szCs w:val="21"/>
                <w:lang w:eastAsia="zh-Hans"/>
              </w:rPr>
              <w:t>24</w:t>
            </w:r>
          </w:p>
        </w:tc>
        <w:tc>
          <w:tcPr>
            <w:tcW w:w="3252" w:type="pct"/>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766D2F79">
            <w:pPr>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配送的食材有发潮现象的</w:t>
            </w:r>
          </w:p>
        </w:tc>
        <w:tc>
          <w:tcPr>
            <w:tcW w:w="740" w:type="pct"/>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3651F0FE">
            <w:pPr>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-2</w:t>
            </w:r>
          </w:p>
        </w:tc>
      </w:tr>
      <w:tr w14:paraId="0887B6F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85" w:type="pct"/>
            <w:vMerge w:val="continue"/>
            <w:tcBorders>
              <w:top w:val="nil"/>
              <w:left w:val="single" w:color="000000" w:sz="4" w:space="0"/>
              <w:bottom w:val="single" w:color="000000" w:sz="4" w:space="0"/>
              <w:right w:val="single" w:color="000000" w:sz="4" w:space="0"/>
            </w:tcBorders>
            <w:noWrap w:val="0"/>
            <w:vAlign w:val="top"/>
          </w:tcPr>
          <w:p w14:paraId="4A8AAB78">
            <w:pPr>
              <w:rPr>
                <w:rFonts w:hint="eastAsia" w:ascii="宋体" w:hAnsi="宋体" w:eastAsia="宋体" w:cs="宋体"/>
                <w:color w:val="auto"/>
                <w:sz w:val="21"/>
                <w:szCs w:val="21"/>
              </w:rPr>
            </w:pPr>
          </w:p>
        </w:tc>
        <w:tc>
          <w:tcPr>
            <w:tcW w:w="420" w:type="pct"/>
            <w:tcBorders>
              <w:top w:val="nil"/>
              <w:left w:val="nil"/>
              <w:bottom w:val="single" w:color="000000" w:sz="4" w:space="0"/>
              <w:right w:val="single" w:color="000000" w:sz="4" w:space="0"/>
            </w:tcBorders>
            <w:shd w:val="clear" w:color="auto" w:fill="auto"/>
            <w:noWrap w:val="0"/>
            <w:tcMar>
              <w:top w:w="0" w:type="dxa"/>
              <w:left w:w="105" w:type="dxa"/>
              <w:bottom w:w="0" w:type="dxa"/>
              <w:right w:w="105" w:type="dxa"/>
            </w:tcMar>
            <w:vAlign w:val="top"/>
          </w:tcPr>
          <w:p w14:paraId="3BF3F2DC">
            <w:pPr>
              <w:jc w:val="center"/>
              <w:rPr>
                <w:rFonts w:hint="eastAsia" w:ascii="宋体" w:hAnsi="宋体" w:eastAsia="宋体" w:cs="宋体"/>
                <w:color w:val="auto"/>
                <w:kern w:val="2"/>
                <w:sz w:val="21"/>
                <w:szCs w:val="21"/>
                <w:lang w:val="en-US" w:eastAsia="zh-Hans" w:bidi="ar-SA"/>
              </w:rPr>
            </w:pPr>
            <w:r>
              <w:rPr>
                <w:rFonts w:hint="eastAsia" w:ascii="宋体" w:hAnsi="宋体" w:eastAsia="宋体" w:cs="宋体"/>
                <w:color w:val="auto"/>
                <w:sz w:val="21"/>
                <w:szCs w:val="21"/>
                <w:lang w:eastAsia="zh-Hans"/>
              </w:rPr>
              <w:t>25</w:t>
            </w:r>
          </w:p>
        </w:tc>
        <w:tc>
          <w:tcPr>
            <w:tcW w:w="3252" w:type="pct"/>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09845AE3">
            <w:pPr>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配送食材有霉变现象的</w:t>
            </w:r>
          </w:p>
        </w:tc>
        <w:tc>
          <w:tcPr>
            <w:tcW w:w="740" w:type="pct"/>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5460B6DA">
            <w:pPr>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-5</w:t>
            </w:r>
          </w:p>
        </w:tc>
      </w:tr>
      <w:tr w14:paraId="3776A1C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85" w:type="pct"/>
            <w:vMerge w:val="continue"/>
            <w:tcBorders>
              <w:top w:val="nil"/>
              <w:left w:val="single" w:color="000000" w:sz="4" w:space="0"/>
              <w:bottom w:val="single" w:color="000000" w:sz="4" w:space="0"/>
              <w:right w:val="single" w:color="000000" w:sz="4" w:space="0"/>
            </w:tcBorders>
            <w:noWrap w:val="0"/>
            <w:vAlign w:val="top"/>
          </w:tcPr>
          <w:p w14:paraId="374A814F">
            <w:pPr>
              <w:rPr>
                <w:rFonts w:hint="eastAsia" w:ascii="宋体" w:hAnsi="宋体" w:eastAsia="宋体" w:cs="宋体"/>
                <w:color w:val="auto"/>
                <w:sz w:val="21"/>
                <w:szCs w:val="21"/>
              </w:rPr>
            </w:pPr>
          </w:p>
        </w:tc>
        <w:tc>
          <w:tcPr>
            <w:tcW w:w="420" w:type="pct"/>
            <w:tcBorders>
              <w:top w:val="nil"/>
              <w:left w:val="nil"/>
              <w:bottom w:val="single" w:color="000000" w:sz="4" w:space="0"/>
              <w:right w:val="single" w:color="000000" w:sz="4" w:space="0"/>
            </w:tcBorders>
            <w:shd w:val="clear" w:color="auto" w:fill="auto"/>
            <w:noWrap w:val="0"/>
            <w:tcMar>
              <w:top w:w="0" w:type="dxa"/>
              <w:left w:w="105" w:type="dxa"/>
              <w:bottom w:w="0" w:type="dxa"/>
              <w:right w:w="105" w:type="dxa"/>
            </w:tcMar>
            <w:vAlign w:val="top"/>
          </w:tcPr>
          <w:p w14:paraId="14B23984">
            <w:pPr>
              <w:jc w:val="center"/>
              <w:rPr>
                <w:rFonts w:hint="eastAsia" w:ascii="宋体" w:hAnsi="宋体" w:eastAsia="宋体" w:cs="宋体"/>
                <w:color w:val="auto"/>
                <w:kern w:val="2"/>
                <w:sz w:val="21"/>
                <w:szCs w:val="21"/>
                <w:lang w:val="en-US" w:eastAsia="zh-Hans" w:bidi="ar-SA"/>
              </w:rPr>
            </w:pPr>
            <w:r>
              <w:rPr>
                <w:rFonts w:hint="eastAsia" w:ascii="宋体" w:hAnsi="宋体" w:eastAsia="宋体" w:cs="宋体"/>
                <w:color w:val="auto"/>
                <w:sz w:val="21"/>
                <w:szCs w:val="21"/>
                <w:lang w:eastAsia="zh-Hans"/>
              </w:rPr>
              <w:t>26</w:t>
            </w:r>
          </w:p>
        </w:tc>
        <w:tc>
          <w:tcPr>
            <w:tcW w:w="3252" w:type="pct"/>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1AB67EB3">
            <w:pPr>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配送禽蛋外壳有霉点影响品质的</w:t>
            </w:r>
          </w:p>
        </w:tc>
        <w:tc>
          <w:tcPr>
            <w:tcW w:w="740" w:type="pct"/>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7AC10FDE">
            <w:pPr>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-5</w:t>
            </w:r>
          </w:p>
        </w:tc>
      </w:tr>
      <w:tr w14:paraId="66049A3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85" w:type="pct"/>
            <w:vMerge w:val="continue"/>
            <w:tcBorders>
              <w:top w:val="nil"/>
              <w:left w:val="single" w:color="000000" w:sz="4" w:space="0"/>
              <w:bottom w:val="single" w:color="000000" w:sz="4" w:space="0"/>
              <w:right w:val="single" w:color="000000" w:sz="4" w:space="0"/>
            </w:tcBorders>
            <w:noWrap w:val="0"/>
            <w:vAlign w:val="top"/>
          </w:tcPr>
          <w:p w14:paraId="6D19B9E9">
            <w:pPr>
              <w:rPr>
                <w:rFonts w:hint="eastAsia" w:ascii="宋体" w:hAnsi="宋体" w:eastAsia="宋体" w:cs="宋体"/>
                <w:color w:val="auto"/>
                <w:sz w:val="21"/>
                <w:szCs w:val="21"/>
              </w:rPr>
            </w:pPr>
          </w:p>
        </w:tc>
        <w:tc>
          <w:tcPr>
            <w:tcW w:w="420" w:type="pct"/>
            <w:tcBorders>
              <w:top w:val="nil"/>
              <w:left w:val="nil"/>
              <w:bottom w:val="single" w:color="000000" w:sz="4" w:space="0"/>
              <w:right w:val="single" w:color="000000" w:sz="4" w:space="0"/>
            </w:tcBorders>
            <w:shd w:val="clear" w:color="auto" w:fill="auto"/>
            <w:noWrap w:val="0"/>
            <w:tcMar>
              <w:top w:w="0" w:type="dxa"/>
              <w:left w:w="105" w:type="dxa"/>
              <w:bottom w:w="0" w:type="dxa"/>
              <w:right w:w="105" w:type="dxa"/>
            </w:tcMar>
            <w:vAlign w:val="top"/>
          </w:tcPr>
          <w:p w14:paraId="54691797">
            <w:pPr>
              <w:jc w:val="center"/>
              <w:rPr>
                <w:rFonts w:hint="eastAsia" w:ascii="宋体" w:hAnsi="宋体" w:eastAsia="宋体" w:cs="宋体"/>
                <w:color w:val="auto"/>
                <w:kern w:val="2"/>
                <w:sz w:val="21"/>
                <w:szCs w:val="21"/>
                <w:lang w:val="en-US" w:eastAsia="zh-Hans" w:bidi="ar-SA"/>
              </w:rPr>
            </w:pPr>
            <w:r>
              <w:rPr>
                <w:rFonts w:hint="eastAsia" w:ascii="宋体" w:hAnsi="宋体" w:eastAsia="宋体" w:cs="宋体"/>
                <w:color w:val="auto"/>
                <w:sz w:val="21"/>
                <w:szCs w:val="21"/>
                <w:lang w:eastAsia="zh-Hans"/>
              </w:rPr>
              <w:t>27</w:t>
            </w:r>
          </w:p>
        </w:tc>
        <w:tc>
          <w:tcPr>
            <w:tcW w:w="3252" w:type="pct"/>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51B58583">
            <w:pPr>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配送的价格高于市场价格</w:t>
            </w:r>
          </w:p>
        </w:tc>
        <w:tc>
          <w:tcPr>
            <w:tcW w:w="740" w:type="pct"/>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2A55CA4B">
            <w:pPr>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-5</w:t>
            </w:r>
          </w:p>
        </w:tc>
      </w:tr>
      <w:tr w14:paraId="18CD3F9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85" w:type="pct"/>
            <w:vMerge w:val="continue"/>
            <w:tcBorders>
              <w:top w:val="nil"/>
              <w:left w:val="single" w:color="000000" w:sz="4" w:space="0"/>
              <w:bottom w:val="single" w:color="000000" w:sz="4" w:space="0"/>
              <w:right w:val="single" w:color="000000" w:sz="4" w:space="0"/>
            </w:tcBorders>
            <w:noWrap w:val="0"/>
            <w:vAlign w:val="top"/>
          </w:tcPr>
          <w:p w14:paraId="1E7842F8">
            <w:pPr>
              <w:rPr>
                <w:rFonts w:hint="eastAsia" w:ascii="宋体" w:hAnsi="宋体" w:eastAsia="宋体" w:cs="宋体"/>
                <w:color w:val="auto"/>
                <w:sz w:val="21"/>
                <w:szCs w:val="21"/>
              </w:rPr>
            </w:pPr>
          </w:p>
        </w:tc>
        <w:tc>
          <w:tcPr>
            <w:tcW w:w="420" w:type="pct"/>
            <w:tcBorders>
              <w:top w:val="nil"/>
              <w:left w:val="nil"/>
              <w:bottom w:val="single" w:color="000000" w:sz="4" w:space="0"/>
              <w:right w:val="single" w:color="000000" w:sz="4" w:space="0"/>
            </w:tcBorders>
            <w:shd w:val="clear" w:color="auto" w:fill="auto"/>
            <w:noWrap w:val="0"/>
            <w:tcMar>
              <w:top w:w="0" w:type="dxa"/>
              <w:left w:w="105" w:type="dxa"/>
              <w:bottom w:w="0" w:type="dxa"/>
              <w:right w:w="105" w:type="dxa"/>
            </w:tcMar>
            <w:vAlign w:val="top"/>
          </w:tcPr>
          <w:p w14:paraId="1F1E7F8B">
            <w:pPr>
              <w:jc w:val="center"/>
              <w:rPr>
                <w:rFonts w:hint="eastAsia" w:ascii="宋体" w:hAnsi="宋体" w:eastAsia="宋体" w:cs="宋体"/>
                <w:color w:val="auto"/>
                <w:kern w:val="2"/>
                <w:sz w:val="21"/>
                <w:szCs w:val="21"/>
                <w:lang w:val="en-US" w:eastAsia="zh-Hans" w:bidi="ar-SA"/>
              </w:rPr>
            </w:pPr>
            <w:r>
              <w:rPr>
                <w:rFonts w:hint="eastAsia" w:ascii="宋体" w:hAnsi="宋体" w:eastAsia="宋体" w:cs="宋体"/>
                <w:color w:val="auto"/>
                <w:sz w:val="21"/>
                <w:szCs w:val="21"/>
                <w:lang w:eastAsia="zh-Hans"/>
              </w:rPr>
              <w:t>28</w:t>
            </w:r>
          </w:p>
        </w:tc>
        <w:tc>
          <w:tcPr>
            <w:tcW w:w="3252" w:type="pct"/>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696D04C2">
            <w:pPr>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冷冻制品外置时间长出现化冰严重的(未变质)</w:t>
            </w:r>
          </w:p>
        </w:tc>
        <w:tc>
          <w:tcPr>
            <w:tcW w:w="740" w:type="pct"/>
            <w:tcBorders>
              <w:top w:val="nil"/>
              <w:left w:val="nil"/>
              <w:bottom w:val="single" w:color="000000" w:sz="4" w:space="0"/>
              <w:right w:val="single" w:color="000000" w:sz="4" w:space="0"/>
            </w:tcBorders>
            <w:noWrap w:val="0"/>
            <w:tcMar>
              <w:top w:w="0" w:type="dxa"/>
              <w:left w:w="105" w:type="dxa"/>
              <w:bottom w:w="0" w:type="dxa"/>
              <w:right w:w="105" w:type="dxa"/>
            </w:tcMar>
            <w:vAlign w:val="top"/>
          </w:tcPr>
          <w:p w14:paraId="7FB20F14">
            <w:pPr>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-1</w:t>
            </w:r>
          </w:p>
        </w:tc>
      </w:tr>
      <w:tr w14:paraId="5F9D6BB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85" w:type="pct"/>
            <w:vMerge w:val="continue"/>
            <w:tcBorders>
              <w:top w:val="nil"/>
              <w:left w:val="single" w:color="000000" w:sz="4" w:space="0"/>
              <w:bottom w:val="single" w:color="auto" w:sz="4" w:space="0"/>
              <w:right w:val="single" w:color="000000" w:sz="4" w:space="0"/>
            </w:tcBorders>
            <w:noWrap w:val="0"/>
            <w:vAlign w:val="top"/>
          </w:tcPr>
          <w:p w14:paraId="0B6126E8">
            <w:pPr>
              <w:rPr>
                <w:rFonts w:hint="eastAsia" w:ascii="宋体" w:hAnsi="宋体" w:eastAsia="宋体" w:cs="宋体"/>
                <w:color w:val="auto"/>
                <w:sz w:val="21"/>
                <w:szCs w:val="21"/>
              </w:rPr>
            </w:pPr>
          </w:p>
        </w:tc>
        <w:tc>
          <w:tcPr>
            <w:tcW w:w="420" w:type="pct"/>
            <w:tcBorders>
              <w:top w:val="nil"/>
              <w:left w:val="nil"/>
              <w:bottom w:val="single" w:color="auto" w:sz="4" w:space="0"/>
              <w:right w:val="single" w:color="000000" w:sz="4" w:space="0"/>
            </w:tcBorders>
            <w:shd w:val="clear" w:color="auto" w:fill="auto"/>
            <w:noWrap w:val="0"/>
            <w:tcMar>
              <w:top w:w="0" w:type="dxa"/>
              <w:left w:w="105" w:type="dxa"/>
              <w:bottom w:w="0" w:type="dxa"/>
              <w:right w:w="105" w:type="dxa"/>
            </w:tcMar>
            <w:vAlign w:val="top"/>
          </w:tcPr>
          <w:p w14:paraId="24B22DBD">
            <w:pPr>
              <w:jc w:val="center"/>
              <w:rPr>
                <w:rFonts w:hint="eastAsia" w:ascii="宋体" w:hAnsi="宋体" w:eastAsia="宋体" w:cs="宋体"/>
                <w:color w:val="auto"/>
                <w:kern w:val="2"/>
                <w:sz w:val="21"/>
                <w:szCs w:val="21"/>
                <w:lang w:val="en-US" w:eastAsia="zh-Hans" w:bidi="ar-SA"/>
              </w:rPr>
            </w:pPr>
            <w:r>
              <w:rPr>
                <w:rFonts w:hint="eastAsia" w:ascii="宋体" w:hAnsi="宋体" w:eastAsia="宋体" w:cs="宋体"/>
                <w:color w:val="auto"/>
                <w:sz w:val="21"/>
                <w:szCs w:val="21"/>
                <w:lang w:eastAsia="zh-Hans"/>
              </w:rPr>
              <w:t>29</w:t>
            </w:r>
          </w:p>
        </w:tc>
        <w:tc>
          <w:tcPr>
            <w:tcW w:w="3252" w:type="pct"/>
            <w:tcBorders>
              <w:top w:val="nil"/>
              <w:left w:val="nil"/>
              <w:bottom w:val="single" w:color="auto" w:sz="4" w:space="0"/>
              <w:right w:val="single" w:color="000000" w:sz="4" w:space="0"/>
            </w:tcBorders>
            <w:noWrap w:val="0"/>
            <w:tcMar>
              <w:top w:w="0" w:type="dxa"/>
              <w:left w:w="105" w:type="dxa"/>
              <w:bottom w:w="0" w:type="dxa"/>
              <w:right w:w="105" w:type="dxa"/>
            </w:tcMar>
            <w:vAlign w:val="top"/>
          </w:tcPr>
          <w:p w14:paraId="2E58D6DC">
            <w:pPr>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冷冻制品外置时间长出现化冰变质的</w:t>
            </w:r>
          </w:p>
        </w:tc>
        <w:tc>
          <w:tcPr>
            <w:tcW w:w="740" w:type="pct"/>
            <w:tcBorders>
              <w:top w:val="nil"/>
              <w:left w:val="nil"/>
              <w:bottom w:val="single" w:color="auto" w:sz="4" w:space="0"/>
              <w:right w:val="single" w:color="000000" w:sz="4" w:space="0"/>
            </w:tcBorders>
            <w:noWrap w:val="0"/>
            <w:tcMar>
              <w:top w:w="0" w:type="dxa"/>
              <w:left w:w="105" w:type="dxa"/>
              <w:bottom w:w="0" w:type="dxa"/>
              <w:right w:w="105" w:type="dxa"/>
            </w:tcMar>
            <w:vAlign w:val="top"/>
          </w:tcPr>
          <w:p w14:paraId="44DDB73D">
            <w:pPr>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-2</w:t>
            </w:r>
          </w:p>
        </w:tc>
      </w:tr>
      <w:tr w14:paraId="0FF7F11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85" w:type="pct"/>
            <w:vMerge w:val="continue"/>
            <w:tcBorders>
              <w:top w:val="nil"/>
              <w:left w:val="single" w:color="000000" w:sz="4" w:space="0"/>
              <w:bottom w:val="single" w:color="auto" w:sz="4" w:space="0"/>
              <w:right w:val="single" w:color="000000" w:sz="4" w:space="0"/>
            </w:tcBorders>
            <w:noWrap w:val="0"/>
            <w:vAlign w:val="top"/>
          </w:tcPr>
          <w:p w14:paraId="69E73DC9">
            <w:pPr>
              <w:rPr>
                <w:rFonts w:hint="eastAsia" w:ascii="宋体" w:hAnsi="宋体" w:eastAsia="宋体" w:cs="宋体"/>
                <w:color w:val="auto"/>
                <w:sz w:val="21"/>
                <w:szCs w:val="21"/>
              </w:rPr>
            </w:pPr>
          </w:p>
        </w:tc>
        <w:tc>
          <w:tcPr>
            <w:tcW w:w="420" w:type="pct"/>
            <w:tcBorders>
              <w:top w:val="nil"/>
              <w:left w:val="nil"/>
              <w:bottom w:val="single" w:color="auto" w:sz="4" w:space="0"/>
              <w:right w:val="single" w:color="000000" w:sz="4" w:space="0"/>
            </w:tcBorders>
            <w:shd w:val="clear" w:color="auto" w:fill="auto"/>
            <w:noWrap w:val="0"/>
            <w:tcMar>
              <w:top w:w="0" w:type="dxa"/>
              <w:left w:w="105" w:type="dxa"/>
              <w:bottom w:w="0" w:type="dxa"/>
              <w:right w:w="105" w:type="dxa"/>
            </w:tcMar>
            <w:vAlign w:val="top"/>
          </w:tcPr>
          <w:p w14:paraId="2037B71F">
            <w:pPr>
              <w:jc w:val="center"/>
              <w:rPr>
                <w:rFonts w:hint="eastAsia" w:ascii="宋体" w:hAnsi="宋体" w:eastAsia="宋体" w:cs="宋体"/>
                <w:color w:val="auto"/>
                <w:kern w:val="2"/>
                <w:sz w:val="21"/>
                <w:szCs w:val="21"/>
                <w:lang w:val="en-US" w:eastAsia="zh-Hans" w:bidi="ar-SA"/>
              </w:rPr>
            </w:pPr>
            <w:r>
              <w:rPr>
                <w:rFonts w:hint="eastAsia" w:ascii="宋体" w:hAnsi="宋体" w:eastAsia="宋体" w:cs="宋体"/>
                <w:color w:val="auto"/>
                <w:sz w:val="21"/>
                <w:szCs w:val="21"/>
                <w:lang w:eastAsia="zh-Hans"/>
              </w:rPr>
              <w:t>30</w:t>
            </w:r>
          </w:p>
        </w:tc>
        <w:tc>
          <w:tcPr>
            <w:tcW w:w="3252" w:type="pct"/>
            <w:tcBorders>
              <w:top w:val="nil"/>
              <w:left w:val="nil"/>
              <w:bottom w:val="single" w:color="auto" w:sz="4" w:space="0"/>
              <w:right w:val="single" w:color="000000" w:sz="4" w:space="0"/>
            </w:tcBorders>
            <w:noWrap w:val="0"/>
            <w:tcMar>
              <w:top w:w="0" w:type="dxa"/>
              <w:left w:w="105" w:type="dxa"/>
              <w:bottom w:w="0" w:type="dxa"/>
              <w:right w:w="105" w:type="dxa"/>
            </w:tcMar>
            <w:vAlign w:val="top"/>
          </w:tcPr>
          <w:p w14:paraId="24DDDF8B">
            <w:pPr>
              <w:rPr>
                <w:rFonts w:hint="eastAsia" w:ascii="宋体" w:hAnsi="宋体" w:eastAsia="宋体" w:cs="宋体"/>
                <w:color w:val="auto"/>
                <w:sz w:val="21"/>
                <w:szCs w:val="21"/>
                <w:lang w:eastAsia="zh-Hans"/>
              </w:rPr>
            </w:pPr>
            <w:r>
              <w:rPr>
                <w:rFonts w:hint="eastAsia" w:ascii="宋体" w:hAnsi="宋体" w:eastAsia="宋体" w:cs="宋体"/>
                <w:b w:val="0"/>
                <w:bCs w:val="0"/>
                <w:sz w:val="21"/>
                <w:szCs w:val="21"/>
                <w:lang w:val="en-US" w:eastAsia="zh-CN"/>
              </w:rPr>
              <w:t>禽肉、猪肉、禽蛋类等食材每次验收时需提供相关质检报告后方可验收</w:t>
            </w:r>
          </w:p>
        </w:tc>
        <w:tc>
          <w:tcPr>
            <w:tcW w:w="740" w:type="pct"/>
            <w:tcBorders>
              <w:top w:val="nil"/>
              <w:left w:val="nil"/>
              <w:bottom w:val="single" w:color="auto" w:sz="4" w:space="0"/>
              <w:right w:val="single" w:color="000000" w:sz="4" w:space="0"/>
            </w:tcBorders>
            <w:noWrap w:val="0"/>
            <w:tcMar>
              <w:top w:w="0" w:type="dxa"/>
              <w:left w:w="105" w:type="dxa"/>
              <w:bottom w:w="0" w:type="dxa"/>
              <w:right w:w="105" w:type="dxa"/>
            </w:tcMar>
            <w:vAlign w:val="top"/>
          </w:tcPr>
          <w:p w14:paraId="2C500BE8">
            <w:pPr>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val="en-US" w:eastAsia="zh-CN"/>
              </w:rPr>
              <w:t>-5</w:t>
            </w:r>
          </w:p>
        </w:tc>
      </w:tr>
      <w:tr w14:paraId="2F34DF3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585" w:type="pct"/>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top"/>
          </w:tcPr>
          <w:p w14:paraId="04D6CE94">
            <w:pPr>
              <w:jc w:val="center"/>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服</w:t>
            </w:r>
          </w:p>
          <w:p w14:paraId="03D4D978">
            <w:pPr>
              <w:jc w:val="center"/>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务</w:t>
            </w:r>
          </w:p>
          <w:p w14:paraId="4C5E7D9F">
            <w:pPr>
              <w:jc w:val="center"/>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类</w:t>
            </w:r>
          </w:p>
          <w:p w14:paraId="16C9F13C">
            <w:pPr>
              <w:jc w:val="center"/>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(10分)</w:t>
            </w:r>
          </w:p>
        </w:tc>
        <w:tc>
          <w:tcPr>
            <w:tcW w:w="420" w:type="pct"/>
            <w:tcBorders>
              <w:top w:val="single" w:color="auto" w:sz="4" w:space="0"/>
              <w:left w:val="single" w:color="auto" w:sz="4" w:space="0"/>
              <w:bottom w:val="single" w:color="auto" w:sz="4" w:space="0"/>
              <w:right w:val="single" w:color="auto" w:sz="4" w:space="0"/>
            </w:tcBorders>
            <w:shd w:val="clear" w:color="auto" w:fill="auto"/>
            <w:noWrap w:val="0"/>
            <w:tcMar>
              <w:top w:w="0" w:type="dxa"/>
              <w:left w:w="105" w:type="dxa"/>
              <w:bottom w:w="0" w:type="dxa"/>
              <w:right w:w="105" w:type="dxa"/>
            </w:tcMar>
            <w:vAlign w:val="top"/>
          </w:tcPr>
          <w:p w14:paraId="576724B2">
            <w:pPr>
              <w:jc w:val="center"/>
              <w:rPr>
                <w:rFonts w:hint="eastAsia" w:ascii="宋体" w:hAnsi="宋体" w:eastAsia="宋体" w:cs="宋体"/>
                <w:color w:val="auto"/>
                <w:kern w:val="2"/>
                <w:sz w:val="21"/>
                <w:szCs w:val="21"/>
                <w:lang w:val="en-US" w:eastAsia="zh-Hans" w:bidi="ar-SA"/>
              </w:rPr>
            </w:pPr>
            <w:r>
              <w:rPr>
                <w:rFonts w:hint="eastAsia" w:ascii="宋体" w:hAnsi="宋体" w:eastAsia="宋体" w:cs="宋体"/>
                <w:color w:val="auto"/>
                <w:sz w:val="21"/>
                <w:szCs w:val="21"/>
                <w:lang w:eastAsia="zh-Hans"/>
              </w:rPr>
              <w:t>3</w:t>
            </w:r>
            <w:r>
              <w:rPr>
                <w:rFonts w:hint="eastAsia" w:ascii="宋体" w:hAnsi="宋体" w:eastAsia="宋体" w:cs="宋体"/>
                <w:color w:val="auto"/>
                <w:sz w:val="21"/>
                <w:szCs w:val="21"/>
                <w:lang w:val="en-US" w:eastAsia="zh-CN"/>
              </w:rPr>
              <w:t>1</w:t>
            </w:r>
          </w:p>
        </w:tc>
        <w:tc>
          <w:tcPr>
            <w:tcW w:w="3993" w:type="pct"/>
            <w:gridSpan w:val="2"/>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top"/>
          </w:tcPr>
          <w:p w14:paraId="50655F5F">
            <w:pPr>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配送服务满意度考核(得分说明：“优+”得10分，“优”得7-9分，“良”得4-6分，“一般”得1-3分，“差”不得分)。</w:t>
            </w:r>
          </w:p>
          <w:p w14:paraId="7C572D62">
            <w:pPr>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说明：“良”以下须提供扣分原因，并及时告之中标人。</w:t>
            </w:r>
          </w:p>
        </w:tc>
      </w:tr>
    </w:tbl>
    <w:p w14:paraId="7EE9195B">
      <w:pPr>
        <w:ind w:firstLine="480"/>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考核说明：</w:t>
      </w:r>
    </w:p>
    <w:p w14:paraId="34671EA8">
      <w:pPr>
        <w:ind w:firstLine="480"/>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(1)本项目的考核总分为：100分(其中：质量类90分，服务类10分，分值四舍五入取整数)，采购人将按照标准对中标人在配送过程中质量、服务情况进行评议。①每月考核得分90分及以上为合格；②考核得分89-80分一般，将按采购人要求进行整改；③考核得分79分值及以下视为不合格，将按采购人要求进行整改。此外，采购人将约谈中标人，若未按要求整改，采购人有权终止合同；④中标人连续2个月考核得分为79分及以下，采购人有权终止合同。</w:t>
      </w:r>
    </w:p>
    <w:p w14:paraId="51C7DA05">
      <w:pPr>
        <w:ind w:firstLine="480"/>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(2)采购人每月一次对中标人的质量服务进行评议，考核结果将作为中标人是否能继续履行合同的主要依据。</w:t>
      </w:r>
    </w:p>
    <w:p w14:paraId="31BA4F89">
      <w:pPr>
        <w:ind w:firstLine="480"/>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4.</w:t>
      </w:r>
      <w:r>
        <w:rPr>
          <w:rFonts w:hint="eastAsia" w:ascii="宋体" w:hAnsi="宋体" w:eastAsia="宋体" w:cs="宋体"/>
          <w:color w:val="auto"/>
          <w:sz w:val="21"/>
          <w:szCs w:val="21"/>
        </w:rPr>
        <w:t>本项目</w:t>
      </w:r>
      <w:r>
        <w:rPr>
          <w:rFonts w:hint="eastAsia" w:ascii="宋体" w:hAnsi="宋体" w:eastAsia="宋体" w:cs="宋体"/>
          <w:color w:val="auto"/>
          <w:sz w:val="21"/>
          <w:szCs w:val="21"/>
          <w:lang w:eastAsia="zh-Hans"/>
        </w:rPr>
        <w:t>合同价是供应商响应采购项目要求的全部工作内容的价格体现，包含完成本项目所涉及</w:t>
      </w:r>
      <w:r>
        <w:rPr>
          <w:rFonts w:hint="eastAsia" w:ascii="宋体" w:hAnsi="宋体" w:eastAsia="宋体" w:cs="宋体"/>
          <w:color w:val="auto"/>
          <w:sz w:val="21"/>
          <w:szCs w:val="21"/>
        </w:rPr>
        <w:t>的食材、</w:t>
      </w:r>
      <w:r>
        <w:rPr>
          <w:rFonts w:hint="eastAsia" w:ascii="宋体" w:hAnsi="宋体" w:eastAsia="宋体" w:cs="宋体"/>
          <w:color w:val="auto"/>
          <w:sz w:val="21"/>
          <w:szCs w:val="21"/>
          <w:lang w:eastAsia="zh-Hans"/>
        </w:rPr>
        <w:t>原材料</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Hans"/>
        </w:rPr>
        <w:t>人</w:t>
      </w:r>
      <w:r>
        <w:rPr>
          <w:rFonts w:hint="eastAsia" w:ascii="宋体" w:hAnsi="宋体" w:eastAsia="宋体" w:cs="宋体"/>
          <w:color w:val="auto"/>
          <w:sz w:val="21"/>
          <w:szCs w:val="21"/>
        </w:rPr>
        <w:t>工</w:t>
      </w:r>
      <w:r>
        <w:rPr>
          <w:rFonts w:hint="eastAsia" w:ascii="宋体" w:hAnsi="宋体" w:eastAsia="宋体" w:cs="宋体"/>
          <w:color w:val="auto"/>
          <w:sz w:val="21"/>
          <w:szCs w:val="21"/>
          <w:lang w:eastAsia="zh-Hans"/>
        </w:rPr>
        <w:t>、</w:t>
      </w:r>
      <w:r>
        <w:rPr>
          <w:rFonts w:hint="eastAsia" w:ascii="宋体" w:hAnsi="宋体" w:eastAsia="宋体" w:cs="宋体"/>
          <w:color w:val="auto"/>
          <w:sz w:val="21"/>
          <w:szCs w:val="21"/>
        </w:rPr>
        <w:t>安全、</w:t>
      </w:r>
      <w:r>
        <w:rPr>
          <w:rFonts w:hint="eastAsia" w:ascii="宋体" w:hAnsi="宋体" w:eastAsia="宋体" w:cs="宋体"/>
          <w:color w:val="auto"/>
          <w:sz w:val="21"/>
          <w:szCs w:val="21"/>
          <w:lang w:eastAsia="zh-Hans"/>
        </w:rPr>
        <w:t>设备</w:t>
      </w:r>
      <w:r>
        <w:rPr>
          <w:rFonts w:hint="eastAsia" w:ascii="宋体" w:hAnsi="宋体" w:eastAsia="宋体" w:cs="宋体"/>
          <w:color w:val="auto"/>
          <w:sz w:val="21"/>
          <w:szCs w:val="21"/>
        </w:rPr>
        <w:t>设施</w:t>
      </w:r>
      <w:r>
        <w:rPr>
          <w:rFonts w:hint="eastAsia" w:ascii="宋体" w:hAnsi="宋体" w:eastAsia="宋体" w:cs="宋体"/>
          <w:color w:val="auto"/>
          <w:sz w:val="21"/>
          <w:szCs w:val="21"/>
          <w:lang w:eastAsia="zh-Hans"/>
        </w:rPr>
        <w:t>投入、运输、冷藏、二次搬运、保险、风险、税金、利润</w:t>
      </w:r>
      <w:r>
        <w:rPr>
          <w:rFonts w:hint="eastAsia" w:ascii="宋体" w:hAnsi="宋体" w:eastAsia="宋体" w:cs="宋体"/>
          <w:color w:val="auto"/>
          <w:sz w:val="21"/>
          <w:szCs w:val="21"/>
        </w:rPr>
        <w:t>等，</w:t>
      </w:r>
      <w:r>
        <w:rPr>
          <w:rFonts w:hint="eastAsia" w:ascii="宋体" w:hAnsi="宋体" w:eastAsia="宋体" w:cs="宋体"/>
          <w:color w:val="auto"/>
          <w:sz w:val="21"/>
          <w:szCs w:val="21"/>
          <w:lang w:eastAsia="zh-Hans"/>
        </w:rPr>
        <w:t>以及</w:t>
      </w:r>
      <w:r>
        <w:rPr>
          <w:rFonts w:hint="eastAsia" w:ascii="宋体" w:hAnsi="宋体" w:eastAsia="宋体" w:cs="宋体"/>
          <w:color w:val="auto"/>
          <w:sz w:val="21"/>
          <w:szCs w:val="21"/>
        </w:rPr>
        <w:t>采购</w:t>
      </w:r>
      <w:r>
        <w:rPr>
          <w:rFonts w:hint="eastAsia" w:ascii="宋体" w:hAnsi="宋体" w:eastAsia="宋体" w:cs="宋体"/>
          <w:color w:val="auto"/>
          <w:sz w:val="21"/>
          <w:szCs w:val="21"/>
          <w:lang w:eastAsia="zh-Hans"/>
        </w:rPr>
        <w:t>文件规定的一切费用。</w:t>
      </w:r>
    </w:p>
    <w:p w14:paraId="4E7FC411">
      <w:pPr>
        <w:ind w:firstLine="482"/>
        <w:rPr>
          <w:rFonts w:hint="eastAsia" w:ascii="宋体" w:hAnsi="宋体" w:eastAsia="宋体" w:cs="宋体"/>
          <w:color w:val="auto"/>
          <w:sz w:val="21"/>
          <w:szCs w:val="21"/>
          <w:lang w:eastAsia="zh-Hans"/>
        </w:rPr>
      </w:pPr>
      <w:r>
        <w:rPr>
          <w:rFonts w:hint="eastAsia" w:ascii="宋体" w:hAnsi="宋体" w:eastAsia="宋体" w:cs="宋体"/>
          <w:bCs/>
          <w:color w:val="auto"/>
          <w:sz w:val="21"/>
          <w:szCs w:val="21"/>
          <w:lang w:eastAsia="zh-Hans"/>
        </w:rPr>
        <w:t>5.供应商在本次采购活动中提供的</w:t>
      </w:r>
      <w:r>
        <w:rPr>
          <w:rFonts w:hint="eastAsia" w:ascii="宋体" w:hAnsi="宋体" w:eastAsia="宋体" w:cs="宋体"/>
          <w:bCs/>
          <w:color w:val="auto"/>
          <w:sz w:val="21"/>
          <w:szCs w:val="21"/>
        </w:rPr>
        <w:t>中标价</w:t>
      </w:r>
      <w:r>
        <w:rPr>
          <w:rFonts w:hint="eastAsia" w:ascii="宋体" w:hAnsi="宋体" w:eastAsia="宋体" w:cs="宋体"/>
          <w:bCs/>
          <w:color w:val="auto"/>
          <w:sz w:val="21"/>
          <w:szCs w:val="21"/>
          <w:lang w:eastAsia="zh-Hans"/>
        </w:rPr>
        <w:t>将作为项目履约的价格依据。</w:t>
      </w:r>
    </w:p>
    <w:p w14:paraId="3E016A48">
      <w:pPr>
        <w:ind w:firstLine="420" w:firstLineChars="200"/>
        <w:outlineLvl w:val="3"/>
        <w:rPr>
          <w:rFonts w:hint="eastAsia" w:ascii="宋体" w:hAnsi="宋体" w:eastAsia="宋体" w:cs="宋体"/>
          <w:bCs/>
          <w:color w:val="auto"/>
          <w:sz w:val="21"/>
          <w:szCs w:val="21"/>
        </w:rPr>
      </w:pPr>
      <w:r>
        <w:rPr>
          <w:rFonts w:hint="eastAsia" w:ascii="宋体" w:hAnsi="宋体" w:eastAsia="宋体" w:cs="宋体"/>
          <w:bCs/>
          <w:color w:val="auto"/>
          <w:sz w:val="21"/>
          <w:szCs w:val="21"/>
          <w:lang w:eastAsia="zh-Hans"/>
        </w:rPr>
        <w:t>6.配送执行价格：</w:t>
      </w:r>
      <w:r>
        <w:rPr>
          <w:rFonts w:hint="eastAsia" w:ascii="宋体" w:hAnsi="宋体" w:eastAsia="宋体" w:cs="宋体"/>
          <w:sz w:val="24"/>
          <w:szCs w:val="32"/>
        </w:rPr>
        <w:t>实际结算价=市场参考价格×折扣比例×实际数量</w:t>
      </w:r>
      <w:bookmarkStart w:id="2" w:name="_GoBack"/>
      <w:bookmarkEnd w:id="2"/>
      <w:r>
        <w:rPr>
          <w:rFonts w:hint="eastAsia" w:ascii="宋体" w:hAnsi="宋体" w:eastAsia="宋体" w:cs="宋体"/>
          <w:bCs/>
          <w:color w:val="auto"/>
          <w:sz w:val="21"/>
          <w:szCs w:val="21"/>
          <w:lang w:eastAsia="zh-Hans"/>
        </w:rPr>
        <w:t>。市场参考价格的确定：以配送当地眉山市发展和改革委员会官方网站公布的《主城区部分农贸市场价格》为准；如果官网价格表上没有的，由中标人和采购人、加工方代表根据实际需求到眉山市大型超市（永辉、大润发等）进行现场调查询价，以零售</w:t>
      </w:r>
      <w:r>
        <w:rPr>
          <w:rFonts w:hint="eastAsia" w:ascii="宋体" w:hAnsi="宋体" w:eastAsia="宋体" w:cs="宋体"/>
          <w:bCs/>
          <w:color w:val="auto"/>
          <w:sz w:val="21"/>
          <w:szCs w:val="21"/>
        </w:rPr>
        <w:t>平均价</w:t>
      </w:r>
      <w:r>
        <w:rPr>
          <w:rFonts w:hint="eastAsia" w:ascii="宋体" w:hAnsi="宋体" w:eastAsia="宋体" w:cs="宋体"/>
          <w:bCs/>
          <w:color w:val="auto"/>
          <w:sz w:val="21"/>
          <w:szCs w:val="21"/>
          <w:lang w:eastAsia="zh-Hans"/>
        </w:rPr>
        <w:t>作市场参考价格</w:t>
      </w:r>
      <w:r>
        <w:rPr>
          <w:rFonts w:hint="eastAsia" w:ascii="宋体" w:hAnsi="宋体" w:eastAsia="宋体" w:cs="宋体"/>
          <w:bCs/>
          <w:color w:val="auto"/>
          <w:sz w:val="21"/>
          <w:szCs w:val="21"/>
        </w:rPr>
        <w:t>。</w:t>
      </w:r>
    </w:p>
    <w:p w14:paraId="33695D98">
      <w:pPr>
        <w:ind w:firstLine="420" w:firstLineChars="200"/>
        <w:outlineLvl w:val="3"/>
        <w:rPr>
          <w:rFonts w:hint="eastAsia" w:ascii="宋体" w:hAnsi="宋体" w:eastAsia="宋体" w:cs="宋体"/>
          <w:bCs/>
          <w:color w:val="auto"/>
          <w:sz w:val="21"/>
          <w:szCs w:val="21"/>
          <w:lang w:eastAsia="zh-Hans"/>
        </w:rPr>
      </w:pPr>
      <w:r>
        <w:rPr>
          <w:rFonts w:hint="eastAsia" w:ascii="宋体" w:hAnsi="宋体" w:eastAsia="宋体" w:cs="宋体"/>
          <w:bCs/>
          <w:color w:val="auto"/>
          <w:sz w:val="21"/>
          <w:szCs w:val="21"/>
          <w:lang w:eastAsia="zh-Hans"/>
        </w:rPr>
        <w:t>......</w:t>
      </w:r>
    </w:p>
    <w:p w14:paraId="75DFF759">
      <w:pPr>
        <w:outlineLvl w:val="3"/>
        <w:rPr>
          <w:rFonts w:hint="eastAsia" w:ascii="宋体" w:hAnsi="宋体" w:eastAsia="宋体" w:cs="宋体"/>
          <w:color w:val="auto"/>
          <w:sz w:val="21"/>
          <w:szCs w:val="21"/>
          <w:lang w:eastAsia="zh-Hans"/>
        </w:rPr>
      </w:pPr>
      <w:r>
        <w:rPr>
          <w:rFonts w:hint="eastAsia" w:ascii="宋体" w:hAnsi="宋体" w:eastAsia="宋体" w:cs="宋体"/>
          <w:b/>
          <w:color w:val="auto"/>
          <w:sz w:val="21"/>
          <w:szCs w:val="21"/>
          <w:lang w:val="en-US" w:eastAsia="zh-CN"/>
        </w:rPr>
        <w:t>十二</w:t>
      </w:r>
      <w:r>
        <w:rPr>
          <w:rFonts w:hint="eastAsia" w:ascii="宋体" w:hAnsi="宋体" w:eastAsia="宋体" w:cs="宋体"/>
          <w:b/>
          <w:color w:val="auto"/>
          <w:sz w:val="21"/>
          <w:szCs w:val="21"/>
          <w:lang w:eastAsia="zh-Hans"/>
        </w:rPr>
        <w:t>、违约责任</w:t>
      </w:r>
    </w:p>
    <w:p w14:paraId="11AC74A0">
      <w:pPr>
        <w:ind w:firstLine="420" w:firstLineChars="200"/>
        <w:outlineLvl w:val="3"/>
        <w:rPr>
          <w:rFonts w:hint="eastAsia" w:ascii="宋体" w:hAnsi="宋体" w:eastAsia="宋体" w:cs="宋体"/>
          <w:bCs/>
          <w:color w:val="auto"/>
          <w:sz w:val="21"/>
          <w:szCs w:val="21"/>
          <w:lang w:eastAsia="zh-Hans"/>
        </w:rPr>
      </w:pPr>
      <w:r>
        <w:rPr>
          <w:rFonts w:hint="eastAsia" w:ascii="宋体" w:hAnsi="宋体" w:eastAsia="宋体" w:cs="宋体"/>
          <w:color w:val="auto"/>
          <w:sz w:val="21"/>
          <w:szCs w:val="21"/>
          <w:lang w:eastAsia="zh-Hans"/>
        </w:rPr>
        <w:t>1）甲乙双方必须遵守本合同条款内容并执行项目合同中的各项规定，保证本项目合同的正常履行。任何一方违约给对方造成的直接损失均负有赔偿责任，同时需向对方支付合同</w:t>
      </w:r>
      <w:r>
        <w:rPr>
          <w:rFonts w:hint="eastAsia" w:ascii="宋体" w:hAnsi="宋体" w:eastAsia="宋体" w:cs="宋体"/>
          <w:color w:val="auto"/>
          <w:sz w:val="21"/>
          <w:szCs w:val="21"/>
        </w:rPr>
        <w:t>最</w:t>
      </w:r>
      <w:r>
        <w:rPr>
          <w:rFonts w:hint="eastAsia" w:ascii="宋体" w:hAnsi="宋体" w:eastAsia="宋体" w:cs="宋体"/>
          <w:bCs/>
          <w:color w:val="auto"/>
          <w:sz w:val="21"/>
          <w:szCs w:val="21"/>
          <w:lang w:eastAsia="zh-Hans"/>
        </w:rPr>
        <w:t xml:space="preserve">高支付金额2%的违约金。 </w:t>
      </w:r>
    </w:p>
    <w:p w14:paraId="67A722D9">
      <w:pPr>
        <w:ind w:firstLine="420" w:firstLineChars="200"/>
        <w:outlineLvl w:val="3"/>
        <w:rPr>
          <w:rFonts w:hint="eastAsia" w:ascii="宋体" w:hAnsi="宋体" w:eastAsia="宋体" w:cs="宋体"/>
          <w:bCs/>
          <w:color w:val="auto"/>
          <w:sz w:val="21"/>
          <w:szCs w:val="21"/>
          <w:lang w:eastAsia="zh-Hans"/>
        </w:rPr>
      </w:pPr>
      <w:r>
        <w:rPr>
          <w:rFonts w:hint="eastAsia" w:ascii="宋体" w:hAnsi="宋体" w:eastAsia="宋体" w:cs="宋体"/>
          <w:bCs/>
          <w:color w:val="auto"/>
          <w:sz w:val="21"/>
          <w:szCs w:val="21"/>
          <w:lang w:eastAsia="zh-Hans"/>
        </w:rPr>
        <w:t xml:space="preserve">2）如因供应商在履行过程中的疏忽、失职、过错等故意或者过失原因给采购人造成损失或侵害，包括但不限于甲方本身的财产损失、由此而导致的甲方对任何第三方的法律责任等，乙对此均应承担全部的赔偿责任。 </w:t>
      </w:r>
    </w:p>
    <w:p w14:paraId="26601660">
      <w:pPr>
        <w:ind w:firstLine="420" w:firstLineChars="200"/>
        <w:outlineLvl w:val="3"/>
        <w:rPr>
          <w:rFonts w:hint="eastAsia" w:ascii="宋体" w:hAnsi="宋体" w:eastAsia="宋体" w:cs="宋体"/>
          <w:bCs/>
          <w:color w:val="auto"/>
          <w:sz w:val="21"/>
          <w:szCs w:val="21"/>
          <w:lang w:eastAsia="zh-Hans"/>
        </w:rPr>
      </w:pPr>
      <w:r>
        <w:rPr>
          <w:rFonts w:hint="eastAsia" w:ascii="宋体" w:hAnsi="宋体" w:eastAsia="宋体" w:cs="宋体"/>
          <w:bCs/>
          <w:color w:val="auto"/>
          <w:sz w:val="21"/>
          <w:szCs w:val="21"/>
          <w:lang w:eastAsia="zh-Hans"/>
        </w:rPr>
        <w:t>3）如因供应商在提供服务过程中出现违规、违约等情形，采购人有权单方终止合同，乙方须按合同最高支付金额的5%向甲方支付违约金。并按甲方要求限期退还已支付的合同款</w:t>
      </w:r>
      <w:r>
        <w:rPr>
          <w:rFonts w:hint="eastAsia" w:ascii="宋体" w:hAnsi="宋体" w:eastAsia="宋体" w:cs="宋体"/>
          <w:bCs/>
          <w:color w:val="auto"/>
          <w:sz w:val="21"/>
          <w:szCs w:val="21"/>
          <w:lang w:val="en-US" w:eastAsia="zh-CN"/>
        </w:rPr>
        <w:t>项</w:t>
      </w:r>
      <w:r>
        <w:rPr>
          <w:rFonts w:hint="eastAsia" w:ascii="宋体" w:hAnsi="宋体" w:eastAsia="宋体" w:cs="宋体"/>
          <w:bCs/>
          <w:color w:val="auto"/>
          <w:sz w:val="21"/>
          <w:szCs w:val="21"/>
          <w:lang w:eastAsia="zh-Hans"/>
        </w:rPr>
        <w:t>（含预付款）及其利息，</w:t>
      </w:r>
      <w:r>
        <w:rPr>
          <w:rFonts w:hint="eastAsia" w:ascii="宋体" w:hAnsi="宋体" w:eastAsia="宋体" w:cs="宋体"/>
          <w:bCs/>
          <w:color w:val="auto"/>
          <w:sz w:val="21"/>
          <w:szCs w:val="21"/>
          <w:lang w:val="en-US" w:eastAsia="zh-CN"/>
        </w:rPr>
        <w:t>由此</w:t>
      </w:r>
      <w:r>
        <w:rPr>
          <w:rFonts w:hint="eastAsia" w:ascii="宋体" w:hAnsi="宋体" w:eastAsia="宋体" w:cs="宋体"/>
          <w:bCs/>
          <w:color w:val="auto"/>
          <w:sz w:val="21"/>
          <w:szCs w:val="21"/>
          <w:lang w:eastAsia="zh-Hans"/>
        </w:rPr>
        <w:t>造成甲方损失的应赔偿甲方一切经济损失。</w:t>
      </w:r>
    </w:p>
    <w:p w14:paraId="598DA8C1">
      <w:pPr>
        <w:ind w:firstLine="420" w:firstLineChars="200"/>
        <w:outlineLvl w:val="3"/>
        <w:rPr>
          <w:rFonts w:hint="eastAsia" w:ascii="宋体" w:hAnsi="宋体" w:eastAsia="宋体" w:cs="宋体"/>
          <w:bCs/>
          <w:color w:val="auto"/>
          <w:sz w:val="21"/>
          <w:szCs w:val="21"/>
          <w:lang w:eastAsia="zh-Hans"/>
        </w:rPr>
      </w:pPr>
      <w:r>
        <w:rPr>
          <w:rFonts w:hint="eastAsia" w:ascii="宋体" w:hAnsi="宋体" w:eastAsia="宋体" w:cs="宋体"/>
          <w:bCs/>
          <w:color w:val="auto"/>
          <w:sz w:val="21"/>
          <w:szCs w:val="21"/>
          <w:lang w:eastAsia="zh-CN"/>
        </w:rPr>
        <w:t>（</w:t>
      </w:r>
      <w:r>
        <w:rPr>
          <w:rFonts w:hint="eastAsia" w:ascii="宋体" w:hAnsi="宋体" w:eastAsia="宋体" w:cs="宋体"/>
          <w:bCs/>
          <w:color w:val="auto"/>
          <w:sz w:val="21"/>
          <w:szCs w:val="21"/>
          <w:lang w:val="en-US" w:eastAsia="zh-CN"/>
        </w:rPr>
        <w:t>4</w:t>
      </w:r>
      <w:r>
        <w:rPr>
          <w:rFonts w:hint="eastAsia" w:ascii="宋体" w:hAnsi="宋体" w:eastAsia="宋体" w:cs="宋体"/>
          <w:bCs/>
          <w:color w:val="auto"/>
          <w:sz w:val="21"/>
          <w:szCs w:val="21"/>
          <w:lang w:eastAsia="zh-CN"/>
        </w:rPr>
        <w:t>）</w:t>
      </w:r>
      <w:r>
        <w:rPr>
          <w:rFonts w:hint="eastAsia" w:ascii="宋体" w:hAnsi="宋体" w:eastAsia="宋体" w:cs="宋体"/>
          <w:bCs/>
          <w:color w:val="auto"/>
          <w:sz w:val="21"/>
          <w:szCs w:val="21"/>
          <w:lang w:eastAsia="zh-Hans"/>
        </w:rPr>
        <w:t xml:space="preserve">乙方偿付的违约金不足以弥补甲方损失的，还应按甲方损失尚未弥补的部分，支付赔偿金给甲方。 </w:t>
      </w:r>
    </w:p>
    <w:p w14:paraId="34F77629">
      <w:pPr>
        <w:ind w:firstLine="420" w:firstLineChars="200"/>
        <w:outlineLvl w:val="3"/>
        <w:rPr>
          <w:rFonts w:hint="eastAsia" w:ascii="宋体" w:hAnsi="宋体" w:eastAsia="宋体" w:cs="宋体"/>
          <w:bCs/>
          <w:color w:val="auto"/>
          <w:sz w:val="21"/>
          <w:szCs w:val="21"/>
          <w:lang w:eastAsia="zh-Hans"/>
        </w:rPr>
      </w:pPr>
      <w:r>
        <w:rPr>
          <w:rFonts w:hint="eastAsia" w:ascii="宋体" w:hAnsi="宋体" w:eastAsia="宋体" w:cs="宋体"/>
          <w:bCs/>
          <w:color w:val="auto"/>
          <w:sz w:val="21"/>
          <w:szCs w:val="21"/>
          <w:lang w:eastAsia="zh-Hans"/>
        </w:rPr>
        <w:t>......</w:t>
      </w:r>
    </w:p>
    <w:p w14:paraId="3C7C4BCB">
      <w:pPr>
        <w:ind w:firstLine="211" w:firstLineChars="100"/>
        <w:outlineLvl w:val="3"/>
        <w:rPr>
          <w:rFonts w:hint="eastAsia" w:ascii="宋体" w:hAnsi="宋体" w:eastAsia="宋体" w:cs="宋体"/>
          <w:color w:val="auto"/>
          <w:sz w:val="21"/>
          <w:szCs w:val="21"/>
          <w:lang w:eastAsia="zh-Hans"/>
        </w:rPr>
      </w:pPr>
      <w:r>
        <w:rPr>
          <w:rFonts w:hint="eastAsia" w:ascii="宋体" w:hAnsi="宋体" w:eastAsia="宋体" w:cs="宋体"/>
          <w:b/>
          <w:color w:val="auto"/>
          <w:sz w:val="21"/>
          <w:szCs w:val="21"/>
          <w:lang w:val="en-US" w:eastAsia="zh-CN"/>
        </w:rPr>
        <w:t>十三</w:t>
      </w:r>
      <w:r>
        <w:rPr>
          <w:rFonts w:hint="eastAsia" w:ascii="宋体" w:hAnsi="宋体" w:eastAsia="宋体" w:cs="宋体"/>
          <w:b/>
          <w:color w:val="auto"/>
          <w:sz w:val="21"/>
          <w:szCs w:val="21"/>
          <w:lang w:eastAsia="zh-Hans"/>
        </w:rPr>
        <w:t>、不可抗事件处理</w:t>
      </w:r>
    </w:p>
    <w:p w14:paraId="2518C87E">
      <w:pPr>
        <w:ind w:firstLine="420" w:firstLineChars="200"/>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1.在合同有效期内，任何一方因战争、洪灾、台风、地震等不可抗力事件导致不能履行合同，则合同履行期可延长，其延长期与不可抗力事件影响期相同。</w:t>
      </w:r>
    </w:p>
    <w:p w14:paraId="4074B38F">
      <w:pPr>
        <w:ind w:firstLine="420" w:firstLineChars="200"/>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2.受阻一方应在不可抗力事件发生后</w:t>
      </w:r>
      <w:r>
        <w:rPr>
          <w:rFonts w:hint="eastAsia" w:ascii="宋体" w:hAnsi="宋体" w:eastAsia="宋体" w:cs="宋体"/>
          <w:color w:val="auto"/>
          <w:sz w:val="21"/>
          <w:szCs w:val="21"/>
        </w:rPr>
        <w:t>1天内</w:t>
      </w:r>
      <w:r>
        <w:rPr>
          <w:rFonts w:hint="eastAsia" w:ascii="宋体" w:hAnsi="宋体" w:eastAsia="宋体" w:cs="宋体"/>
          <w:color w:val="auto"/>
          <w:sz w:val="21"/>
          <w:szCs w:val="21"/>
          <w:lang w:eastAsia="zh-Hans"/>
        </w:rPr>
        <w:t>用电话通知对方并于事故发生后</w:t>
      </w:r>
      <w:r>
        <w:rPr>
          <w:rFonts w:hint="eastAsia" w:ascii="宋体" w:hAnsi="宋体" w:eastAsia="宋体" w:cs="宋体"/>
          <w:color w:val="auto"/>
          <w:sz w:val="21"/>
          <w:szCs w:val="21"/>
        </w:rPr>
        <w:t>3天</w:t>
      </w:r>
      <w:r>
        <w:rPr>
          <w:rFonts w:hint="eastAsia" w:ascii="宋体" w:hAnsi="宋体" w:eastAsia="宋体" w:cs="宋体"/>
          <w:color w:val="auto"/>
          <w:sz w:val="21"/>
          <w:szCs w:val="21"/>
          <w:lang w:eastAsia="zh-Hans"/>
        </w:rPr>
        <w:t>内将有关部门出具的证明文件等用特快专递或挂号信寄给对方审阅确认。</w:t>
      </w:r>
    </w:p>
    <w:p w14:paraId="5D6A151F">
      <w:pPr>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lang w:eastAsia="zh-Hans"/>
        </w:rPr>
        <w:t>3.不可抗力事件延续</w:t>
      </w:r>
      <w:r>
        <w:rPr>
          <w:rFonts w:hint="eastAsia" w:ascii="宋体" w:hAnsi="宋体" w:eastAsia="宋体" w:cs="宋体"/>
          <w:color w:val="auto"/>
          <w:sz w:val="21"/>
          <w:szCs w:val="21"/>
        </w:rPr>
        <w:t>30</w:t>
      </w:r>
      <w:r>
        <w:rPr>
          <w:rFonts w:hint="eastAsia" w:ascii="宋体" w:hAnsi="宋体" w:eastAsia="宋体" w:cs="宋体"/>
          <w:color w:val="auto"/>
          <w:sz w:val="21"/>
          <w:szCs w:val="21"/>
          <w:lang w:eastAsia="zh-Hans"/>
        </w:rPr>
        <w:t>天以上，双方应通过友好协商，确定是否继续履行合同</w:t>
      </w:r>
      <w:r>
        <w:rPr>
          <w:rFonts w:hint="eastAsia" w:ascii="宋体" w:hAnsi="宋体" w:eastAsia="宋体" w:cs="宋体"/>
          <w:color w:val="auto"/>
          <w:sz w:val="21"/>
          <w:szCs w:val="21"/>
        </w:rPr>
        <w:t>。</w:t>
      </w:r>
    </w:p>
    <w:p w14:paraId="7B579A4D">
      <w:pPr>
        <w:ind w:firstLine="420" w:firstLineChars="200"/>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w:t>
      </w:r>
    </w:p>
    <w:p w14:paraId="40715F32">
      <w:pPr>
        <w:numPr>
          <w:ilvl w:val="0"/>
          <w:numId w:val="0"/>
        </w:numPr>
        <w:ind w:leftChars="-198" w:firstLine="422" w:firstLineChars="200"/>
        <w:rPr>
          <w:rFonts w:hint="eastAsia" w:ascii="宋体" w:hAnsi="宋体" w:eastAsia="宋体" w:cs="宋体"/>
          <w:b/>
          <w:color w:val="auto"/>
          <w:sz w:val="21"/>
          <w:szCs w:val="21"/>
          <w:lang w:eastAsia="zh-Hans"/>
        </w:rPr>
      </w:pPr>
      <w:r>
        <w:rPr>
          <w:rFonts w:hint="eastAsia" w:ascii="宋体" w:hAnsi="宋体" w:eastAsia="宋体" w:cs="宋体"/>
          <w:b/>
          <w:color w:val="auto"/>
          <w:sz w:val="21"/>
          <w:szCs w:val="21"/>
          <w:lang w:val="en-US" w:eastAsia="zh-CN"/>
        </w:rPr>
        <w:t>十四、</w:t>
      </w:r>
      <w:r>
        <w:rPr>
          <w:rFonts w:hint="eastAsia" w:ascii="宋体" w:hAnsi="宋体" w:eastAsia="宋体" w:cs="宋体"/>
          <w:b/>
          <w:color w:val="auto"/>
          <w:sz w:val="21"/>
          <w:szCs w:val="21"/>
          <w:lang w:eastAsia="zh-Hans"/>
        </w:rPr>
        <w:t>解决合同纠纷的方式</w:t>
      </w:r>
    </w:p>
    <w:p w14:paraId="5F83B8B3">
      <w:pPr>
        <w:numPr>
          <w:ilvl w:val="0"/>
          <w:numId w:val="0"/>
        </w:numPr>
        <w:ind w:leftChars="-198" w:firstLine="840" w:firstLineChars="400"/>
        <w:rPr>
          <w:rFonts w:hint="eastAsia" w:ascii="宋体" w:hAnsi="宋体" w:eastAsia="宋体" w:cs="宋体"/>
          <w:color w:val="auto"/>
          <w:sz w:val="21"/>
          <w:szCs w:val="21"/>
          <w:lang w:eastAsia="zh-Hans"/>
        </w:rPr>
      </w:pPr>
      <w:r>
        <w:rPr>
          <w:rFonts w:hint="eastAsia" w:ascii="宋体" w:hAnsi="宋体" w:eastAsia="宋体" w:cs="宋体"/>
          <w:color w:val="auto"/>
          <w:sz w:val="21"/>
          <w:szCs w:val="21"/>
        </w:rPr>
        <w:t>1.</w:t>
      </w:r>
      <w:r>
        <w:rPr>
          <w:rFonts w:hint="eastAsia" w:ascii="宋体" w:hAnsi="宋体" w:eastAsia="宋体" w:cs="宋体"/>
          <w:color w:val="auto"/>
          <w:sz w:val="21"/>
          <w:szCs w:val="21"/>
          <w:lang w:eastAsia="zh-Hans"/>
        </w:rPr>
        <w:t>因</w:t>
      </w:r>
      <w:r>
        <w:rPr>
          <w:rFonts w:hint="eastAsia" w:ascii="宋体" w:hAnsi="宋体" w:eastAsia="宋体" w:cs="宋体"/>
          <w:color w:val="auto"/>
          <w:sz w:val="21"/>
          <w:szCs w:val="21"/>
        </w:rPr>
        <w:t>产品</w:t>
      </w:r>
      <w:r>
        <w:rPr>
          <w:rFonts w:hint="eastAsia" w:ascii="宋体" w:hAnsi="宋体" w:eastAsia="宋体" w:cs="宋体"/>
          <w:color w:val="auto"/>
          <w:sz w:val="21"/>
          <w:szCs w:val="21"/>
          <w:lang w:eastAsia="zh-Hans"/>
        </w:rPr>
        <w:t>的质量问题发生争议，由质量技术监督部门或其指定的质量鉴定机构进行质量鉴定。</w:t>
      </w:r>
      <w:r>
        <w:rPr>
          <w:rFonts w:hint="eastAsia" w:ascii="宋体" w:hAnsi="宋体" w:eastAsia="宋体" w:cs="宋体"/>
          <w:color w:val="auto"/>
          <w:sz w:val="21"/>
          <w:szCs w:val="21"/>
        </w:rPr>
        <w:t>产品</w:t>
      </w:r>
      <w:r>
        <w:rPr>
          <w:rFonts w:hint="eastAsia" w:ascii="宋体" w:hAnsi="宋体" w:eastAsia="宋体" w:cs="宋体"/>
          <w:color w:val="auto"/>
          <w:sz w:val="21"/>
          <w:szCs w:val="21"/>
          <w:lang w:eastAsia="zh-Hans"/>
        </w:rPr>
        <w:t>符合标准的，鉴定费由采购人承担；</w:t>
      </w:r>
      <w:r>
        <w:rPr>
          <w:rFonts w:hint="eastAsia" w:ascii="宋体" w:hAnsi="宋体" w:eastAsia="宋体" w:cs="宋体"/>
          <w:color w:val="auto"/>
          <w:sz w:val="21"/>
          <w:szCs w:val="21"/>
        </w:rPr>
        <w:t>产品</w:t>
      </w:r>
      <w:r>
        <w:rPr>
          <w:rFonts w:hint="eastAsia" w:ascii="宋体" w:hAnsi="宋体" w:eastAsia="宋体" w:cs="宋体"/>
          <w:color w:val="auto"/>
          <w:sz w:val="21"/>
          <w:szCs w:val="21"/>
          <w:lang w:eastAsia="zh-Hans"/>
        </w:rPr>
        <w:t xml:space="preserve">不符合质量标准的，鉴定费由供应商承担。 </w:t>
      </w:r>
    </w:p>
    <w:p w14:paraId="43B82D1C">
      <w:pPr>
        <w:ind w:firstLine="420" w:firstLineChars="200"/>
        <w:rPr>
          <w:rFonts w:hint="eastAsia" w:ascii="宋体" w:hAnsi="宋体" w:eastAsia="宋体" w:cs="宋体"/>
          <w:color w:val="auto"/>
          <w:sz w:val="21"/>
          <w:szCs w:val="21"/>
          <w:lang w:eastAsia="zh-Hans"/>
        </w:rPr>
      </w:pPr>
      <w:r>
        <w:rPr>
          <w:rFonts w:hint="eastAsia" w:ascii="宋体" w:hAnsi="宋体" w:eastAsia="宋体" w:cs="宋体"/>
          <w:color w:val="auto"/>
          <w:sz w:val="21"/>
          <w:szCs w:val="21"/>
        </w:rPr>
        <w:t>2.</w:t>
      </w:r>
      <w:r>
        <w:rPr>
          <w:rFonts w:hint="eastAsia" w:ascii="宋体" w:hAnsi="宋体" w:eastAsia="宋体" w:cs="宋体"/>
          <w:color w:val="auto"/>
          <w:sz w:val="21"/>
          <w:szCs w:val="21"/>
          <w:lang w:eastAsia="zh-Hans"/>
        </w:rPr>
        <w:t>合同履行期间,若双方发生争议，可协商或由有关部门调解解决，协商或调解不成的，</w:t>
      </w:r>
      <w:r>
        <w:rPr>
          <w:rFonts w:hint="eastAsia" w:ascii="宋体" w:hAnsi="宋体" w:cs="宋体"/>
          <w:color w:val="auto"/>
          <w:sz w:val="21"/>
          <w:szCs w:val="21"/>
          <w:lang w:val="en-US" w:eastAsia="zh-CN"/>
        </w:rPr>
        <w:t>由当事人依法</w:t>
      </w:r>
      <w:r>
        <w:rPr>
          <w:rFonts w:hint="eastAsia" w:ascii="宋体" w:hAnsi="宋体" w:eastAsia="宋体" w:cs="宋体"/>
          <w:color w:val="auto"/>
          <w:sz w:val="21"/>
          <w:szCs w:val="21"/>
        </w:rPr>
        <w:t>向眉山市东坡区人民法院提起诉讼，诉讼费由败诉方承担</w:t>
      </w:r>
      <w:r>
        <w:rPr>
          <w:rFonts w:hint="eastAsia" w:ascii="宋体" w:hAnsi="宋体" w:eastAsia="宋体" w:cs="宋体"/>
          <w:color w:val="auto"/>
          <w:sz w:val="21"/>
          <w:szCs w:val="21"/>
          <w:lang w:eastAsia="zh-Hans"/>
        </w:rPr>
        <w:t>。</w:t>
      </w:r>
    </w:p>
    <w:p w14:paraId="765882D6">
      <w:pPr>
        <w:outlineLvl w:val="3"/>
        <w:rPr>
          <w:rFonts w:hint="eastAsia" w:ascii="宋体" w:hAnsi="宋体" w:eastAsia="宋体" w:cs="宋体"/>
          <w:color w:val="auto"/>
          <w:sz w:val="21"/>
          <w:szCs w:val="21"/>
          <w:lang w:eastAsia="zh-Hans"/>
        </w:rPr>
      </w:pPr>
      <w:r>
        <w:rPr>
          <w:rFonts w:hint="eastAsia" w:ascii="宋体" w:hAnsi="宋体" w:eastAsia="宋体" w:cs="宋体"/>
          <w:b/>
          <w:color w:val="auto"/>
          <w:sz w:val="21"/>
          <w:szCs w:val="21"/>
          <w:lang w:eastAsia="zh-Hans"/>
        </w:rPr>
        <w:t>十</w:t>
      </w:r>
      <w:r>
        <w:rPr>
          <w:rFonts w:hint="eastAsia" w:ascii="宋体" w:hAnsi="宋体" w:eastAsia="宋体" w:cs="宋体"/>
          <w:b/>
          <w:color w:val="auto"/>
          <w:sz w:val="21"/>
          <w:szCs w:val="21"/>
          <w:lang w:val="en-US" w:eastAsia="zh-CN"/>
        </w:rPr>
        <w:t>五</w:t>
      </w:r>
      <w:r>
        <w:rPr>
          <w:rFonts w:hint="eastAsia" w:ascii="宋体" w:hAnsi="宋体" w:eastAsia="宋体" w:cs="宋体"/>
          <w:b/>
          <w:color w:val="auto"/>
          <w:sz w:val="21"/>
          <w:szCs w:val="21"/>
          <w:lang w:eastAsia="zh-Hans"/>
        </w:rPr>
        <w:t>、合同生效及其他</w:t>
      </w:r>
    </w:p>
    <w:p w14:paraId="686FA438">
      <w:pPr>
        <w:ind w:firstLine="420" w:firstLineChars="200"/>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1.合同经双方法定代表人（或主要负责人）或授权委托代理人签字并加盖公章后生效。</w:t>
      </w:r>
    </w:p>
    <w:p w14:paraId="2D6BC6E6">
      <w:pPr>
        <w:ind w:firstLine="420" w:firstLineChars="200"/>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2.政府采购合同履行中，</w:t>
      </w:r>
      <w:r>
        <w:rPr>
          <w:rFonts w:hint="eastAsia" w:ascii="宋体" w:hAnsi="宋体" w:eastAsia="宋体" w:cs="宋体"/>
          <w:color w:val="auto"/>
          <w:sz w:val="21"/>
          <w:szCs w:val="21"/>
        </w:rPr>
        <w:t>若</w:t>
      </w:r>
      <w:r>
        <w:rPr>
          <w:rFonts w:hint="eastAsia" w:ascii="宋体" w:hAnsi="宋体" w:eastAsia="宋体" w:cs="宋体"/>
          <w:color w:val="auto"/>
          <w:sz w:val="21"/>
          <w:szCs w:val="21"/>
          <w:lang w:eastAsia="zh-Hans"/>
        </w:rPr>
        <w:t>甲方需追加与合同标的相同的</w:t>
      </w:r>
      <w:r>
        <w:rPr>
          <w:rFonts w:hint="eastAsia" w:ascii="宋体" w:hAnsi="宋体" w:eastAsia="宋体" w:cs="宋体"/>
          <w:color w:val="auto"/>
          <w:sz w:val="21"/>
          <w:szCs w:val="21"/>
        </w:rPr>
        <w:t>产品</w:t>
      </w:r>
      <w:r>
        <w:rPr>
          <w:rFonts w:hint="eastAsia" w:ascii="宋体" w:hAnsi="宋体" w:eastAsia="宋体" w:cs="宋体"/>
          <w:color w:val="auto"/>
          <w:sz w:val="21"/>
          <w:szCs w:val="21"/>
          <w:lang w:eastAsia="zh-Hans"/>
        </w:rPr>
        <w:t>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14:paraId="5189B9DE">
      <w:pPr>
        <w:ind w:firstLine="420" w:firstLineChars="200"/>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3.本合同一式</w:t>
      </w:r>
      <w:r>
        <w:rPr>
          <w:rFonts w:hint="eastAsia" w:ascii="宋体" w:hAnsi="宋体" w:eastAsia="宋体" w:cs="宋体"/>
          <w:color w:val="auto"/>
          <w:sz w:val="21"/>
          <w:szCs w:val="21"/>
        </w:rPr>
        <w:t>伍</w:t>
      </w:r>
      <w:r>
        <w:rPr>
          <w:rFonts w:hint="eastAsia" w:ascii="宋体" w:hAnsi="宋体" w:eastAsia="宋体" w:cs="宋体"/>
          <w:color w:val="auto"/>
          <w:sz w:val="21"/>
          <w:szCs w:val="21"/>
          <w:lang w:eastAsia="zh-Hans"/>
        </w:rPr>
        <w:t>份，自双方签章之日起生效。甲方持有</w:t>
      </w:r>
      <w:r>
        <w:rPr>
          <w:rFonts w:hint="eastAsia" w:ascii="宋体" w:hAnsi="宋体" w:eastAsia="宋体" w:cs="宋体"/>
          <w:color w:val="auto"/>
          <w:sz w:val="21"/>
          <w:szCs w:val="21"/>
        </w:rPr>
        <w:t>肆</w:t>
      </w:r>
      <w:r>
        <w:rPr>
          <w:rFonts w:hint="eastAsia" w:ascii="宋体" w:hAnsi="宋体" w:eastAsia="宋体" w:cs="宋体"/>
          <w:color w:val="auto"/>
          <w:sz w:val="21"/>
          <w:szCs w:val="21"/>
          <w:lang w:eastAsia="zh-Hans"/>
        </w:rPr>
        <w:t>份，乙方持有</w:t>
      </w:r>
      <w:r>
        <w:rPr>
          <w:rFonts w:hint="eastAsia" w:ascii="宋体" w:hAnsi="宋体" w:eastAsia="宋体" w:cs="宋体"/>
          <w:color w:val="auto"/>
          <w:sz w:val="21"/>
          <w:szCs w:val="21"/>
        </w:rPr>
        <w:t>壹</w:t>
      </w:r>
      <w:r>
        <w:rPr>
          <w:rFonts w:hint="eastAsia" w:ascii="宋体" w:hAnsi="宋体" w:eastAsia="宋体" w:cs="宋体"/>
          <w:color w:val="auto"/>
          <w:sz w:val="21"/>
          <w:szCs w:val="21"/>
          <w:lang w:eastAsia="zh-Hans"/>
        </w:rPr>
        <w:t>份</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Hans"/>
        </w:rPr>
        <w:t>具有同等法律效力。</w:t>
      </w:r>
    </w:p>
    <w:p w14:paraId="141AB108">
      <w:pPr>
        <w:rPr>
          <w:rFonts w:hint="eastAsia" w:ascii="宋体" w:hAnsi="宋体" w:eastAsia="宋体" w:cs="宋体"/>
          <w:color w:val="auto"/>
          <w:sz w:val="21"/>
          <w:szCs w:val="21"/>
          <w:lang w:eastAsia="zh-Hans"/>
        </w:rPr>
      </w:pPr>
    </w:p>
    <w:p w14:paraId="63DDC14A">
      <w:pPr>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 xml:space="preserve"> 甲方： （盖章）</w:t>
      </w:r>
    </w:p>
    <w:p w14:paraId="685DE67C">
      <w:pPr>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 xml:space="preserve"> 法定（授权）代表人：</w:t>
      </w:r>
    </w:p>
    <w:p w14:paraId="20946B63">
      <w:pPr>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 xml:space="preserve"> 地 址：</w:t>
      </w:r>
    </w:p>
    <w:p w14:paraId="65682405">
      <w:pPr>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 xml:space="preserve"> 开户银行：</w:t>
      </w:r>
    </w:p>
    <w:p w14:paraId="4309C863">
      <w:pPr>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 xml:space="preserve"> 账号：</w:t>
      </w:r>
    </w:p>
    <w:p w14:paraId="76AC0AD1">
      <w:pPr>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 xml:space="preserve"> 签订日期： 年 月 日</w:t>
      </w:r>
    </w:p>
    <w:p w14:paraId="3D8EA2EC">
      <w:pPr>
        <w:rPr>
          <w:rFonts w:hint="eastAsia" w:ascii="宋体" w:hAnsi="宋体" w:eastAsia="宋体" w:cs="宋体"/>
          <w:color w:val="auto"/>
          <w:sz w:val="21"/>
          <w:szCs w:val="21"/>
          <w:lang w:eastAsia="zh-Hans"/>
        </w:rPr>
      </w:pPr>
    </w:p>
    <w:p w14:paraId="38A14921">
      <w:pPr>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乙方：(盖章）</w:t>
      </w:r>
    </w:p>
    <w:p w14:paraId="7782179F">
      <w:pPr>
        <w:rPr>
          <w:rFonts w:hint="eastAsia" w:ascii="宋体" w:hAnsi="宋体" w:eastAsia="宋体" w:cs="宋体"/>
          <w:color w:val="auto"/>
          <w:sz w:val="21"/>
          <w:szCs w:val="21"/>
          <w:lang w:eastAsia="zh-Hans"/>
        </w:rPr>
      </w:pPr>
      <w:r>
        <w:rPr>
          <w:rFonts w:hint="eastAsia" w:ascii="宋体" w:hAnsi="宋体" w:eastAsia="宋体" w:cs="宋体"/>
          <w:color w:val="auto"/>
          <w:sz w:val="21"/>
          <w:szCs w:val="21"/>
          <w:lang w:eastAsia="zh-Hans"/>
        </w:rPr>
        <w:t xml:space="preserve"> 法定（授权）代表人：</w:t>
      </w:r>
    </w:p>
    <w:p w14:paraId="3FA6E29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15BBB3"/>
    <w:multiLevelType w:val="singleLevel"/>
    <w:tmpl w:val="0815BBB3"/>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C92080"/>
    <w:rsid w:val="006127EC"/>
    <w:rsid w:val="03423DFD"/>
    <w:rsid w:val="06257AC7"/>
    <w:rsid w:val="16812D22"/>
    <w:rsid w:val="25FF3E6F"/>
    <w:rsid w:val="28C92080"/>
    <w:rsid w:val="31C746D6"/>
    <w:rsid w:val="43BC4FC0"/>
    <w:rsid w:val="4BB75A3E"/>
    <w:rsid w:val="5EF0164D"/>
    <w:rsid w:val="5EFF5F76"/>
    <w:rsid w:val="618E5F25"/>
    <w:rsid w:val="625674A0"/>
    <w:rsid w:val="68411431"/>
    <w:rsid w:val="76AF4A3B"/>
    <w:rsid w:val="77C414FA"/>
    <w:rsid w:val="7E7A28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link w:val="9"/>
    <w:qFormat/>
    <w:uiPriority w:val="0"/>
    <w:pPr>
      <w:keepNext/>
      <w:keepLines/>
      <w:spacing w:before="340" w:after="330" w:line="579" w:lineRule="auto"/>
      <w:jc w:val="left"/>
      <w:outlineLvl w:val="0"/>
    </w:pPr>
    <w:rPr>
      <w:rFonts w:ascii="Calibri" w:hAnsi="Calibri" w:eastAsia="仿宋" w:cs="Times New Roman"/>
      <w:b/>
      <w:bCs/>
      <w:kern w:val="44"/>
      <w:sz w:val="32"/>
      <w:szCs w:val="44"/>
    </w:rPr>
  </w:style>
  <w:style w:type="paragraph" w:styleId="4">
    <w:name w:val="heading 2"/>
    <w:basedOn w:val="1"/>
    <w:next w:val="1"/>
    <w:link w:val="10"/>
    <w:semiHidden/>
    <w:unhideWhenUsed/>
    <w:qFormat/>
    <w:uiPriority w:val="0"/>
    <w:pPr>
      <w:keepNext/>
      <w:keepLines/>
      <w:spacing w:before="260" w:after="260" w:line="500" w:lineRule="exact"/>
      <w:outlineLvl w:val="1"/>
    </w:pPr>
    <w:rPr>
      <w:rFonts w:ascii="Arial" w:hAnsi="Arial" w:eastAsia="仿宋" w:cs="Times New Roman"/>
      <w:b/>
      <w:sz w:val="28"/>
    </w:rPr>
  </w:style>
  <w:style w:type="paragraph" w:styleId="5">
    <w:name w:val="heading 3"/>
    <w:basedOn w:val="1"/>
    <w:next w:val="1"/>
    <w:link w:val="11"/>
    <w:semiHidden/>
    <w:unhideWhenUsed/>
    <w:qFormat/>
    <w:uiPriority w:val="0"/>
    <w:pPr>
      <w:spacing w:before="50" w:beforeLines="50"/>
      <w:ind w:left="567" w:firstLine="0" w:firstLineChars="0"/>
      <w:jc w:val="left"/>
      <w:outlineLvl w:val="2"/>
    </w:pPr>
    <w:rPr>
      <w:rFonts w:ascii="宋体" w:hAnsi="宋体" w:eastAsia="仿宋" w:cs="宋体"/>
      <w:b/>
      <w:sz w:val="28"/>
      <w:szCs w:val="32"/>
    </w:rPr>
  </w:style>
  <w:style w:type="paragraph" w:styleId="6">
    <w:name w:val="heading 4"/>
    <w:basedOn w:val="1"/>
    <w:next w:val="1"/>
    <w:semiHidden/>
    <w:unhideWhenUsed/>
    <w:qFormat/>
    <w:uiPriority w:val="0"/>
    <w:pPr>
      <w:keepNext/>
      <w:keepLines/>
      <w:spacing w:before="280" w:beforeLines="0" w:beforeAutospacing="0" w:after="290" w:afterLines="0" w:afterAutospacing="0" w:line="372" w:lineRule="auto"/>
      <w:outlineLvl w:val="3"/>
    </w:pPr>
    <w:rPr>
      <w:rFonts w:ascii="Arial" w:hAnsi="Arial" w:eastAsia="仿宋" w:cs="Times New Roman"/>
      <w:b/>
      <w:sz w:val="28"/>
    </w:rPr>
  </w:style>
  <w:style w:type="character" w:default="1" w:styleId="8">
    <w:name w:val="Default Paragraph Font"/>
    <w:semiHidden/>
    <w:unhideWhenUsed/>
    <w:qFormat/>
    <w:uiPriority w:val="1"/>
  </w:style>
  <w:style w:type="table" w:default="1" w:styleId="7">
    <w:name w:val="Normal Table"/>
    <w:semiHidden/>
    <w:qFormat/>
    <w:uiPriority w:val="0"/>
    <w:tblPr>
      <w:tblCellMar>
        <w:top w:w="0" w:type="dxa"/>
        <w:left w:w="108" w:type="dxa"/>
        <w:bottom w:w="0" w:type="dxa"/>
        <w:right w:w="108" w:type="dxa"/>
      </w:tblCellMar>
    </w:tblPr>
  </w:style>
  <w:style w:type="paragraph" w:styleId="2">
    <w:name w:val="toc 1"/>
    <w:basedOn w:val="1"/>
    <w:next w:val="1"/>
    <w:unhideWhenUsed/>
    <w:qFormat/>
    <w:uiPriority w:val="39"/>
    <w:rPr>
      <w:rFonts w:ascii="宋体" w:hAnsi="Calibri"/>
      <w:kern w:val="0"/>
      <w:sz w:val="34"/>
      <w:szCs w:val="20"/>
    </w:rPr>
  </w:style>
  <w:style w:type="character" w:customStyle="1" w:styleId="9">
    <w:name w:val="标题 1 Char"/>
    <w:basedOn w:val="8"/>
    <w:link w:val="3"/>
    <w:qFormat/>
    <w:uiPriority w:val="0"/>
    <w:rPr>
      <w:rFonts w:ascii="Calibri" w:hAnsi="Calibri" w:eastAsia="仿宋" w:cs="Times New Roman"/>
      <w:b/>
      <w:bCs/>
      <w:kern w:val="44"/>
      <w:sz w:val="32"/>
      <w:szCs w:val="44"/>
    </w:rPr>
  </w:style>
  <w:style w:type="character" w:customStyle="1" w:styleId="10">
    <w:name w:val="标题 2 Char"/>
    <w:link w:val="4"/>
    <w:qFormat/>
    <w:uiPriority w:val="0"/>
    <w:rPr>
      <w:rFonts w:ascii="Arial" w:hAnsi="Arial" w:eastAsia="仿宋" w:cs="Times New Roman"/>
      <w:b/>
      <w:sz w:val="28"/>
    </w:rPr>
  </w:style>
  <w:style w:type="character" w:customStyle="1" w:styleId="11">
    <w:name w:val="标题 3 Char"/>
    <w:link w:val="5"/>
    <w:qFormat/>
    <w:uiPriority w:val="0"/>
    <w:rPr>
      <w:rFonts w:ascii="宋体" w:hAnsi="宋体" w:eastAsia="宋体" w:cs="宋体"/>
      <w:b/>
      <w:sz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5022</Words>
  <Characters>5227</Characters>
  <Lines>0</Lines>
  <Paragraphs>0</Paragraphs>
  <TotalTime>0</TotalTime>
  <ScaleCrop>false</ScaleCrop>
  <LinksUpToDate>false</LinksUpToDate>
  <CharactersWithSpaces>5268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2026-05-09T03:41:00Z</dcterms:created>
  <dc:creator>h'p</dc:creator>
  <cp:lastModifiedBy>h'p</cp:lastModifiedBy>
  <dcterms:modified xsi:type="dcterms:W3CDTF">2026-05-09T07:57:19Z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42E7A3C871D14FA7BC627A1BF5496C52_11</vt:lpwstr>
  </property>
  <property fmtid="{D5CDD505-2E9C-101B-9397-08002B2CF9AE}" pid="4" name="KSOTemplateDocerSaveRecord">
    <vt:lpwstr>eyJoZGlkIjoiYTc0Mjg2MzVmMDU0ZDRlMjRmMThkMzc0Yzc0Y2JkMmYiLCJ1c2VySWQiOiIxMTU0Mjk0NzQ4In0=</vt:lpwstr>
  </property>
</Properties>
</file>