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版本号：N513221202600005320260507001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汶川县沙牌电站大坝安全性评价报告编制咨询服务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N5132212026000053</w:t>
      </w:r>
    </w:p>
    <w:p>
      <w:pPr>
        <w:pStyle w:val="null3"/>
        <w:jc w:val="center"/>
        <w:outlineLvl w:val="2"/>
      </w:pPr>
      <w:r>
        <w:rPr>
          <w:rFonts w:ascii="仿宋_GB2312" w:hAnsi="仿宋_GB2312" w:cs="仿宋_GB2312" w:eastAsia="仿宋_GB2312"/>
          <w:sz w:val="28"/>
          <w:b/>
        </w:rPr>
        <w:t>汶川县发展和改革局</w:t>
      </w:r>
    </w:p>
    <w:p>
      <w:pPr>
        <w:pStyle w:val="null3"/>
        <w:jc w:val="center"/>
        <w:outlineLvl w:val="2"/>
      </w:pPr>
      <w:r>
        <w:rPr>
          <w:rFonts w:ascii="仿宋_GB2312" w:hAnsi="仿宋_GB2312" w:cs="仿宋_GB2312" w:eastAsia="仿宋_GB2312"/>
          <w:sz w:val="28"/>
          <w:b/>
        </w:rPr>
        <w:t>四川中采宏泰工程项目管理有限公司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汶川县发展和改革局</w:t>
      </w:r>
      <w:r>
        <w:rPr>
          <w:rFonts w:ascii="仿宋_GB2312" w:hAnsi="仿宋_GB2312" w:cs="仿宋_GB2312" w:eastAsia="仿宋_GB2312"/>
        </w:rPr>
        <w:t xml:space="preserve"> 委托，拟对 </w:t>
      </w:r>
      <w:r>
        <w:rPr>
          <w:rFonts w:ascii="仿宋_GB2312" w:hAnsi="仿宋_GB2312" w:cs="仿宋_GB2312" w:eastAsia="仿宋_GB2312"/>
        </w:rPr>
        <w:t>汶川县沙牌电站大坝安全性评价报告编制咨询服务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阿坝藏族羌族自治州汶川县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N5132212026000053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汶川县沙牌电站大坝安全性评价报告编制咨询服务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完成原沙牌（电站）大坝安全性评价报告并通过专家审查；完成沙牌水库管理范围线划定报告、水库类别转型可行性论证报告，并报主管部门备案。</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备行政主管部门颁发的工程设计水利行业甲级及以上资质和工程勘察专业类（岩土工程）乙级及以上资质。（描述：具备行政主管部门颁发的工程设计水利行业甲级及以上资质和工程勘察专业类（岩土工程）乙级及以上资质，提供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汶川县发展和改革局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汶川县威州镇东街35号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0837-6226522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四川中采宏泰工程项目管理有限公司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四川省成都市武侯区新光路1号5栋16层1601号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028-86159973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代理服务费收费标准：按照《招标代理服务收费管理暂行办法》计价格[2002]1980号文和发改价格[2011]534号标准及成本加利润原则，本项目收取代理服务费12000元（大写：壹万贰仟元整）。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汶川县发展和改革局</w:t>
      </w:r>
      <w:r>
        <w:rPr>
          <w:rFonts w:ascii="仿宋_GB2312" w:hAnsi="仿宋_GB2312" w:cs="仿宋_GB2312" w:eastAsia="仿宋_GB2312"/>
        </w:rPr>
        <w:t xml:space="preserve"> 和 </w:t>
      </w: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汶川县发展和改革局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供应商按照要求完成报告编制并提交给采购人后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评审合格并提交最终成果后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70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按照采购文件商务要求、成交供应商的响应文件及承诺与合同约定进行验收。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按照采购文件技术、服务要求、成交供应商的响应文件及承诺与合同约定进行验收。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按照采购文件商务要求、成交供应商的响应文件及承诺与合同约定进行验收。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本项目采购人将严格按照《财政部关于进一步加强政府采购需求和履约验收管理的指导意见》(财库〔2016〕205号)的要求、采购文件技术、服务要求、商务要求、成交供应商的响应文件及承诺与合同约定进行验收。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汶川县发展和改革局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联系人：董老师</w:t>
      </w:r>
    </w:p>
    <w:p>
      <w:pPr>
        <w:pStyle w:val="null3"/>
        <w:jc w:val="left"/>
      </w:pPr>
      <w:r>
        <w:rPr>
          <w:rFonts w:ascii="仿宋_GB2312" w:hAnsi="仿宋_GB2312" w:cs="仿宋_GB2312" w:eastAsia="仿宋_GB2312"/>
        </w:rPr>
        <w:t>联系电话：0837-6226522</w:t>
      </w:r>
    </w:p>
    <w:p>
      <w:pPr>
        <w:pStyle w:val="null3"/>
        <w:jc w:val="left"/>
      </w:pPr>
      <w:r>
        <w:rPr>
          <w:rFonts w:ascii="仿宋_GB2312" w:hAnsi="仿宋_GB2312" w:cs="仿宋_GB2312" w:eastAsia="仿宋_GB2312"/>
        </w:rPr>
        <w:t>地址：汶川县威州镇东街35号</w:t>
      </w:r>
    </w:p>
    <w:p>
      <w:pPr>
        <w:pStyle w:val="null3"/>
        <w:jc w:val="left"/>
      </w:pPr>
      <w:r>
        <w:rPr>
          <w:rFonts w:ascii="仿宋_GB2312" w:hAnsi="仿宋_GB2312" w:cs="仿宋_GB2312" w:eastAsia="仿宋_GB2312"/>
        </w:rPr>
        <w:t>邮编：623000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联系人：樊老师</w:t>
      </w:r>
    </w:p>
    <w:p>
      <w:pPr>
        <w:pStyle w:val="null3"/>
        <w:jc w:val="left"/>
      </w:pPr>
      <w:r>
        <w:rPr>
          <w:rFonts w:ascii="仿宋_GB2312" w:hAnsi="仿宋_GB2312" w:cs="仿宋_GB2312" w:eastAsia="仿宋_GB2312"/>
        </w:rPr>
        <w:t>联系电话：028-86159973</w:t>
      </w:r>
    </w:p>
    <w:p>
      <w:pPr>
        <w:pStyle w:val="null3"/>
        <w:jc w:val="left"/>
      </w:pPr>
      <w:r>
        <w:rPr>
          <w:rFonts w:ascii="仿宋_GB2312" w:hAnsi="仿宋_GB2312" w:cs="仿宋_GB2312" w:eastAsia="仿宋_GB2312"/>
        </w:rPr>
        <w:t>地址：四川省成都市武侯区新光路观南上域5栋1601</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汶川县沙牌电站大坝安全性评价报告编制咨询服务</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汶川县沙牌电站大坝安全性评价报告编制咨询服务</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标的名称：汶川县沙牌电站大坝安全性评价报告编制咨询服务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原沙牌（电站）大坝安全鉴定服务</w:t>
            </w:r>
          </w:p>
        </w:tc>
        <w:tc>
          <w:tcPr>
            <w:tcW w:type="dxa" w:w="5814"/>
          </w:tcPr>
          <w:p>
            <w:pPr>
              <w:pStyle w:val="null3"/>
              <w:ind w:firstLine="480"/>
              <w:jc w:val="left"/>
            </w:pPr>
            <w:r>
              <w:rPr>
                <w:rFonts w:ascii="仿宋_GB2312" w:hAnsi="仿宋_GB2312" w:cs="仿宋_GB2312" w:eastAsia="仿宋_GB2312"/>
                <w:sz w:val="24"/>
                <w:color w:val="000000"/>
              </w:rPr>
              <w:t>（一）服务内容</w:t>
            </w:r>
          </w:p>
          <w:p>
            <w:pPr>
              <w:pStyle w:val="null3"/>
              <w:ind w:firstLine="480"/>
              <w:jc w:val="left"/>
            </w:pPr>
            <w:r>
              <w:rPr>
                <w:rFonts w:ascii="仿宋_GB2312" w:hAnsi="仿宋_GB2312" w:cs="仿宋_GB2312" w:eastAsia="仿宋_GB2312"/>
                <w:sz w:val="24"/>
                <w:color w:val="000000"/>
              </w:rPr>
              <w:t>1.基础资料搜集</w:t>
            </w:r>
          </w:p>
          <w:p>
            <w:pPr>
              <w:pStyle w:val="null3"/>
              <w:ind w:firstLine="480"/>
              <w:jc w:val="left"/>
            </w:pPr>
            <w:r>
              <w:rPr>
                <w:rFonts w:ascii="仿宋_GB2312" w:hAnsi="仿宋_GB2312" w:cs="仿宋_GB2312" w:eastAsia="仿宋_GB2312"/>
                <w:sz w:val="24"/>
                <w:color w:val="000000"/>
              </w:rPr>
              <w:t>搜集和整理水库流域概况和水文气象、工程特性、工程地质、设计与施工、安全监测、大坝安全状况、大坝运行管理等方面的资料。</w:t>
            </w:r>
          </w:p>
          <w:p>
            <w:pPr>
              <w:pStyle w:val="null3"/>
              <w:ind w:firstLine="480"/>
              <w:jc w:val="left"/>
            </w:pPr>
            <w:r>
              <w:rPr>
                <w:rFonts w:ascii="仿宋_GB2312" w:hAnsi="仿宋_GB2312" w:cs="仿宋_GB2312" w:eastAsia="仿宋_GB2312"/>
                <w:sz w:val="24"/>
                <w:color w:val="000000"/>
              </w:rPr>
              <w:t>2.现场安全检查及安全检测（重点）</w:t>
            </w:r>
          </w:p>
          <w:p>
            <w:pPr>
              <w:pStyle w:val="null3"/>
              <w:ind w:firstLine="480"/>
              <w:jc w:val="left"/>
            </w:pPr>
            <w:r>
              <w:rPr>
                <w:rFonts w:ascii="仿宋_GB2312" w:hAnsi="仿宋_GB2312" w:cs="仿宋_GB2312" w:eastAsia="仿宋_GB2312"/>
                <w:sz w:val="24"/>
                <w:color w:val="000000"/>
              </w:rPr>
              <w:t>现场安全检查包括查阅工程勘察设计、施工与运行资料，对大坝外观状况、结构安全情况、运行管理条件、金属结构等进行全面检查和评估，并提出大坝安全评价工作的重点和建议，编制大坝现场安全检查报告。</w:t>
            </w:r>
          </w:p>
          <w:p>
            <w:pPr>
              <w:pStyle w:val="null3"/>
              <w:ind w:firstLine="480"/>
              <w:jc w:val="left"/>
            </w:pPr>
            <w:r>
              <w:rPr>
                <w:rFonts w:ascii="仿宋_GB2312" w:hAnsi="仿宋_GB2312" w:cs="仿宋_GB2312" w:eastAsia="仿宋_GB2312"/>
                <w:sz w:val="24"/>
                <w:color w:val="000000"/>
              </w:rPr>
              <w:t>3.安全监测资料分析</w:t>
            </w:r>
          </w:p>
          <w:p>
            <w:pPr>
              <w:pStyle w:val="null3"/>
              <w:ind w:firstLine="480"/>
              <w:jc w:val="left"/>
            </w:pPr>
            <w:r>
              <w:rPr>
                <w:rFonts w:ascii="仿宋_GB2312" w:hAnsi="仿宋_GB2312" w:cs="仿宋_GB2312" w:eastAsia="仿宋_GB2312"/>
                <w:sz w:val="24"/>
                <w:color w:val="000000"/>
              </w:rPr>
              <w:t>内容包括监测系统完备性评价、监测资料可靠性分析、监测资料正反分析以及大坝安全性态评估。</w:t>
            </w:r>
          </w:p>
          <w:p>
            <w:pPr>
              <w:pStyle w:val="null3"/>
              <w:ind w:firstLine="480"/>
              <w:jc w:val="left"/>
            </w:pPr>
            <w:r>
              <w:rPr>
                <w:rFonts w:ascii="仿宋_GB2312" w:hAnsi="仿宋_GB2312" w:cs="仿宋_GB2312" w:eastAsia="仿宋_GB2312"/>
                <w:sz w:val="24"/>
                <w:color w:val="000000"/>
              </w:rPr>
              <w:t>4.工程质量评价</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1）评价大坝工程地质条件及基础处理是否满足国家现行规范要求。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2）评价大坝工程质量现状是否满足国家现行规范要求。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3）根据运行表现，分析大坝工程质量变化情况，查找是否存在工程质量缺陷，并评估对大坝安全的影响。</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4）为大坝安全评价提供符合工程实测的参数。</w:t>
            </w:r>
          </w:p>
          <w:p>
            <w:pPr>
              <w:pStyle w:val="null3"/>
              <w:ind w:firstLine="480"/>
              <w:jc w:val="left"/>
            </w:pPr>
            <w:r>
              <w:rPr>
                <w:rFonts w:ascii="仿宋_GB2312" w:hAnsi="仿宋_GB2312" w:cs="仿宋_GB2312" w:eastAsia="仿宋_GB2312"/>
                <w:sz w:val="24"/>
                <w:color w:val="000000"/>
              </w:rPr>
              <w:t>5.运行管理评价</w:t>
            </w:r>
          </w:p>
          <w:p>
            <w:pPr>
              <w:pStyle w:val="null3"/>
              <w:ind w:firstLine="480"/>
              <w:jc w:val="left"/>
            </w:pPr>
            <w:r>
              <w:rPr>
                <w:rFonts w:ascii="仿宋_GB2312" w:hAnsi="仿宋_GB2312" w:cs="仿宋_GB2312" w:eastAsia="仿宋_GB2312"/>
                <w:sz w:val="24"/>
                <w:color w:val="000000"/>
              </w:rPr>
              <w:t>内容包括对水库运行管理能力、调度运用、维护养护、安全监测的评价。</w:t>
            </w:r>
          </w:p>
          <w:p>
            <w:pPr>
              <w:pStyle w:val="null3"/>
              <w:ind w:firstLine="480"/>
              <w:jc w:val="left"/>
            </w:pPr>
            <w:r>
              <w:rPr>
                <w:rFonts w:ascii="仿宋_GB2312" w:hAnsi="仿宋_GB2312" w:cs="仿宋_GB2312" w:eastAsia="仿宋_GB2312"/>
                <w:sz w:val="24"/>
                <w:color w:val="000000"/>
              </w:rPr>
              <w:t>6.防洪能力复核</w:t>
            </w:r>
          </w:p>
          <w:p>
            <w:pPr>
              <w:pStyle w:val="null3"/>
              <w:ind w:firstLine="480"/>
              <w:jc w:val="left"/>
            </w:pPr>
            <w:r>
              <w:rPr>
                <w:rFonts w:ascii="仿宋_GB2312" w:hAnsi="仿宋_GB2312" w:cs="仿宋_GB2312" w:eastAsia="仿宋_GB2312"/>
                <w:sz w:val="24"/>
                <w:color w:val="000000"/>
              </w:rPr>
              <w:t>内容包括防洪标准复核、设计洪水复核计算、调洪计算及大坝抗洪能力复核。</w:t>
            </w:r>
          </w:p>
          <w:p>
            <w:pPr>
              <w:pStyle w:val="null3"/>
              <w:ind w:firstLine="480"/>
              <w:jc w:val="left"/>
            </w:pPr>
            <w:r>
              <w:rPr>
                <w:rFonts w:ascii="仿宋_GB2312" w:hAnsi="仿宋_GB2312" w:cs="仿宋_GB2312" w:eastAsia="仿宋_GB2312"/>
                <w:sz w:val="24"/>
                <w:color w:val="000000"/>
              </w:rPr>
              <w:t>7.渗流安全评价</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1）复核大坝工程的防渗与反滤排水设施是否完善，设计质量是否满足现行有关规范要求。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2）查明大坝工程运行中发生过何种渗流异常现象，判断是否影响大坝安全。</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3）分析大坝工程防渗和反滤排水设施的工作性态及大坝渗流安全性态，评判大坝渗透稳定性是否满足设计要求。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4）对大坝存在的渗流安全问题分析其原因和可能产生的危害。</w:t>
            </w:r>
          </w:p>
          <w:p>
            <w:pPr>
              <w:pStyle w:val="null3"/>
              <w:ind w:firstLine="480"/>
              <w:jc w:val="left"/>
            </w:pPr>
            <w:r>
              <w:rPr>
                <w:rFonts w:ascii="仿宋_GB2312" w:hAnsi="仿宋_GB2312" w:cs="仿宋_GB2312" w:eastAsia="仿宋_GB2312"/>
                <w:sz w:val="24"/>
                <w:color w:val="000000"/>
              </w:rPr>
              <w:t>8.结构安全评价（重点）</w:t>
            </w:r>
          </w:p>
          <w:p>
            <w:pPr>
              <w:pStyle w:val="null3"/>
              <w:ind w:firstLine="480"/>
              <w:jc w:val="left"/>
            </w:pPr>
            <w:r>
              <w:rPr>
                <w:rFonts w:ascii="仿宋_GB2312" w:hAnsi="仿宋_GB2312" w:cs="仿宋_GB2312" w:eastAsia="仿宋_GB2312"/>
                <w:sz w:val="24"/>
                <w:color w:val="000000"/>
              </w:rPr>
              <w:t>主要内容包括大坝结构强度、变形与稳定复核等。</w:t>
            </w:r>
          </w:p>
          <w:p>
            <w:pPr>
              <w:pStyle w:val="null3"/>
              <w:ind w:firstLine="480"/>
              <w:jc w:val="left"/>
            </w:pPr>
            <w:r>
              <w:rPr>
                <w:rFonts w:ascii="仿宋_GB2312" w:hAnsi="仿宋_GB2312" w:cs="仿宋_GB2312" w:eastAsia="仿宋_GB2312"/>
                <w:sz w:val="24"/>
                <w:color w:val="000000"/>
              </w:rPr>
              <w:t>9.抗震安全评价</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1）复核工程场地地震基本烈度和工程抗震设防类别，在此基础上复核工程的抗震设防烈度或地震动参数是否符合规范要求。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2）复核大坝的抗震稳定性与结构强度。</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3）复核重力坝及建筑物地基的地震永久变形，以及是否存在地震液化可能。</w:t>
            </w:r>
          </w:p>
          <w:p>
            <w:pPr>
              <w:pStyle w:val="null3"/>
              <w:ind w:firstLine="480"/>
              <w:jc w:val="left"/>
            </w:pPr>
            <w:r>
              <w:rPr>
                <w:rFonts w:ascii="仿宋_GB2312" w:hAnsi="仿宋_GB2312" w:cs="仿宋_GB2312" w:eastAsia="仿宋_GB2312"/>
                <w:sz w:val="24"/>
                <w:color w:val="000000"/>
              </w:rPr>
              <w:t>10.大坝安全综合评价</w:t>
            </w:r>
          </w:p>
          <w:p>
            <w:pPr>
              <w:pStyle w:val="null3"/>
              <w:ind w:firstLine="480"/>
              <w:jc w:val="left"/>
            </w:pPr>
            <w:r>
              <w:rPr>
                <w:rFonts w:ascii="仿宋_GB2312" w:hAnsi="仿宋_GB2312" w:cs="仿宋_GB2312" w:eastAsia="仿宋_GB2312"/>
                <w:sz w:val="24"/>
                <w:color w:val="000000"/>
              </w:rPr>
              <w:t>（一）在现场安全检查和监测资料分析基础上，根据防洪能力、渗流安全、结果安全、抗震安全等专项复核评价结果，并参考工程质量与大坝运行管理评价结论，对大坝安全进行综合评价，评定大坝安全类别。</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技术要求：大坝安全鉴定的过程和成果必须符合《水库大坝安全鉴定办法》、《水库大坝安全评价导则》、《水利水电工程安全设计规范》、《四川省水利工程管理条例》等国家现行有关技术标准、规范等规定。</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）成果要求：成果文件必须经专家评审通过，含纸质文件及电子文档。</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沙牌水库管理范围线划定报告编制服务</w:t>
            </w:r>
          </w:p>
        </w:tc>
        <w:tc>
          <w:tcPr>
            <w:tcW w:type="dxa" w:w="5814"/>
          </w:tcPr>
          <w:p>
            <w:pPr>
              <w:pStyle w:val="null3"/>
              <w:ind w:firstLine="480"/>
              <w:jc w:val="left"/>
            </w:pPr>
            <w:r>
              <w:rPr>
                <w:rFonts w:ascii="仿宋_GB2312" w:hAnsi="仿宋_GB2312" w:cs="仿宋_GB2312" w:eastAsia="仿宋_GB2312"/>
                <w:sz w:val="24"/>
                <w:color w:val="000000"/>
              </w:rPr>
              <w:t>（一）基础资料搜集</w:t>
            </w:r>
          </w:p>
          <w:p>
            <w:pPr>
              <w:pStyle w:val="null3"/>
              <w:ind w:firstLine="480"/>
              <w:jc w:val="left"/>
            </w:pPr>
            <w:r>
              <w:rPr>
                <w:rFonts w:ascii="仿宋_GB2312" w:hAnsi="仿宋_GB2312" w:cs="仿宋_GB2312" w:eastAsia="仿宋_GB2312"/>
                <w:sz w:val="24"/>
                <w:color w:val="000000"/>
              </w:rPr>
              <w:t>收集水库库区及周边地区的地形图、土地利用现状图等，了解地形地貌特征、地质条件。识别可能影响管理范围划定的地形要素。收集水库库区及周边地区的土地权属资料，包括土地所有权、使用权等，明确土地的权属单位和权属范围，为管理范围划定提供依据</w:t>
            </w:r>
          </w:p>
          <w:p>
            <w:pPr>
              <w:pStyle w:val="null3"/>
              <w:ind w:firstLine="480"/>
              <w:jc w:val="left"/>
            </w:pPr>
            <w:r>
              <w:rPr>
                <w:rFonts w:ascii="仿宋_GB2312" w:hAnsi="仿宋_GB2312" w:cs="仿宋_GB2312" w:eastAsia="仿宋_GB2312"/>
                <w:sz w:val="24"/>
                <w:color w:val="000000"/>
              </w:rPr>
              <w:t>（二）划界方法</w:t>
            </w:r>
          </w:p>
          <w:p>
            <w:pPr>
              <w:pStyle w:val="null3"/>
              <w:ind w:firstLine="480"/>
              <w:jc w:val="left"/>
            </w:pPr>
            <w:r>
              <w:rPr>
                <w:rFonts w:ascii="仿宋_GB2312" w:hAnsi="仿宋_GB2312" w:cs="仿宋_GB2312" w:eastAsia="仿宋_GB2312"/>
                <w:sz w:val="24"/>
                <w:color w:val="000000"/>
              </w:rPr>
              <w:t>划定管理范围和保护范围。应严格按照《四川省水利工程管理条例》及四川省关于水利工程管理与保护范围划定的最新技术标准执行。</w:t>
            </w:r>
          </w:p>
          <w:p>
            <w:pPr>
              <w:pStyle w:val="null3"/>
              <w:ind w:firstLine="480"/>
              <w:jc w:val="left"/>
            </w:pPr>
            <w:r>
              <w:rPr>
                <w:rFonts w:ascii="仿宋_GB2312" w:hAnsi="仿宋_GB2312" w:cs="仿宋_GB2312" w:eastAsia="仿宋_GB2312"/>
                <w:sz w:val="24"/>
                <w:color w:val="000000"/>
              </w:rPr>
              <w:t>（三）划界报告编制</w:t>
            </w:r>
          </w:p>
          <w:p>
            <w:pPr>
              <w:pStyle w:val="null3"/>
              <w:ind w:firstLine="480"/>
              <w:jc w:val="left"/>
            </w:pPr>
            <w:r>
              <w:rPr>
                <w:rFonts w:ascii="仿宋_GB2312" w:hAnsi="仿宋_GB2312" w:cs="仿宋_GB2312" w:eastAsia="仿宋_GB2312"/>
                <w:sz w:val="24"/>
                <w:color w:val="000000"/>
              </w:rPr>
              <w:t>根据收集的资料和现场勘察结果，编制水库管理范围划界报告，明确管理范围的边界线、面积、管理措施等。按照管理范围划定方案，在管理范围边界线上设置界桩、界碑，标明管理范围的界限。</w:t>
            </w:r>
          </w:p>
          <w:p>
            <w:pPr>
              <w:pStyle w:val="null3"/>
              <w:ind w:firstLine="480"/>
              <w:jc w:val="left"/>
            </w:pPr>
            <w:r>
              <w:rPr>
                <w:rFonts w:ascii="仿宋_GB2312" w:hAnsi="仿宋_GB2312" w:cs="仿宋_GB2312" w:eastAsia="仿宋_GB2312"/>
                <w:sz w:val="24"/>
                <w:color w:val="000000"/>
              </w:rPr>
              <w:t>（四）制作管理范围图件和标识牌</w:t>
            </w:r>
          </w:p>
          <w:p>
            <w:pPr>
              <w:pStyle w:val="null3"/>
              <w:ind w:firstLine="480"/>
              <w:jc w:val="left"/>
            </w:pPr>
            <w:r>
              <w:rPr>
                <w:rFonts w:ascii="仿宋_GB2312" w:hAnsi="仿宋_GB2312" w:cs="仿宋_GB2312" w:eastAsia="仿宋_GB2312"/>
                <w:sz w:val="24"/>
                <w:color w:val="000000"/>
              </w:rPr>
              <w:t>制作水库管理范围图，标明大坝、水库库区、管理范围边界线、界桩位置等，作为管理范围的依据。并制作安装界桩和标识牌等。</w:t>
            </w:r>
          </w:p>
          <w:p>
            <w:pPr>
              <w:pStyle w:val="null3"/>
              <w:jc w:val="left"/>
            </w:pPr>
            <w:r>
              <w:rPr>
                <w:rFonts w:ascii="仿宋_GB2312" w:hAnsi="仿宋_GB2312" w:cs="仿宋_GB2312" w:eastAsia="仿宋_GB2312"/>
                <w:sz w:val="24"/>
                <w:color w:val="000000"/>
              </w:rPr>
              <w:t>（五）管理范围线划定报告编制过程和成果必须符合水利及其他部委颁布的现行标准，成果须通过行业主管部门审查备案。</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水库类别转型可行性论证报告服务</w:t>
            </w:r>
          </w:p>
        </w:tc>
        <w:tc>
          <w:tcPr>
            <w:tcW w:type="dxa" w:w="5814"/>
          </w:tcPr>
          <w:p>
            <w:pPr>
              <w:pStyle w:val="null3"/>
              <w:jc w:val="left"/>
            </w:pPr>
            <w:r>
              <w:rPr>
                <w:rFonts w:ascii="仿宋_GB2312" w:hAnsi="仿宋_GB2312" w:cs="仿宋_GB2312" w:eastAsia="仿宋_GB2312"/>
                <w:sz w:val="24"/>
                <w:color w:val="000000"/>
              </w:rPr>
              <w:t>编制</w:t>
            </w:r>
            <w:r>
              <w:rPr>
                <w:rFonts w:ascii="仿宋_GB2312" w:hAnsi="仿宋_GB2312" w:cs="仿宋_GB2312" w:eastAsia="仿宋_GB2312"/>
                <w:sz w:val="24"/>
                <w:color w:val="000000"/>
              </w:rPr>
              <w:t>沙牌水库</w:t>
            </w:r>
            <w:r>
              <w:rPr>
                <w:rFonts w:ascii="仿宋_GB2312" w:hAnsi="仿宋_GB2312" w:cs="仿宋_GB2312" w:eastAsia="仿宋_GB2312"/>
                <w:sz w:val="24"/>
                <w:color w:val="000000"/>
              </w:rPr>
              <w:t>由电站水库转变为水利水库可行性论证报告并</w:t>
            </w:r>
            <w:r>
              <w:rPr>
                <w:rFonts w:ascii="仿宋_GB2312" w:hAnsi="仿宋_GB2312" w:cs="仿宋_GB2312" w:eastAsia="仿宋_GB2312"/>
                <w:sz w:val="24"/>
                <w:color w:val="000000"/>
              </w:rPr>
              <w:t>报主管部门备案</w:t>
            </w:r>
            <w:r>
              <w:rPr>
                <w:rFonts w:ascii="仿宋_GB2312" w:hAnsi="仿宋_GB2312" w:cs="仿宋_GB2312" w:eastAsia="仿宋_GB2312"/>
                <w:sz w:val="24"/>
                <w:color w:val="000000"/>
              </w:rPr>
              <w:t>；论证报告内容需含转型的政策符合性与必要性、水库特征参数复核（水文、库容曲线、淤沙等）与等级重新认定、工程安全与功能可持续性分析、管理机构设置与长效运维经费保障方案比选、经济效益与社会效益综合评估、风险分析与对策、功能定位、实施方案建议、结论与建议等章节等，可行性论证报告的编制过程和成果必须符合水利及其他部委颁布的现行标准，成果须通过审批部门审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采购人指定地点（汶川县内）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本项目采购人将严格按照《财政部关于进一步加强政府采购需求和履约验收管理的指导意见》(财库〔2016〕205号)的要求、采购文件技术、服务要求、商务要求、成交供应商的响应文件及承诺与合同约定进行验收.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1、签订合同后，达到付款条件起15日内，支付合同总金额的30.00%</w:t>
            </w:r>
          </w:p>
          <w:p>
            <w:pPr>
              <w:pStyle w:val="null3"/>
              <w:jc w:val="left"/>
            </w:pPr>
            <w:r>
              <w:rPr>
                <w:rFonts w:ascii="仿宋_GB2312" w:hAnsi="仿宋_GB2312" w:cs="仿宋_GB2312" w:eastAsia="仿宋_GB2312"/>
              </w:rPr>
              <w:t>2、完成水库大坝安全鉴定报告并通过审查后，达到付款条件起15日内，支付合同总金额的40.00%</w:t>
            </w:r>
          </w:p>
          <w:p>
            <w:pPr>
              <w:pStyle w:val="null3"/>
              <w:jc w:val="left"/>
            </w:pPr>
            <w:r>
              <w:rPr>
                <w:rFonts w:ascii="仿宋_GB2312" w:hAnsi="仿宋_GB2312" w:cs="仿宋_GB2312" w:eastAsia="仿宋_GB2312"/>
              </w:rPr>
              <w:t>3、完成水库类别转型可行性论证报告并通过审查后，达到付款条件起15日内，支付合同总金额的20.00%</w:t>
            </w:r>
          </w:p>
          <w:p>
            <w:pPr>
              <w:pStyle w:val="null3"/>
              <w:jc w:val="left"/>
            </w:pPr>
            <w:r>
              <w:rPr>
                <w:rFonts w:ascii="仿宋_GB2312" w:hAnsi="仿宋_GB2312" w:cs="仿宋_GB2312" w:eastAsia="仿宋_GB2312"/>
              </w:rPr>
              <w:t>4、完成所有报告并通过审查后，达到付款条件起15日内，支付合同总金额的10.00%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如出现争议，双方可协商解决。若协商解决不成，则可通过向项目所在地法院提起诉讼的方式解决。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1、为保障项目顺利实施，供应商应结合本项目采购需求提供针对本项目的实施方案、配备相关专业人员，且具有类似项目履约经验。 2、本项目涉及法律法规、国家标准、企业资质、人员执业资格等描述与国家最新要求不一致时以最新要求为准。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根据磋商情况现场调整。</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根据采购人后续需求进行合同内容变动。</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①经审计的财务报告（包含审计报告和审计报告中所涉及的财务报表和报表附注）或者银行出具的资信证明。②未经审计的提供财务报告（包括资产负债表、利润表、现金流量表、所有者权益变动表及其附注）。③供应商注册时间截至响应文件提交截止之日前不足一年的，也可提供在相关主管部门备案的公司章程等证明材料。④供应商也可提供承诺函（以上4点满足一点即可），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具备行政主管部门颁发的工程设计水利行业甲级及以上资质和工程勘察专业类（岩土工程）乙级及以上资质。</w:t>
            </w:r>
          </w:p>
        </w:tc>
        <w:tc>
          <w:tcPr>
            <w:tcW w:type="dxa" w:w="3322"/>
          </w:tcPr>
          <w:p>
            <w:pPr>
              <w:pStyle w:val="null3"/>
              <w:jc w:val="left"/>
            </w:pPr>
            <w:r>
              <w:rPr>
                <w:rFonts w:ascii="仿宋_GB2312" w:hAnsi="仿宋_GB2312" w:cs="仿宋_GB2312" w:eastAsia="仿宋_GB2312"/>
              </w:rPr>
              <w:t>具备行政主管部门颁发的工程设计水利行业甲级及以上资质和工程勘察专业类（岩土工程）乙级及以上资质，提供证书扫描件</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实质性要求承诺函(1).docx,投标（响应）函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技术、服务及商务要求应答</w:t>
            </w:r>
          </w:p>
        </w:tc>
        <w:tc>
          <w:tcPr>
            <w:tcW w:type="dxa" w:w="3322"/>
          </w:tcPr>
          <w:p>
            <w:pPr>
              <w:pStyle w:val="null3"/>
              <w:jc w:val="left"/>
            </w:pPr>
            <w:r>
              <w:rPr>
                <w:rFonts w:ascii="仿宋_GB2312" w:hAnsi="仿宋_GB2312" w:cs="仿宋_GB2312" w:eastAsia="仿宋_GB2312"/>
              </w:rPr>
              <w:t>供应商应如实响应磋商文件规定的技术、服务及商务要求</w:t>
            </w:r>
          </w:p>
        </w:tc>
        <w:tc>
          <w:tcPr>
            <w:tcW w:type="dxa" w:w="1661"/>
          </w:tcPr>
          <w:p>
            <w:pPr>
              <w:pStyle w:val="null3"/>
              <w:jc w:val="left"/>
            </w:pPr>
            <w:r>
              <w:rPr>
                <w:rFonts w:ascii="仿宋_GB2312" w:hAnsi="仿宋_GB2312" w:cs="仿宋_GB2312" w:eastAsia="仿宋_GB2312"/>
              </w:rPr>
              <w:t>技术、服务要求应答表.docx,商务要求应答表.docx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整体服务方案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供应商拟为本项目配备的服务人员</w:t>
            </w:r>
          </w:p>
        </w:tc>
        <w:tc>
          <w:tcPr>
            <w:tcW w:type="dxa" w:w="2575"/>
          </w:tcPr>
          <w:p>
            <w:pPr>
              <w:pStyle w:val="null3"/>
              <w:jc w:val="left"/>
            </w:pPr>
            <w:r>
              <w:rPr>
                <w:rFonts w:ascii="仿宋_GB2312" w:hAnsi="仿宋_GB2312" w:cs="仿宋_GB2312" w:eastAsia="仿宋_GB2312"/>
              </w:rPr>
              <w:t>1、项目负责人（1人）：具有水利类专业中级技术职称得1分；具有水利类专业高级及以上技术职称得2分；具有注册土木工程师(水利水电工程）水工结构专业证书得4分，本项最多得6分。 2、技术负责人（1人）：具有水利类专业中级技术职称得1分；具有水利类专业高级及以上技术职称得2分；具有注册土木工程师 (水利水电工程) 水工结构专业证书得4分，本项最多得6分。 3、水工专业负责人（1人）：具有水利类专业中级技术职称得1分，具有水利类专业高级及以上技术职称得2分；具有注册土木工程师（水利水电工程）水工结构专业证书得2分；本项最高得4分。 4、水文专业负责人（1人）：具有水文类专业中级技术职称得1分，具有水文类专业高级及以上技术职称得2分；具有注册土木工程师(水利水电工程）工程规划专业证书得2分；本项最高得4分。 5、勘察专业负责人（1人）：具有水利类专业中级技术职称得2分，具有水利类专业高级及以上技术职称得4分，本项最高得4分； 6、测量专业负责人（1人）：具水利类专业中级技术职称得1分；具有水利类专业高级及以上技术职称得2分；具有注册测绘师证书得2分；本项最多得4分。 注：1、本项人员不重复计分。2、以上人员需提供相关证书扫描件和人员为供应商本单位人员的在职证明材料并加盖供应商电子章，如为退休人员须提供返聘合同。（在职证明材料是指社保证明材料或劳务合同或注册在本单位的建筑市场监管公共服务平台截图）。3、如职称证书无法体现专业的，使用毕业证书等证明材料予以体现专业。</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整体服务方案</w:t>
            </w:r>
          </w:p>
        </w:tc>
        <w:tc>
          <w:tcPr>
            <w:tcW w:type="dxa" w:w="2575"/>
          </w:tcPr>
          <w:p>
            <w:pPr>
              <w:pStyle w:val="null3"/>
              <w:jc w:val="left"/>
            </w:pPr>
            <w:r>
              <w:rPr>
                <w:rFonts w:ascii="仿宋_GB2312" w:hAnsi="仿宋_GB2312" w:cs="仿宋_GB2312" w:eastAsia="仿宋_GB2312"/>
              </w:rPr>
              <w:t>根据供应商提供的针对本项目的整体服务方案进行评审，包含以下内容：①项目认识与分析②项目进度计划及保障措施③安全鉴定技术方案④管理范围线划定技术方案⑤水库类别转型可行性论证技术方案⑥安全保证体系与措施⑦质量保证体系与措施。完全满足项目需求的得35分；每缺少一项扣5分，每项有一处存在缺陷扣2.5分，扣完为止。注： 以上缺陷是指存在项目名称错误、地点区域错误、内容与本项目需求无关、方案内容矛盾或表述前后不一致、仅有框架或标题、适用的标准（方法）错误、明显复制其他项目内容等任意一种情形。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后期服务方案</w:t>
            </w:r>
          </w:p>
        </w:tc>
        <w:tc>
          <w:tcPr>
            <w:tcW w:type="dxa" w:w="2575"/>
          </w:tcPr>
          <w:p>
            <w:pPr>
              <w:pStyle w:val="null3"/>
              <w:jc w:val="left"/>
            </w:pPr>
            <w:r>
              <w:rPr>
                <w:rFonts w:ascii="仿宋_GB2312" w:hAnsi="仿宋_GB2312" w:cs="仿宋_GB2312" w:eastAsia="仿宋_GB2312"/>
              </w:rPr>
              <w:t>根据供应商提供的针对本项目的后续服务方案，包含以下内容：①现场服务支持能力；②后续人员技术力量；③服务响应时间；④保障措施及服务承诺。完全满足项目需求的得12分；每缺少一项扣3分，每项有一处存在缺陷扣1.5分，扣完为止。注： 以上缺陷是指存在项目名称错误、地点区域错误、内容与本项目需求无关、方案内容矛盾或表述前后不一致、仅有框架或标题、适用的标准（方法）错误、明显复制其他项目内容等任意一种情形。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类似履约案例</w:t>
            </w:r>
          </w:p>
        </w:tc>
        <w:tc>
          <w:tcPr>
            <w:tcW w:type="dxa" w:w="2575"/>
          </w:tcPr>
          <w:p>
            <w:pPr>
              <w:pStyle w:val="null3"/>
              <w:jc w:val="left"/>
            </w:pPr>
            <w:r>
              <w:rPr>
                <w:rFonts w:ascii="仿宋_GB2312" w:hAnsi="仿宋_GB2312" w:cs="仿宋_GB2312" w:eastAsia="仿宋_GB2312"/>
              </w:rPr>
              <w:t>根据供应商提供的2023年1月1日以来的类似项目业绩，每具有1个得5分，本项最高得15分。 注：提供合同扫描件加盖供应商鲜章，不提供不得分。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注：小微企业享受10%的价格扣除，用扣除后的价格参与评审。</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详见附件：实质性要求承诺函(1).docx</w:t>
      </w:r>
    </w:p>
    <w:p>
      <w:pPr>
        <w:pStyle w:val="null3"/>
        <w:ind w:firstLine="960"/>
        <w:jc w:val="left"/>
      </w:pPr>
      <w:r>
        <w:rPr>
          <w:rFonts w:ascii="仿宋_GB2312" w:hAnsi="仿宋_GB2312" w:cs="仿宋_GB2312" w:eastAsia="仿宋_GB2312"/>
        </w:rPr>
        <w:t>详见附件：人员配置.docx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