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68AF7">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第三章 技术、服务及其他要求</w:t>
      </w:r>
    </w:p>
    <w:p w14:paraId="21242ED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4188895E">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5EB7E8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1B6CB8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400,000.00</w:t>
      </w:r>
    </w:p>
    <w:p w14:paraId="5210958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400,000.00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38152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62CD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3AAC68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5BAE46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119D8B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4CB618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6005A59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6655A7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2BD1F2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012FD7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5DA78D3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1874A3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1AB92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CD0E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792FD2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C99000000 其他服务</w:t>
            </w:r>
          </w:p>
        </w:tc>
        <w:tc>
          <w:tcPr>
            <w:tcW w:w="821" w:type="dxa"/>
          </w:tcPr>
          <w:p w14:paraId="76B55D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乐山市公安局交通管理支队直属五大队道路交通技术信息化运维服务</w:t>
            </w:r>
          </w:p>
        </w:tc>
        <w:tc>
          <w:tcPr>
            <w:tcW w:w="821" w:type="dxa"/>
          </w:tcPr>
          <w:p w14:paraId="5048F9B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821" w:type="dxa"/>
          </w:tcPr>
          <w:p w14:paraId="4C33EF7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400,000.00</w:t>
            </w:r>
          </w:p>
        </w:tc>
        <w:tc>
          <w:tcPr>
            <w:tcW w:w="821" w:type="dxa"/>
          </w:tcPr>
          <w:p w14:paraId="6CF99D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软件和信息技术服务业</w:t>
            </w:r>
          </w:p>
        </w:tc>
        <w:tc>
          <w:tcPr>
            <w:tcW w:w="821" w:type="dxa"/>
          </w:tcPr>
          <w:p w14:paraId="4E4B1C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7B768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DC162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C1B15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C6CF0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3A21E0A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是否适用本国产品标准：</w:t>
      </w:r>
    </w:p>
    <w:p w14:paraId="59F289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采购包1：否</w:t>
      </w:r>
    </w:p>
    <w:p w14:paraId="66B4D67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0D247B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2859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DD39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38D15F5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6D8CB5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3E2A1AB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307B14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4C79A8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03E4F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E3AC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0CFA79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乐山市公安局交通管理支队直属五大队道路交通技术信息化运维服务</w:t>
            </w:r>
          </w:p>
        </w:tc>
        <w:tc>
          <w:tcPr>
            <w:tcW w:w="1138" w:type="dxa"/>
          </w:tcPr>
          <w:p w14:paraId="243765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1365" w:type="dxa"/>
          </w:tcPr>
          <w:p w14:paraId="572800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400,000.00</w:t>
            </w:r>
          </w:p>
        </w:tc>
        <w:tc>
          <w:tcPr>
            <w:tcW w:w="1138" w:type="dxa"/>
          </w:tcPr>
          <w:p w14:paraId="484D17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77684A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本表报价是成交供应商全部完成本项目所有的服务内容的全部工作、服务内容的综合最终报价，包括供应商履约过程中的人工、机具、配件、材料、差旅、保险、维护、税金、验收、资金利息、合理利润、技术支持及维护及与供应商履约本项目所需要的其他所有费用。采购人在项目结算时不再向中标人支付其他任何费用。如出现在响应报价估算错误等引起的损失由供应商自行承担。</w:t>
            </w:r>
          </w:p>
        </w:tc>
      </w:tr>
    </w:tbl>
    <w:p w14:paraId="3EAF0DD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★注：本采购包涉及采购货物的，供应商响应产品应当明确品牌和规格型号并指向唯一产品，不能指向唯一产品的，应通过报价表唯一产品说明栏补充说明。</w:t>
      </w:r>
    </w:p>
    <w:p w14:paraId="24045E3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5AAECB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E67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553B7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655C91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6E661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259FE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0515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DF6E2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BA1A39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19BEB56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7D9159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2C6B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8FF4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351F6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DD5BA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51178B8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6F5B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8AEC7A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34E5EB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★注：不涉及采购进口产品时，供应商不得提供进口产品进行响应；涉及采购进口产品时，如国产产品满足采购需求，也可提供国产产品进行响应。</w:t>
      </w:r>
    </w:p>
    <w:p w14:paraId="5902D2B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251BD91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445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91FE4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06FC98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AA8AA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751E8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987A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1F20C3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3FA521B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4152E37">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588374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6A84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454A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1C97F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DD12E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1CD8A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0686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A7315B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37EE9F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6C104EF">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31DE83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386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C732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03E64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9E5DD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B1A70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FB43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4BEB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8273C6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3F22A76">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66A15A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770E8B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标的名称：乐山市公安局交通管理支队直属五大队道路交通技术信息化运维服务</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4"/>
        <w:gridCol w:w="415"/>
        <w:gridCol w:w="415"/>
        <w:gridCol w:w="7278"/>
      </w:tblGrid>
      <w:tr w14:paraId="67005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45C1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D4590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9481A3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E064E0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1E26C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EB9E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1524C0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7DBB9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服务内容</w:t>
            </w:r>
          </w:p>
        </w:tc>
        <w:tc>
          <w:tcPr>
            <w:tcW w:w="5814" w:type="dxa"/>
          </w:tcPr>
          <w:p w14:paraId="59924422">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（1）对设备提供维保期内的设备硬件保修服务，包括对设备的维修或提供设备的备品备件并进行安装调试服务。</w:t>
            </w:r>
          </w:p>
          <w:p w14:paraId="25DD92E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（2）派遣技术人员进行值班服务，及时排除系统故障，保障整个系统的正常运行。</w:t>
            </w:r>
          </w:p>
          <w:p w14:paraId="78032AAA">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（3）对整个系统进行定期巡检服务，及时发现设备的损坏或系统的功能异常。</w:t>
            </w:r>
          </w:p>
          <w:p w14:paraId="436FE7AC">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（4）对整个系统所有设备进行必要的定期保养服务。</w:t>
            </w:r>
          </w:p>
          <w:p w14:paraId="0D11757D">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（5）负责中心应用平台软件的功能维护及软件版本升级，按照用户要求提供或者接收相关数据接口和数据。</w:t>
            </w:r>
          </w:p>
          <w:p w14:paraId="564350EA">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（6）对用户方的重大事件和重大活动进行技术支持和现场保障服务。</w:t>
            </w:r>
          </w:p>
          <w:p w14:paraId="14BA92D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（7）对室外设备进行巡检并承担由于非正常因素（包括但不限于雷击、不明车辆撞击）引起的设备损坏、偷盗风险。</w:t>
            </w:r>
          </w:p>
          <w:p w14:paraId="499620C8">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（8）完成直属五大队交办的其他与系统运行相关的事项。</w:t>
            </w:r>
          </w:p>
        </w:tc>
      </w:tr>
      <w:tr w14:paraId="3E6F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E2BA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1436688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9C7678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服务要求</w:t>
            </w:r>
          </w:p>
        </w:tc>
        <w:tc>
          <w:tcPr>
            <w:tcW w:w="5814" w:type="dxa"/>
          </w:tcPr>
          <w:p w14:paraId="09F57EA7">
            <w:pPr>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（1）人员配置要求</w:t>
            </w:r>
          </w:p>
          <w:p w14:paraId="35795673">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服务人员:成交供应商至少派驻2名常驻服务人员到采购人指定地点维护，遵守采购人所提出的服务标准和管理要求，听从指挥，服从任务安排，及时有效的解决各种故障，按要求认真详实填报有关维护资料。若服务人员暂无法到现场驻点维护时,成交供应商向采购人提交书面请假申请,并征得同意。请假申请中应明确暂时替代原服务人员进行维护服务工作的替补人员，替补人员应与原服务人员做好工作交接，确保工作连贯性。若成交供应商未经采购人同意随意指派替代人员的，按缺勤处理，采购人有权根据合同约定追究其违约责任。</w:t>
            </w:r>
          </w:p>
          <w:p w14:paraId="52D46645">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②成交供应商根据项目实际需求制定岗位分工，人员素质须满足项目要求。除从事正常的维护工作外，还须接受采购人的指挥调度，承担临时性的其他技术任务以及各类维稳安保工作的现场保障及技术支持。</w:t>
            </w:r>
          </w:p>
          <w:p w14:paraId="361414E8">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③在维护服务期间，维护人员必须认真、负责、及时，精神饱满且服务态度友好，能积极主动为采购人着想。严格遵守采购人的各项管理规章制度、规定和要求，服从采购人的工作岗位安排。</w:t>
            </w:r>
          </w:p>
          <w:p w14:paraId="4190E3D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④服务人员必须服从采购人的工作安排和管理，做到24 小时备勤及电话保障。</w:t>
            </w:r>
          </w:p>
          <w:p w14:paraId="02AA056F">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⑤成交供应商与派驻现场的项目负责人签订劳动合同，并负责所指派的项目负责人和服务人员的工资、奖金、福利待遇及其他一切费用，成交供应商为其项目负责人和服务人员购买社会保险，并对员工做好安全教育，如项目负责人和服务人员发生任何意外伤害事故，成交供应商自行承担一切责任。</w:t>
            </w:r>
          </w:p>
          <w:p w14:paraId="5EC266D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b/>
                <w:sz w:val="24"/>
                <w:lang w:val="en-US" w:eastAsia="zh-Hans"/>
              </w:rPr>
              <w:t>（2）运维要求</w:t>
            </w:r>
          </w:p>
          <w:p w14:paraId="3D7142B6">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所有服务的系统、传输链路、存储、前端点位以及因承建单位的设备原因造成的故障，如为紧急情况，则必须在24小时内恢复。</w:t>
            </w:r>
          </w:p>
          <w:p w14:paraId="0C8619CE">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①监控点位人工运维，30分钟内响应故障，及时到场处理故障。</w:t>
            </w:r>
          </w:p>
          <w:p w14:paraId="0E022C59">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②系统平台，软件要求在24小时内恢复（自然因素，市政因素除外，需交警认可）。</w:t>
            </w:r>
          </w:p>
          <w:p w14:paraId="2C797D0C">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③系统平台硬件损坏，及时报修原厂进行修理，修理费用由交警部门支付。</w:t>
            </w:r>
          </w:p>
          <w:p w14:paraId="54F5D715">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④平台设备维修好后8小时进行设备更换</w:t>
            </w:r>
          </w:p>
          <w:p w14:paraId="3F48540E">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⑤若传输链路、引入出现故障，要求在24小时内恢复</w:t>
            </w:r>
          </w:p>
          <w:p w14:paraId="602C10DA">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⑥设备损坏维修和更换好后，要求在24小时内恢复。</w:t>
            </w:r>
          </w:p>
          <w:p w14:paraId="690332D0">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（3）硬件部分要求</w:t>
            </w:r>
          </w:p>
          <w:p w14:paraId="030E9E19">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道路技术监控设备前端硬件设备</w:t>
            </w:r>
          </w:p>
          <w:p w14:paraId="63768205">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①保障道路技术监控系统所有前端设备每月平均正常运行率达90%及以上。</w:t>
            </w:r>
          </w:p>
          <w:p w14:paraId="29F845E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②出现故障后保证30分钟内响应，硬件故障24小时内修复并恢复工作。</w:t>
            </w:r>
          </w:p>
          <w:p w14:paraId="4C16D27A">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③每日远程检查设备运行状态至少1次；每季度对所有前端设备进行清洁除尘、例行保养至少1次，包括紧固、防水、防锈、除锈等；每年对所有前端设备进行防雷、电路、结构检查至少1次。</w:t>
            </w:r>
          </w:p>
          <w:p w14:paraId="49F8447D">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④故障接报、巡检、维护应做好详细记录并送直属五大队签字认可、存档。</w:t>
            </w:r>
          </w:p>
          <w:p w14:paraId="63CA1E6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后台硬件设备</w:t>
            </w:r>
          </w:p>
          <w:p w14:paraId="11DC4145">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①出现故障后30分钟保证内响应，24小时内修复；</w:t>
            </w:r>
          </w:p>
          <w:p w14:paraId="0086F537">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②每月检查后台设备运行状态至少1次；每季度对所有后台设备进行例行保养至少1次，包括电源、清洁度、线路等；</w:t>
            </w:r>
          </w:p>
          <w:p w14:paraId="127E5218">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③故障接报、巡检、维护应做好详细记录并送直属五大队签字认可、存档。</w:t>
            </w:r>
          </w:p>
          <w:p w14:paraId="7A70B0A9">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地下管网等隐蔽工程</w:t>
            </w:r>
          </w:p>
          <w:p w14:paraId="2C356552">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①保障所有地下管道、线缆、感应线圈及井盖等隐蔽工程正常使用，当线缆、线圈等出现故障后30分钟内响应，24小时内修复（办理施工占道手续时间除外）；</w:t>
            </w:r>
          </w:p>
          <w:p w14:paraId="5E15D79A">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②每季度对管道、线缆巡检至少1次，发现隐患，及时排除；</w:t>
            </w:r>
          </w:p>
          <w:p w14:paraId="250D2DB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③故障接报、巡检、维护应做好详细记录并送直属五大队签字认可、存档。</w:t>
            </w:r>
          </w:p>
          <w:p w14:paraId="69956278">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（4）软件部分要求</w:t>
            </w:r>
          </w:p>
          <w:p w14:paraId="2D13D3A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①出现故障30分钟内响应，24小时内恢复，疑难故障恢复时间另行商定；</w:t>
            </w:r>
          </w:p>
          <w:p w14:paraId="3A18BA2B">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②每季度检查所有软件系统运行状况至少1次；</w:t>
            </w:r>
          </w:p>
          <w:p w14:paraId="0D4F3DEB">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③按直属五大队要求及时安装、配置和免费升级系统软件；</w:t>
            </w:r>
          </w:p>
          <w:p w14:paraId="6DEF32A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④按直属五大队要求及时设置、调整、修改和完善相关应用软件，并对此系统的相关周边业务或系统提供技术支持；</w:t>
            </w:r>
          </w:p>
          <w:p w14:paraId="562DF5D5">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⑤提供并实时更新软件的安装文档、维护文档、管理档案和参数配置文件；</w:t>
            </w:r>
          </w:p>
          <w:p w14:paraId="157FA511">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⑥定期对应用软件安全检测，修复安全漏洞；</w:t>
            </w:r>
          </w:p>
          <w:p w14:paraId="5D82F4B7">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⑦故障接报、巡检、维修、备份应做好详细记录送直属五大队签字认可；</w:t>
            </w:r>
          </w:p>
          <w:p w14:paraId="556F2857">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⑧配合直属五大队完成前端设备技术修改（IP地址修改、技术参数调整等）、数据向集成平台接入工作。</w:t>
            </w:r>
          </w:p>
          <w:p w14:paraId="0D0ABA6C">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（5）数据维护要求</w:t>
            </w:r>
          </w:p>
          <w:p w14:paraId="345CE70E">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①每日检查前端数据采集、数据质量状态；</w:t>
            </w:r>
          </w:p>
          <w:p w14:paraId="1A0B2235">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②制定备份策略，提供系统数据库的数据备份与恢复服务，充分保障数据的安全性，每季度备份数据库及相关数据不得少于一次；</w:t>
            </w:r>
          </w:p>
          <w:p w14:paraId="351AF6B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③出现重大故障需要进行数据恢复时，30分钟内响应用户需求，24小时内完成数据恢复。</w:t>
            </w:r>
          </w:p>
          <w:p w14:paraId="3F72270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（6）工作要求</w:t>
            </w:r>
          </w:p>
          <w:p w14:paraId="46EE98C3">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①遵守国家和公安行业管理的相关法规和标准规范</w:t>
            </w:r>
          </w:p>
          <w:p w14:paraId="13CCB931">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1、必须签署保密协议，严守公安工作秘密，对知悉的事项及信息予以保密。</w:t>
            </w:r>
          </w:p>
          <w:p w14:paraId="3B855D05">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2、所有资料、技术文档应妥善保管，不得遗失、转借、复印，不得以任何形式向第三方透露。</w:t>
            </w:r>
          </w:p>
          <w:p w14:paraId="54D98882">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3、如因工作泄露相关信息的，服务方承担全部法律责任。</w:t>
            </w:r>
          </w:p>
          <w:p w14:paraId="77A89E2A">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②根据维保要求和工作内容，制定相关工作和岗位制度</w:t>
            </w:r>
          </w:p>
          <w:p w14:paraId="1AFDADE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1、制定维保工作实施方案、工作规范、岗位责任制度等，规范管理。</w:t>
            </w:r>
          </w:p>
          <w:p w14:paraId="2E8B40DB">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2、建立全天候现场值班和响应制度，快速跟进，高效服务。</w:t>
            </w:r>
          </w:p>
          <w:p w14:paraId="2069FA3C">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3、建立年度规划与总结工作制度，统筹规划，稳步推进。</w:t>
            </w:r>
          </w:p>
          <w:p w14:paraId="2146A9D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4、因违反工作规范和管理制度，造成未按要求完成维修维护工作内容、造成人员伤害和设备损坏的，应由服务方承担全部责任和由此带来的全部损失。</w:t>
            </w:r>
          </w:p>
          <w:p w14:paraId="035D7582">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③维保方建立稳定的专职队伍，提供充分的技术人员保障</w:t>
            </w:r>
          </w:p>
          <w:p w14:paraId="730F7BB9">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维护队伍应确定1名技术人员为项目技术负责人，全面执行各项工作部署，严格落实各项工作责任制，负责人员培训；要求具有道路交通控制信号系统和闯红灯抓拍系统运维实际工作经验，熟悉公安交通集成指挥平台架构、软硬件环境、网络传输、业务功能应用。</w:t>
            </w:r>
          </w:p>
          <w:p w14:paraId="222D14F9">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配备巡检、驻场技术人员2人，负责对所有软件进行设置、调整、修改、升级等；对前端数据采集、备份、恢复等；对前端、后台设备巡检、清洁、维护等；责对线路、管道、井盖等隐蔽工程巡检及排除故障等；该项目巡检、驻场技术人员要求具有电工证或者高空作业证，要求具有扎实的专业技能和较强的实际操作能，重大节活动及节假日视频监控保障工作。</w:t>
            </w:r>
          </w:p>
          <w:p w14:paraId="50D7EBDE">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④建立专业培训机制</w:t>
            </w:r>
          </w:p>
          <w:p w14:paraId="7767AF4A">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定期对维护队伍进行专业技术培训，提升维护人员专业知识水平和实际操作技能。同时，必须结合公安机关要求和项目实际需要，加强对运维护人员的服务、责任、保密意识教育，提高队伍的整体素质和综合能力。</w:t>
            </w:r>
          </w:p>
          <w:p w14:paraId="79B9B3F8">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2、定期组织相关人员进行专业知识学习，提高相关人员的业务水平。</w:t>
            </w:r>
          </w:p>
          <w:p w14:paraId="5EFCDCF8">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⑤因服务方工作措施不到位造成以下后果的，服务方承担全部责任</w:t>
            </w:r>
          </w:p>
          <w:p w14:paraId="63ECBA78">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1、设备巡检不仔细或误操作导致设备无法正常运行影响采购人工作开展；</w:t>
            </w:r>
          </w:p>
          <w:p w14:paraId="26C0679C">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2、发现故障故意隐瞒不及时修复，影响采购人工作开展；</w:t>
            </w:r>
          </w:p>
          <w:p w14:paraId="3E0892F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3、前端设施设备巡查不到位引发火灾、漏电等灾害事故；</w:t>
            </w:r>
          </w:p>
          <w:p w14:paraId="408B297B">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4、外场井盖、悬挂高空设备、电源线路等破损未及时发现并修复，造成人员伤亡、财产损失的；</w:t>
            </w:r>
          </w:p>
          <w:p w14:paraId="4683CC9B">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5、服务方未经直属五大队批准，擅自进行与维护内容相关活动。</w:t>
            </w:r>
          </w:p>
          <w:p w14:paraId="76653B5F">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6、维护人员擅自处理接触到电子警察、违法信息或泄露公安网内相关信息的，直属五大队有权视情节将追究公司和个人法律责任。</w:t>
            </w:r>
          </w:p>
          <w:p w14:paraId="4196F13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（7）其它要求</w:t>
            </w:r>
          </w:p>
          <w:p w14:paraId="5AABC1D9">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①每年不少于两次对系统设施设备的使用、维护和管理进行专项调研，根据调研结果结合系统运行情况，分别提出设备增加、产品更新、系统升级、技术改造和维护建议等完善系统管理维护的研究报告。</w:t>
            </w:r>
          </w:p>
          <w:p w14:paraId="499376C2">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②涉及需公安、交通、市政等部门办理施工审批手续的工程，由直属五大队负责协调办理相关手续，如产生费用由服务方承担。</w:t>
            </w:r>
          </w:p>
          <w:p w14:paraId="7E493EE4">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③维护方需储备充足的备品备件，提供日常维护所需要的一切设备、备件、耗材（含线缆、电源适配器、空开、防雷器、交换机、光纤收发器等）。</w:t>
            </w:r>
          </w:p>
          <w:p w14:paraId="197A2393">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④节假日、大型活动期间必须留足值班人员，并制作相关工作制度和应急方案。</w:t>
            </w:r>
          </w:p>
          <w:p w14:paraId="3B1EDEF6">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⑤配合直属五大队做好各类突发事件和灾害事故等的应急保障。</w:t>
            </w:r>
          </w:p>
          <w:p w14:paraId="34791EA2">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⑥完成直属五大队交办的其他与系统相关的事项。</w:t>
            </w:r>
          </w:p>
          <w:p w14:paraId="5D41B11D">
            <w:pPr>
              <w:spacing w:after="120"/>
              <w:ind w:firstLine="48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⑦工作报告：服务方每月向直属五大队提交维护工作月报。</w:t>
            </w:r>
          </w:p>
          <w:p w14:paraId="28AE84ED">
            <w:pPr>
              <w:spacing w:before="240" w:after="60"/>
              <w:ind w:left="240" w:firstLine="240"/>
              <w:jc w:val="both"/>
              <w:rPr>
                <w:rFonts w:hint="eastAsia" w:ascii="Calibri" w:hAnsi="Calibri" w:eastAsia="宋体" w:cs="Times New Roman"/>
                <w:lang w:val="en-US" w:eastAsia="zh-Hans"/>
              </w:rPr>
            </w:pPr>
            <w:r>
              <w:rPr>
                <w:rFonts w:hint="eastAsia" w:ascii="仿宋_GB2312" w:hAnsi="仿宋_GB2312" w:eastAsia="仿宋_GB2312" w:cs="仿宋_GB2312"/>
                <w:b/>
                <w:color w:val="0D0D0D"/>
                <w:sz w:val="24"/>
                <w:lang w:val="en-US" w:eastAsia="zh-Hans"/>
              </w:rPr>
              <w:t>⑧维保取费标准：维保费根据2013年1月16日发布的中华人民共和国公共安全行业标准的《道路交通技术监控设备运行维护规范》GA/T1043-2013标准的附录D进行取费。</w:t>
            </w:r>
          </w:p>
          <w:p w14:paraId="4BA686F2">
            <w:pPr>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⑨交通技术监控设备年度检测鉴定，根据公安部《关于规范使用道路交通技术监控设备的通知》（公通字[2007]54号）和省公安厅《规范道路交通技术监控系统建设的指导意见》（川公发[2008]106号）的有关规定。对各类交通技术监控设备，必须经具有资质的检测机构，每年进行技术检测和鉴定，检测鉴定合格后方能投入使用。服务方要配合检测，检测费用由直属五大队承担。</w:t>
            </w:r>
          </w:p>
          <w:p w14:paraId="7300E9BE">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⑩若在维保过程中，不可抗力因素（如台风、地震、洪水、冰雹）造成设备损坏不在本次维保范围内，如需处理费用双方协商而定。</w:t>
            </w:r>
          </w:p>
        </w:tc>
      </w:tr>
      <w:tr w14:paraId="5AF40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730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5BAB75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45BB30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维保范围</w:t>
            </w:r>
          </w:p>
        </w:tc>
        <w:tc>
          <w:tcPr>
            <w:tcW w:w="5814" w:type="dxa"/>
          </w:tcPr>
          <w:p w14:paraId="2FC866B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个路口交通信号控制系统，共32个方向的32套设备（牌坊式方向指示信号灯40组、牌坊式倒计时显示器15组、牌坊式人行道红绿灯32组、方向指示信号灯22组、机动车信号灯1组、倒计时显示器13组、单位数倒计时器4组、人行灯+倒计时器6组、人行道红绿灯26组、红绿灯信号控制机9套等）。</w:t>
            </w:r>
          </w:p>
          <w:p w14:paraId="4440AB71">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（2）9个路口闯红灯抓拍系统，共29个方向的29套设备。</w:t>
            </w:r>
          </w:p>
          <w:p w14:paraId="4CB03251">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（3）2个路口卡口抓拍系统共5套设备。</w:t>
            </w:r>
          </w:p>
          <w:p w14:paraId="489D5741">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（4）39个路口违停抓拍系统共39套设备。</w:t>
            </w:r>
          </w:p>
          <w:p w14:paraId="672D13C1">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（5）4个路口不礼让行人抓拍系统共6套设备。</w:t>
            </w:r>
          </w:p>
          <w:p w14:paraId="7BE501DE">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（6）指挥中心大屏建设1套设备（42寸LED屏6台、解码器1台、平台1台等）。</w:t>
            </w:r>
          </w:p>
          <w:p w14:paraId="76A6231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注：所有设备的损坏，维修，包括更换设备，所产生的费用不超过1000元时由成交供应商支付，超过1000元时，由成交供应商与采购人协商解决。</w:t>
            </w:r>
          </w:p>
        </w:tc>
      </w:tr>
      <w:tr w14:paraId="023EB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D1DD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294071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A47F1A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点位清单</w:t>
            </w:r>
          </w:p>
        </w:tc>
        <w:tc>
          <w:tcPr>
            <w:tcW w:w="5814" w:type="dxa"/>
          </w:tcPr>
          <w:tbl>
            <w:tblPr>
              <w:tblStyle w:val="3"/>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0"/>
            </w:tblGrid>
            <w:tr w14:paraId="381DF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98" w:type="dxa"/>
                  <w:tcBorders>
                    <w:top w:val="nil"/>
                    <w:left w:val="nil"/>
                    <w:bottom w:val="nil"/>
                    <w:right w:val="nil"/>
                  </w:tcBorders>
                  <w:tcMar>
                    <w:top w:w="0" w:type="dxa"/>
                    <w:left w:w="105" w:type="dxa"/>
                    <w:bottom w:w="0" w:type="dxa"/>
                    <w:right w:w="105" w:type="dxa"/>
                  </w:tcMar>
                  <w:vAlign w:val="top"/>
                </w:tcPr>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17"/>
                    <w:gridCol w:w="433"/>
                    <w:gridCol w:w="151"/>
                    <w:gridCol w:w="705"/>
                    <w:gridCol w:w="360"/>
                    <w:gridCol w:w="314"/>
                    <w:gridCol w:w="573"/>
                    <w:gridCol w:w="117"/>
                    <w:gridCol w:w="2181"/>
                    <w:gridCol w:w="789"/>
                    <w:gridCol w:w="450"/>
                  </w:tblGrid>
                  <w:tr w14:paraId="1D199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20008937">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（1）交通信号控制具体点位表</w:t>
                        </w:r>
                      </w:p>
                    </w:tc>
                  </w:tr>
                  <w:tr w14:paraId="1D5EE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91798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5884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B360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F3A3C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现有设备</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3991F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72AB0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1F81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47EF1A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西南不锈钢十字路口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1C0728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牌坊式方向指示信号灯12组、牌坊式倒计时显示器4组、牌坊式人行道红绿灯8组、信号控制机1套等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8D04F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4052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184ADF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339D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48F360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碳钢材交叉路口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E59BA9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方向指示信号灯6组、倒计时显示器3组、人行道红绿灯6组、信号控制机1套等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E0810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CF60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50F52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835D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65ED9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陈大溪红绿灯十字路口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52BFE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牌坊式方向指示信号灯12组、牌坊式倒计时显示器4组、牌坊式人行道红绿灯8组、信号控制机1套等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2AC35F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A40C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618C09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4548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DEB31F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金广路红绿灯十字路口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A543E7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牌坊式方向指示信号灯12组、牌坊式倒计时显示器4组、牌坊式人行道红绿灯8组、信号控制机1套等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3FAF6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26498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391F4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990F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F43271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G348国道1794交叉路口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CC08EE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牌坊式方向指示信号灯4组、牌坊式倒计时显示器3组、牌坊式人行道红绿灯6组、信号控制机1套等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4FA4F5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4FAAA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2C21BC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C166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2F444D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阳光城红绿灯路口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0EE5B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方向指示信号灯8组、倒计时显示器3组、人行道红绿灯8组、信号控制机1套等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B773A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299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61A27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1905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A41FC7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G348国道1790交叉路口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1C0989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方向指示信号灯3组、倒计时显示器3组、人行道红绿灯6组、信号控制机1套等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63D1F5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92AA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28DCE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029E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E9FE0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乐山市沙湾区S430 线（丰都庙至嘉农镇）道路嘉农小学处</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8A72EF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方向指示信号灯4组、倒计时显示器4组、人行道红绿灯6组、信号控制机1套等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02AD08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华控</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A6F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332D2C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2A9D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21813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乐西高速沙湾平交道口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19021C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机动车信号灯3组、机动车方向指示信号灯1组、单位数倒计时器4组、人行灯+倒计时器6组、信号机1台等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E2F276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华控</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8C51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27716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29619B8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（2）电警具体点位表</w:t>
                        </w:r>
                      </w:p>
                    </w:tc>
                  </w:tr>
                  <w:tr w14:paraId="33613E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435D9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F56EE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00F74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B30A2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4BD0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15515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0E0C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FE05A0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西南不锈钢十字路口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89489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抓拍相机2台、补光灯6台、终端管理设备1台等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3295B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海康威视/iDS-2CD9131-S</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22F63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02B7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F1F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48257D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碳钢材交叉路口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2D7CA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抓拍相机4台、补光灯12台、终端管理设备1台等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C181BF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海康威视/iDS-2CD9131-S</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7C60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70B1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C3F9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5CE8C3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陈大溪红绿灯十字路口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9520B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抓拍相机2台、补光灯6台、终端管理设备1台等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3E1D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海康威视/iDS-2CD9131-S</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F577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48B3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0EF0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4B3D1F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金广路红绿灯十字路口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B33A53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抓拍相机3台、补光灯9台、终端管理设备1台等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DFFF8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海康威视/iDS-2CD9131-S</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C420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8C59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ED6B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ED071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G348国道1794交叉路口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60E946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抓拍相机3台、补光灯5台、终端管理设备1台等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B2EE7B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海康威视/iDS-TCE900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5725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83CC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61E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C38F87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阳光城红绿灯路口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BA36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抓拍相机4台、补光灯14台、终端管理设备1台等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24F2D3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浙江大华/ITC302-RF1A</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B408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EED6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5F4E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580A6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G348国道1790交叉路口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2C2D76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抓拍相机5台、补光灯8台、终端管理设备1台等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0B3B2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海康威视/iDS-TCE900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14FD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E5D5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FDB7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9D4476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乐山市沙湾区S430 线（丰都庙至嘉农镇）道路嘉农小学处</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8929D8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电警抓拍相机3台、补光灯7台、终端管理设备1台等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622C8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7D5D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3CF7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F816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08319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乐西高速沙湾平交道口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901886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900万电警摄像机3台、补光灯8台、红绿灯检测器1台、智能终端1台等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A70A7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DC927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8719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735DB300">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（3）卡口具体点位表</w:t>
                        </w:r>
                      </w:p>
                    </w:tc>
                  </w:tr>
                  <w:tr w14:paraId="6BAD9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77848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01774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8B2AB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32038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62ED7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7F7A1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9CE7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60746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乐山市沙湾区S430 线（丰都庙至嘉农镇）道路嘉农小学处</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3284B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反向卡口抓拍相机3台、爆闪灯7台等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FF42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916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56633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EDAF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47A4A2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乐西高速沙湾平交道口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2D42A6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反向卡口摄像机2台、四合一闪光灯6台等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BEEE50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2E78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6C9D48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720E5735">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（4）违停具体点位表</w:t>
                        </w:r>
                      </w:p>
                    </w:tc>
                  </w:tr>
                  <w:tr w14:paraId="10970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F37B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B4D3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F4155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4B6A6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12A31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5C8A9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E5B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E23E4D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福禄镇福兴街鲁桃甜皮鸭路口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CBDE9A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5C0FD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83C1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19E8A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036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DAE411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福禄镇福兴街百姓超市路口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9E46E2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C924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海康威视/iDS-2VS435-F832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28121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02D5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84FE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588D6A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福禄镇东阳街牛肉汤米粉路口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82BFC4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57A85F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海康威视/iDS-2VS435-F832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EB5D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747BD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69F9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030B2A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乐山市沙湾区S430 线（丰都庙至嘉农镇）道路嘉农小学处</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8C733F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CDC586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浙江大华、DH-SD-8A14BCDE-XYZ</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B881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44A60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D915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34F2B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金广路（公安局斜对面）</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D65B33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132355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4AB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7E46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753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08BDCB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沫若大道(特步外)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B4880E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7679A6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FD05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8BBE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E3C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1052B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韩王路与石龙路丁字路口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B05245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C31EE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73A5A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2E1E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765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A03039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韩王路石狮街十字路口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80CEC1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A7D2D5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4494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C5C1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191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1A2083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铜河路南段与韩王路丁字路口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07E6F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B144D6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2CD5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4F689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14C9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490116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德胜大道与铜河路南段（广电局外）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3FD673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12C811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AC4F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237A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5207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F4A050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铜河路南段德胜酒店（久久萝卜汤)</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375B46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04647E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74D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768E2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3BDB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D4D316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沫水街（木炭烤鱼）</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B8221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30153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9508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3D57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F601E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08EF4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文豪路与余溪街十字路口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8A3720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8DB1B1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4B71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FCA81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30BD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A1217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文豪路沙湾小学斜对面</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A1A42A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35473D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A0A9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94C5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39C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32C98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区政府</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89CD0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9DA428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C45C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531C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759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D7217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文豪路与文豹路十字路口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EC7BFC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06DCE2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791D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5033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622E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CA834A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德胜大道与沫水街丁字路口（农贸市场门口）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ED939D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4127B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5B98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D30B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B56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14D6C5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绥山路电信老办公楼外(限高架旁)</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6624C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72CDD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0DE5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1672B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12B7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56E352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彩虹二号桥路政外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9AF97F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D5F65A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5AA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85C0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9CAFD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20</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D07F3D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铜河路中段与劲松大道丁字路口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9B08E8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0B1F40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CC5D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38FB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3CD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1F456B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劲松大道与玉龙街十字路口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B5CB33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464C0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357ED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455A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109C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EA52BF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玉龙街政务中心外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718BB2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2F010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A59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4D75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7CC6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D9BBEC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龙跃路与福田路十字路口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A89B3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CDF34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252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8085A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7C1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66E505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玉龙街罗马假日十字路口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3D6F0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E31D0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BEF3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18467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CEA4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F9224A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铜河路北段与生态大道十字路口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9395F1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1D221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5E12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BDDD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96F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59FE4D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玉龙街阳光城丁字路口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BAD622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7AECC4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805A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5474A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F77D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9A8459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凤凰学校对面</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3F9924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354AC7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1A8F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73AA6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52F4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15BC3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沫若大道中段汽车站出站口对面</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554B0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467141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09F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4337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D20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EAE56B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沫若大道中段与劲松大道丁字路口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A2578F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5B8274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703F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7BED8A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DC4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30</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EC4B64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绥山幼儿园</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4C4E4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CE59D5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AA54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8FCD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E96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EE1C48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沫若大道与金广路十字路口(明康药店外)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97773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F34ABC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097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58991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903B6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D57B40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苏沙路嘉农镇顺康药店门市外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12CF09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5BC158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3C8C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33398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6EC3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21986D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德胜集团办公楼外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72AFA6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5C942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9D3E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AC0B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DBA2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5CBDCE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沫水鑫城三期外</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4A3404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4D6EA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9F870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5E5D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A357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014CE1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丰都庙</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53157D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E81E28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7D1E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7BA8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452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0B39F8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牛石镇五九零街违停1</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D6FA13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65A7A9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E6AD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1C799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B31F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17608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牛石镇五九零街违停2</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CC032E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CE21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7E9C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2D48E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C3EE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D64860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踏水镇天宫路49号违停</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B3CDD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D05B55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CCC0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53334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0C73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39</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3E096D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踏水镇</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AD0BAA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违停球机1台及网络设备等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646881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海康威视/(i)DS-2VS2ABCDE-F8XYZL</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1431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775AFE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1B4567A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（5）不礼让行人具体点位表</w:t>
                        </w:r>
                      </w:p>
                    </w:tc>
                  </w:tr>
                  <w:tr w14:paraId="22C8E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35F3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240A3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54F3F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CF0B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A434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74019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3F3A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AFACA0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348国道葫芦镇场口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0C5C81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抓拍相机2台、四合一闪光灯2台、LED频闪灯2台等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692C11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海康威视/iDS-TCV900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1076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68F6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381A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85B4BD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苏沙路嘉农镇王场村路口</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833D3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抓拍相机2台、四合一闪光灯4台</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C6278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海康威视/iDS-TCV900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B1DC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F3EF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994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756854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金广路154号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B58EAC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抓拍相机1台、四合一闪光灯1台、LED频闪灯1台等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421F9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110B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718B8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CBB4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69FB46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铜河路南段695号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2D457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抓拍相机1台、四合一闪光灯1台、LED频闪灯1台等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1AD0C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浙江大华/ITC902</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0861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A8A6F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3118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B99908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沫若大道中段171号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49442C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8118DF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iDS-TCV300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10B5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w:t>
                        </w:r>
                      </w:p>
                    </w:tc>
                  </w:tr>
                  <w:tr w14:paraId="7D3FD1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276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6E1B83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沫若大道中段532号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F36C83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FD211A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iDS-TCV300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A0EA0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w:t>
                        </w:r>
                      </w:p>
                    </w:tc>
                  </w:tr>
                  <w:tr w14:paraId="2F850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21F3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5B303F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嘉农镇嘉兴路440号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7CDB3D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1BA929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iDS-TCV300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B52F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w:t>
                        </w:r>
                      </w:p>
                    </w:tc>
                  </w:tr>
                  <w:tr w14:paraId="10A10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58CC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AC3ADA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嘉农镇苏沙路10号</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9301AC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C17C8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iDS-TCV300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44E3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w:t>
                        </w:r>
                      </w:p>
                    </w:tc>
                  </w:tr>
                  <w:tr w14:paraId="02BD3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513DBFD2">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（6）指挥中心设备清单</w:t>
                        </w:r>
                      </w:p>
                    </w:tc>
                  </w:tr>
                  <w:tr w14:paraId="357C4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8D7D9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069"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E7E3D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设备名称</w:t>
                        </w:r>
                      </w:p>
                    </w:tc>
                    <w:tc>
                      <w:tcPr>
                        <w:tcW w:w="2374"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0015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数量</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9EE84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CF668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6AEB0C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F24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9F93CE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42寸LED屏</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7106DA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6台</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64AA94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海信</w:t>
                        </w:r>
                      </w:p>
                    </w:tc>
                    <w:tc>
                      <w:tcPr>
                        <w:tcW w:w="5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F60809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含设备维保</w:t>
                        </w:r>
                      </w:p>
                    </w:tc>
                  </w:tr>
                  <w:tr w14:paraId="6C726D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CF5F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280756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解码器</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D25771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1台</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922F43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r>
                  <w:tr w14:paraId="056BC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E5C35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1069"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A1697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平台</w:t>
                        </w:r>
                      </w:p>
                    </w:tc>
                    <w:tc>
                      <w:tcPr>
                        <w:tcW w:w="237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27B7ED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1台</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19AD58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p>
                    </w:tc>
                  </w:tr>
                  <w:tr w14:paraId="3B830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79" w:type="dxa"/>
                        <w:gridSpan w:val="12"/>
                        <w:tcBorders>
                          <w:top w:val="nil"/>
                          <w:left w:val="nil"/>
                          <w:bottom w:val="nil"/>
                          <w:right w:val="nil"/>
                        </w:tcBorders>
                        <w:tcMar>
                          <w:top w:w="0" w:type="dxa"/>
                          <w:left w:w="105" w:type="dxa"/>
                          <w:bottom w:w="0" w:type="dxa"/>
                          <w:right w:w="105" w:type="dxa"/>
                        </w:tcMar>
                        <w:vAlign w:val="top"/>
                      </w:tcPr>
                      <w:p w14:paraId="5F2F705A">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（7）区间测速具体点位表</w:t>
                        </w:r>
                      </w:p>
                    </w:tc>
                  </w:tr>
                  <w:tr w14:paraId="37BF1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CBCFE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482" w:type="dxa"/>
                        <w:gridSpan w:val="6"/>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608E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1961"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A3462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99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25A8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5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E5C0D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5A8C0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D5390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656"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662E2E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二号桥-市中区-区间测速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C2C44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G348线1794KM+95M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734A75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678356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c>
                      <w:tcPr>
                        <w:tcW w:w="55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4162D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DE029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4012BFE7">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47C46568">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0C7FAA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G348线1789KM+300M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23FDBE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C2EE1B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r>
                  <w:tr w14:paraId="108BC8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2F773AC9">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4F5E8942">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39FDD6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G348线1784KM+500M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0818FC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FD850B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r>
                  <w:tr w14:paraId="18F7C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12CC9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656"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95E10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一号桥-二号桥-区间测速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2EFFF6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G348线1794KM+650M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8DFA0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312D45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c>
                      <w:tcPr>
                        <w:tcW w:w="5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510BA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0A854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18D6043B">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5EDA6368">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0786B1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G348线1799KM+750M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55BBE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EDA640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iDS-2CD9396-AS</w:t>
                        </w:r>
                      </w:p>
                    </w:tc>
                  </w:tr>
                  <w:tr w14:paraId="6FB0E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7134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656"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50B87D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轸溪-沙湾-区间测速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0C0E03A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G348线1806KM+700M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1675F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4319F6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c>
                      <w:tcPr>
                        <w:tcW w:w="5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E39F56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D11D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023787A3">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68D9E905">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8618B1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G348线1799KM+950M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23A25C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4BB18B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r>
                  <w:tr w14:paraId="07BAA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B0CB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656"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8F47C5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轸溪-龚嘴-区间测速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2E578CF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峨轸路38KM+500M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F6ADD2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69C05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c>
                      <w:tcPr>
                        <w:tcW w:w="5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2950C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29622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2013A206">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19EF6AC2">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87419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峨轸路</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B54AB5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5A7982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iDS-TCV300</w:t>
                        </w:r>
                      </w:p>
                    </w:tc>
                  </w:tr>
                  <w:tr w14:paraId="2B1C8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6F03218D">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3A15A703">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5D988E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峨轸路55KM+600M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2FDC8F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A8D55E9">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r>
                  <w:tr w14:paraId="189F6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2CE5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656" w:type="dxa"/>
                        <w:gridSpan w:val="2"/>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631B5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牛石-葫芦-区间测速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34CAF2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G348线1821KM+710M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237FF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038340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c>
                      <w:tcPr>
                        <w:tcW w:w="55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6D946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1797E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512" w:type="dxa"/>
                    </w:trPr>
                    <w:tc>
                      <w:tcPr>
                        <w:tcW w:w="389" w:type="dxa"/>
                        <w:vMerge w:val="continue"/>
                        <w:tcBorders>
                          <w:top w:val="nil"/>
                          <w:left w:val="single" w:color="000000" w:sz="4" w:space="0"/>
                          <w:bottom w:val="single" w:color="000000" w:sz="4" w:space="0"/>
                          <w:right w:val="single" w:color="000000" w:sz="4" w:space="0"/>
                        </w:tcBorders>
                      </w:tcPr>
                      <w:p w14:paraId="1794AC75">
                        <w:pPr>
                          <w:rPr>
                            <w:rFonts w:ascii="Calibri" w:hAnsi="Calibri" w:eastAsia="宋体" w:cs="Times New Roman"/>
                          </w:rPr>
                        </w:pPr>
                      </w:p>
                    </w:tc>
                    <w:tc>
                      <w:tcPr>
                        <w:tcW w:w="656" w:type="dxa"/>
                        <w:gridSpan w:val="2"/>
                        <w:vMerge w:val="continue"/>
                        <w:tcBorders>
                          <w:top w:val="nil"/>
                          <w:left w:val="nil"/>
                          <w:bottom w:val="single" w:color="000000" w:sz="4" w:space="0"/>
                          <w:right w:val="single" w:color="000000" w:sz="4" w:space="0"/>
                        </w:tcBorders>
                      </w:tcPr>
                      <w:p w14:paraId="5D839665">
                        <w:pPr>
                          <w:rPr>
                            <w:rFonts w:ascii="Calibri" w:hAnsi="Calibri" w:eastAsia="宋体" w:cs="Times New Roman"/>
                          </w:rPr>
                        </w:pP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6B62C1C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G348线1807KM+600M</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FCDC3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414A15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r>
                  <w:tr w14:paraId="13895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BB5D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w:t>
                        </w:r>
                      </w:p>
                    </w:tc>
                    <w:tc>
                      <w:tcPr>
                        <w:tcW w:w="65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F9FE95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嘉农不锈钢交易市场-乐山-区间测速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5A10AF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DCB3C8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BF1E9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C59C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F950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F34F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w:t>
                        </w:r>
                      </w:p>
                    </w:tc>
                    <w:tc>
                      <w:tcPr>
                        <w:tcW w:w="65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E540EF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嘉农嘉华水泥厂-乐山-区间测速</w:t>
                        </w:r>
                      </w:p>
                    </w:tc>
                    <w:tc>
                      <w:tcPr>
                        <w:tcW w:w="826"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25E2A6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w:t>
                        </w:r>
                      </w:p>
                    </w:tc>
                    <w:tc>
                      <w:tcPr>
                        <w:tcW w:w="19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34F98F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99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587E7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iDS-TCV700</w:t>
                        </w:r>
                      </w:p>
                    </w:tc>
                    <w:tc>
                      <w:tcPr>
                        <w:tcW w:w="5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D787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1B71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83" w:type="dxa"/>
                        <w:gridSpan w:val="12"/>
                        <w:tcBorders>
                          <w:top w:val="nil"/>
                          <w:left w:val="nil"/>
                          <w:bottom w:val="nil"/>
                          <w:right w:val="nil"/>
                        </w:tcBorders>
                        <w:tcMar>
                          <w:top w:w="0" w:type="dxa"/>
                          <w:left w:w="105" w:type="dxa"/>
                          <w:bottom w:w="0" w:type="dxa"/>
                          <w:right w:w="105" w:type="dxa"/>
                        </w:tcMar>
                        <w:vAlign w:val="top"/>
                      </w:tcPr>
                      <w:p w14:paraId="533425F1">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（8）单行卡口具体点位表</w:t>
                        </w:r>
                      </w:p>
                    </w:tc>
                  </w:tr>
                  <w:tr w14:paraId="74C47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432D9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序号</w:t>
                        </w:r>
                      </w:p>
                    </w:tc>
                    <w:tc>
                      <w:tcPr>
                        <w:tcW w:w="1266" w:type="dxa"/>
                        <w:gridSpan w:val="4"/>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08A6CB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路口名称</w:t>
                        </w:r>
                      </w:p>
                    </w:tc>
                    <w:tc>
                      <w:tcPr>
                        <w:tcW w:w="1798"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41C04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主要设备明细</w:t>
                        </w:r>
                      </w:p>
                    </w:tc>
                    <w:tc>
                      <w:tcPr>
                        <w:tcW w:w="1057"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AD43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使用产品</w:t>
                        </w:r>
                      </w:p>
                    </w:tc>
                    <w:tc>
                      <w:tcPr>
                        <w:tcW w:w="84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DA910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p>
                    </w:tc>
                  </w:tr>
                  <w:tr w14:paraId="522842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28F4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705" w:type="dxa"/>
                        <w:gridSpan w:val="2"/>
                        <w:tcBorders>
                          <w:top w:val="nil"/>
                          <w:left w:val="nil"/>
                          <w:bottom w:val="nil"/>
                          <w:right w:val="single" w:color="000000" w:sz="4" w:space="0"/>
                        </w:tcBorders>
                        <w:tcMar>
                          <w:top w:w="0" w:type="dxa"/>
                          <w:left w:w="105" w:type="dxa"/>
                          <w:bottom w:w="0" w:type="dxa"/>
                          <w:right w:w="105" w:type="dxa"/>
                        </w:tcMar>
                        <w:vAlign w:val="top"/>
                      </w:tcPr>
                      <w:p w14:paraId="3554E08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沫水街-单行道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57901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沫若大道沫水街路口</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E84F07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EAC624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iDS-2CD9131-S</w:t>
                        </w:r>
                      </w:p>
                    </w:tc>
                    <w:tc>
                      <w:tcPr>
                        <w:tcW w:w="849"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ABAB3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35B45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62E5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w:t>
                        </w:r>
                      </w:p>
                    </w:tc>
                    <w:tc>
                      <w:tcPr>
                        <w:tcW w:w="70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0029CB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韩王路东-单行道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D60478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韩王路东-单行道</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2037AF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870A1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大华/</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ITC302-RF1A</w:t>
                        </w:r>
                      </w:p>
                    </w:tc>
                    <w:tc>
                      <w:tcPr>
                        <w:tcW w:w="84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A1977E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1B675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798D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w:t>
                        </w:r>
                      </w:p>
                    </w:tc>
                    <w:tc>
                      <w:tcPr>
                        <w:tcW w:w="70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1905C78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韩王路西-单行道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B57724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韩王路西-单行道</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818C52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00CAE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大华/</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ITC302-RF1A</w:t>
                        </w:r>
                      </w:p>
                    </w:tc>
                    <w:tc>
                      <w:tcPr>
                        <w:tcW w:w="84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2AF59D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65046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2908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w:t>
                        </w:r>
                      </w:p>
                    </w:tc>
                    <w:tc>
                      <w:tcPr>
                        <w:tcW w:w="70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6EDCDCF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文豪路南-单行道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B044D4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文豪路南-单行道</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7ED543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EEF7DC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大华/</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ITC302-RF1A</w:t>
                        </w:r>
                      </w:p>
                    </w:tc>
                    <w:tc>
                      <w:tcPr>
                        <w:tcW w:w="84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729FE6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0C895B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AF3C1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w:t>
                        </w:r>
                      </w:p>
                    </w:tc>
                    <w:tc>
                      <w:tcPr>
                        <w:tcW w:w="705" w:type="dxa"/>
                        <w:gridSpan w:val="2"/>
                        <w:tcBorders>
                          <w:top w:val="single" w:color="000000" w:sz="4" w:space="0"/>
                          <w:left w:val="nil"/>
                          <w:bottom w:val="nil"/>
                          <w:right w:val="single" w:color="000000" w:sz="4" w:space="0"/>
                        </w:tcBorders>
                        <w:tcMar>
                          <w:top w:w="0" w:type="dxa"/>
                          <w:left w:w="105" w:type="dxa"/>
                          <w:bottom w:w="0" w:type="dxa"/>
                          <w:right w:w="105" w:type="dxa"/>
                        </w:tcMar>
                        <w:vAlign w:val="top"/>
                      </w:tcPr>
                      <w:p w14:paraId="18F3D7A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文豪路北-单行道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6609E39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文豪路北-单行道</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2A2C04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CAB825A">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大华/</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ITC302-RF1A</w:t>
                        </w:r>
                      </w:p>
                    </w:tc>
                    <w:tc>
                      <w:tcPr>
                        <w:tcW w:w="84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C91423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r w14:paraId="402E8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C07E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w:t>
                        </w:r>
                      </w:p>
                    </w:tc>
                    <w:tc>
                      <w:tcPr>
                        <w:tcW w:w="705"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C520D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文豪路沫若故居-单行道</w:t>
                        </w:r>
                      </w:p>
                    </w:tc>
                    <w:tc>
                      <w:tcPr>
                        <w:tcW w:w="56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47E6C7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美女像转盘文豪路口</w:t>
                        </w:r>
                      </w:p>
                    </w:tc>
                    <w:tc>
                      <w:tcPr>
                        <w:tcW w:w="1798"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182FED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抓拍相机1台、环境补光灯1台、频闪灯1台等</w:t>
                        </w:r>
                      </w:p>
                    </w:tc>
                    <w:tc>
                      <w:tcPr>
                        <w:tcW w:w="105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4EF3AF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海康威视/</w:t>
                        </w:r>
                        <w:r>
                          <w:rPr>
                            <w:rFonts w:hint="eastAsia" w:ascii="仿宋_GB2312" w:hAnsi="仿宋_GB2312" w:eastAsia="仿宋_GB2312" w:cs="仿宋_GB2312"/>
                            <w:sz w:val="24"/>
                            <w:lang w:val="en-US" w:eastAsia="zh-Hans"/>
                          </w:rPr>
                          <w:t xml:space="preserve"> </w:t>
                        </w:r>
                        <w:r>
                          <w:rPr>
                            <w:rFonts w:hint="eastAsia" w:ascii="仿宋_GB2312" w:hAnsi="仿宋_GB2312" w:eastAsia="仿宋_GB2312" w:cs="仿宋_GB2312"/>
                            <w:color w:val="000000"/>
                            <w:sz w:val="24"/>
                            <w:lang w:val="en-US" w:eastAsia="zh-Hans"/>
                          </w:rPr>
                          <w:t>iDS-TCV900</w:t>
                        </w:r>
                      </w:p>
                    </w:tc>
                    <w:tc>
                      <w:tcPr>
                        <w:tcW w:w="849"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F2F792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含线路传输和设备维保</w:t>
                        </w:r>
                      </w:p>
                    </w:tc>
                  </w:tr>
                </w:tbl>
                <w:p w14:paraId="30FDD2DF">
                  <w:pPr>
                    <w:jc w:val="left"/>
                    <w:rPr>
                      <w:rFonts w:hint="eastAsia" w:ascii="Calibri" w:hAnsi="Calibri" w:eastAsia="宋体" w:cs="Times New Roman"/>
                      <w:lang w:val="en-US" w:eastAsia="zh-Hans"/>
                    </w:rPr>
                  </w:pPr>
                </w:p>
              </w:tc>
            </w:tr>
          </w:tbl>
          <w:p w14:paraId="6BB5FB9F">
            <w:pPr>
              <w:rPr>
                <w:rFonts w:ascii="Calibri" w:hAnsi="Calibri" w:eastAsia="宋体" w:cs="Times New Roman"/>
              </w:rPr>
            </w:pPr>
          </w:p>
        </w:tc>
      </w:tr>
      <w:tr w14:paraId="2FFEE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BCF8D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0CD6B7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87C31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运维日常巡检记录表</w:t>
            </w:r>
          </w:p>
        </w:tc>
        <w:tc>
          <w:tcPr>
            <w:tcW w:w="5814" w:type="dxa"/>
          </w:tcPr>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10"/>
              <w:gridCol w:w="3088"/>
            </w:tblGrid>
            <w:tr w14:paraId="09299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97993B">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日常巡检记录表</w:t>
                  </w:r>
                </w:p>
              </w:tc>
            </w:tr>
            <w:tr w14:paraId="0E0FA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F4085">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项目名称：</w:t>
                  </w:r>
                </w:p>
              </w:tc>
            </w:tr>
            <w:tr w14:paraId="0E642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0B203">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项目编号：</w:t>
                  </w:r>
                </w:p>
              </w:tc>
              <w:tc>
                <w:tcPr>
                  <w:tcW w:w="30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911710">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巡检日期：</w:t>
                  </w:r>
                </w:p>
              </w:tc>
            </w:tr>
            <w:tr w14:paraId="7BD86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5EFDC">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巡检人员：</w:t>
                  </w:r>
                </w:p>
              </w:tc>
              <w:tc>
                <w:tcPr>
                  <w:tcW w:w="30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1EEE1">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检修人员：</w:t>
                  </w:r>
                </w:p>
              </w:tc>
            </w:tr>
            <w:tr w14:paraId="08E18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B1E0DC">
                  <w:pPr>
                    <w:spacing w:after="1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巡检内容及处理情况：</w:t>
                  </w:r>
                </w:p>
                <w:p w14:paraId="01474558">
                  <w:pPr>
                    <w:spacing w:after="120"/>
                    <w:jc w:val="both"/>
                    <w:rPr>
                      <w:rFonts w:hint="eastAsia" w:ascii="Calibri" w:hAnsi="Calibri" w:eastAsia="宋体" w:cs="Times New Roman"/>
                      <w:lang w:val="en-US" w:eastAsia="zh-Hans"/>
                    </w:rPr>
                  </w:pPr>
                </w:p>
              </w:tc>
            </w:tr>
          </w:tbl>
          <w:p w14:paraId="4113260E">
            <w:pPr>
              <w:rPr>
                <w:rFonts w:ascii="Calibri" w:hAnsi="Calibri" w:eastAsia="宋体" w:cs="Times New Roman"/>
              </w:rPr>
            </w:pPr>
          </w:p>
        </w:tc>
      </w:tr>
      <w:tr w14:paraId="0B51D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E6CF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10A9F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EEBB2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道路交通技术监控设备运行维护每月打分表</w:t>
            </w:r>
          </w:p>
        </w:tc>
        <w:tc>
          <w:tcPr>
            <w:tcW w:w="5814" w:type="dxa"/>
          </w:tcPr>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6"/>
              <w:gridCol w:w="684"/>
              <w:gridCol w:w="685"/>
              <w:gridCol w:w="685"/>
              <w:gridCol w:w="685"/>
              <w:gridCol w:w="685"/>
              <w:gridCol w:w="685"/>
              <w:gridCol w:w="685"/>
              <w:gridCol w:w="685"/>
              <w:gridCol w:w="685"/>
              <w:gridCol w:w="447"/>
            </w:tblGrid>
            <w:tr w14:paraId="35DC69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61DD2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扣分小项</w:t>
                  </w:r>
                </w:p>
              </w:tc>
              <w:tc>
                <w:tcPr>
                  <w:tcW w:w="55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6AEA2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响应不及时（累计计分）</w:t>
                  </w:r>
                </w:p>
              </w:tc>
              <w:tc>
                <w:tcPr>
                  <w:tcW w:w="58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B59E0D">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每日巡查表（累计计分）</w:t>
                  </w:r>
                </w:p>
              </w:tc>
              <w:tc>
                <w:tcPr>
                  <w:tcW w:w="71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A32E1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设备安装、网络调试、应用软件安装、升级（累计计分）</w:t>
                  </w:r>
                </w:p>
              </w:tc>
              <w:tc>
                <w:tcPr>
                  <w:tcW w:w="47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21B32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维护报告</w:t>
                  </w:r>
                </w:p>
              </w:tc>
              <w:tc>
                <w:tcPr>
                  <w:tcW w:w="461"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3A81A5">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人员保障（累计计分）</w:t>
                  </w:r>
                </w:p>
              </w:tc>
              <w:tc>
                <w:tcPr>
                  <w:tcW w:w="436"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29D31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值班值守（累计计分）</w:t>
                  </w:r>
                </w:p>
              </w:tc>
              <w:tc>
                <w:tcPr>
                  <w:tcW w:w="444"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8FD7D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技术支持（累计计分）</w:t>
                  </w:r>
                </w:p>
              </w:tc>
              <w:tc>
                <w:tcPr>
                  <w:tcW w:w="592"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E53ABF">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重大安全事故</w:t>
                  </w:r>
                </w:p>
              </w:tc>
              <w:tc>
                <w:tcPr>
                  <w:tcW w:w="502"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F4DD9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网络安全事故</w:t>
                  </w:r>
                </w:p>
              </w:tc>
              <w:tc>
                <w:tcPr>
                  <w:tcW w:w="378"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3F85BE">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总扣分</w:t>
                  </w:r>
                </w:p>
              </w:tc>
            </w:tr>
            <w:tr w14:paraId="0763FA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vMerge w:val="continue"/>
                  <w:tcBorders>
                    <w:top w:val="single" w:color="000000" w:sz="4" w:space="0"/>
                    <w:left w:val="single" w:color="000000" w:sz="4" w:space="0"/>
                    <w:bottom w:val="single" w:color="000000" w:sz="4" w:space="0"/>
                    <w:right w:val="single" w:color="000000" w:sz="4" w:space="0"/>
                  </w:tcBorders>
                </w:tcPr>
                <w:p w14:paraId="638E6137">
                  <w:pPr>
                    <w:rPr>
                      <w:rFonts w:ascii="Calibri" w:hAnsi="Calibri" w:eastAsia="宋体" w:cs="Times New Roman"/>
                    </w:rPr>
                  </w:pPr>
                </w:p>
              </w:tc>
              <w:tc>
                <w:tcPr>
                  <w:tcW w:w="551" w:type="dxa"/>
                  <w:vMerge w:val="continue"/>
                  <w:tcBorders>
                    <w:top w:val="single" w:color="000000" w:sz="4" w:space="0"/>
                    <w:left w:val="single" w:color="000000" w:sz="4" w:space="0"/>
                    <w:bottom w:val="single" w:color="000000" w:sz="4" w:space="0"/>
                    <w:right w:val="single" w:color="000000" w:sz="4" w:space="0"/>
                  </w:tcBorders>
                </w:tcPr>
                <w:p w14:paraId="2EC915A0">
                  <w:pPr>
                    <w:rPr>
                      <w:rFonts w:ascii="Calibri" w:hAnsi="Calibri" w:eastAsia="宋体" w:cs="Times New Roman"/>
                    </w:rPr>
                  </w:pPr>
                </w:p>
              </w:tc>
              <w:tc>
                <w:tcPr>
                  <w:tcW w:w="584" w:type="dxa"/>
                  <w:vMerge w:val="continue"/>
                  <w:tcBorders>
                    <w:top w:val="single" w:color="000000" w:sz="4" w:space="0"/>
                    <w:left w:val="single" w:color="000000" w:sz="4" w:space="0"/>
                    <w:bottom w:val="single" w:color="000000" w:sz="4" w:space="0"/>
                    <w:right w:val="single" w:color="000000" w:sz="4" w:space="0"/>
                  </w:tcBorders>
                </w:tcPr>
                <w:p w14:paraId="31794D2B">
                  <w:pPr>
                    <w:rPr>
                      <w:rFonts w:ascii="Calibri" w:hAnsi="Calibri" w:eastAsia="宋体" w:cs="Times New Roman"/>
                    </w:rPr>
                  </w:pPr>
                </w:p>
              </w:tc>
              <w:tc>
                <w:tcPr>
                  <w:tcW w:w="716" w:type="dxa"/>
                  <w:vMerge w:val="continue"/>
                  <w:tcBorders>
                    <w:top w:val="single" w:color="000000" w:sz="4" w:space="0"/>
                    <w:left w:val="single" w:color="000000" w:sz="4" w:space="0"/>
                    <w:bottom w:val="single" w:color="000000" w:sz="4" w:space="0"/>
                    <w:right w:val="single" w:color="000000" w:sz="4" w:space="0"/>
                  </w:tcBorders>
                </w:tcPr>
                <w:p w14:paraId="56CAB125">
                  <w:pPr>
                    <w:rPr>
                      <w:rFonts w:ascii="Calibri" w:hAnsi="Calibri" w:eastAsia="宋体" w:cs="Times New Roman"/>
                    </w:rPr>
                  </w:pPr>
                </w:p>
              </w:tc>
              <w:tc>
                <w:tcPr>
                  <w:tcW w:w="477" w:type="dxa"/>
                  <w:vMerge w:val="continue"/>
                  <w:tcBorders>
                    <w:top w:val="single" w:color="000000" w:sz="4" w:space="0"/>
                    <w:left w:val="single" w:color="000000" w:sz="4" w:space="0"/>
                    <w:bottom w:val="single" w:color="000000" w:sz="4" w:space="0"/>
                    <w:right w:val="single" w:color="000000" w:sz="4" w:space="0"/>
                  </w:tcBorders>
                </w:tcPr>
                <w:p w14:paraId="0AD8E519">
                  <w:pPr>
                    <w:rPr>
                      <w:rFonts w:ascii="Calibri" w:hAnsi="Calibri" w:eastAsia="宋体" w:cs="Times New Roman"/>
                    </w:rPr>
                  </w:pPr>
                </w:p>
              </w:tc>
              <w:tc>
                <w:tcPr>
                  <w:tcW w:w="461" w:type="dxa"/>
                  <w:vMerge w:val="continue"/>
                  <w:tcBorders>
                    <w:top w:val="single" w:color="000000" w:sz="4" w:space="0"/>
                    <w:left w:val="single" w:color="000000" w:sz="4" w:space="0"/>
                    <w:bottom w:val="single" w:color="000000" w:sz="4" w:space="0"/>
                    <w:right w:val="single" w:color="000000" w:sz="4" w:space="0"/>
                  </w:tcBorders>
                </w:tcPr>
                <w:p w14:paraId="124DD172">
                  <w:pPr>
                    <w:rPr>
                      <w:rFonts w:ascii="Calibri" w:hAnsi="Calibri" w:eastAsia="宋体" w:cs="Times New Roman"/>
                    </w:rPr>
                  </w:pPr>
                </w:p>
              </w:tc>
              <w:tc>
                <w:tcPr>
                  <w:tcW w:w="436" w:type="dxa"/>
                  <w:vMerge w:val="continue"/>
                  <w:tcBorders>
                    <w:top w:val="single" w:color="000000" w:sz="4" w:space="0"/>
                    <w:left w:val="single" w:color="000000" w:sz="4" w:space="0"/>
                    <w:bottom w:val="single" w:color="000000" w:sz="4" w:space="0"/>
                    <w:right w:val="single" w:color="000000" w:sz="4" w:space="0"/>
                  </w:tcBorders>
                </w:tcPr>
                <w:p w14:paraId="5611BEFD">
                  <w:pPr>
                    <w:rPr>
                      <w:rFonts w:ascii="Calibri" w:hAnsi="Calibri" w:eastAsia="宋体" w:cs="Times New Roman"/>
                    </w:rPr>
                  </w:pPr>
                </w:p>
              </w:tc>
              <w:tc>
                <w:tcPr>
                  <w:tcW w:w="444" w:type="dxa"/>
                  <w:vMerge w:val="continue"/>
                  <w:tcBorders>
                    <w:top w:val="single" w:color="000000" w:sz="4" w:space="0"/>
                    <w:left w:val="single" w:color="000000" w:sz="4" w:space="0"/>
                    <w:bottom w:val="single" w:color="000000" w:sz="4" w:space="0"/>
                    <w:right w:val="single" w:color="000000" w:sz="4" w:space="0"/>
                  </w:tcBorders>
                </w:tcPr>
                <w:p w14:paraId="7900D486">
                  <w:pPr>
                    <w:rPr>
                      <w:rFonts w:ascii="Calibri" w:hAnsi="Calibri" w:eastAsia="宋体" w:cs="Times New Roman"/>
                    </w:rPr>
                  </w:pPr>
                </w:p>
              </w:tc>
              <w:tc>
                <w:tcPr>
                  <w:tcW w:w="592" w:type="dxa"/>
                  <w:vMerge w:val="continue"/>
                  <w:tcBorders>
                    <w:top w:val="single" w:color="000000" w:sz="4" w:space="0"/>
                    <w:left w:val="single" w:color="000000" w:sz="4" w:space="0"/>
                    <w:bottom w:val="single" w:color="000000" w:sz="4" w:space="0"/>
                    <w:right w:val="single" w:color="000000" w:sz="4" w:space="0"/>
                  </w:tcBorders>
                </w:tcPr>
                <w:p w14:paraId="764CDDEB">
                  <w:pPr>
                    <w:rPr>
                      <w:rFonts w:ascii="Calibri" w:hAnsi="Calibri" w:eastAsia="宋体" w:cs="Times New Roman"/>
                    </w:rPr>
                  </w:pPr>
                </w:p>
              </w:tc>
              <w:tc>
                <w:tcPr>
                  <w:tcW w:w="502" w:type="dxa"/>
                  <w:vMerge w:val="continue"/>
                  <w:tcBorders>
                    <w:top w:val="single" w:color="000000" w:sz="4" w:space="0"/>
                    <w:left w:val="single" w:color="000000" w:sz="4" w:space="0"/>
                    <w:bottom w:val="single" w:color="000000" w:sz="4" w:space="0"/>
                    <w:right w:val="single" w:color="000000" w:sz="4" w:space="0"/>
                  </w:tcBorders>
                </w:tcPr>
                <w:p w14:paraId="23AB2FB9">
                  <w:pPr>
                    <w:rPr>
                      <w:rFonts w:ascii="Calibri" w:hAnsi="Calibri" w:eastAsia="宋体" w:cs="Times New Roman"/>
                    </w:rPr>
                  </w:pPr>
                </w:p>
              </w:tc>
              <w:tc>
                <w:tcPr>
                  <w:tcW w:w="378" w:type="dxa"/>
                  <w:vMerge w:val="continue"/>
                  <w:tcBorders>
                    <w:top w:val="single" w:color="000000" w:sz="4" w:space="0"/>
                    <w:left w:val="single" w:color="000000" w:sz="4" w:space="0"/>
                    <w:bottom w:val="single" w:color="000000" w:sz="4" w:space="0"/>
                    <w:right w:val="single" w:color="000000" w:sz="4" w:space="0"/>
                  </w:tcBorders>
                </w:tcPr>
                <w:p w14:paraId="2066BAA8">
                  <w:pPr>
                    <w:rPr>
                      <w:rFonts w:ascii="Calibri" w:hAnsi="Calibri" w:eastAsia="宋体" w:cs="Times New Roman"/>
                    </w:rPr>
                  </w:pPr>
                </w:p>
              </w:tc>
            </w:tr>
            <w:tr w14:paraId="185A1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vMerge w:val="continue"/>
                  <w:tcBorders>
                    <w:top w:val="single" w:color="000000" w:sz="4" w:space="0"/>
                    <w:left w:val="single" w:color="000000" w:sz="4" w:space="0"/>
                    <w:bottom w:val="single" w:color="000000" w:sz="4" w:space="0"/>
                    <w:right w:val="single" w:color="000000" w:sz="4" w:space="0"/>
                  </w:tcBorders>
                </w:tcPr>
                <w:p w14:paraId="48CDFCDA">
                  <w:pPr>
                    <w:rPr>
                      <w:rFonts w:ascii="Calibri" w:hAnsi="Calibri" w:eastAsia="宋体" w:cs="Times New Roman"/>
                    </w:rPr>
                  </w:pPr>
                </w:p>
              </w:tc>
              <w:tc>
                <w:tcPr>
                  <w:tcW w:w="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C56A73">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直属五大队辖区内设备故障24小时未恢复1次扣2分</w:t>
                  </w:r>
                </w:p>
              </w:tc>
              <w:tc>
                <w:tcPr>
                  <w:tcW w:w="5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17871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未提交每日巡检记录表（前端、软件、故障等）的，每少1次扣0.5分</w:t>
                  </w: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009D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未按照大队要求时限完成配合设备安装、网络调试、应用软件安装、升级等工作的，1次扣2分</w:t>
                  </w:r>
                </w:p>
              </w:tc>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C89EE2">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未提交月维护报告的，1次扣5分</w:t>
                  </w:r>
                </w:p>
              </w:tc>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11677">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未经大队允许，撤离或更换现场驻场人员的，1次扣2分</w:t>
                  </w: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0F5DD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日常及节假日、大型活动期间无人值守的，1次扣1分</w:t>
                  </w:r>
                </w:p>
              </w:tc>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F53F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未提供技术咨询服务的，1次扣1分1</w:t>
                  </w: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4A984B">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外场井盖、悬挂高空设备、电源线路等破损未及时发现并修复，造成人员伤亡、财产损失的，扣50分，并承担全责任</w:t>
                  </w:r>
                </w:p>
              </w:tc>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58EB0">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维护过程中，发生任何网络违规外联的，扣50分，并承担全责任</w:t>
                  </w:r>
                </w:p>
              </w:tc>
              <w:tc>
                <w:tcPr>
                  <w:tcW w:w="378" w:type="dxa"/>
                  <w:vMerge w:val="continue"/>
                  <w:tcBorders>
                    <w:top w:val="single" w:color="000000" w:sz="4" w:space="0"/>
                    <w:left w:val="single" w:color="000000" w:sz="4" w:space="0"/>
                    <w:bottom w:val="single" w:color="000000" w:sz="4" w:space="0"/>
                    <w:right w:val="single" w:color="000000" w:sz="4" w:space="0"/>
                  </w:tcBorders>
                </w:tcPr>
                <w:p w14:paraId="75408250">
                  <w:pPr>
                    <w:rPr>
                      <w:rFonts w:ascii="Calibri" w:hAnsi="Calibri" w:eastAsia="宋体" w:cs="Times New Roman"/>
                    </w:rPr>
                  </w:pPr>
                </w:p>
              </w:tc>
            </w:tr>
            <w:tr w14:paraId="08B14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D5364">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各分项扣分小计</w:t>
                  </w:r>
                </w:p>
              </w:tc>
              <w:tc>
                <w:tcPr>
                  <w:tcW w:w="5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EAA4F">
                  <w:pPr>
                    <w:jc w:val="center"/>
                    <w:rPr>
                      <w:rFonts w:hint="eastAsia" w:ascii="Calibri" w:hAnsi="Calibri" w:eastAsia="宋体" w:cs="Times New Roman"/>
                      <w:lang w:val="en-US" w:eastAsia="zh-Hans"/>
                    </w:rPr>
                  </w:pPr>
                </w:p>
              </w:tc>
              <w:tc>
                <w:tcPr>
                  <w:tcW w:w="5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E1D506">
                  <w:pPr>
                    <w:rPr>
                      <w:rFonts w:ascii="Calibri" w:hAnsi="Calibri" w:eastAsia="宋体" w:cs="Times New Roman"/>
                    </w:rPr>
                  </w:pPr>
                </w:p>
              </w:tc>
              <w:tc>
                <w:tcPr>
                  <w:tcW w:w="7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5932E">
                  <w:pPr>
                    <w:rPr>
                      <w:rFonts w:ascii="Calibri" w:hAnsi="Calibri" w:eastAsia="宋体" w:cs="Times New Roman"/>
                    </w:rPr>
                  </w:pPr>
                </w:p>
              </w:tc>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DDF807">
                  <w:pPr>
                    <w:rPr>
                      <w:rFonts w:ascii="Calibri" w:hAnsi="Calibri" w:eastAsia="宋体" w:cs="Times New Roman"/>
                    </w:rPr>
                  </w:pPr>
                </w:p>
              </w:tc>
              <w:tc>
                <w:tcPr>
                  <w:tcW w:w="4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F5DC7">
                  <w:pPr>
                    <w:rPr>
                      <w:rFonts w:ascii="Calibri" w:hAnsi="Calibri" w:eastAsia="宋体" w:cs="Times New Roman"/>
                    </w:rPr>
                  </w:pPr>
                </w:p>
              </w:tc>
              <w:tc>
                <w:tcPr>
                  <w:tcW w:w="4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E40C4">
                  <w:pPr>
                    <w:rPr>
                      <w:rFonts w:ascii="Calibri" w:hAnsi="Calibri" w:eastAsia="宋体" w:cs="Times New Roman"/>
                    </w:rPr>
                  </w:pPr>
                </w:p>
              </w:tc>
              <w:tc>
                <w:tcPr>
                  <w:tcW w:w="4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F3BF1">
                  <w:pPr>
                    <w:rPr>
                      <w:rFonts w:ascii="Calibri" w:hAnsi="Calibri" w:eastAsia="宋体" w:cs="Times New Roman"/>
                    </w:rPr>
                  </w:pPr>
                </w:p>
              </w:tc>
              <w:tc>
                <w:tcPr>
                  <w:tcW w:w="5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D6B97">
                  <w:pPr>
                    <w:rPr>
                      <w:rFonts w:ascii="Calibri" w:hAnsi="Calibri" w:eastAsia="宋体" w:cs="Times New Roman"/>
                    </w:rPr>
                  </w:pPr>
                </w:p>
              </w:tc>
              <w:tc>
                <w:tcPr>
                  <w:tcW w:w="5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E2AFF">
                  <w:pPr>
                    <w:rPr>
                      <w:rFonts w:ascii="Calibri" w:hAnsi="Calibri" w:eastAsia="宋体" w:cs="Times New Roman"/>
                    </w:rPr>
                  </w:pPr>
                </w:p>
              </w:tc>
              <w:tc>
                <w:tcPr>
                  <w:tcW w:w="3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DDA2FD">
                  <w:pPr>
                    <w:rPr>
                      <w:rFonts w:ascii="Calibri" w:hAnsi="Calibri" w:eastAsia="宋体" w:cs="Times New Roman"/>
                    </w:rPr>
                  </w:pPr>
                </w:p>
              </w:tc>
            </w:tr>
            <w:tr w14:paraId="418A24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89E70">
                  <w:pPr>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备注：</w:t>
                  </w:r>
                  <w:r>
                    <w:rPr>
                      <w:rFonts w:hint="eastAsia" w:ascii="仿宋_GB2312" w:hAnsi="仿宋_GB2312" w:eastAsia="仿宋_GB2312" w:cs="仿宋_GB2312"/>
                      <w:sz w:val="24"/>
                      <w:lang w:val="en-US" w:eastAsia="zh-Hans"/>
                    </w:rPr>
                    <w:t>月得分＝100分－每月总扣分；60分以下，采购人可解除合同。。</w:t>
                  </w:r>
                </w:p>
              </w:tc>
            </w:tr>
          </w:tbl>
          <w:p w14:paraId="1C93CE5A">
            <w:pPr>
              <w:rPr>
                <w:rFonts w:ascii="Calibri" w:hAnsi="Calibri" w:eastAsia="宋体" w:cs="Times New Roman"/>
              </w:rPr>
            </w:pPr>
          </w:p>
        </w:tc>
      </w:tr>
      <w:tr w14:paraId="29706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69C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02624ED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138A2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主要技术标准</w:t>
            </w:r>
          </w:p>
        </w:tc>
        <w:tc>
          <w:tcPr>
            <w:tcW w:w="5814" w:type="dxa"/>
          </w:tcPr>
          <w:p w14:paraId="18DABDF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1、《道路交通技术监控设备运行维护规范》　　　　GA/T1043-2013</w:t>
            </w:r>
          </w:p>
          <w:p w14:paraId="2B235069">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2、《公安交通管理信息系统运行管理规定》        公交管【2021】49号</w:t>
            </w:r>
          </w:p>
          <w:p w14:paraId="3245D42D">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3、《道路交通安全违法行为图像取证技术规范》GA/T832-2014</w:t>
            </w:r>
          </w:p>
          <w:p w14:paraId="5E863587">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4、《机动车号牌图像自动识别技术规范》GA/T833-2016</w:t>
            </w:r>
          </w:p>
          <w:p w14:paraId="209C020E">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5、《机动车号牌自动识别系统》       GB/T28649-2012</w:t>
            </w:r>
          </w:p>
          <w:p w14:paraId="2A71D825">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6、《道路车辆智能监测记录系统通用技术条件》      GA/T497-2016</w:t>
            </w:r>
          </w:p>
          <w:p w14:paraId="6FEE46E1">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7、《机动车违法停车自动记录系统通用技术条件》   GA/T1426-2017</w:t>
            </w:r>
          </w:p>
          <w:p w14:paraId="53E62467">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8、《闯红灯自动记录系统验收技术规范》           GA/T870-2017</w:t>
            </w:r>
          </w:p>
          <w:p w14:paraId="37BEFC73">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9、《机动车测速仪》GB/T21255-2019</w:t>
            </w:r>
          </w:p>
          <w:p w14:paraId="5F7C71BE">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10、《道路交通安全违法行为视频取证设备技术规范》GA/T995-2020</w:t>
            </w:r>
          </w:p>
          <w:p w14:paraId="2145CA60">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11、《机动车区间测速技术规范》GA/T959-2011</w:t>
            </w:r>
          </w:p>
          <w:p w14:paraId="3A8F8850">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12、《闯红灯自动记录系统通用技术条件》             GA/T496-2014</w:t>
            </w:r>
          </w:p>
          <w:p w14:paraId="48C9A544">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13、《公安交通指挥系统工程建设通用程序和要求》GA/T 651-2021</w:t>
            </w:r>
          </w:p>
          <w:p w14:paraId="00405DF2">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14、《公安交通管理外场设备基础施工通用要求》GA/T652-2017</w:t>
            </w:r>
          </w:p>
          <w:p w14:paraId="6327CB7D">
            <w:pPr>
              <w:ind w:firstLine="480"/>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15、《公共安全视频监控联网系统信息传输、交换、控制技术要求》GB/T 28181-2022</w:t>
            </w:r>
          </w:p>
          <w:p w14:paraId="56222AA8">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注:本项目中所列技术标准规范依据如有调整的，按照调整后的最新依据执行；本项目履约服务中所交付的标的产品如有涉及国家或行业强制认证、强制许可、强制检测的，必须符合相应的强制性要求。</w:t>
            </w:r>
          </w:p>
        </w:tc>
      </w:tr>
    </w:tbl>
    <w:p w14:paraId="6CC75209">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24C76BE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7143201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7D5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614D5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6B7A2D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5B275C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3DB395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0FCFC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6F1E4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3F81FCF2">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11A2007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8E5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D8FB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61A5F6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1A8ADF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396F780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58FA1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0B6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269A1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295FA1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服务期限</w:t>
            </w:r>
          </w:p>
        </w:tc>
        <w:tc>
          <w:tcPr>
            <w:tcW w:w="5814" w:type="dxa"/>
          </w:tcPr>
          <w:p w14:paraId="30BE9B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自合同签订之日起一年</w:t>
            </w:r>
          </w:p>
        </w:tc>
      </w:tr>
      <w:tr w14:paraId="1446F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C579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1BD9A3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842AA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服务地点</w:t>
            </w:r>
          </w:p>
        </w:tc>
        <w:tc>
          <w:tcPr>
            <w:tcW w:w="5814" w:type="dxa"/>
          </w:tcPr>
          <w:p w14:paraId="6E71CE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乐山市沙湾区</w:t>
            </w:r>
          </w:p>
        </w:tc>
      </w:tr>
      <w:tr w14:paraId="3BE14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0F202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2689EC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05C01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67B62F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（1）达到国家相关标准、行业标准、地方标准以及本磋商文件的规定要求； （2）项目由采购人组织验收，采购人将严格按照本项目采购文件、成交人响应文件、《政府采购需求管理办法》(财库(2021)22号)和《乐山市财政局关于沿用乐山市政府采购项目需求论证和履约验收管理实施细则的通知》(乐市财政采(2021)8号)的要求及国家行业主管部门规定的标准、方法和内容进行验收。</w:t>
            </w:r>
          </w:p>
        </w:tc>
      </w:tr>
      <w:tr w14:paraId="5BAB3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CD5C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5BF8FB5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B85D3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5919F3F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48760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DD43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580DEEC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7EDAC9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708788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进度款，运维费实行包干制，先维护后付费。每月由直属五大队根据运维考核标准对服务方的工作情况进行评分，每月满分100分，实行扣分制，分值对应应付费用的百分比，按每月汇总后报大队签字审定后，每年年度终了后核付，达到付款条件起15日内，据实结算说明为运维费实行包干制，先维护后付费。每月由直属五大队根据运维考核标准对服务方的工作情况进行评分，每月满分100分，实行扣分制，分值对应应付费用的百分比，按每月汇总后报大队签字审定后，每年年度终了后核付。</w:t>
            </w:r>
          </w:p>
        </w:tc>
      </w:tr>
      <w:tr w14:paraId="0604C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6D5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337164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710D9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19B13F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（1）采购人及供应商双方必须遵守采购合同并执行合同中的各项规定，保证采购合同的正常履行。 （2）如因供应商在履行过程中的疏忽、失职、过错等故意或者过失原因给采购人造成损失或侵害，包括但不限于采购人本身的财产损失、由此而导致的采购人对任何第三方的法律责任等，供应商对此均应承担全部的赔偿责任。 （3）如供应商有提交的成果达不到相关质量要求或未按采购人时间进度安排完成成果或拒绝履行合同内容等一系列其他严重失职行为的，采购人有权不支付合同相关款项，并有权无条件提出解除采购合同，一切因此产生的所有后果及损失等均由供应商承担，采购人不承担任何责任。 （4）争议解决办法： 采购人及供应商双方就采购合同所产生的任何争议都应该进行友好协商，协商解决不成的，任何一方均可向项目所在地的人民法院提起诉讼。</w:t>
            </w:r>
          </w:p>
        </w:tc>
      </w:tr>
    </w:tbl>
    <w:p w14:paraId="08096DFD">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5C06F8E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4AB0E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履约能力要求：与投标人履约相关的其他要求包括维保方案、应急预案、安全文明措施、团队配置、类似业绩等与供应商履约本项目的相关综合能力（但不含资格要求供应商应具有的履行合同所必需的设备和专业技术能力），供应商结合磋商文件采购需求、评分标准和自身响应情况提供相关证明材料。</w:t>
      </w:r>
    </w:p>
    <w:p w14:paraId="66811631">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r>
        <w:rPr>
          <w:rFonts w:hint="eastAsia" w:ascii="仿宋_GB2312" w:hAnsi="仿宋_GB2312" w:eastAsia="仿宋_GB2312" w:cs="仿宋_GB2312"/>
          <w:lang w:val="en-US" w:eastAsia="zh-Hans"/>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51B6A"/>
    <w:rsid w:val="24351B6A"/>
    <w:rsid w:val="72745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2026-04-27T08:29:00Z</dcterms:created>
  <dc:creator>我头上长草</dc:creator>
  <cp:lastModifiedBy>我头上长草</cp:lastModifiedBy>
  <dcterms:modified xsi:type="dcterms:W3CDTF">2026-04-27T08:29:40Z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59922E9871A8407299F50362B8DB3A3E_11</vt:lpwstr>
  </property>
  <property fmtid="{D5CDD505-2E9C-101B-9397-08002B2CF9AE}" pid="4" name="KSOTemplateDocerSaveRecord">
    <vt:lpwstr>eyJoZGlkIjoiOWE4ZGE5NTI1Y2ZkNzkxYzBmNWI5MTQxYzU2ZGNkYTgiLCJ1c2VySWQiOiIyODI5MDc2NjYifQ==</vt:lpwstr>
  </property>
</Properties>
</file>