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9125">
      <w:pPr>
        <w:pStyle w:val="4"/>
        <w:jc w:val="center"/>
        <w:outlineLvl w:val="1"/>
      </w:pPr>
      <w:r>
        <w:rPr>
          <w:rFonts w:ascii="仿宋_GB2312" w:hAnsi="仿宋_GB2312" w:eastAsia="仿宋_GB2312" w:cs="仿宋_GB2312"/>
          <w:b/>
          <w:sz w:val="36"/>
        </w:rPr>
        <w:t>技术、服务及其他要求</w:t>
      </w:r>
    </w:p>
    <w:p w14:paraId="65CAE96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9758F1A">
      <w:pPr>
        <w:pStyle w:val="4"/>
        <w:jc w:val="left"/>
        <w:outlineLvl w:val="2"/>
      </w:pPr>
      <w:r>
        <w:rPr>
          <w:rFonts w:ascii="仿宋_GB2312" w:hAnsi="仿宋_GB2312" w:eastAsia="仿宋_GB2312" w:cs="仿宋_GB2312"/>
          <w:b/>
          <w:sz w:val="28"/>
        </w:rPr>
        <w:t>3.1.采购内容</w:t>
      </w:r>
      <w:bookmarkStart w:id="0" w:name="_GoBack"/>
      <w:bookmarkEnd w:id="0"/>
    </w:p>
    <w:p w14:paraId="0548E528">
      <w:pPr>
        <w:pStyle w:val="4"/>
        <w:jc w:val="left"/>
      </w:pPr>
      <w:r>
        <w:rPr>
          <w:rFonts w:ascii="仿宋_GB2312" w:hAnsi="仿宋_GB2312" w:eastAsia="仿宋_GB2312" w:cs="仿宋_GB2312"/>
        </w:rPr>
        <w:t>采购包1：</w:t>
      </w:r>
    </w:p>
    <w:p w14:paraId="27B223CF">
      <w:pPr>
        <w:pStyle w:val="4"/>
        <w:jc w:val="left"/>
      </w:pPr>
      <w:r>
        <w:rPr>
          <w:rFonts w:ascii="仿宋_GB2312" w:hAnsi="仿宋_GB2312" w:eastAsia="仿宋_GB2312" w:cs="仿宋_GB2312"/>
        </w:rPr>
        <w:t>采购包预算金额（元）: 1,300,000.00</w:t>
      </w:r>
    </w:p>
    <w:p w14:paraId="4002DA96">
      <w:pPr>
        <w:pStyle w:val="4"/>
        <w:jc w:val="left"/>
      </w:pPr>
      <w:r>
        <w:rPr>
          <w:rFonts w:ascii="仿宋_GB2312" w:hAnsi="仿宋_GB2312" w:eastAsia="仿宋_GB2312" w:cs="仿宋_GB2312"/>
        </w:rPr>
        <w:t>采购包最高限价（元）: 1,300,000.00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4448F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1120AB9D">
            <w:pPr>
              <w:pStyle w:val="4"/>
              <w:jc w:val="center"/>
            </w:pPr>
            <w:r>
              <w:rPr>
                <w:rFonts w:ascii="仿宋_GB2312" w:hAnsi="仿宋_GB2312" w:eastAsia="仿宋_GB2312" w:cs="仿宋_GB2312"/>
              </w:rPr>
              <w:t>序号</w:t>
            </w:r>
          </w:p>
        </w:tc>
        <w:tc>
          <w:tcPr>
            <w:tcW w:w="821" w:type="dxa"/>
          </w:tcPr>
          <w:p w14:paraId="30B7C25A">
            <w:pPr>
              <w:pStyle w:val="4"/>
              <w:jc w:val="center"/>
            </w:pPr>
            <w:r>
              <w:rPr>
                <w:rFonts w:ascii="仿宋_GB2312" w:hAnsi="仿宋_GB2312" w:eastAsia="仿宋_GB2312" w:cs="仿宋_GB2312"/>
              </w:rPr>
              <w:t>采购品目名称</w:t>
            </w:r>
          </w:p>
        </w:tc>
        <w:tc>
          <w:tcPr>
            <w:tcW w:w="821" w:type="dxa"/>
          </w:tcPr>
          <w:p w14:paraId="46C80481">
            <w:pPr>
              <w:pStyle w:val="4"/>
              <w:jc w:val="center"/>
            </w:pPr>
            <w:r>
              <w:rPr>
                <w:rFonts w:ascii="仿宋_GB2312" w:hAnsi="仿宋_GB2312" w:eastAsia="仿宋_GB2312" w:cs="仿宋_GB2312"/>
              </w:rPr>
              <w:t>标的名称</w:t>
            </w:r>
          </w:p>
        </w:tc>
        <w:tc>
          <w:tcPr>
            <w:tcW w:w="821" w:type="dxa"/>
          </w:tcPr>
          <w:p w14:paraId="11CE2CA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EBB27D3">
            <w:pPr>
              <w:pStyle w:val="4"/>
              <w:jc w:val="center"/>
            </w:pPr>
            <w:r>
              <w:rPr>
                <w:rFonts w:ascii="仿宋_GB2312" w:hAnsi="仿宋_GB2312" w:eastAsia="仿宋_GB2312" w:cs="仿宋_GB2312"/>
              </w:rPr>
              <w:t>标的金额 （元）</w:t>
            </w:r>
          </w:p>
        </w:tc>
        <w:tc>
          <w:tcPr>
            <w:tcW w:w="821" w:type="dxa"/>
          </w:tcPr>
          <w:p w14:paraId="7CB11ABB">
            <w:pPr>
              <w:pStyle w:val="4"/>
              <w:jc w:val="center"/>
            </w:pPr>
            <w:r>
              <w:rPr>
                <w:rFonts w:ascii="仿宋_GB2312" w:hAnsi="仿宋_GB2312" w:eastAsia="仿宋_GB2312" w:cs="仿宋_GB2312"/>
              </w:rPr>
              <w:t>所属行业</w:t>
            </w:r>
          </w:p>
        </w:tc>
        <w:tc>
          <w:tcPr>
            <w:tcW w:w="821" w:type="dxa"/>
          </w:tcPr>
          <w:p w14:paraId="7B57A161">
            <w:pPr>
              <w:pStyle w:val="4"/>
              <w:jc w:val="center"/>
            </w:pPr>
            <w:r>
              <w:rPr>
                <w:rFonts w:ascii="仿宋_GB2312" w:hAnsi="仿宋_GB2312" w:eastAsia="仿宋_GB2312" w:cs="仿宋_GB2312"/>
              </w:rPr>
              <w:t>是否涉及核心产品</w:t>
            </w:r>
          </w:p>
        </w:tc>
        <w:tc>
          <w:tcPr>
            <w:tcW w:w="821" w:type="dxa"/>
          </w:tcPr>
          <w:p w14:paraId="3433DC39">
            <w:pPr>
              <w:pStyle w:val="4"/>
              <w:jc w:val="center"/>
            </w:pPr>
            <w:r>
              <w:rPr>
                <w:rFonts w:ascii="仿宋_GB2312" w:hAnsi="仿宋_GB2312" w:eastAsia="仿宋_GB2312" w:cs="仿宋_GB2312"/>
              </w:rPr>
              <w:t>是否涉及采购进口产品</w:t>
            </w:r>
          </w:p>
        </w:tc>
        <w:tc>
          <w:tcPr>
            <w:tcW w:w="821" w:type="dxa"/>
          </w:tcPr>
          <w:p w14:paraId="19FAFD29">
            <w:pPr>
              <w:pStyle w:val="4"/>
              <w:jc w:val="center"/>
            </w:pPr>
            <w:r>
              <w:rPr>
                <w:rFonts w:ascii="仿宋_GB2312" w:hAnsi="仿宋_GB2312" w:eastAsia="仿宋_GB2312" w:cs="仿宋_GB2312"/>
              </w:rPr>
              <w:t>是否涉及强制采购节能产品</w:t>
            </w:r>
          </w:p>
        </w:tc>
        <w:tc>
          <w:tcPr>
            <w:tcW w:w="639" w:type="dxa"/>
          </w:tcPr>
          <w:p w14:paraId="4296A925">
            <w:pPr>
              <w:pStyle w:val="4"/>
              <w:jc w:val="center"/>
            </w:pPr>
            <w:r>
              <w:rPr>
                <w:rFonts w:ascii="仿宋_GB2312" w:hAnsi="仿宋_GB2312" w:eastAsia="仿宋_GB2312" w:cs="仿宋_GB2312"/>
              </w:rPr>
              <w:t>是否涉及优先采购节能产品</w:t>
            </w:r>
          </w:p>
        </w:tc>
        <w:tc>
          <w:tcPr>
            <w:tcW w:w="639" w:type="dxa"/>
          </w:tcPr>
          <w:p w14:paraId="79C2980B">
            <w:pPr>
              <w:pStyle w:val="4"/>
              <w:jc w:val="center"/>
            </w:pPr>
            <w:r>
              <w:rPr>
                <w:rFonts w:ascii="仿宋_GB2312" w:hAnsi="仿宋_GB2312" w:eastAsia="仿宋_GB2312" w:cs="仿宋_GB2312"/>
              </w:rPr>
              <w:t>是否涉及优先采购环境标志产品</w:t>
            </w:r>
          </w:p>
        </w:tc>
      </w:tr>
      <w:tr w14:paraId="146FB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09B5B8">
            <w:pPr>
              <w:pStyle w:val="4"/>
              <w:jc w:val="left"/>
            </w:pPr>
            <w:r>
              <w:rPr>
                <w:rFonts w:ascii="仿宋_GB2312" w:hAnsi="仿宋_GB2312" w:eastAsia="仿宋_GB2312" w:cs="仿宋_GB2312"/>
              </w:rPr>
              <w:t>1</w:t>
            </w:r>
          </w:p>
        </w:tc>
        <w:tc>
          <w:tcPr>
            <w:tcW w:w="821" w:type="dxa"/>
          </w:tcPr>
          <w:p w14:paraId="539A5C51">
            <w:pPr>
              <w:pStyle w:val="4"/>
              <w:jc w:val="left"/>
            </w:pPr>
            <w:r>
              <w:rPr>
                <w:rFonts w:ascii="仿宋_GB2312" w:hAnsi="仿宋_GB2312" w:eastAsia="仿宋_GB2312" w:cs="仿宋_GB2312"/>
              </w:rPr>
              <w:t>C02060000 培训服务</w:t>
            </w:r>
          </w:p>
        </w:tc>
        <w:tc>
          <w:tcPr>
            <w:tcW w:w="821" w:type="dxa"/>
          </w:tcPr>
          <w:p w14:paraId="6B9ADD72">
            <w:pPr>
              <w:pStyle w:val="4"/>
              <w:jc w:val="left"/>
            </w:pPr>
            <w:r>
              <w:rPr>
                <w:rFonts w:ascii="仿宋_GB2312" w:hAnsi="仿宋_GB2312" w:eastAsia="仿宋_GB2312" w:cs="仿宋_GB2312"/>
              </w:rPr>
              <w:t>2025年英国高水平大学及医院合作</w:t>
            </w:r>
          </w:p>
        </w:tc>
        <w:tc>
          <w:tcPr>
            <w:tcW w:w="821" w:type="dxa"/>
          </w:tcPr>
          <w:p w14:paraId="5A8010FC">
            <w:pPr>
              <w:pStyle w:val="4"/>
              <w:jc w:val="right"/>
            </w:pPr>
            <w:r>
              <w:rPr>
                <w:rFonts w:ascii="仿宋_GB2312" w:hAnsi="仿宋_GB2312" w:eastAsia="仿宋_GB2312" w:cs="仿宋_GB2312"/>
              </w:rPr>
              <w:t>1.00（项）</w:t>
            </w:r>
          </w:p>
        </w:tc>
        <w:tc>
          <w:tcPr>
            <w:tcW w:w="821" w:type="dxa"/>
          </w:tcPr>
          <w:p w14:paraId="1E98CEB1">
            <w:pPr>
              <w:pStyle w:val="4"/>
              <w:jc w:val="right"/>
            </w:pPr>
            <w:r>
              <w:rPr>
                <w:rFonts w:ascii="仿宋_GB2312" w:hAnsi="仿宋_GB2312" w:eastAsia="仿宋_GB2312" w:cs="仿宋_GB2312"/>
              </w:rPr>
              <w:t>1,300,000.00</w:t>
            </w:r>
          </w:p>
        </w:tc>
        <w:tc>
          <w:tcPr>
            <w:tcW w:w="821" w:type="dxa"/>
          </w:tcPr>
          <w:p w14:paraId="57B4516F">
            <w:pPr>
              <w:pStyle w:val="4"/>
              <w:jc w:val="left"/>
            </w:pPr>
            <w:r>
              <w:rPr>
                <w:rFonts w:ascii="仿宋_GB2312" w:hAnsi="仿宋_GB2312" w:eastAsia="仿宋_GB2312" w:cs="仿宋_GB2312"/>
              </w:rPr>
              <w:t>租赁和商务服务业</w:t>
            </w:r>
          </w:p>
        </w:tc>
        <w:tc>
          <w:tcPr>
            <w:tcW w:w="821" w:type="dxa"/>
          </w:tcPr>
          <w:p w14:paraId="2DE373A0">
            <w:pPr>
              <w:pStyle w:val="4"/>
              <w:jc w:val="left"/>
            </w:pPr>
            <w:r>
              <w:rPr>
                <w:rFonts w:ascii="仿宋_GB2312" w:hAnsi="仿宋_GB2312" w:eastAsia="仿宋_GB2312" w:cs="仿宋_GB2312"/>
              </w:rPr>
              <w:t>否</w:t>
            </w:r>
          </w:p>
        </w:tc>
        <w:tc>
          <w:tcPr>
            <w:tcW w:w="821" w:type="dxa"/>
          </w:tcPr>
          <w:p w14:paraId="696AD7DB">
            <w:pPr>
              <w:pStyle w:val="4"/>
              <w:jc w:val="left"/>
            </w:pPr>
            <w:r>
              <w:rPr>
                <w:rFonts w:ascii="仿宋_GB2312" w:hAnsi="仿宋_GB2312" w:eastAsia="仿宋_GB2312" w:cs="仿宋_GB2312"/>
              </w:rPr>
              <w:t>否</w:t>
            </w:r>
          </w:p>
        </w:tc>
        <w:tc>
          <w:tcPr>
            <w:tcW w:w="821" w:type="dxa"/>
          </w:tcPr>
          <w:p w14:paraId="63EFDE2C">
            <w:pPr>
              <w:pStyle w:val="4"/>
              <w:jc w:val="left"/>
            </w:pPr>
            <w:r>
              <w:rPr>
                <w:rFonts w:ascii="仿宋_GB2312" w:hAnsi="仿宋_GB2312" w:eastAsia="仿宋_GB2312" w:cs="仿宋_GB2312"/>
              </w:rPr>
              <w:t>否</w:t>
            </w:r>
          </w:p>
        </w:tc>
        <w:tc>
          <w:tcPr>
            <w:tcW w:w="639" w:type="dxa"/>
          </w:tcPr>
          <w:p w14:paraId="782FD7F3">
            <w:pPr>
              <w:pStyle w:val="4"/>
              <w:jc w:val="left"/>
            </w:pPr>
            <w:r>
              <w:rPr>
                <w:rFonts w:ascii="仿宋_GB2312" w:hAnsi="仿宋_GB2312" w:eastAsia="仿宋_GB2312" w:cs="仿宋_GB2312"/>
              </w:rPr>
              <w:t>否</w:t>
            </w:r>
          </w:p>
        </w:tc>
        <w:tc>
          <w:tcPr>
            <w:tcW w:w="639" w:type="dxa"/>
          </w:tcPr>
          <w:p w14:paraId="0843D712">
            <w:pPr>
              <w:pStyle w:val="4"/>
              <w:jc w:val="left"/>
            </w:pPr>
            <w:r>
              <w:rPr>
                <w:rFonts w:ascii="仿宋_GB2312" w:hAnsi="仿宋_GB2312" w:eastAsia="仿宋_GB2312" w:cs="仿宋_GB2312"/>
              </w:rPr>
              <w:t>否</w:t>
            </w:r>
          </w:p>
        </w:tc>
      </w:tr>
    </w:tbl>
    <w:p w14:paraId="5E082E1C">
      <w:pPr>
        <w:pStyle w:val="4"/>
        <w:jc w:val="left"/>
      </w:pPr>
      <w:r>
        <w:rPr>
          <w:rFonts w:ascii="仿宋_GB2312" w:hAnsi="仿宋_GB2312" w:eastAsia="仿宋_GB2312" w:cs="仿宋_GB2312"/>
        </w:rPr>
        <w:t>是否适用本国产品标准：</w:t>
      </w:r>
    </w:p>
    <w:p w14:paraId="069660C4">
      <w:pPr>
        <w:pStyle w:val="4"/>
        <w:jc w:val="left"/>
      </w:pPr>
      <w:r>
        <w:rPr>
          <w:rFonts w:ascii="仿宋_GB2312" w:hAnsi="仿宋_GB2312" w:eastAsia="仿宋_GB2312" w:cs="仿宋_GB2312"/>
        </w:rPr>
        <w:t>采购包1：否</w:t>
      </w:r>
    </w:p>
    <w:p w14:paraId="63034F5A">
      <w:pPr>
        <w:pStyle w:val="4"/>
        <w:jc w:val="left"/>
        <w:outlineLvl w:val="3"/>
      </w:pPr>
      <w:r>
        <w:rPr>
          <w:rFonts w:ascii="仿宋_GB2312" w:hAnsi="仿宋_GB2312" w:eastAsia="仿宋_GB2312" w:cs="仿宋_GB2312"/>
          <w:b/>
          <w:sz w:val="24"/>
        </w:rPr>
        <w:t>报价要求</w:t>
      </w:r>
    </w:p>
    <w:p w14:paraId="289931B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755F2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17A4323">
            <w:pPr>
              <w:pStyle w:val="4"/>
              <w:jc w:val="center"/>
            </w:pPr>
            <w:r>
              <w:rPr>
                <w:rFonts w:ascii="仿宋_GB2312" w:hAnsi="仿宋_GB2312" w:eastAsia="仿宋_GB2312" w:cs="仿宋_GB2312"/>
              </w:rPr>
              <w:t>序号</w:t>
            </w:r>
          </w:p>
        </w:tc>
        <w:tc>
          <w:tcPr>
            <w:tcW w:w="1759" w:type="dxa"/>
          </w:tcPr>
          <w:p w14:paraId="541E526F">
            <w:pPr>
              <w:pStyle w:val="4"/>
              <w:jc w:val="center"/>
            </w:pPr>
            <w:r>
              <w:rPr>
                <w:rFonts w:ascii="仿宋_GB2312" w:hAnsi="仿宋_GB2312" w:eastAsia="仿宋_GB2312" w:cs="仿宋_GB2312"/>
              </w:rPr>
              <w:t>报价内容</w:t>
            </w:r>
          </w:p>
        </w:tc>
        <w:tc>
          <w:tcPr>
            <w:tcW w:w="977" w:type="dxa"/>
          </w:tcPr>
          <w:p w14:paraId="76644B62">
            <w:pPr>
              <w:pStyle w:val="4"/>
              <w:jc w:val="center"/>
            </w:pPr>
            <w:r>
              <w:rPr>
                <w:rFonts w:ascii="仿宋_GB2312" w:hAnsi="仿宋_GB2312" w:eastAsia="仿宋_GB2312" w:cs="仿宋_GB2312"/>
              </w:rPr>
              <w:t>计量单位</w:t>
            </w:r>
          </w:p>
        </w:tc>
        <w:tc>
          <w:tcPr>
            <w:tcW w:w="977" w:type="dxa"/>
          </w:tcPr>
          <w:p w14:paraId="56C2BB1A">
            <w:pPr>
              <w:pStyle w:val="4"/>
              <w:jc w:val="center"/>
            </w:pPr>
            <w:r>
              <w:rPr>
                <w:rFonts w:ascii="仿宋_GB2312" w:hAnsi="仿宋_GB2312" w:eastAsia="仿宋_GB2312" w:cs="仿宋_GB2312"/>
              </w:rPr>
              <w:t>报价单位</w:t>
            </w:r>
          </w:p>
        </w:tc>
        <w:tc>
          <w:tcPr>
            <w:tcW w:w="1466" w:type="dxa"/>
          </w:tcPr>
          <w:p w14:paraId="191FFD0C">
            <w:pPr>
              <w:pStyle w:val="4"/>
              <w:jc w:val="center"/>
            </w:pPr>
            <w:r>
              <w:rPr>
                <w:rFonts w:ascii="仿宋_GB2312" w:hAnsi="仿宋_GB2312" w:eastAsia="仿宋_GB2312" w:cs="仿宋_GB2312"/>
              </w:rPr>
              <w:t>最高限价</w:t>
            </w:r>
          </w:p>
        </w:tc>
        <w:tc>
          <w:tcPr>
            <w:tcW w:w="977" w:type="dxa"/>
          </w:tcPr>
          <w:p w14:paraId="20B44514">
            <w:pPr>
              <w:pStyle w:val="4"/>
              <w:jc w:val="center"/>
            </w:pPr>
            <w:r>
              <w:rPr>
                <w:rFonts w:ascii="仿宋_GB2312" w:hAnsi="仿宋_GB2312" w:eastAsia="仿宋_GB2312" w:cs="仿宋_GB2312"/>
              </w:rPr>
              <w:t>价款形式</w:t>
            </w:r>
          </w:p>
        </w:tc>
        <w:tc>
          <w:tcPr>
            <w:tcW w:w="1466" w:type="dxa"/>
          </w:tcPr>
          <w:p w14:paraId="29550F6A">
            <w:pPr>
              <w:pStyle w:val="4"/>
              <w:jc w:val="center"/>
            </w:pPr>
            <w:r>
              <w:rPr>
                <w:rFonts w:ascii="仿宋_GB2312" w:hAnsi="仿宋_GB2312" w:eastAsia="仿宋_GB2312" w:cs="仿宋_GB2312"/>
              </w:rPr>
              <w:t>报价说明</w:t>
            </w:r>
          </w:p>
        </w:tc>
      </w:tr>
      <w:tr w14:paraId="050DA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68C66A4">
            <w:pPr>
              <w:pStyle w:val="4"/>
              <w:jc w:val="center"/>
            </w:pPr>
            <w:r>
              <w:rPr>
                <w:rFonts w:ascii="仿宋_GB2312" w:hAnsi="仿宋_GB2312" w:eastAsia="仿宋_GB2312" w:cs="仿宋_GB2312"/>
              </w:rPr>
              <w:t>1</w:t>
            </w:r>
          </w:p>
        </w:tc>
        <w:tc>
          <w:tcPr>
            <w:tcW w:w="1759" w:type="dxa"/>
          </w:tcPr>
          <w:p w14:paraId="4F9FAD2E">
            <w:pPr>
              <w:pStyle w:val="4"/>
              <w:jc w:val="center"/>
            </w:pPr>
            <w:r>
              <w:rPr>
                <w:rFonts w:ascii="仿宋_GB2312" w:hAnsi="仿宋_GB2312" w:eastAsia="仿宋_GB2312" w:cs="仿宋_GB2312"/>
              </w:rPr>
              <w:t>2025年英国高水平大学及医院合作</w:t>
            </w:r>
          </w:p>
        </w:tc>
        <w:tc>
          <w:tcPr>
            <w:tcW w:w="977" w:type="dxa"/>
          </w:tcPr>
          <w:p w14:paraId="5243C4FE">
            <w:pPr>
              <w:pStyle w:val="4"/>
              <w:jc w:val="center"/>
            </w:pPr>
            <w:r>
              <w:rPr>
                <w:rFonts w:ascii="仿宋_GB2312" w:hAnsi="仿宋_GB2312" w:eastAsia="仿宋_GB2312" w:cs="仿宋_GB2312"/>
              </w:rPr>
              <w:t>项</w:t>
            </w:r>
          </w:p>
        </w:tc>
        <w:tc>
          <w:tcPr>
            <w:tcW w:w="977" w:type="dxa"/>
          </w:tcPr>
          <w:p w14:paraId="5C25C8E2">
            <w:pPr>
              <w:pStyle w:val="4"/>
              <w:jc w:val="center"/>
            </w:pPr>
            <w:r>
              <w:rPr>
                <w:rFonts w:ascii="仿宋_GB2312" w:hAnsi="仿宋_GB2312" w:eastAsia="仿宋_GB2312" w:cs="仿宋_GB2312"/>
              </w:rPr>
              <w:t>元</w:t>
            </w:r>
          </w:p>
        </w:tc>
        <w:tc>
          <w:tcPr>
            <w:tcW w:w="1466" w:type="dxa"/>
          </w:tcPr>
          <w:p w14:paraId="2959F4DB">
            <w:pPr>
              <w:pStyle w:val="4"/>
              <w:jc w:val="center"/>
            </w:pPr>
            <w:r>
              <w:rPr>
                <w:rFonts w:ascii="仿宋_GB2312" w:hAnsi="仿宋_GB2312" w:eastAsia="仿宋_GB2312" w:cs="仿宋_GB2312"/>
              </w:rPr>
              <w:t>1,300,000.00</w:t>
            </w:r>
          </w:p>
        </w:tc>
        <w:tc>
          <w:tcPr>
            <w:tcW w:w="977" w:type="dxa"/>
          </w:tcPr>
          <w:p w14:paraId="1DC2C762">
            <w:pPr>
              <w:pStyle w:val="4"/>
              <w:jc w:val="center"/>
            </w:pPr>
            <w:r>
              <w:rPr>
                <w:rFonts w:ascii="仿宋_GB2312" w:hAnsi="仿宋_GB2312" w:eastAsia="仿宋_GB2312" w:cs="仿宋_GB2312"/>
              </w:rPr>
              <w:t>单价</w:t>
            </w:r>
          </w:p>
        </w:tc>
        <w:tc>
          <w:tcPr>
            <w:tcW w:w="1466" w:type="dxa"/>
          </w:tcPr>
          <w:p w14:paraId="63E6C625">
            <w:pPr>
              <w:pStyle w:val="4"/>
              <w:jc w:val="left"/>
            </w:pPr>
            <w:r>
              <w:rPr>
                <w:rFonts w:ascii="仿宋_GB2312" w:hAnsi="仿宋_GB2312" w:eastAsia="仿宋_GB2312" w:cs="仿宋_GB2312"/>
              </w:rPr>
              <w:t>无</w:t>
            </w:r>
          </w:p>
        </w:tc>
      </w:tr>
    </w:tbl>
    <w:p w14:paraId="4660B586">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3E4199A9">
      <w:pPr>
        <w:pStyle w:val="4"/>
        <w:jc w:val="left"/>
      </w:pPr>
      <w:r>
        <w:rPr>
          <w:rFonts w:ascii="仿宋_GB2312" w:hAnsi="仿宋_GB2312" w:eastAsia="仿宋_GB2312" w:cs="仿宋_GB2312"/>
          <w:b/>
        </w:rPr>
        <w:t>本项目涉及核心产品：</w:t>
      </w:r>
    </w:p>
    <w:p w14:paraId="3A8662D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541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6A2550">
            <w:pPr>
              <w:pStyle w:val="4"/>
              <w:jc w:val="center"/>
            </w:pPr>
            <w:r>
              <w:rPr>
                <w:rFonts w:ascii="仿宋_GB2312" w:hAnsi="仿宋_GB2312" w:eastAsia="仿宋_GB2312" w:cs="仿宋_GB2312"/>
              </w:rPr>
              <w:t>序号</w:t>
            </w:r>
          </w:p>
        </w:tc>
        <w:tc>
          <w:tcPr>
            <w:tcW w:w="2492" w:type="dxa"/>
          </w:tcPr>
          <w:p w14:paraId="1C1592E2">
            <w:pPr>
              <w:pStyle w:val="4"/>
              <w:jc w:val="center"/>
            </w:pPr>
            <w:r>
              <w:rPr>
                <w:rFonts w:ascii="仿宋_GB2312" w:hAnsi="仿宋_GB2312" w:eastAsia="仿宋_GB2312" w:cs="仿宋_GB2312"/>
              </w:rPr>
              <w:t>采购品目名称</w:t>
            </w:r>
          </w:p>
        </w:tc>
        <w:tc>
          <w:tcPr>
            <w:tcW w:w="2492" w:type="dxa"/>
          </w:tcPr>
          <w:p w14:paraId="712C36F4">
            <w:pPr>
              <w:pStyle w:val="4"/>
              <w:jc w:val="center"/>
            </w:pPr>
            <w:r>
              <w:rPr>
                <w:rFonts w:ascii="仿宋_GB2312" w:hAnsi="仿宋_GB2312" w:eastAsia="仿宋_GB2312" w:cs="仿宋_GB2312"/>
              </w:rPr>
              <w:t>标的名称</w:t>
            </w:r>
          </w:p>
        </w:tc>
        <w:tc>
          <w:tcPr>
            <w:tcW w:w="2492" w:type="dxa"/>
          </w:tcPr>
          <w:p w14:paraId="355A9133">
            <w:pPr>
              <w:pStyle w:val="4"/>
              <w:jc w:val="center"/>
            </w:pPr>
            <w:r>
              <w:rPr>
                <w:rFonts w:ascii="仿宋_GB2312" w:hAnsi="仿宋_GB2312" w:eastAsia="仿宋_GB2312" w:cs="仿宋_GB2312"/>
              </w:rPr>
              <w:t>产品名称</w:t>
            </w:r>
          </w:p>
        </w:tc>
      </w:tr>
      <w:tr w14:paraId="42660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D1A234A">
            <w:pPr>
              <w:pStyle w:val="4"/>
              <w:jc w:val="center"/>
            </w:pPr>
            <w:r>
              <w:rPr>
                <w:rFonts w:ascii="仿宋_GB2312" w:hAnsi="仿宋_GB2312" w:eastAsia="仿宋_GB2312" w:cs="仿宋_GB2312"/>
              </w:rPr>
              <w:t>不涉及</w:t>
            </w:r>
          </w:p>
        </w:tc>
      </w:tr>
    </w:tbl>
    <w:p w14:paraId="3122DA24">
      <w:pPr>
        <w:pStyle w:val="4"/>
        <w:ind w:firstLine="480"/>
        <w:jc w:val="left"/>
      </w:pPr>
      <w:r>
        <w:rPr>
          <w:rFonts w:ascii="仿宋_GB2312" w:hAnsi="仿宋_GB2312" w:eastAsia="仿宋_GB2312" w:cs="仿宋_GB2312"/>
        </w:rPr>
        <w:t>注：涉及核心产品的，具体评审规定见第五章。</w:t>
      </w:r>
    </w:p>
    <w:p w14:paraId="2700087B">
      <w:pPr>
        <w:pStyle w:val="4"/>
        <w:jc w:val="left"/>
        <w:outlineLvl w:val="3"/>
      </w:pPr>
      <w:r>
        <w:rPr>
          <w:rFonts w:ascii="仿宋_GB2312" w:hAnsi="仿宋_GB2312" w:eastAsia="仿宋_GB2312" w:cs="仿宋_GB2312"/>
          <w:b/>
          <w:sz w:val="24"/>
        </w:rPr>
        <w:t>本项目涉及采购进口产品：</w:t>
      </w:r>
    </w:p>
    <w:p w14:paraId="14063D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E63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E3414">
            <w:pPr>
              <w:pStyle w:val="4"/>
              <w:jc w:val="center"/>
            </w:pPr>
            <w:r>
              <w:rPr>
                <w:rFonts w:ascii="仿宋_GB2312" w:hAnsi="仿宋_GB2312" w:eastAsia="仿宋_GB2312" w:cs="仿宋_GB2312"/>
              </w:rPr>
              <w:t>序号</w:t>
            </w:r>
          </w:p>
        </w:tc>
        <w:tc>
          <w:tcPr>
            <w:tcW w:w="2492" w:type="dxa"/>
          </w:tcPr>
          <w:p w14:paraId="26B1CBCC">
            <w:pPr>
              <w:pStyle w:val="4"/>
              <w:jc w:val="center"/>
            </w:pPr>
            <w:r>
              <w:rPr>
                <w:rFonts w:ascii="仿宋_GB2312" w:hAnsi="仿宋_GB2312" w:eastAsia="仿宋_GB2312" w:cs="仿宋_GB2312"/>
              </w:rPr>
              <w:t>采购品目名称</w:t>
            </w:r>
          </w:p>
        </w:tc>
        <w:tc>
          <w:tcPr>
            <w:tcW w:w="2492" w:type="dxa"/>
          </w:tcPr>
          <w:p w14:paraId="25D8E148">
            <w:pPr>
              <w:pStyle w:val="4"/>
              <w:jc w:val="center"/>
            </w:pPr>
            <w:r>
              <w:rPr>
                <w:rFonts w:ascii="仿宋_GB2312" w:hAnsi="仿宋_GB2312" w:eastAsia="仿宋_GB2312" w:cs="仿宋_GB2312"/>
              </w:rPr>
              <w:t>标的名称</w:t>
            </w:r>
          </w:p>
        </w:tc>
        <w:tc>
          <w:tcPr>
            <w:tcW w:w="2492" w:type="dxa"/>
          </w:tcPr>
          <w:p w14:paraId="6D47D338">
            <w:pPr>
              <w:pStyle w:val="4"/>
              <w:jc w:val="center"/>
            </w:pPr>
            <w:r>
              <w:rPr>
                <w:rFonts w:ascii="仿宋_GB2312" w:hAnsi="仿宋_GB2312" w:eastAsia="仿宋_GB2312" w:cs="仿宋_GB2312"/>
              </w:rPr>
              <w:t>产品名称</w:t>
            </w:r>
          </w:p>
        </w:tc>
      </w:tr>
      <w:tr w14:paraId="1A9BF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8FE38D9">
            <w:pPr>
              <w:pStyle w:val="4"/>
              <w:jc w:val="center"/>
            </w:pPr>
            <w:r>
              <w:rPr>
                <w:rFonts w:ascii="仿宋_GB2312" w:hAnsi="仿宋_GB2312" w:eastAsia="仿宋_GB2312" w:cs="仿宋_GB2312"/>
              </w:rPr>
              <w:t>不涉及</w:t>
            </w:r>
          </w:p>
        </w:tc>
      </w:tr>
    </w:tbl>
    <w:p w14:paraId="523F5D48">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231DBD3C">
      <w:pPr>
        <w:pStyle w:val="4"/>
        <w:jc w:val="left"/>
        <w:outlineLvl w:val="3"/>
      </w:pPr>
      <w:r>
        <w:rPr>
          <w:rFonts w:ascii="仿宋_GB2312" w:hAnsi="仿宋_GB2312" w:eastAsia="仿宋_GB2312" w:cs="仿宋_GB2312"/>
          <w:b/>
          <w:sz w:val="24"/>
        </w:rPr>
        <w:t>本项目涉及强制采购节能产品：</w:t>
      </w:r>
    </w:p>
    <w:p w14:paraId="4BA2112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CD4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CEFE3E">
            <w:pPr>
              <w:pStyle w:val="4"/>
              <w:jc w:val="center"/>
            </w:pPr>
            <w:r>
              <w:rPr>
                <w:rFonts w:ascii="仿宋_GB2312" w:hAnsi="仿宋_GB2312" w:eastAsia="仿宋_GB2312" w:cs="仿宋_GB2312"/>
              </w:rPr>
              <w:t>序号</w:t>
            </w:r>
          </w:p>
        </w:tc>
        <w:tc>
          <w:tcPr>
            <w:tcW w:w="2492" w:type="dxa"/>
          </w:tcPr>
          <w:p w14:paraId="1504E054">
            <w:pPr>
              <w:pStyle w:val="4"/>
              <w:jc w:val="center"/>
            </w:pPr>
            <w:r>
              <w:rPr>
                <w:rFonts w:ascii="仿宋_GB2312" w:hAnsi="仿宋_GB2312" w:eastAsia="仿宋_GB2312" w:cs="仿宋_GB2312"/>
              </w:rPr>
              <w:t>采购品目名称</w:t>
            </w:r>
          </w:p>
        </w:tc>
        <w:tc>
          <w:tcPr>
            <w:tcW w:w="2492" w:type="dxa"/>
          </w:tcPr>
          <w:p w14:paraId="5C5AC19B">
            <w:pPr>
              <w:pStyle w:val="4"/>
              <w:jc w:val="center"/>
            </w:pPr>
            <w:r>
              <w:rPr>
                <w:rFonts w:ascii="仿宋_GB2312" w:hAnsi="仿宋_GB2312" w:eastAsia="仿宋_GB2312" w:cs="仿宋_GB2312"/>
              </w:rPr>
              <w:t>标的名称</w:t>
            </w:r>
          </w:p>
        </w:tc>
        <w:tc>
          <w:tcPr>
            <w:tcW w:w="2492" w:type="dxa"/>
          </w:tcPr>
          <w:p w14:paraId="570F07C1">
            <w:pPr>
              <w:pStyle w:val="4"/>
              <w:jc w:val="center"/>
            </w:pPr>
            <w:r>
              <w:rPr>
                <w:rFonts w:ascii="仿宋_GB2312" w:hAnsi="仿宋_GB2312" w:eastAsia="仿宋_GB2312" w:cs="仿宋_GB2312"/>
              </w:rPr>
              <w:t>产品名称</w:t>
            </w:r>
          </w:p>
        </w:tc>
      </w:tr>
      <w:tr w14:paraId="64E6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69B6CF">
            <w:pPr>
              <w:pStyle w:val="4"/>
              <w:jc w:val="center"/>
            </w:pPr>
            <w:r>
              <w:rPr>
                <w:rFonts w:ascii="仿宋_GB2312" w:hAnsi="仿宋_GB2312" w:eastAsia="仿宋_GB2312" w:cs="仿宋_GB2312"/>
              </w:rPr>
              <w:t>不涉及</w:t>
            </w:r>
          </w:p>
        </w:tc>
      </w:tr>
    </w:tbl>
    <w:p w14:paraId="1B759C3B">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52787E5">
      <w:pPr>
        <w:pStyle w:val="4"/>
        <w:jc w:val="left"/>
      </w:pPr>
      <w:r>
        <w:rPr>
          <w:rFonts w:ascii="仿宋_GB2312" w:hAnsi="仿宋_GB2312" w:eastAsia="仿宋_GB2312" w:cs="仿宋_GB2312"/>
          <w:b/>
        </w:rPr>
        <w:t>本项目涉及优先采购节能产品：</w:t>
      </w:r>
    </w:p>
    <w:p w14:paraId="64434A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62B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77799">
            <w:pPr>
              <w:pStyle w:val="4"/>
              <w:jc w:val="center"/>
            </w:pPr>
            <w:r>
              <w:rPr>
                <w:rFonts w:ascii="仿宋_GB2312" w:hAnsi="仿宋_GB2312" w:eastAsia="仿宋_GB2312" w:cs="仿宋_GB2312"/>
              </w:rPr>
              <w:t>序号</w:t>
            </w:r>
          </w:p>
        </w:tc>
        <w:tc>
          <w:tcPr>
            <w:tcW w:w="2492" w:type="dxa"/>
          </w:tcPr>
          <w:p w14:paraId="77DA5F01">
            <w:pPr>
              <w:pStyle w:val="4"/>
              <w:jc w:val="center"/>
            </w:pPr>
            <w:r>
              <w:rPr>
                <w:rFonts w:ascii="仿宋_GB2312" w:hAnsi="仿宋_GB2312" w:eastAsia="仿宋_GB2312" w:cs="仿宋_GB2312"/>
              </w:rPr>
              <w:t>采购品目名称</w:t>
            </w:r>
          </w:p>
        </w:tc>
        <w:tc>
          <w:tcPr>
            <w:tcW w:w="2492" w:type="dxa"/>
          </w:tcPr>
          <w:p w14:paraId="2935E624">
            <w:pPr>
              <w:pStyle w:val="4"/>
              <w:jc w:val="center"/>
            </w:pPr>
            <w:r>
              <w:rPr>
                <w:rFonts w:ascii="仿宋_GB2312" w:hAnsi="仿宋_GB2312" w:eastAsia="仿宋_GB2312" w:cs="仿宋_GB2312"/>
              </w:rPr>
              <w:t>标的名称</w:t>
            </w:r>
          </w:p>
        </w:tc>
        <w:tc>
          <w:tcPr>
            <w:tcW w:w="2492" w:type="dxa"/>
          </w:tcPr>
          <w:p w14:paraId="6C40DAC4">
            <w:pPr>
              <w:pStyle w:val="4"/>
              <w:jc w:val="center"/>
            </w:pPr>
            <w:r>
              <w:rPr>
                <w:rFonts w:ascii="仿宋_GB2312" w:hAnsi="仿宋_GB2312" w:eastAsia="仿宋_GB2312" w:cs="仿宋_GB2312"/>
              </w:rPr>
              <w:t>产品名称</w:t>
            </w:r>
          </w:p>
        </w:tc>
      </w:tr>
      <w:tr w14:paraId="257E1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F7DE46">
            <w:pPr>
              <w:pStyle w:val="4"/>
              <w:jc w:val="center"/>
            </w:pPr>
            <w:r>
              <w:rPr>
                <w:rFonts w:ascii="仿宋_GB2312" w:hAnsi="仿宋_GB2312" w:eastAsia="仿宋_GB2312" w:cs="仿宋_GB2312"/>
              </w:rPr>
              <w:t>不涉及</w:t>
            </w:r>
          </w:p>
        </w:tc>
      </w:tr>
    </w:tbl>
    <w:p w14:paraId="6B8A8D80">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D273FB5">
      <w:pPr>
        <w:pStyle w:val="4"/>
        <w:jc w:val="left"/>
        <w:outlineLvl w:val="3"/>
      </w:pPr>
      <w:r>
        <w:rPr>
          <w:rFonts w:ascii="仿宋_GB2312" w:hAnsi="仿宋_GB2312" w:eastAsia="仿宋_GB2312" w:cs="仿宋_GB2312"/>
          <w:b/>
          <w:sz w:val="24"/>
        </w:rPr>
        <w:t>本项目涉及优先采购环境标志产品：</w:t>
      </w:r>
    </w:p>
    <w:p w14:paraId="2AED918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4A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EFB06E">
            <w:pPr>
              <w:pStyle w:val="4"/>
              <w:jc w:val="center"/>
            </w:pPr>
            <w:r>
              <w:rPr>
                <w:rFonts w:ascii="仿宋_GB2312" w:hAnsi="仿宋_GB2312" w:eastAsia="仿宋_GB2312" w:cs="仿宋_GB2312"/>
              </w:rPr>
              <w:t>序号</w:t>
            </w:r>
          </w:p>
        </w:tc>
        <w:tc>
          <w:tcPr>
            <w:tcW w:w="2492" w:type="dxa"/>
          </w:tcPr>
          <w:p w14:paraId="25BF684A">
            <w:pPr>
              <w:pStyle w:val="4"/>
              <w:jc w:val="center"/>
            </w:pPr>
            <w:r>
              <w:rPr>
                <w:rFonts w:ascii="仿宋_GB2312" w:hAnsi="仿宋_GB2312" w:eastAsia="仿宋_GB2312" w:cs="仿宋_GB2312"/>
              </w:rPr>
              <w:t>采购品目名称</w:t>
            </w:r>
          </w:p>
        </w:tc>
        <w:tc>
          <w:tcPr>
            <w:tcW w:w="2492" w:type="dxa"/>
          </w:tcPr>
          <w:p w14:paraId="4F0ECF62">
            <w:pPr>
              <w:pStyle w:val="4"/>
              <w:jc w:val="center"/>
            </w:pPr>
            <w:r>
              <w:rPr>
                <w:rFonts w:ascii="仿宋_GB2312" w:hAnsi="仿宋_GB2312" w:eastAsia="仿宋_GB2312" w:cs="仿宋_GB2312"/>
              </w:rPr>
              <w:t>标的名称</w:t>
            </w:r>
          </w:p>
        </w:tc>
        <w:tc>
          <w:tcPr>
            <w:tcW w:w="2492" w:type="dxa"/>
          </w:tcPr>
          <w:p w14:paraId="7DC739FF">
            <w:pPr>
              <w:pStyle w:val="4"/>
              <w:jc w:val="center"/>
            </w:pPr>
            <w:r>
              <w:rPr>
                <w:rFonts w:ascii="仿宋_GB2312" w:hAnsi="仿宋_GB2312" w:eastAsia="仿宋_GB2312" w:cs="仿宋_GB2312"/>
              </w:rPr>
              <w:t>产品名称</w:t>
            </w:r>
          </w:p>
        </w:tc>
      </w:tr>
      <w:tr w14:paraId="169D1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7796DF">
            <w:pPr>
              <w:pStyle w:val="4"/>
              <w:jc w:val="center"/>
            </w:pPr>
            <w:r>
              <w:rPr>
                <w:rFonts w:ascii="仿宋_GB2312" w:hAnsi="仿宋_GB2312" w:eastAsia="仿宋_GB2312" w:cs="仿宋_GB2312"/>
              </w:rPr>
              <w:t>不涉及</w:t>
            </w:r>
          </w:p>
        </w:tc>
      </w:tr>
    </w:tbl>
    <w:p w14:paraId="68879504">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CFD035E">
      <w:pPr>
        <w:pStyle w:val="4"/>
        <w:jc w:val="left"/>
        <w:outlineLvl w:val="2"/>
      </w:pPr>
      <w:r>
        <w:rPr>
          <w:rFonts w:ascii="仿宋_GB2312" w:hAnsi="仿宋_GB2312" w:eastAsia="仿宋_GB2312" w:cs="仿宋_GB2312"/>
          <w:b/>
          <w:sz w:val="28"/>
        </w:rPr>
        <w:t>3.2.技术要求</w:t>
      </w:r>
    </w:p>
    <w:p w14:paraId="5CC38281">
      <w:pPr>
        <w:pStyle w:val="4"/>
        <w:jc w:val="left"/>
      </w:pPr>
      <w:r>
        <w:rPr>
          <w:rFonts w:ascii="仿宋_GB2312" w:hAnsi="仿宋_GB2312" w:eastAsia="仿宋_GB2312" w:cs="仿宋_GB2312"/>
        </w:rPr>
        <w:t>采购包1：</w:t>
      </w:r>
    </w:p>
    <w:p w14:paraId="0B121FD2">
      <w:pPr>
        <w:pStyle w:val="4"/>
        <w:jc w:val="left"/>
      </w:pPr>
      <w:r>
        <w:rPr>
          <w:rFonts w:ascii="仿宋_GB2312" w:hAnsi="仿宋_GB2312" w:eastAsia="仿宋_GB2312" w:cs="仿宋_GB2312"/>
        </w:rPr>
        <w:t>标的名称：2025年英国高水平大学及医院合作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713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A87854D">
            <w:pPr>
              <w:pStyle w:val="4"/>
              <w:jc w:val="center"/>
            </w:pPr>
            <w:r>
              <w:rPr>
                <w:rFonts w:ascii="仿宋_GB2312" w:hAnsi="仿宋_GB2312" w:eastAsia="仿宋_GB2312" w:cs="仿宋_GB2312"/>
              </w:rPr>
              <w:t>序号</w:t>
            </w:r>
          </w:p>
        </w:tc>
        <w:tc>
          <w:tcPr>
            <w:tcW w:w="581" w:type="dxa"/>
          </w:tcPr>
          <w:p w14:paraId="652FAC77">
            <w:pPr>
              <w:pStyle w:val="4"/>
              <w:jc w:val="center"/>
            </w:pPr>
            <w:r>
              <w:rPr>
                <w:rFonts w:ascii="仿宋_GB2312" w:hAnsi="仿宋_GB2312" w:eastAsia="仿宋_GB2312" w:cs="仿宋_GB2312"/>
              </w:rPr>
              <w:t>符号标识</w:t>
            </w:r>
          </w:p>
        </w:tc>
        <w:tc>
          <w:tcPr>
            <w:tcW w:w="1495" w:type="dxa"/>
          </w:tcPr>
          <w:p w14:paraId="4B92D673">
            <w:pPr>
              <w:pStyle w:val="4"/>
              <w:jc w:val="center"/>
            </w:pPr>
            <w:r>
              <w:rPr>
                <w:rFonts w:ascii="仿宋_GB2312" w:hAnsi="仿宋_GB2312" w:eastAsia="仿宋_GB2312" w:cs="仿宋_GB2312"/>
              </w:rPr>
              <w:t>技术要求名称</w:t>
            </w:r>
          </w:p>
        </w:tc>
        <w:tc>
          <w:tcPr>
            <w:tcW w:w="5814" w:type="dxa"/>
          </w:tcPr>
          <w:p w14:paraId="57593293">
            <w:pPr>
              <w:pStyle w:val="4"/>
              <w:jc w:val="center"/>
            </w:pPr>
            <w:r>
              <w:rPr>
                <w:rFonts w:ascii="仿宋_GB2312" w:hAnsi="仿宋_GB2312" w:eastAsia="仿宋_GB2312" w:cs="仿宋_GB2312"/>
              </w:rPr>
              <w:t>技术参数与性能指标</w:t>
            </w:r>
          </w:p>
        </w:tc>
      </w:tr>
      <w:tr w14:paraId="02BC8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B88B1B">
            <w:pPr>
              <w:pStyle w:val="4"/>
              <w:jc w:val="center"/>
            </w:pPr>
            <w:r>
              <w:rPr>
                <w:rFonts w:ascii="仿宋_GB2312" w:hAnsi="仿宋_GB2312" w:eastAsia="仿宋_GB2312" w:cs="仿宋_GB2312"/>
              </w:rPr>
              <w:t>1</w:t>
            </w:r>
          </w:p>
        </w:tc>
        <w:tc>
          <w:tcPr>
            <w:tcW w:w="581" w:type="dxa"/>
          </w:tcPr>
          <w:p w14:paraId="0A9F8A95"/>
        </w:tc>
        <w:tc>
          <w:tcPr>
            <w:tcW w:w="1495" w:type="dxa"/>
          </w:tcPr>
          <w:p w14:paraId="39204AC2">
            <w:pPr>
              <w:pStyle w:val="4"/>
              <w:jc w:val="left"/>
            </w:pPr>
            <w:r>
              <w:rPr>
                <w:rFonts w:ascii="仿宋_GB2312" w:hAnsi="仿宋_GB2312" w:eastAsia="仿宋_GB2312" w:cs="仿宋_GB2312"/>
              </w:rPr>
              <w:t>技术要求</w:t>
            </w:r>
          </w:p>
        </w:tc>
        <w:tc>
          <w:tcPr>
            <w:tcW w:w="5814" w:type="dxa"/>
          </w:tcPr>
          <w:p w14:paraId="5E6A8EA7">
            <w:pPr>
              <w:pStyle w:val="4"/>
              <w:ind w:left="645"/>
              <w:jc w:val="both"/>
            </w:pPr>
            <w:r>
              <w:rPr>
                <w:rFonts w:ascii="仿宋_GB2312" w:hAnsi="仿宋_GB2312" w:eastAsia="仿宋_GB2312" w:cs="仿宋_GB2312"/>
                <w:sz w:val="32"/>
              </w:rPr>
              <w:t>技术要求（功能和质量要求）：</w:t>
            </w:r>
          </w:p>
          <w:p w14:paraId="3B28552C">
            <w:pPr>
              <w:pStyle w:val="4"/>
              <w:ind w:firstLine="640"/>
              <w:jc w:val="both"/>
            </w:pPr>
            <w:r>
              <w:rPr>
                <w:rFonts w:ascii="仿宋_GB2312" w:hAnsi="仿宋_GB2312" w:eastAsia="仿宋_GB2312" w:cs="仿宋_GB2312"/>
                <w:sz w:val="32"/>
              </w:rPr>
              <w:t>★1、总体要求</w:t>
            </w:r>
          </w:p>
          <w:p w14:paraId="6A53E204">
            <w:pPr>
              <w:pStyle w:val="4"/>
              <w:ind w:firstLine="640"/>
              <w:jc w:val="both"/>
            </w:pPr>
            <w:r>
              <w:rPr>
                <w:rFonts w:ascii="仿宋_GB2312" w:hAnsi="仿宋_GB2312" w:eastAsia="仿宋_GB2312" w:cs="仿宋_GB2312"/>
                <w:sz w:val="32"/>
              </w:rPr>
              <w:t>供应商根据采购人的访问需求，精准对接英国高水平大学及医院相关负责人及学科带头人（英国高水平大学及医院是指符合2025年QS世界大学排名前100、2025年THE世界大学排名前十，2025年ARWU世界大学排名前十其中一条的英国各类公立大学的附属医院），并能安排采购人与上述负责人及学科带头人线下面对面交流及会谈，确定与英方可以开展并落地双方人员互访交流和英国顶级专家聘任、临床和科研合作项目、“外科培训基地”共建等工作。供应商接到采购人技术服务各项通知后24小时内响应，同时在72小时内向采购人提供详细服务方案。</w:t>
            </w:r>
          </w:p>
          <w:p w14:paraId="4835A300">
            <w:pPr>
              <w:pStyle w:val="4"/>
              <w:ind w:left="645"/>
              <w:jc w:val="both"/>
            </w:pPr>
            <w:r>
              <w:rPr>
                <w:rFonts w:ascii="仿宋_GB2312" w:hAnsi="仿宋_GB2312" w:eastAsia="仿宋_GB2312" w:cs="仿宋_GB2312"/>
                <w:b/>
                <w:sz w:val="32"/>
              </w:rPr>
              <w:t>2、临床及学术互访交流</w:t>
            </w:r>
          </w:p>
          <w:p w14:paraId="10BBB184">
            <w:pPr>
              <w:pStyle w:val="4"/>
              <w:ind w:firstLine="643"/>
              <w:jc w:val="both"/>
            </w:pPr>
            <w:r>
              <w:rPr>
                <w:rFonts w:ascii="仿宋_GB2312" w:hAnsi="仿宋_GB2312" w:eastAsia="仿宋_GB2312" w:cs="仿宋_GB2312"/>
                <w:b/>
                <w:sz w:val="32"/>
              </w:rPr>
              <w:t>2.1、在线视频培训（含翻译）</w:t>
            </w:r>
          </w:p>
          <w:p w14:paraId="00A778B3">
            <w:pPr>
              <w:pStyle w:val="4"/>
              <w:ind w:firstLine="640"/>
              <w:jc w:val="both"/>
            </w:pPr>
            <w:r>
              <w:rPr>
                <w:rFonts w:ascii="仿宋_GB2312" w:hAnsi="仿宋_GB2312" w:eastAsia="仿宋_GB2312" w:cs="仿宋_GB2312"/>
                <w:sz w:val="32"/>
              </w:rPr>
              <w:t>（1）签订合同后需提供详细的培训计划和培训方案。</w:t>
            </w:r>
          </w:p>
          <w:p w14:paraId="1F347D93">
            <w:pPr>
              <w:pStyle w:val="4"/>
              <w:ind w:firstLine="640"/>
              <w:jc w:val="both"/>
            </w:pPr>
            <w:r>
              <w:rPr>
                <w:rFonts w:ascii="仿宋_GB2312" w:hAnsi="仿宋_GB2312" w:eastAsia="仿宋_GB2312" w:cs="仿宋_GB2312"/>
                <w:sz w:val="32"/>
              </w:rPr>
              <w:t>★（2）供应商作为采购人与英国高水平大学及医院沟通的桥梁，配合采购人要求英国高水平大学及医院为本项目配备专家团队，针对不同的培训内容安排英国合作大学及医院授课老师计划开展授课，要求授课讲师需全部为英国合作大学及医院在职副教授及以上职称或医学博士的专家。</w:t>
            </w:r>
          </w:p>
          <w:p w14:paraId="08C7F495">
            <w:pPr>
              <w:pStyle w:val="4"/>
              <w:ind w:firstLine="640"/>
              <w:jc w:val="both"/>
            </w:pPr>
            <w:r>
              <w:rPr>
                <w:rFonts w:ascii="仿宋_GB2312" w:hAnsi="仿宋_GB2312" w:eastAsia="仿宋_GB2312" w:cs="仿宋_GB2312"/>
                <w:sz w:val="32"/>
              </w:rPr>
              <w:t>▲（3）供应商应建立在线视频培训及交流质量反馈机制，包括培训台账及管理、培训过程、影像文字资料收集、整理、归档与反馈等，培训活动结束后应将本次培训以视频资料方式提交给采购人。培训时间应与英国合作大学及医院沟通配合采购人人员上课时间。</w:t>
            </w:r>
          </w:p>
          <w:p w14:paraId="4D0669EC">
            <w:pPr>
              <w:pStyle w:val="4"/>
              <w:ind w:firstLine="640"/>
              <w:jc w:val="both"/>
            </w:pPr>
            <w:r>
              <w:rPr>
                <w:rFonts w:ascii="仿宋_GB2312" w:hAnsi="仿宋_GB2312" w:eastAsia="仿宋_GB2312" w:cs="仿宋_GB2312"/>
                <w:sz w:val="32"/>
              </w:rPr>
              <w:t>★（4）英国合作大学及医院在线视频培训及交流时，供应商应提供适配的同声传译设备，制定培训注意事项，制定培训管理流程，建立评估反馈机制、后勤保障与应急管理制度等。</w:t>
            </w:r>
          </w:p>
          <w:p w14:paraId="065D71AF">
            <w:pPr>
              <w:pStyle w:val="4"/>
              <w:ind w:firstLine="640"/>
              <w:jc w:val="both"/>
            </w:pPr>
            <w:r>
              <w:rPr>
                <w:rFonts w:ascii="仿宋_GB2312" w:hAnsi="仿宋_GB2312" w:eastAsia="仿宋_GB2312" w:cs="仿宋_GB2312"/>
                <w:sz w:val="32"/>
              </w:rPr>
              <w:t>（5）供应商应具有资源调置管理能力，对于采购人的应急培训要求具备响应能力。</w:t>
            </w:r>
          </w:p>
          <w:p w14:paraId="07581E24">
            <w:pPr>
              <w:pStyle w:val="4"/>
              <w:ind w:firstLine="640"/>
              <w:jc w:val="both"/>
            </w:pPr>
            <w:r>
              <w:rPr>
                <w:rFonts w:ascii="仿宋_GB2312" w:hAnsi="仿宋_GB2312" w:eastAsia="仿宋_GB2312" w:cs="仿宋_GB2312"/>
                <w:sz w:val="32"/>
              </w:rPr>
              <w:t>★（6）在线视频培训每场不低于1.5小时，需配备不少于1名具有医学专业英语翻译能力的翻译，通过同声传译或交传方式保障视频培训翻译及双方线上交流。</w:t>
            </w:r>
          </w:p>
          <w:p w14:paraId="73885572">
            <w:pPr>
              <w:pStyle w:val="4"/>
              <w:ind w:firstLine="643"/>
              <w:jc w:val="both"/>
            </w:pPr>
            <w:r>
              <w:rPr>
                <w:rFonts w:ascii="仿宋_GB2312" w:hAnsi="仿宋_GB2312" w:eastAsia="仿宋_GB2312" w:cs="仿宋_GB2312"/>
                <w:b/>
                <w:sz w:val="32"/>
              </w:rPr>
              <w:t>2.2、专家团队赴英交流（含翻译）</w:t>
            </w:r>
          </w:p>
          <w:p w14:paraId="012F90D8">
            <w:pPr>
              <w:pStyle w:val="4"/>
              <w:ind w:firstLine="640"/>
              <w:jc w:val="both"/>
            </w:pPr>
            <w:r>
              <w:rPr>
                <w:rFonts w:ascii="仿宋_GB2312" w:hAnsi="仿宋_GB2312" w:eastAsia="仿宋_GB2312" w:cs="仿宋_GB2312"/>
                <w:sz w:val="32"/>
              </w:rPr>
              <w:t>★（1）按照《四川省因公临时出国经费管理办法（川财行〔2019〕80号）规定，制定行程规划与符合规定的费用预算和出访方案，并提前与采购人沟通确认。</w:t>
            </w:r>
          </w:p>
          <w:p w14:paraId="4C7671EF">
            <w:pPr>
              <w:pStyle w:val="4"/>
              <w:ind w:firstLine="640"/>
              <w:jc w:val="both"/>
            </w:pPr>
            <w:r>
              <w:rPr>
                <w:rFonts w:ascii="仿宋_GB2312" w:hAnsi="仿宋_GB2312" w:eastAsia="仿宋_GB2312" w:cs="仿宋_GB2312"/>
                <w:sz w:val="32"/>
              </w:rPr>
              <w:t>▲（2）协助采购人办理目的地国家签证，提供材料预审、预约递交及加急服务。</w:t>
            </w:r>
          </w:p>
          <w:p w14:paraId="08BA2AB3">
            <w:pPr>
              <w:pStyle w:val="4"/>
              <w:ind w:firstLine="640"/>
              <w:jc w:val="both"/>
            </w:pPr>
            <w:r>
              <w:rPr>
                <w:rFonts w:ascii="仿宋_GB2312" w:hAnsi="仿宋_GB2312" w:eastAsia="仿宋_GB2312" w:cs="仿宋_GB2312"/>
                <w:sz w:val="32"/>
              </w:rPr>
              <w:t>★（3）出行前制定两套及以上行程方案（含备用路线），详细标注活动流程、交通衔接、时间节点及具体地点等内容。</w:t>
            </w:r>
          </w:p>
          <w:p w14:paraId="49CAEF77">
            <w:pPr>
              <w:pStyle w:val="4"/>
              <w:ind w:firstLine="640"/>
              <w:jc w:val="both"/>
            </w:pPr>
            <w:r>
              <w:rPr>
                <w:rFonts w:ascii="仿宋_GB2312" w:hAnsi="仿宋_GB2312" w:eastAsia="仿宋_GB2312" w:cs="仿宋_GB2312"/>
                <w:sz w:val="32"/>
              </w:rPr>
              <w:t>▲（4）能提供公务机票购票渠道。提供经济、合理、优化的航班及其他交通行程建议，提供网上实时航班信息查询服务。</w:t>
            </w:r>
          </w:p>
          <w:p w14:paraId="3BF45140">
            <w:pPr>
              <w:pStyle w:val="4"/>
              <w:ind w:firstLine="640"/>
              <w:jc w:val="both"/>
            </w:pPr>
            <w:r>
              <w:rPr>
                <w:rFonts w:ascii="仿宋_GB2312" w:hAnsi="仿宋_GB2312" w:eastAsia="仿宋_GB2312" w:cs="仿宋_GB2312"/>
                <w:sz w:val="32"/>
              </w:rPr>
              <w:t>★（5）供应商需为采购人出境人员购买境外紧急救援保险（含医疗运返、绑架勒索等特殊条款），费用包含在本次报价内。</w:t>
            </w:r>
          </w:p>
          <w:p w14:paraId="54B40418">
            <w:pPr>
              <w:pStyle w:val="4"/>
              <w:ind w:firstLine="640"/>
              <w:jc w:val="both"/>
            </w:pPr>
            <w:r>
              <w:rPr>
                <w:rFonts w:ascii="仿宋_GB2312" w:hAnsi="仿宋_GB2312" w:eastAsia="仿宋_GB2312" w:cs="仿宋_GB2312"/>
                <w:sz w:val="32"/>
              </w:rPr>
              <w:t>（6）在团组出访前半个月定制涉外礼仪课程并培训，涵盖宗教禁忌、着装规范、餐桌礼仪等内容。在团组出访前一周提供行程安排手册，其中包括日程安排、出访城市天气预报、风土人情介绍、注意事项等。</w:t>
            </w:r>
          </w:p>
          <w:p w14:paraId="2C620EFE">
            <w:pPr>
              <w:pStyle w:val="4"/>
              <w:ind w:firstLine="640"/>
              <w:jc w:val="both"/>
            </w:pPr>
            <w:r>
              <w:rPr>
                <w:rFonts w:ascii="仿宋_GB2312" w:hAnsi="仿宋_GB2312" w:eastAsia="仿宋_GB2312" w:cs="仿宋_GB2312"/>
                <w:sz w:val="32"/>
              </w:rPr>
              <w:t>▲（7）提供境外机场接送机服务，制作双语接机牌，安排专人持牌在海关出口处等候。协助团组办理登机牌、托运行李等事宜。</w:t>
            </w:r>
          </w:p>
          <w:p w14:paraId="26ED8820">
            <w:pPr>
              <w:pStyle w:val="4"/>
              <w:ind w:firstLine="640"/>
              <w:jc w:val="both"/>
            </w:pPr>
            <w:r>
              <w:rPr>
                <w:rFonts w:ascii="仿宋_GB2312" w:hAnsi="仿宋_GB2312" w:eastAsia="仿宋_GB2312" w:cs="仿宋_GB2312"/>
                <w:sz w:val="32"/>
              </w:rPr>
              <w:t>★（8）安排境外城际间交通以及用车服务，按照《四川省因公临时出国经费管理办法（川财行〔2019〕80号）》相关文件要求执行，全程保障出访团的出行。</w:t>
            </w:r>
          </w:p>
          <w:p w14:paraId="0BCA579B">
            <w:pPr>
              <w:pStyle w:val="4"/>
              <w:ind w:firstLine="640"/>
              <w:jc w:val="both"/>
            </w:pPr>
            <w:r>
              <w:rPr>
                <w:rFonts w:ascii="仿宋_GB2312" w:hAnsi="仿宋_GB2312" w:eastAsia="仿宋_GB2312" w:cs="仿宋_GB2312"/>
                <w:sz w:val="32"/>
              </w:rPr>
              <w:t>（9）提供笔记本电脑1台，配备应急医疗包，含常用药品等，满足团队人员需求前提下供出访团队使用，。</w:t>
            </w:r>
          </w:p>
          <w:p w14:paraId="04854718">
            <w:pPr>
              <w:pStyle w:val="4"/>
              <w:ind w:firstLine="640"/>
              <w:jc w:val="both"/>
            </w:pPr>
            <w:r>
              <w:rPr>
                <w:rFonts w:ascii="仿宋_GB2312" w:hAnsi="仿宋_GB2312" w:eastAsia="仿宋_GB2312" w:cs="仿宋_GB2312"/>
                <w:sz w:val="32"/>
              </w:rPr>
              <w:t>★（10）负责出访团在境外期间的餐饮及住宿安排，按照《四川省因公临时出国经费管理办法（川财行〔2019〕80号）》相关文件要求执行，出行前一周提供参考饭店及入住酒店的名称和位置并协助预定。在单项预算之内，餐饮及住宿地点离交流活动地址不超过3km，若不符合要求需调整更换。</w:t>
            </w:r>
          </w:p>
          <w:p w14:paraId="03D906D4">
            <w:pPr>
              <w:pStyle w:val="4"/>
              <w:ind w:firstLine="640"/>
              <w:jc w:val="both"/>
            </w:pPr>
            <w:r>
              <w:rPr>
                <w:rFonts w:ascii="仿宋_GB2312" w:hAnsi="仿宋_GB2312" w:eastAsia="仿宋_GB2312" w:cs="仿宋_GB2312"/>
                <w:sz w:val="32"/>
              </w:rPr>
              <w:t>★（11）接待期间安排不少于1名专职翻译人员，译员需具备3年及以上工作经验，具备医学领域同声传译、交传会议等口译工作经验，安排的专职翻译人员需熟悉医学技术术语并具备商务谈判技巧。（提供人员名单及全国翻译专业资格(水平)考试(CATTI)口译二级证书并加盖公章）</w:t>
            </w:r>
          </w:p>
          <w:p w14:paraId="7D5462F0">
            <w:pPr>
              <w:pStyle w:val="4"/>
              <w:ind w:firstLine="640"/>
              <w:jc w:val="both"/>
            </w:pPr>
            <w:r>
              <w:rPr>
                <w:rFonts w:ascii="仿宋_GB2312" w:hAnsi="仿宋_GB2312" w:eastAsia="仿宋_GB2312" w:cs="仿宋_GB2312"/>
                <w:sz w:val="32"/>
              </w:rPr>
              <w:t>★（12）安排不少于1名具有获得医学临床相关专业本科及以上学历工作人员进行交流访问任务全程陪同和会议记录及资料准备，和第（11）项的翻译人员不可为同一人（提供人员的医学相关的学历或学位证书）。</w:t>
            </w:r>
          </w:p>
          <w:p w14:paraId="4C70F252">
            <w:pPr>
              <w:pStyle w:val="4"/>
              <w:ind w:firstLine="640"/>
              <w:jc w:val="both"/>
            </w:pPr>
            <w:r>
              <w:rPr>
                <w:rFonts w:ascii="仿宋_GB2312" w:hAnsi="仿宋_GB2312" w:eastAsia="仿宋_GB2312" w:cs="仿宋_GB2312"/>
                <w:sz w:val="32"/>
              </w:rPr>
              <w:t>▲（13）为所有团组成员行程全程购买境外旅游意外医疗保险，保额≥30万。供应商能及时跟进了解出访团组在国外行程进展，并主动与采购人沟通，保持联系。若发生紧急情况，应立即启动应急预案，配合采购人做好处置工作，与驻外使领馆、当地安保公司建立联动机制。</w:t>
            </w:r>
          </w:p>
          <w:p w14:paraId="2BA4D0D5">
            <w:pPr>
              <w:pStyle w:val="4"/>
              <w:ind w:firstLine="640"/>
              <w:jc w:val="both"/>
            </w:pPr>
            <w:r>
              <w:rPr>
                <w:rFonts w:ascii="仿宋_GB2312" w:hAnsi="仿宋_GB2312" w:eastAsia="仿宋_GB2312" w:cs="仿宋_GB2312"/>
                <w:sz w:val="32"/>
              </w:rPr>
              <w:t>★（14）专家团队赴英交流时间每年至少4日（含往返）。</w:t>
            </w:r>
          </w:p>
          <w:p w14:paraId="2453808D">
            <w:pPr>
              <w:pStyle w:val="4"/>
              <w:ind w:firstLine="640"/>
              <w:jc w:val="both"/>
            </w:pPr>
            <w:r>
              <w:rPr>
                <w:rFonts w:ascii="仿宋_GB2312" w:hAnsi="仿宋_GB2312" w:eastAsia="仿宋_GB2312" w:cs="仿宋_GB2312"/>
                <w:sz w:val="32"/>
              </w:rPr>
              <w:t>★（15）供应商需在工作日</w:t>
            </w:r>
            <w:r>
              <w:rPr>
                <w:rFonts w:ascii="仿宋_GB2312" w:hAnsi="仿宋_GB2312" w:eastAsia="仿宋_GB2312" w:cs="仿宋_GB2312"/>
                <w:color w:val="000000"/>
                <w:sz w:val="32"/>
              </w:rPr>
              <w:t>通过邮件、电话、微信等方式随时与采购人沟通联系，确保各项事宜顺利顺利推进。</w:t>
            </w:r>
          </w:p>
          <w:p w14:paraId="0A69236D">
            <w:pPr>
              <w:pStyle w:val="4"/>
              <w:ind w:firstLine="640"/>
              <w:jc w:val="both"/>
            </w:pPr>
            <w:r>
              <w:rPr>
                <w:rFonts w:ascii="仿宋_GB2312" w:hAnsi="仿宋_GB2312" w:eastAsia="仿宋_GB2312" w:cs="仿宋_GB2312"/>
                <w:sz w:val="32"/>
              </w:rPr>
              <w:t>★（16）专家团队赴英交流所含往返交通费、访问期间餐费及住宿费、签证费由采购人自行承担。</w:t>
            </w:r>
          </w:p>
          <w:p w14:paraId="01152886">
            <w:pPr>
              <w:pStyle w:val="4"/>
              <w:ind w:firstLine="643"/>
              <w:jc w:val="both"/>
            </w:pPr>
            <w:r>
              <w:rPr>
                <w:rFonts w:ascii="仿宋_GB2312" w:hAnsi="仿宋_GB2312" w:eastAsia="仿宋_GB2312" w:cs="仿宋_GB2312"/>
                <w:b/>
                <w:sz w:val="32"/>
              </w:rPr>
              <w:t>2.3专家及骨干赴英国研修</w:t>
            </w:r>
          </w:p>
          <w:p w14:paraId="6B31441A">
            <w:pPr>
              <w:pStyle w:val="4"/>
              <w:ind w:firstLine="640"/>
              <w:jc w:val="both"/>
            </w:pPr>
            <w:r>
              <w:rPr>
                <w:rFonts w:ascii="仿宋_GB2312" w:hAnsi="仿宋_GB2312" w:eastAsia="仿宋_GB2312" w:cs="仿宋_GB2312"/>
                <w:sz w:val="32"/>
              </w:rPr>
              <w:t>★（1）按照《四川省因公临时出国经费管理办法（川财行〔2019〕80号）》相关文件规定，根据专家和骨干专业和方向定制赴英国高水平大学及医院1个月的研修方案。</w:t>
            </w:r>
          </w:p>
          <w:p w14:paraId="7F1248DA">
            <w:pPr>
              <w:pStyle w:val="4"/>
              <w:ind w:firstLine="640"/>
              <w:jc w:val="both"/>
            </w:pPr>
            <w:r>
              <w:rPr>
                <w:rFonts w:ascii="仿宋_GB2312" w:hAnsi="仿宋_GB2312" w:eastAsia="仿宋_GB2312" w:cs="仿宋_GB2312"/>
                <w:sz w:val="32"/>
              </w:rPr>
              <w:t>▲（2）协助专家及骨干办理目的地国家签证，提供材料预审、预约递交及加急服务。</w:t>
            </w:r>
          </w:p>
          <w:p w14:paraId="7CD8A89D">
            <w:pPr>
              <w:pStyle w:val="4"/>
              <w:ind w:firstLine="640"/>
              <w:jc w:val="both"/>
            </w:pPr>
            <w:r>
              <w:rPr>
                <w:rFonts w:ascii="仿宋_GB2312" w:hAnsi="仿宋_GB2312" w:eastAsia="仿宋_GB2312" w:cs="仿宋_GB2312"/>
                <w:sz w:val="32"/>
              </w:rPr>
              <w:t>★（3）提供至少3家英国高水平大学及医院临床科室或国家级实验室的定点研修席位，能对接所接收大学及医院相关科室负责人或顶尖专家提供一对一带教工作。</w:t>
            </w:r>
          </w:p>
          <w:p w14:paraId="578B64EE">
            <w:pPr>
              <w:pStyle w:val="4"/>
              <w:ind w:firstLine="640"/>
              <w:jc w:val="both"/>
            </w:pPr>
            <w:r>
              <w:rPr>
                <w:rFonts w:ascii="仿宋_GB2312" w:hAnsi="仿宋_GB2312" w:eastAsia="仿宋_GB2312" w:cs="仿宋_GB2312"/>
                <w:sz w:val="32"/>
              </w:rPr>
              <w:t>▲（4）为医院赴英研修专家及骨干提供在英期间住宿，住宿标准为独立单间宿舍，可方便采购人研修人员洗浴和做饭，同时能涵盖在英期间住宿所有费用（包括垃圾清理费、电费、暖气费等），确保住宿安全舒适，住宿位置离研修工作地点不超过3km，超过3km需由供应商承担赴英人员交通费用。</w:t>
            </w:r>
          </w:p>
          <w:p w14:paraId="619F9050">
            <w:pPr>
              <w:pStyle w:val="4"/>
              <w:ind w:firstLine="640"/>
              <w:jc w:val="both"/>
            </w:pPr>
            <w:r>
              <w:rPr>
                <w:rFonts w:ascii="仿宋_GB2312" w:hAnsi="仿宋_GB2312" w:eastAsia="仿宋_GB2312" w:cs="仿宋_GB2312"/>
                <w:sz w:val="32"/>
              </w:rPr>
              <w:t>★（5）供应商需有至少3人专业团队为采购人赴英研修人员提供研修保障，包括但不限于更换带教师资、更换住宿、生病就医或困难协调应急帮助与陪同等服务。</w:t>
            </w:r>
          </w:p>
          <w:p w14:paraId="42637F75">
            <w:pPr>
              <w:pStyle w:val="4"/>
              <w:ind w:firstLine="640"/>
              <w:jc w:val="both"/>
            </w:pPr>
            <w:r>
              <w:rPr>
                <w:rFonts w:ascii="仿宋_GB2312" w:hAnsi="仿宋_GB2312" w:eastAsia="仿宋_GB2312" w:cs="仿宋_GB2312"/>
                <w:sz w:val="32"/>
              </w:rPr>
              <w:t>（6）提供境外机场接送机服务，制作双语接机牌，安排专人持牌在海关出口处等候。提供赴英人员从机场到研修机构接送机各一次，协助赴英人员办理登机牌、托运行李等事宜。</w:t>
            </w:r>
          </w:p>
          <w:p w14:paraId="78CAE25D">
            <w:pPr>
              <w:pStyle w:val="4"/>
              <w:ind w:firstLine="640"/>
              <w:jc w:val="both"/>
            </w:pPr>
            <w:r>
              <w:rPr>
                <w:rFonts w:ascii="仿宋_GB2312" w:hAnsi="仿宋_GB2312" w:eastAsia="仿宋_GB2312" w:cs="仿宋_GB2312"/>
                <w:sz w:val="32"/>
              </w:rPr>
              <w:t>★（7）配备持英国律师资格的专业法律顾问团队，处理采购人赴英研修人员签证延期、护照遗失、医疗纠纷等法律事务，所涉及的费用包含在报价中。</w:t>
            </w:r>
          </w:p>
          <w:p w14:paraId="2AAE2F41">
            <w:pPr>
              <w:pStyle w:val="4"/>
              <w:ind w:firstLine="640"/>
              <w:jc w:val="both"/>
            </w:pPr>
            <w:r>
              <w:rPr>
                <w:rFonts w:ascii="仿宋_GB2312" w:hAnsi="仿宋_GB2312" w:eastAsia="仿宋_GB2312" w:cs="仿宋_GB2312"/>
                <w:sz w:val="32"/>
              </w:rPr>
              <w:t>★（8）建立英方导师评价体系，同时针对每位赴英研修人员在研修结束1个月内生成一份包含语言能力提升度、学术成果产出量、文化适应指数的量化报告。</w:t>
            </w:r>
          </w:p>
          <w:p w14:paraId="55EC2BCD">
            <w:pPr>
              <w:pStyle w:val="4"/>
              <w:ind w:firstLine="640"/>
              <w:jc w:val="both"/>
            </w:pPr>
            <w:r>
              <w:rPr>
                <w:rFonts w:ascii="仿宋_GB2312" w:hAnsi="仿宋_GB2312" w:eastAsia="仿宋_GB2312" w:cs="仿宋_GB2312"/>
                <w:sz w:val="32"/>
              </w:rPr>
              <w:t>★（9）专家及骨干赴英国研修所含往返交通费、访问期间餐费、签证费、境外保险费由采购人自行承担。</w:t>
            </w:r>
          </w:p>
          <w:p w14:paraId="2938EFC4">
            <w:pPr>
              <w:pStyle w:val="4"/>
              <w:ind w:firstLine="643"/>
              <w:jc w:val="both"/>
            </w:pPr>
            <w:r>
              <w:rPr>
                <w:rFonts w:ascii="仿宋_GB2312" w:hAnsi="仿宋_GB2312" w:eastAsia="仿宋_GB2312" w:cs="仿宋_GB2312"/>
                <w:b/>
                <w:sz w:val="32"/>
              </w:rPr>
              <w:t>3、中英共建外科培训基地</w:t>
            </w:r>
          </w:p>
          <w:p w14:paraId="2718579C">
            <w:pPr>
              <w:pStyle w:val="4"/>
              <w:ind w:firstLine="640"/>
              <w:jc w:val="both"/>
            </w:pPr>
            <w:r>
              <w:rPr>
                <w:rFonts w:ascii="仿宋_GB2312" w:hAnsi="仿宋_GB2312" w:eastAsia="仿宋_GB2312" w:cs="仿宋_GB2312"/>
                <w:sz w:val="32"/>
              </w:rPr>
              <w:t>★（1）“外科培训基地”授权并挂牌机构应为海外皇家特许机构（Royal Charter body），英方授权并挂牌机构需在国家层面参与国家政策制定并提供专业建议；供应商需随时响应采购人对于“外科培训基地”工作要求并及时与英方授权机构进行沟通商议，协助制定和调整采购人相关培训课程以满足英方标准，尽量保证采购人在签订合同前2年内取得授牌。</w:t>
            </w:r>
          </w:p>
          <w:p w14:paraId="319F621F">
            <w:pPr>
              <w:pStyle w:val="4"/>
              <w:ind w:firstLine="640"/>
              <w:jc w:val="both"/>
            </w:pPr>
            <w:r>
              <w:rPr>
                <w:rFonts w:ascii="仿宋_GB2312" w:hAnsi="仿宋_GB2312" w:eastAsia="仿宋_GB2312" w:cs="仿宋_GB2312"/>
                <w:sz w:val="32"/>
              </w:rPr>
              <w:t>▲（2）供应商在服务期内需提供采购人参与英方授权并挂牌机构组织的“全球认证中心大会”（Global Accredited Centres Forum）线上会议2次，并做基地建设分享经验、政策指导；同时采购人享有参与联合举办国际会议的权益。</w:t>
            </w:r>
          </w:p>
          <w:p w14:paraId="49CAE8D5">
            <w:pPr>
              <w:pStyle w:val="4"/>
              <w:ind w:firstLine="640"/>
              <w:jc w:val="both"/>
            </w:pPr>
            <w:r>
              <w:rPr>
                <w:rFonts w:ascii="仿宋_GB2312" w:hAnsi="仿宋_GB2312" w:eastAsia="仿宋_GB2312" w:cs="仿宋_GB2312"/>
                <w:sz w:val="32"/>
              </w:rPr>
              <w:t>★（3）采购人可以在授权及挂牌期间依法获得基地授权单位官方品牌的授权及使用，且挂牌有效期不少于3年。</w:t>
            </w:r>
          </w:p>
          <w:p w14:paraId="5101EDA4">
            <w:pPr>
              <w:pStyle w:val="4"/>
              <w:ind w:firstLine="640"/>
              <w:jc w:val="both"/>
            </w:pPr>
            <w:r>
              <w:rPr>
                <w:rFonts w:ascii="仿宋_GB2312" w:hAnsi="仿宋_GB2312" w:eastAsia="仿宋_GB2312" w:cs="仿宋_GB2312"/>
                <w:sz w:val="32"/>
              </w:rPr>
              <w:t>★（4）英方授权及挂牌机构每年不少于5次在线指导，包括但不限于病例示教、基地建设相关外科指南或白皮书分享交流。</w:t>
            </w:r>
          </w:p>
          <w:p w14:paraId="0F8BFF88">
            <w:pPr>
              <w:pStyle w:val="4"/>
              <w:ind w:firstLine="640"/>
              <w:jc w:val="both"/>
            </w:pPr>
            <w:r>
              <w:rPr>
                <w:rFonts w:ascii="仿宋_GB2312" w:hAnsi="仿宋_GB2312" w:eastAsia="仿宋_GB2312" w:cs="仿宋_GB2312"/>
                <w:sz w:val="32"/>
              </w:rPr>
              <w:t>★（5）英方授权并挂牌机构对光华院区外科中心制度建设指导不少于2次/年。</w:t>
            </w:r>
          </w:p>
          <w:p w14:paraId="5DA94217">
            <w:pPr>
              <w:pStyle w:val="4"/>
              <w:ind w:firstLine="640"/>
              <w:jc w:val="both"/>
            </w:pPr>
            <w:r>
              <w:rPr>
                <w:rFonts w:ascii="仿宋_GB2312" w:hAnsi="仿宋_GB2312" w:eastAsia="仿宋_GB2312" w:cs="仿宋_GB2312"/>
                <w:sz w:val="32"/>
              </w:rPr>
              <w:t>★（6）英方授权并挂牌机构服务期限内需安排不少于3位与外科培训基地相关的专家到访采购人处，对基地进行评估和相关学科工作指导。</w:t>
            </w:r>
          </w:p>
          <w:p w14:paraId="4C50C7D7">
            <w:pPr>
              <w:pStyle w:val="4"/>
              <w:ind w:firstLine="643"/>
              <w:jc w:val="both"/>
            </w:pPr>
            <w:r>
              <w:rPr>
                <w:rFonts w:ascii="仿宋_GB2312" w:hAnsi="仿宋_GB2312" w:eastAsia="仿宋_GB2312" w:cs="仿宋_GB2312"/>
                <w:b/>
                <w:sz w:val="32"/>
              </w:rPr>
              <w:t>4、外籍专家聘任</w:t>
            </w:r>
          </w:p>
          <w:p w14:paraId="27BCDF07">
            <w:pPr>
              <w:pStyle w:val="4"/>
              <w:ind w:firstLine="640"/>
              <w:jc w:val="both"/>
            </w:pPr>
            <w:r>
              <w:rPr>
                <w:rFonts w:ascii="仿宋_GB2312" w:hAnsi="仿宋_GB2312" w:eastAsia="仿宋_GB2312" w:cs="仿宋_GB2312"/>
                <w:sz w:val="32"/>
              </w:rPr>
              <w:t>★（1）供应商作为采购人与英国高水平大学及医院沟通的桥梁，需根据采购人专业需求，筛选并联系英国高水平大学及医院在行业内顶尖的专家，专家需为在职教授及以上职称或医学博士学历的专家，具有≥5年临床科研经验的英国专家，担任过科室主任或学科带头人专家优先考虑。</w:t>
            </w:r>
          </w:p>
          <w:p w14:paraId="4CC2605F">
            <w:pPr>
              <w:pStyle w:val="4"/>
              <w:ind w:firstLine="640"/>
              <w:jc w:val="both"/>
            </w:pPr>
            <w:r>
              <w:rPr>
                <w:rFonts w:ascii="仿宋_GB2312" w:hAnsi="仿宋_GB2312" w:eastAsia="仿宋_GB2312" w:cs="仿宋_GB2312"/>
                <w:sz w:val="32"/>
              </w:rPr>
              <w:t>★（2）供应商需在服务期内提供专家资质的持续性验证服务，包括英国医学总会（GMC）注册状态查询、学术成果真实性核查等。</w:t>
            </w:r>
          </w:p>
          <w:p w14:paraId="3AC77DA9">
            <w:pPr>
              <w:pStyle w:val="4"/>
              <w:ind w:firstLine="640"/>
              <w:jc w:val="both"/>
            </w:pPr>
            <w:r>
              <w:rPr>
                <w:rFonts w:ascii="仿宋_GB2312" w:hAnsi="仿宋_GB2312" w:eastAsia="仿宋_GB2312" w:cs="仿宋_GB2312"/>
                <w:sz w:val="32"/>
              </w:rPr>
              <w:t>★（3）提供英国专家来华工作签证（Z字签证）全流程代办服务，配备持中国律师资格的法律顾问团队处理劳动法合规、医疗责任险投保等法律事务。</w:t>
            </w:r>
          </w:p>
          <w:p w14:paraId="3DFF4738">
            <w:pPr>
              <w:pStyle w:val="4"/>
              <w:ind w:firstLine="640"/>
              <w:jc w:val="both"/>
            </w:pPr>
            <w:r>
              <w:rPr>
                <w:rFonts w:ascii="仿宋_GB2312" w:hAnsi="仿宋_GB2312" w:eastAsia="仿宋_GB2312" w:cs="仿宋_GB2312"/>
                <w:sz w:val="32"/>
              </w:rPr>
              <w:t>★（4）出具详细的受聘专家政治背景调查一份，并在国内外各平台持续追踪受聘专家对华言行，一旦出现有反华辱华或有损中华人民共和国的言论和行为需立即向采购人报告，同时制定包含政治风险、汇率波动、突发公共卫生事件等场景的应急预案，配备英国境内专属服务团队及国内24小时应急响应中心。</w:t>
            </w:r>
          </w:p>
          <w:p w14:paraId="27552F92">
            <w:pPr>
              <w:pStyle w:val="4"/>
              <w:ind w:firstLine="640"/>
              <w:jc w:val="both"/>
            </w:pPr>
            <w:r>
              <w:rPr>
                <w:rFonts w:ascii="仿宋_GB2312" w:hAnsi="仿宋_GB2312" w:eastAsia="仿宋_GB2312" w:cs="仿宋_GB2312"/>
                <w:sz w:val="32"/>
              </w:rPr>
              <w:t>★（5）受聘专家需每年为采购人引进临床新技术或新模式至少1项；每年协助1位成都第五人民医院的医生成为英国皇家外科学院授权的专科授课老师，其所需相关培训、考核、出国差旅等所有费用由采购人承担；</w:t>
            </w:r>
          </w:p>
          <w:p w14:paraId="76C61749">
            <w:pPr>
              <w:pStyle w:val="4"/>
              <w:ind w:firstLine="640"/>
              <w:jc w:val="both"/>
            </w:pPr>
            <w:r>
              <w:rPr>
                <w:rFonts w:ascii="仿宋_GB2312" w:hAnsi="仿宋_GB2312" w:eastAsia="仿宋_GB2312" w:cs="仿宋_GB2312"/>
                <w:sz w:val="32"/>
              </w:rPr>
              <w:t>★（6）受聘专家每年需对采购人任意一家医联体单位开展不小于2次的指导或授课，每次指导或授课不少于2小时；</w:t>
            </w:r>
          </w:p>
          <w:p w14:paraId="55ED6749">
            <w:pPr>
              <w:pStyle w:val="4"/>
              <w:ind w:firstLine="640"/>
              <w:jc w:val="both"/>
            </w:pPr>
            <w:r>
              <w:rPr>
                <w:rFonts w:ascii="仿宋_GB2312" w:hAnsi="仿宋_GB2312" w:eastAsia="仿宋_GB2312" w:cs="仿宋_GB2312"/>
                <w:sz w:val="32"/>
              </w:rPr>
              <w:t>★（7）受聘专家每年需至少2次到采购人参加医院举办的国际性会议并做专题演讲或作为评审专家对医院举办相关医学竞赛做专业点评；</w:t>
            </w:r>
          </w:p>
          <w:p w14:paraId="36D086E2">
            <w:pPr>
              <w:pStyle w:val="4"/>
              <w:ind w:firstLine="640"/>
              <w:jc w:val="both"/>
            </w:pPr>
            <w:r>
              <w:rPr>
                <w:rFonts w:ascii="仿宋_GB2312" w:hAnsi="仿宋_GB2312" w:eastAsia="仿宋_GB2312" w:cs="仿宋_GB2312"/>
                <w:sz w:val="32"/>
              </w:rPr>
              <w:t>★（8）受聘专家一年需至少2次到采购人访问指导（每次到访从中国入关到出关不少于五个自然天数），另需为基地课程或相关专科提供在线疑难病例讨论和科研等专业指导。</w:t>
            </w:r>
          </w:p>
          <w:p w14:paraId="62C94B02">
            <w:pPr>
              <w:pStyle w:val="4"/>
              <w:ind w:firstLine="640"/>
              <w:jc w:val="both"/>
            </w:pPr>
            <w:r>
              <w:rPr>
                <w:rFonts w:ascii="仿宋_GB2312" w:hAnsi="仿宋_GB2312" w:eastAsia="仿宋_GB2312" w:cs="仿宋_GB2312"/>
                <w:sz w:val="32"/>
              </w:rPr>
              <w:t>★（9）受聘专家的往返机票、住宿、签证、保险等费用包含在对应报价内，受聘专家指导基地建设工作累计1年（含线下指导和线上指导）。</w:t>
            </w:r>
          </w:p>
          <w:p w14:paraId="2A1564F7">
            <w:pPr>
              <w:pStyle w:val="4"/>
              <w:ind w:firstLine="640"/>
              <w:jc w:val="both"/>
            </w:pPr>
            <w:r>
              <w:rPr>
                <w:rFonts w:ascii="仿宋_GB2312" w:hAnsi="仿宋_GB2312" w:eastAsia="仿宋_GB2312" w:cs="仿宋_GB2312"/>
                <w:sz w:val="32"/>
              </w:rPr>
              <w:t>★（10）受聘专家</w:t>
            </w:r>
            <w:r>
              <w:rPr>
                <w:rFonts w:ascii="仿宋_GB2312" w:hAnsi="仿宋_GB2312" w:eastAsia="仿宋_GB2312" w:cs="仿宋_GB2312"/>
                <w:color w:val="000000"/>
                <w:sz w:val="32"/>
              </w:rPr>
              <w:t>及团队学术交流应结合采购人在“医院管理” 和“临床及科研水平”方面建设要求，提供医学指导经验和管理模式，促进采购人在医院管理和学科发展方面高质量发展。</w:t>
            </w:r>
          </w:p>
        </w:tc>
      </w:tr>
      <w:tr w14:paraId="14608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685E7">
            <w:pPr>
              <w:pStyle w:val="4"/>
              <w:jc w:val="center"/>
            </w:pPr>
            <w:r>
              <w:rPr>
                <w:rFonts w:ascii="仿宋_GB2312" w:hAnsi="仿宋_GB2312" w:eastAsia="仿宋_GB2312" w:cs="仿宋_GB2312"/>
              </w:rPr>
              <w:t>2</w:t>
            </w:r>
          </w:p>
        </w:tc>
        <w:tc>
          <w:tcPr>
            <w:tcW w:w="581" w:type="dxa"/>
          </w:tcPr>
          <w:p w14:paraId="4F18518C">
            <w:pPr>
              <w:pStyle w:val="4"/>
              <w:jc w:val="center"/>
            </w:pPr>
            <w:r>
              <w:rPr>
                <w:rFonts w:ascii="仿宋_GB2312" w:hAnsi="仿宋_GB2312" w:eastAsia="仿宋_GB2312" w:cs="仿宋_GB2312"/>
              </w:rPr>
              <w:t>★</w:t>
            </w:r>
          </w:p>
        </w:tc>
        <w:tc>
          <w:tcPr>
            <w:tcW w:w="1495" w:type="dxa"/>
          </w:tcPr>
          <w:p w14:paraId="0DD6E915">
            <w:pPr>
              <w:pStyle w:val="4"/>
              <w:jc w:val="left"/>
            </w:pPr>
            <w:r>
              <w:rPr>
                <w:rFonts w:ascii="仿宋_GB2312" w:hAnsi="仿宋_GB2312" w:eastAsia="仿宋_GB2312" w:cs="仿宋_GB2312"/>
              </w:rPr>
              <w:t>商务要求</w:t>
            </w:r>
          </w:p>
        </w:tc>
        <w:tc>
          <w:tcPr>
            <w:tcW w:w="5814" w:type="dxa"/>
          </w:tcPr>
          <w:p w14:paraId="08891E35">
            <w:pPr>
              <w:pStyle w:val="4"/>
              <w:jc w:val="left"/>
            </w:pPr>
            <w:r>
              <w:rPr>
                <w:rFonts w:ascii="仿宋_GB2312" w:hAnsi="仿宋_GB2312" w:eastAsia="仿宋_GB2312" w:cs="仿宋_GB2312"/>
              </w:rPr>
              <w:t xml:space="preserve"> </w:t>
            </w:r>
          </w:p>
          <w:p w14:paraId="4FC79CBE">
            <w:pPr>
              <w:pStyle w:val="4"/>
              <w:ind w:firstLine="640"/>
              <w:jc w:val="both"/>
            </w:pPr>
            <w:r>
              <w:rPr>
                <w:rFonts w:ascii="仿宋_GB2312" w:hAnsi="仿宋_GB2312" w:eastAsia="仿宋_GB2312" w:cs="仿宋_GB2312"/>
                <w:sz w:val="32"/>
              </w:rPr>
              <w:t>1、服务期限：自合同签订之日起三年，合同一年一签；自合同签订之日起在年度合同期限内。</w:t>
            </w:r>
          </w:p>
          <w:p w14:paraId="10729EB4">
            <w:pPr>
              <w:pStyle w:val="4"/>
              <w:ind w:firstLine="640"/>
              <w:jc w:val="both"/>
            </w:pPr>
            <w:r>
              <w:rPr>
                <w:rFonts w:ascii="仿宋_GB2312" w:hAnsi="仿宋_GB2312" w:eastAsia="仿宋_GB2312" w:cs="仿宋_GB2312"/>
                <w:sz w:val="32"/>
              </w:rPr>
              <w:t>2、采购项目实施地点：采购人指定地点。</w:t>
            </w:r>
          </w:p>
          <w:p w14:paraId="505C1CC3">
            <w:pPr>
              <w:pStyle w:val="4"/>
              <w:ind w:firstLine="640"/>
              <w:jc w:val="both"/>
            </w:pPr>
            <w:r>
              <w:rPr>
                <w:rFonts w:ascii="仿宋_GB2312" w:hAnsi="仿宋_GB2312" w:eastAsia="仿宋_GB2312" w:cs="仿宋_GB2312"/>
                <w:sz w:val="32"/>
              </w:rPr>
              <w:t>3、付款时间与方式：</w:t>
            </w:r>
          </w:p>
          <w:p w14:paraId="3B12B72E">
            <w:pPr>
              <w:pStyle w:val="4"/>
              <w:ind w:firstLine="640"/>
              <w:jc w:val="both"/>
            </w:pPr>
            <w:r>
              <w:rPr>
                <w:rFonts w:ascii="仿宋_GB2312" w:hAnsi="仿宋_GB2312" w:eastAsia="仿宋_GB2312" w:cs="仿宋_GB2312"/>
                <w:sz w:val="32"/>
              </w:rPr>
              <w:t>（1）预付款：合同签订生效后支付合同金额的40%，采购人在收到供应商开具的正式合规发票后10个工作日内以银行转账方式支付。</w:t>
            </w:r>
          </w:p>
          <w:p w14:paraId="719C6EB6">
            <w:pPr>
              <w:pStyle w:val="4"/>
              <w:ind w:firstLine="640"/>
              <w:jc w:val="both"/>
            </w:pPr>
            <w:r>
              <w:rPr>
                <w:rFonts w:ascii="仿宋_GB2312" w:hAnsi="仿宋_GB2312" w:eastAsia="仿宋_GB2312" w:cs="仿宋_GB2312"/>
                <w:sz w:val="32"/>
              </w:rPr>
              <w:t>（2）进度款：服务开展半年后，采购人对供应商开展半年考核（考核表详见附件2），按照服务内容清单列明的项目，根据上半年完成的服务内容及数量和对应项目中标单价，结合考核结果，据实结算，采购人收到供应商开具的正式发票后10个工作日内通过银行转账方式支付。</w:t>
            </w:r>
          </w:p>
          <w:p w14:paraId="34052C81">
            <w:pPr>
              <w:pStyle w:val="4"/>
              <w:ind w:firstLine="640"/>
              <w:jc w:val="both"/>
            </w:pPr>
            <w:r>
              <w:rPr>
                <w:rFonts w:ascii="仿宋_GB2312" w:hAnsi="仿宋_GB2312" w:eastAsia="仿宋_GB2312" w:cs="仿宋_GB2312"/>
                <w:sz w:val="32"/>
              </w:rPr>
              <w:t>（3）尾款：年度服务结束前30天，采购人对供应商开展年终考核（考核表详见附件2），根据下半年完成的服务内容及数量，结合考核结果，据实计算并扣减预付款的金额后再进行结算，采购人收到供应商开具的正式发票后10个工作日内支付。若实际结算尾款不足以抵扣预付款，差额部分供应商应当在采购人发出退款通知后10个工作日内通过银行转账方式返还。</w:t>
            </w:r>
          </w:p>
          <w:p w14:paraId="1BAAC1A7">
            <w:pPr>
              <w:pStyle w:val="4"/>
              <w:ind w:firstLine="640"/>
              <w:jc w:val="both"/>
            </w:pPr>
            <w:r>
              <w:rPr>
                <w:rFonts w:ascii="仿宋_GB2312" w:hAnsi="仿宋_GB2312" w:eastAsia="仿宋_GB2312" w:cs="仿宋_GB2312"/>
                <w:sz w:val="32"/>
              </w:rPr>
              <w:t>（4）若供应商在第一年度内完成基地授牌，采购人按服务内容清单（详见附件1）中第4项对应的中标价格每年度支付授牌费用；若供应商在第二或第三年度内完成基地授牌，采购人按服务内容清单（详见附件1）中第4项对应的中标价格一次性支付三年授牌总费用。</w:t>
            </w:r>
          </w:p>
          <w:p w14:paraId="2B23E229">
            <w:pPr>
              <w:pStyle w:val="4"/>
              <w:ind w:firstLine="640"/>
              <w:jc w:val="both"/>
            </w:pPr>
            <w:r>
              <w:rPr>
                <w:rFonts w:ascii="仿宋_GB2312" w:hAnsi="仿宋_GB2312" w:eastAsia="仿宋_GB2312" w:cs="仿宋_GB2312"/>
                <w:sz w:val="32"/>
              </w:rPr>
              <w:t>（5）授牌费用按有效期年限计算，如未满有效期，除“不可抗力因素或采购人因素”导致撤牌的情况，供应商应按剩余年限足额返还授牌费用（计算方式：有效授牌不足6个月的按整年返还，超过6个月不返还，每年以此类推）。若本项目有剩余款项未结算的，采购人可从剩余款项中抵扣，超过剩余款项的，供应商应当返还，直到合同到期为止）。</w:t>
            </w:r>
          </w:p>
          <w:p w14:paraId="0F68A515">
            <w:pPr>
              <w:pStyle w:val="4"/>
              <w:ind w:firstLine="640"/>
              <w:jc w:val="both"/>
            </w:pPr>
            <w:r>
              <w:rPr>
                <w:rFonts w:ascii="仿宋_GB2312" w:hAnsi="仿宋_GB2312" w:eastAsia="仿宋_GB2312" w:cs="仿宋_GB2312"/>
                <w:sz w:val="32"/>
              </w:rPr>
              <w:t>（6）采购人可以实际根据工作需要按照项目服务清单内容的选择性开展服务内容，合同期内每年每个单项支付的费用不超过对应的单项中标价。</w:t>
            </w:r>
            <w:r>
              <w:rPr>
                <w:rFonts w:ascii="仿宋_GB2312" w:hAnsi="仿宋_GB2312" w:eastAsia="仿宋_GB2312" w:cs="仿宋_GB2312"/>
                <w:sz w:val="27"/>
              </w:rPr>
              <w:t>每年支付金额不超过130万。</w:t>
            </w:r>
          </w:p>
          <w:p w14:paraId="6B3AE7FC">
            <w:pPr>
              <w:pStyle w:val="4"/>
              <w:ind w:firstLine="640"/>
              <w:jc w:val="both"/>
            </w:pPr>
            <w:r>
              <w:rPr>
                <w:rFonts w:ascii="仿宋_GB2312" w:hAnsi="仿宋_GB2312" w:eastAsia="仿宋_GB2312" w:cs="仿宋_GB2312"/>
                <w:sz w:val="32"/>
              </w:rPr>
              <w:t>4、考核及结果的应用：</w:t>
            </w:r>
          </w:p>
          <w:p w14:paraId="38C239B7">
            <w:pPr>
              <w:pStyle w:val="4"/>
              <w:ind w:firstLine="640"/>
              <w:jc w:val="both"/>
            </w:pPr>
            <w:r>
              <w:rPr>
                <w:rFonts w:ascii="仿宋_GB2312" w:hAnsi="仿宋_GB2312" w:eastAsia="仿宋_GB2312" w:cs="仿宋_GB2312"/>
                <w:sz w:val="32"/>
              </w:rPr>
              <w:t>按半年度考核，若半年度未发生或者未完成的服务内容在考核的半年度内不进行扣分。半年度得分在90分（含）以上，全额支付该半年度的据实结算费用；半年度得分在80分（含）-90分（不含）的，支付该半年度的据实结算费用的90%；半年度得分在70分（含）-80分（不含）的，支付该半年度的据实结算费用的80%；半年度得分在60分（含）-70分（不含）的，支付该半年度的据实结算费用的70%；半年</w:t>
            </w:r>
            <w:r>
              <w:rPr>
                <w:rFonts w:ascii="仿宋_GB2312" w:hAnsi="仿宋_GB2312" w:eastAsia="仿宋_GB2312" w:cs="仿宋_GB2312"/>
                <w:b/>
                <w:sz w:val="32"/>
              </w:rPr>
              <w:t>度得分在不足60分的，视为该</w:t>
            </w:r>
            <w:r>
              <w:rPr>
                <w:rFonts w:ascii="仿宋_GB2312" w:hAnsi="仿宋_GB2312" w:eastAsia="仿宋_GB2312" w:cs="仿宋_GB2312"/>
                <w:sz w:val="32"/>
              </w:rPr>
              <w:t>半年</w:t>
            </w:r>
            <w:r>
              <w:rPr>
                <w:rFonts w:ascii="仿宋_GB2312" w:hAnsi="仿宋_GB2312" w:eastAsia="仿宋_GB2312" w:cs="仿宋_GB2312"/>
                <w:b/>
                <w:sz w:val="32"/>
              </w:rPr>
              <w:t>度考核不合格，</w:t>
            </w:r>
            <w:r>
              <w:rPr>
                <w:rFonts w:ascii="仿宋_GB2312" w:hAnsi="仿宋_GB2312" w:eastAsia="仿宋_GB2312" w:cs="仿宋_GB2312"/>
                <w:sz w:val="32"/>
              </w:rPr>
              <w:t>供应商需进行整改后，采购人重新考核，根据重新考核后的结果支付费用。若重新考核后仍不合格的，采购人有权不支付该半年度任何费用，供应商不持异议。</w:t>
            </w:r>
            <w:r>
              <w:rPr>
                <w:rFonts w:ascii="仿宋_GB2312" w:hAnsi="仿宋_GB2312" w:eastAsia="仿宋_GB2312" w:cs="仿宋_GB2312"/>
                <w:b/>
                <w:sz w:val="32"/>
              </w:rPr>
              <w:t>全年累计两次考核不合格或全年两次考核得分相加后的平均考核得分不合格的，视为全年考核不合格，采购人有权终止合同或不予续签下一年度合同。</w:t>
            </w:r>
          </w:p>
          <w:p w14:paraId="2A59153D">
            <w:pPr>
              <w:pStyle w:val="4"/>
              <w:ind w:firstLine="640"/>
              <w:jc w:val="both"/>
            </w:pPr>
            <w:r>
              <w:rPr>
                <w:rFonts w:ascii="仿宋_GB2312" w:hAnsi="仿宋_GB2312" w:eastAsia="仿宋_GB2312" w:cs="仿宋_GB2312"/>
                <w:sz w:val="32"/>
              </w:rPr>
              <w:t>5、报价要求：本项目按需求清单分项报价（各分项服务内容最高限价详见附件1），供应商报价不得超过各分项最高限价，否则作无效处理。采购人根据中标人各分项中标单价据实结算，报价包括本项目实施所需的场地费、接洽费、劳务费、人工费、物料、保险、利润、风险、责任等采购内容涉及到的所有含税费用，除明确由采购人承担的费用以外，采购人不再另行支付任何费用。</w:t>
            </w:r>
          </w:p>
          <w:p w14:paraId="4923BCB7">
            <w:pPr>
              <w:pStyle w:val="4"/>
              <w:ind w:left="645"/>
              <w:jc w:val="both"/>
            </w:pPr>
            <w:r>
              <w:rPr>
                <w:rFonts w:ascii="仿宋_GB2312" w:hAnsi="仿宋_GB2312" w:eastAsia="仿宋_GB2312" w:cs="仿宋_GB2312"/>
                <w:sz w:val="32"/>
              </w:rPr>
              <w:t>6、其他</w:t>
            </w:r>
          </w:p>
          <w:p w14:paraId="2C56D1F0">
            <w:pPr>
              <w:pStyle w:val="4"/>
              <w:ind w:firstLine="640"/>
              <w:jc w:val="both"/>
            </w:pPr>
            <w:r>
              <w:rPr>
                <w:rFonts w:ascii="仿宋_GB2312" w:hAnsi="仿宋_GB2312" w:eastAsia="仿宋_GB2312" w:cs="仿宋_GB2312"/>
                <w:sz w:val="32"/>
              </w:rPr>
              <w:t>成交供应商在合同签订后的任何违约行为，经采购人指出后未在采购人指定的期限内予以改正的，采购人有权要求成交供应商承担合同总价15%的违约金，同时采购人有权解除合同。</w:t>
            </w:r>
          </w:p>
          <w:p w14:paraId="483632CF">
            <w:pPr>
              <w:pStyle w:val="4"/>
              <w:ind w:firstLine="640"/>
              <w:jc w:val="both"/>
            </w:pPr>
            <w:r>
              <w:rPr>
                <w:rFonts w:ascii="仿宋_GB2312" w:hAnsi="仿宋_GB2312" w:eastAsia="仿宋_GB2312" w:cs="仿宋_GB2312"/>
                <w:sz w:val="32"/>
              </w:rPr>
              <w:t>采购人与成交供应商签订合同后，如因成交供应商的原因给采购人造成人身损害或财产损失的，包括但不限于采购人本身的财产损失、由此而导致的采购人对任何第三方的法律责任等，成交供应商对此承担全部的赔偿责任，赔偿范围包括但不限于采购人因委托第三方履约产生的费用及为维权产生的律师费、诉讼费、仲裁费、保全费、保全担保保险费、差旅费等。成交供应商应承担的违约金或赔偿金可由采购人从任何一笔应付款项中直接扣除。</w:t>
            </w:r>
          </w:p>
          <w:p w14:paraId="3DAB7AEE">
            <w:pPr>
              <w:pStyle w:val="4"/>
              <w:ind w:firstLine="640"/>
              <w:jc w:val="both"/>
            </w:pPr>
            <w:r>
              <w:rPr>
                <w:rFonts w:ascii="仿宋_GB2312" w:hAnsi="仿宋_GB2312" w:eastAsia="仿宋_GB2312" w:cs="仿宋_GB2312"/>
                <w:sz w:val="32"/>
              </w:rPr>
              <w:t>7、验收标准</w:t>
            </w:r>
          </w:p>
          <w:p w14:paraId="118C34A0">
            <w:pPr>
              <w:pStyle w:val="4"/>
              <w:ind w:firstLine="640"/>
              <w:jc w:val="both"/>
            </w:pPr>
            <w:r>
              <w:rPr>
                <w:rFonts w:ascii="仿宋_GB2312" w:hAnsi="仿宋_GB2312" w:eastAsia="仿宋_GB2312" w:cs="仿宋_GB2312"/>
                <w:sz w:val="32"/>
              </w:rPr>
              <w:t>由采购人组织，成交人与采购人应严格按照《财政部关于进一步加强政府采购需求和履约验收管理的指导意见》（财库〔2016〕205号）及相关法律法规的要求进行验收。</w:t>
            </w:r>
          </w:p>
          <w:p w14:paraId="1033346C">
            <w:pPr>
              <w:pStyle w:val="4"/>
              <w:jc w:val="left"/>
            </w:pPr>
            <w:r>
              <w:rPr>
                <w:rFonts w:ascii="仿宋_GB2312" w:hAnsi="仿宋_GB2312" w:eastAsia="仿宋_GB2312" w:cs="仿宋_GB2312"/>
                <w:sz w:val="32"/>
              </w:rPr>
              <w:t>附件1：</w:t>
            </w:r>
          </w:p>
          <w:p w14:paraId="0B2638E3">
            <w:pPr>
              <w:pStyle w:val="4"/>
              <w:ind w:firstLine="640"/>
              <w:jc w:val="center"/>
            </w:pPr>
            <w:r>
              <w:rPr>
                <w:rFonts w:ascii="仿宋_GB2312" w:hAnsi="仿宋_GB2312" w:eastAsia="仿宋_GB2312" w:cs="仿宋_GB2312"/>
                <w:sz w:val="32"/>
              </w:rPr>
              <w:t>服务内容清单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516"/>
              <w:gridCol w:w="1634"/>
              <w:gridCol w:w="465"/>
              <w:gridCol w:w="451"/>
              <w:gridCol w:w="692"/>
              <w:gridCol w:w="930"/>
              <w:gridCol w:w="451"/>
            </w:tblGrid>
            <w:tr w14:paraId="47154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292488A9">
                  <w:pPr>
                    <w:pStyle w:val="4"/>
                    <w:jc w:val="center"/>
                  </w:pPr>
                  <w:r>
                    <w:rPr>
                      <w:rFonts w:ascii="仿宋_GB2312" w:hAnsi="仿宋_GB2312" w:eastAsia="仿宋_GB2312" w:cs="仿宋_GB2312"/>
                      <w:b/>
                      <w:color w:val="000000"/>
                      <w:sz w:val="24"/>
                    </w:rPr>
                    <w:t>序号</w:t>
                  </w:r>
                </w:p>
              </w:tc>
              <w:tc>
                <w:tcPr>
                  <w:tcW w:w="296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76994D3A">
                  <w:pPr>
                    <w:pStyle w:val="4"/>
                    <w:jc w:val="center"/>
                  </w:pPr>
                  <w:r>
                    <w:rPr>
                      <w:rFonts w:ascii="仿宋_GB2312" w:hAnsi="仿宋_GB2312" w:eastAsia="仿宋_GB2312" w:cs="仿宋_GB2312"/>
                      <w:b/>
                      <w:color w:val="000000"/>
                      <w:sz w:val="24"/>
                    </w:rPr>
                    <w:t>分项服务内容明细</w:t>
                  </w:r>
                </w:p>
              </w:tc>
              <w:tc>
                <w:tcPr>
                  <w:tcW w:w="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60B91B31">
                  <w:pPr>
                    <w:pStyle w:val="4"/>
                    <w:jc w:val="center"/>
                  </w:pPr>
                  <w:r>
                    <w:rPr>
                      <w:rFonts w:ascii="仿宋_GB2312" w:hAnsi="仿宋_GB2312" w:eastAsia="仿宋_GB2312" w:cs="仿宋_GB2312"/>
                      <w:b/>
                      <w:color w:val="000000"/>
                      <w:sz w:val="24"/>
                    </w:rPr>
                    <w:t>预估数量</w:t>
                  </w:r>
                </w:p>
              </w:tc>
              <w:tc>
                <w:tcPr>
                  <w:tcW w:w="4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6235C31F">
                  <w:pPr>
                    <w:pStyle w:val="4"/>
                    <w:jc w:val="center"/>
                  </w:pPr>
                  <w:r>
                    <w:rPr>
                      <w:rFonts w:ascii="仿宋_GB2312" w:hAnsi="仿宋_GB2312" w:eastAsia="仿宋_GB2312" w:cs="仿宋_GB2312"/>
                      <w:b/>
                      <w:color w:val="000000"/>
                      <w:sz w:val="24"/>
                    </w:rPr>
                    <w:t>单位</w:t>
                  </w:r>
                </w:p>
              </w:tc>
              <w:tc>
                <w:tcPr>
                  <w:tcW w:w="4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176A8F75">
                  <w:pPr>
                    <w:pStyle w:val="4"/>
                    <w:jc w:val="center"/>
                  </w:pPr>
                  <w:r>
                    <w:rPr>
                      <w:rFonts w:ascii="仿宋_GB2312" w:hAnsi="仿宋_GB2312" w:eastAsia="仿宋_GB2312" w:cs="仿宋_GB2312"/>
                      <w:b/>
                      <w:color w:val="000000"/>
                      <w:sz w:val="24"/>
                    </w:rPr>
                    <w:t>单价最高限价（万元）</w:t>
                  </w:r>
                </w:p>
              </w:tc>
              <w:tc>
                <w:tcPr>
                  <w:tcW w:w="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49334FE2">
                  <w:pPr>
                    <w:pStyle w:val="4"/>
                    <w:jc w:val="center"/>
                  </w:pPr>
                  <w:r>
                    <w:rPr>
                      <w:rFonts w:ascii="仿宋_GB2312" w:hAnsi="仿宋_GB2312" w:eastAsia="仿宋_GB2312" w:cs="仿宋_GB2312"/>
                      <w:b/>
                      <w:color w:val="000000"/>
                      <w:sz w:val="24"/>
                    </w:rPr>
                    <w:t>合计最高限价（万元）</w:t>
                  </w:r>
                </w:p>
              </w:tc>
              <w:tc>
                <w:tcPr>
                  <w:tcW w:w="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1F55694C">
                  <w:pPr>
                    <w:pStyle w:val="4"/>
                    <w:jc w:val="center"/>
                  </w:pPr>
                  <w:r>
                    <w:rPr>
                      <w:rFonts w:ascii="仿宋_GB2312" w:hAnsi="仿宋_GB2312" w:eastAsia="仿宋_GB2312" w:cs="仿宋_GB2312"/>
                      <w:b/>
                      <w:color w:val="000000"/>
                      <w:sz w:val="24"/>
                    </w:rPr>
                    <w:t>备注</w:t>
                  </w:r>
                </w:p>
              </w:tc>
            </w:tr>
            <w:tr w14:paraId="173FE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77A4AC7F">
                  <w:pPr>
                    <w:pStyle w:val="4"/>
                    <w:jc w:val="center"/>
                  </w:pPr>
                  <w:r>
                    <w:rPr>
                      <w:rFonts w:ascii="仿宋_GB2312" w:hAnsi="仿宋_GB2312" w:eastAsia="仿宋_GB2312" w:cs="仿宋_GB2312"/>
                      <w:color w:val="000000"/>
                      <w:sz w:val="24"/>
                    </w:rPr>
                    <w:t>1</w:t>
                  </w:r>
                </w:p>
                <w:p w14:paraId="6EA6D626">
                  <w:pPr>
                    <w:pStyle w:val="4"/>
                    <w:jc w:val="center"/>
                  </w:pPr>
                </w:p>
              </w:tc>
              <w:tc>
                <w:tcPr>
                  <w:tcW w:w="296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538E95B">
                  <w:pPr>
                    <w:pStyle w:val="4"/>
                    <w:jc w:val="left"/>
                  </w:pPr>
                  <w:r>
                    <w:rPr>
                      <w:rFonts w:ascii="仿宋_GB2312" w:hAnsi="仿宋_GB2312" w:eastAsia="仿宋_GB2312" w:cs="仿宋_GB2312"/>
                      <w:sz w:val="24"/>
                    </w:rPr>
                    <w:t>在线视频培训（含翻译）</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44B11">
                  <w:pPr>
                    <w:pStyle w:val="4"/>
                    <w:jc w:val="center"/>
                  </w:pPr>
                  <w:r>
                    <w:rPr>
                      <w:rFonts w:ascii="仿宋_GB2312" w:hAnsi="仿宋_GB2312" w:eastAsia="仿宋_GB2312" w:cs="仿宋_GB2312"/>
                      <w:color w:val="000000"/>
                      <w:sz w:val="24"/>
                    </w:rPr>
                    <w:t>5</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27186">
                  <w:pPr>
                    <w:pStyle w:val="4"/>
                    <w:jc w:val="center"/>
                  </w:pPr>
                  <w:r>
                    <w:rPr>
                      <w:rFonts w:ascii="仿宋_GB2312" w:hAnsi="仿宋_GB2312" w:eastAsia="仿宋_GB2312" w:cs="仿宋_GB2312"/>
                      <w:color w:val="000000"/>
                      <w:sz w:val="24"/>
                    </w:rPr>
                    <w:t>次</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75935">
                  <w:pPr>
                    <w:pStyle w:val="4"/>
                    <w:jc w:val="center"/>
                  </w:pPr>
                  <w:r>
                    <w:rPr>
                      <w:rFonts w:ascii="仿宋_GB2312" w:hAnsi="仿宋_GB2312" w:eastAsia="仿宋_GB2312" w:cs="仿宋_GB2312"/>
                      <w:color w:val="000000"/>
                      <w:sz w:val="24"/>
                    </w:rPr>
                    <w:t>3.1</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93232">
                  <w:pPr>
                    <w:pStyle w:val="4"/>
                    <w:jc w:val="center"/>
                  </w:pPr>
                  <w:r>
                    <w:rPr>
                      <w:rFonts w:ascii="仿宋_GB2312" w:hAnsi="仿宋_GB2312" w:eastAsia="仿宋_GB2312" w:cs="仿宋_GB2312"/>
                      <w:color w:val="000000"/>
                      <w:sz w:val="24"/>
                    </w:rPr>
                    <w:t>15.5</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C2934">
                  <w:pPr>
                    <w:pStyle w:val="4"/>
                    <w:jc w:val="left"/>
                  </w:pPr>
                  <w:r>
                    <w:rPr>
                      <w:rFonts w:ascii="仿宋_GB2312" w:hAnsi="仿宋_GB2312" w:eastAsia="仿宋_GB2312" w:cs="仿宋_GB2312"/>
                      <w:color w:val="000000"/>
                      <w:sz w:val="24"/>
                    </w:rPr>
                    <w:t>/</w:t>
                  </w:r>
                </w:p>
              </w:tc>
            </w:tr>
            <w:tr w14:paraId="554FC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vMerge w:val="continue"/>
                  <w:tcBorders>
                    <w:top w:val="nil"/>
                    <w:left w:val="single" w:color="000000" w:sz="4" w:space="0"/>
                    <w:bottom w:val="nil"/>
                    <w:right w:val="single" w:color="000000" w:sz="4" w:space="0"/>
                  </w:tcBorders>
                </w:tcPr>
                <w:p w14:paraId="7F208F07"/>
              </w:tc>
              <w:tc>
                <w:tcPr>
                  <w:tcW w:w="296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335E8F1">
                  <w:pPr>
                    <w:pStyle w:val="4"/>
                    <w:jc w:val="left"/>
                  </w:pPr>
                  <w:r>
                    <w:rPr>
                      <w:rFonts w:ascii="仿宋_GB2312" w:hAnsi="仿宋_GB2312" w:eastAsia="仿宋_GB2312" w:cs="仿宋_GB2312"/>
                      <w:sz w:val="24"/>
                    </w:rPr>
                    <w:t>专家团队赴英交流（含翻译）</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7B13D">
                  <w:pPr>
                    <w:pStyle w:val="4"/>
                    <w:jc w:val="center"/>
                  </w:pPr>
                  <w:r>
                    <w:rPr>
                      <w:rFonts w:ascii="仿宋_GB2312" w:hAnsi="仿宋_GB2312" w:eastAsia="仿宋_GB2312" w:cs="仿宋_GB2312"/>
                      <w:color w:val="000000"/>
                      <w:sz w:val="24"/>
                    </w:rPr>
                    <w:t>4</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2EF81">
                  <w:pPr>
                    <w:pStyle w:val="4"/>
                    <w:jc w:val="center"/>
                  </w:pPr>
                  <w:r>
                    <w:rPr>
                      <w:rFonts w:ascii="仿宋_GB2312" w:hAnsi="仿宋_GB2312" w:eastAsia="仿宋_GB2312" w:cs="仿宋_GB2312"/>
                      <w:color w:val="000000"/>
                      <w:sz w:val="24"/>
                    </w:rPr>
                    <w:t>人</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54CF5">
                  <w:pPr>
                    <w:pStyle w:val="4"/>
                    <w:jc w:val="center"/>
                  </w:pPr>
                  <w:r>
                    <w:rPr>
                      <w:rFonts w:ascii="仿宋_GB2312" w:hAnsi="仿宋_GB2312" w:eastAsia="仿宋_GB2312" w:cs="仿宋_GB2312"/>
                      <w:color w:val="000000"/>
                      <w:sz w:val="24"/>
                    </w:rPr>
                    <w:t>4</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27D42">
                  <w:pPr>
                    <w:pStyle w:val="4"/>
                    <w:jc w:val="center"/>
                  </w:pPr>
                  <w:r>
                    <w:rPr>
                      <w:rFonts w:ascii="仿宋_GB2312" w:hAnsi="仿宋_GB2312" w:eastAsia="仿宋_GB2312" w:cs="仿宋_GB2312"/>
                      <w:color w:val="000000"/>
                      <w:sz w:val="24"/>
                    </w:rPr>
                    <w:t>16</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171E5">
                  <w:pPr>
                    <w:pStyle w:val="4"/>
                    <w:jc w:val="left"/>
                  </w:pPr>
                  <w:r>
                    <w:rPr>
                      <w:rFonts w:ascii="仿宋_GB2312" w:hAnsi="仿宋_GB2312" w:eastAsia="仿宋_GB2312" w:cs="仿宋_GB2312"/>
                      <w:color w:val="000000"/>
                      <w:sz w:val="24"/>
                    </w:rPr>
                    <w:t>4万元/人</w:t>
                  </w:r>
                </w:p>
              </w:tc>
            </w:tr>
            <w:tr w14:paraId="1CD91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CEDA8E">
                  <w:pPr>
                    <w:pStyle w:val="4"/>
                    <w:jc w:val="center"/>
                  </w:pPr>
                  <w:r>
                    <w:rPr>
                      <w:rFonts w:ascii="仿宋_GB2312" w:hAnsi="仿宋_GB2312" w:eastAsia="仿宋_GB2312" w:cs="仿宋_GB2312"/>
                      <w:color w:val="000000"/>
                      <w:sz w:val="24"/>
                    </w:rPr>
                    <w:t>2</w:t>
                  </w:r>
                </w:p>
              </w:tc>
              <w:tc>
                <w:tcPr>
                  <w:tcW w:w="296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97B66AD">
                  <w:pPr>
                    <w:pStyle w:val="4"/>
                    <w:jc w:val="left"/>
                  </w:pPr>
                  <w:r>
                    <w:rPr>
                      <w:rFonts w:ascii="仿宋_GB2312" w:hAnsi="仿宋_GB2312" w:eastAsia="仿宋_GB2312" w:cs="仿宋_GB2312"/>
                      <w:sz w:val="24"/>
                    </w:rPr>
                    <w:t>专家及骨干赴英国研修（1个月）</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87E7C">
                  <w:pPr>
                    <w:pStyle w:val="4"/>
                    <w:jc w:val="center"/>
                  </w:pPr>
                  <w:r>
                    <w:rPr>
                      <w:rFonts w:ascii="仿宋_GB2312" w:hAnsi="仿宋_GB2312" w:eastAsia="仿宋_GB2312" w:cs="仿宋_GB2312"/>
                      <w:sz w:val="24"/>
                    </w:rPr>
                    <w:t>2</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5C177B">
                  <w:pPr>
                    <w:pStyle w:val="4"/>
                    <w:jc w:val="center"/>
                  </w:pPr>
                  <w:r>
                    <w:rPr>
                      <w:rFonts w:ascii="仿宋_GB2312" w:hAnsi="仿宋_GB2312" w:eastAsia="仿宋_GB2312" w:cs="仿宋_GB2312"/>
                      <w:sz w:val="24"/>
                    </w:rPr>
                    <w:t>人</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17A49">
                  <w:pPr>
                    <w:pStyle w:val="4"/>
                    <w:jc w:val="center"/>
                  </w:pPr>
                  <w:r>
                    <w:rPr>
                      <w:rFonts w:ascii="仿宋_GB2312" w:hAnsi="仿宋_GB2312" w:eastAsia="仿宋_GB2312" w:cs="仿宋_GB2312"/>
                      <w:color w:val="000000"/>
                      <w:sz w:val="24"/>
                    </w:rPr>
                    <w:t>7</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D90F5">
                  <w:pPr>
                    <w:pStyle w:val="4"/>
                    <w:jc w:val="center"/>
                  </w:pPr>
                  <w:r>
                    <w:rPr>
                      <w:rFonts w:ascii="仿宋_GB2312" w:hAnsi="仿宋_GB2312" w:eastAsia="仿宋_GB2312" w:cs="仿宋_GB2312"/>
                      <w:color w:val="000000"/>
                      <w:sz w:val="24"/>
                    </w:rPr>
                    <w:t>14</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68CD3">
                  <w:pPr>
                    <w:pStyle w:val="4"/>
                    <w:jc w:val="left"/>
                  </w:pPr>
                  <w:r>
                    <w:rPr>
                      <w:rFonts w:ascii="仿宋_GB2312" w:hAnsi="仿宋_GB2312" w:eastAsia="仿宋_GB2312" w:cs="仿宋_GB2312"/>
                      <w:color w:val="000000"/>
                      <w:sz w:val="24"/>
                    </w:rPr>
                    <w:t>/</w:t>
                  </w:r>
                </w:p>
              </w:tc>
            </w:tr>
            <w:tr w14:paraId="37B6D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0DD3B">
                  <w:pPr>
                    <w:pStyle w:val="4"/>
                    <w:jc w:val="center"/>
                  </w:pPr>
                  <w:r>
                    <w:rPr>
                      <w:rFonts w:ascii="仿宋_GB2312" w:hAnsi="仿宋_GB2312" w:eastAsia="仿宋_GB2312" w:cs="仿宋_GB2312"/>
                      <w:color w:val="000000"/>
                      <w:sz w:val="24"/>
                    </w:rPr>
                    <w:t>3</w:t>
                  </w:r>
                </w:p>
              </w:tc>
              <w:tc>
                <w:tcPr>
                  <w:tcW w:w="700" w:type="dxa"/>
                  <w:vMerge w:val="restart"/>
                  <w:tcBorders>
                    <w:top w:val="nil"/>
                    <w:left w:val="nil"/>
                    <w:bottom w:val="nil"/>
                    <w:right w:val="single" w:color="000000" w:sz="4" w:space="0"/>
                  </w:tcBorders>
                  <w:tcMar>
                    <w:top w:w="0" w:type="dxa"/>
                    <w:left w:w="105" w:type="dxa"/>
                    <w:bottom w:w="0" w:type="dxa"/>
                    <w:right w:w="105" w:type="dxa"/>
                  </w:tcMar>
                  <w:vAlign w:val="top"/>
                </w:tcPr>
                <w:p w14:paraId="41EF4E38">
                  <w:pPr>
                    <w:pStyle w:val="4"/>
                    <w:jc w:val="left"/>
                  </w:pPr>
                  <w:r>
                    <w:rPr>
                      <w:rFonts w:ascii="仿宋_GB2312" w:hAnsi="仿宋_GB2312" w:eastAsia="仿宋_GB2312" w:cs="仿宋_GB2312"/>
                      <w:sz w:val="24"/>
                    </w:rPr>
                    <w:t>中英共建外科培训基地</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6A3EE">
                  <w:pPr>
                    <w:pStyle w:val="4"/>
                    <w:jc w:val="left"/>
                  </w:pPr>
                  <w:r>
                    <w:rPr>
                      <w:rFonts w:ascii="仿宋_GB2312" w:hAnsi="仿宋_GB2312" w:eastAsia="仿宋_GB2312" w:cs="仿宋_GB2312"/>
                      <w:sz w:val="24"/>
                    </w:rPr>
                    <w:t>参与授予单位组织“全球认证中心大会”（Global Accredited Centres Forum）线上会议2次，并做基地建设分享经验、政策指导；同时采购人享有参与联合举办国际会议的权益。</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2D926">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90DB0">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F03BE">
                  <w:pPr>
                    <w:pStyle w:val="4"/>
                    <w:jc w:val="center"/>
                  </w:pPr>
                  <w:r>
                    <w:rPr>
                      <w:rFonts w:ascii="仿宋_GB2312" w:hAnsi="仿宋_GB2312" w:eastAsia="仿宋_GB2312" w:cs="仿宋_GB2312"/>
                      <w:sz w:val="24"/>
                    </w:rPr>
                    <w:t>2</w:t>
                  </w:r>
                </w:p>
              </w:tc>
              <w:tc>
                <w:tcPr>
                  <w:tcW w:w="472" w:type="dxa"/>
                  <w:vMerge w:val="restart"/>
                  <w:tcBorders>
                    <w:top w:val="nil"/>
                    <w:left w:val="nil"/>
                    <w:bottom w:val="nil"/>
                    <w:right w:val="single" w:color="000000" w:sz="4" w:space="0"/>
                  </w:tcBorders>
                  <w:tcMar>
                    <w:top w:w="0" w:type="dxa"/>
                    <w:left w:w="105" w:type="dxa"/>
                    <w:bottom w:w="0" w:type="dxa"/>
                    <w:right w:w="105" w:type="dxa"/>
                  </w:tcMar>
                  <w:vAlign w:val="top"/>
                </w:tcPr>
                <w:p w14:paraId="47B600B2">
                  <w:pPr>
                    <w:pStyle w:val="4"/>
                    <w:jc w:val="center"/>
                  </w:pPr>
                  <w:r>
                    <w:rPr>
                      <w:rFonts w:ascii="仿宋_GB2312" w:hAnsi="仿宋_GB2312" w:eastAsia="仿宋_GB2312" w:cs="仿宋_GB2312"/>
                      <w:color w:val="000000"/>
                      <w:sz w:val="24"/>
                    </w:rPr>
                    <w:t>30</w:t>
                  </w:r>
                </w:p>
              </w:tc>
              <w:tc>
                <w:tcPr>
                  <w:tcW w:w="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B3D6D9">
                  <w:pPr>
                    <w:pStyle w:val="4"/>
                    <w:jc w:val="left"/>
                  </w:pPr>
                  <w:r>
                    <w:rPr>
                      <w:rFonts w:ascii="仿宋_GB2312" w:hAnsi="仿宋_GB2312" w:eastAsia="仿宋_GB2312" w:cs="仿宋_GB2312"/>
                      <w:color w:val="000000"/>
                      <w:sz w:val="24"/>
                    </w:rPr>
                    <w:t>/</w:t>
                  </w:r>
                </w:p>
              </w:tc>
            </w:tr>
            <w:tr w14:paraId="502E2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C094E">
                  <w:pPr>
                    <w:pStyle w:val="4"/>
                    <w:jc w:val="center"/>
                  </w:pPr>
                  <w:r>
                    <w:rPr>
                      <w:rFonts w:ascii="仿宋_GB2312" w:hAnsi="仿宋_GB2312" w:eastAsia="仿宋_GB2312" w:cs="仿宋_GB2312"/>
                      <w:color w:val="000000"/>
                      <w:sz w:val="24"/>
                    </w:rPr>
                    <w:t>4</w:t>
                  </w:r>
                </w:p>
              </w:tc>
              <w:tc>
                <w:tcPr>
                  <w:tcW w:w="700" w:type="dxa"/>
                  <w:vMerge w:val="continue"/>
                  <w:tcBorders>
                    <w:top w:val="nil"/>
                    <w:left w:val="nil"/>
                    <w:bottom w:val="nil"/>
                    <w:right w:val="single" w:color="000000" w:sz="4" w:space="0"/>
                  </w:tcBorders>
                </w:tcPr>
                <w:p w14:paraId="4D73B4C0"/>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26354">
                  <w:pPr>
                    <w:pStyle w:val="4"/>
                    <w:jc w:val="left"/>
                  </w:pPr>
                  <w:r>
                    <w:rPr>
                      <w:rFonts w:ascii="仿宋_GB2312" w:hAnsi="仿宋_GB2312" w:eastAsia="仿宋_GB2312" w:cs="仿宋_GB2312"/>
                      <w:sz w:val="24"/>
                    </w:rPr>
                    <w:t>采购人可以在授权期间依法获得基地授予单位官方品牌的授权及使用，且授牌有效期不少于3年。</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842BA">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D98FD">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4DC57">
                  <w:pPr>
                    <w:pStyle w:val="4"/>
                    <w:jc w:val="center"/>
                  </w:pPr>
                  <w:r>
                    <w:rPr>
                      <w:rFonts w:ascii="仿宋_GB2312" w:hAnsi="仿宋_GB2312" w:eastAsia="仿宋_GB2312" w:cs="仿宋_GB2312"/>
                      <w:sz w:val="24"/>
                    </w:rPr>
                    <w:t>15</w:t>
                  </w:r>
                </w:p>
              </w:tc>
              <w:tc>
                <w:tcPr>
                  <w:tcW w:w="472" w:type="dxa"/>
                  <w:vMerge w:val="continue"/>
                  <w:tcBorders>
                    <w:top w:val="nil"/>
                    <w:left w:val="nil"/>
                    <w:bottom w:val="nil"/>
                    <w:right w:val="single" w:color="000000" w:sz="4" w:space="0"/>
                  </w:tcBorders>
                </w:tcPr>
                <w:p w14:paraId="708C9735"/>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F5AA5">
                  <w:pPr>
                    <w:pStyle w:val="4"/>
                    <w:jc w:val="left"/>
                  </w:pPr>
                  <w:r>
                    <w:rPr>
                      <w:rFonts w:ascii="仿宋_GB2312" w:hAnsi="仿宋_GB2312" w:eastAsia="仿宋_GB2312" w:cs="仿宋_GB2312"/>
                      <w:color w:val="000000"/>
                      <w:sz w:val="24"/>
                    </w:rPr>
                    <w:t>/</w:t>
                  </w:r>
                </w:p>
              </w:tc>
            </w:tr>
            <w:tr w14:paraId="6F6FE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9A587">
                  <w:pPr>
                    <w:pStyle w:val="4"/>
                    <w:jc w:val="center"/>
                  </w:pPr>
                  <w:r>
                    <w:rPr>
                      <w:rFonts w:ascii="仿宋_GB2312" w:hAnsi="仿宋_GB2312" w:eastAsia="仿宋_GB2312" w:cs="仿宋_GB2312"/>
                      <w:color w:val="000000"/>
                      <w:sz w:val="24"/>
                    </w:rPr>
                    <w:t>5</w:t>
                  </w:r>
                </w:p>
              </w:tc>
              <w:tc>
                <w:tcPr>
                  <w:tcW w:w="700" w:type="dxa"/>
                  <w:vMerge w:val="continue"/>
                  <w:tcBorders>
                    <w:top w:val="nil"/>
                    <w:left w:val="nil"/>
                    <w:bottom w:val="nil"/>
                    <w:right w:val="single" w:color="000000" w:sz="4" w:space="0"/>
                  </w:tcBorders>
                </w:tcPr>
                <w:p w14:paraId="6395A9D3"/>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6C39B">
                  <w:pPr>
                    <w:pStyle w:val="4"/>
                    <w:jc w:val="left"/>
                  </w:pPr>
                  <w:r>
                    <w:rPr>
                      <w:rFonts w:ascii="仿宋_GB2312" w:hAnsi="仿宋_GB2312" w:eastAsia="仿宋_GB2312" w:cs="仿宋_GB2312"/>
                      <w:sz w:val="24"/>
                    </w:rPr>
                    <w:t>英方授权机构每年不少于5次在线指导，包括但不限于病例示教、基地建设相关外科指南或白皮书分享交流。</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15A499">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6F1A2">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0FD52">
                  <w:pPr>
                    <w:pStyle w:val="4"/>
                    <w:jc w:val="center"/>
                  </w:pPr>
                  <w:r>
                    <w:rPr>
                      <w:rFonts w:ascii="仿宋_GB2312" w:hAnsi="仿宋_GB2312" w:eastAsia="仿宋_GB2312" w:cs="仿宋_GB2312"/>
                      <w:sz w:val="24"/>
                    </w:rPr>
                    <w:t>5</w:t>
                  </w:r>
                </w:p>
              </w:tc>
              <w:tc>
                <w:tcPr>
                  <w:tcW w:w="472" w:type="dxa"/>
                  <w:vMerge w:val="continue"/>
                  <w:tcBorders>
                    <w:top w:val="nil"/>
                    <w:left w:val="nil"/>
                    <w:bottom w:val="nil"/>
                    <w:right w:val="single" w:color="000000" w:sz="4" w:space="0"/>
                  </w:tcBorders>
                </w:tcPr>
                <w:p w14:paraId="6FF93228"/>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241D1">
                  <w:pPr>
                    <w:pStyle w:val="4"/>
                    <w:jc w:val="left"/>
                  </w:pPr>
                  <w:r>
                    <w:rPr>
                      <w:rFonts w:ascii="仿宋_GB2312" w:hAnsi="仿宋_GB2312" w:eastAsia="仿宋_GB2312" w:cs="仿宋_GB2312"/>
                      <w:color w:val="000000"/>
                      <w:sz w:val="24"/>
                    </w:rPr>
                    <w:t>/</w:t>
                  </w:r>
                </w:p>
              </w:tc>
            </w:tr>
            <w:tr w14:paraId="2D0BF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C4CEA">
                  <w:pPr>
                    <w:pStyle w:val="4"/>
                    <w:jc w:val="center"/>
                  </w:pPr>
                  <w:r>
                    <w:rPr>
                      <w:rFonts w:ascii="仿宋_GB2312" w:hAnsi="仿宋_GB2312" w:eastAsia="仿宋_GB2312" w:cs="仿宋_GB2312"/>
                      <w:color w:val="000000"/>
                      <w:sz w:val="24"/>
                    </w:rPr>
                    <w:t>6</w:t>
                  </w:r>
                </w:p>
              </w:tc>
              <w:tc>
                <w:tcPr>
                  <w:tcW w:w="700" w:type="dxa"/>
                  <w:vMerge w:val="continue"/>
                  <w:tcBorders>
                    <w:top w:val="nil"/>
                    <w:left w:val="nil"/>
                    <w:bottom w:val="nil"/>
                    <w:right w:val="single" w:color="000000" w:sz="4" w:space="0"/>
                  </w:tcBorders>
                </w:tcPr>
                <w:p w14:paraId="6B9DABA1"/>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4A2C8">
                  <w:pPr>
                    <w:pStyle w:val="4"/>
                    <w:jc w:val="left"/>
                  </w:pPr>
                  <w:r>
                    <w:rPr>
                      <w:rFonts w:ascii="仿宋_GB2312" w:hAnsi="仿宋_GB2312" w:eastAsia="仿宋_GB2312" w:cs="仿宋_GB2312"/>
                      <w:sz w:val="24"/>
                    </w:rPr>
                    <w:t>英方授权机构对光华院区外科中心制度建设指导不少于2次/年。</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37B29">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C6F59">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75C6F">
                  <w:pPr>
                    <w:pStyle w:val="4"/>
                    <w:jc w:val="center"/>
                  </w:pPr>
                  <w:r>
                    <w:rPr>
                      <w:rFonts w:ascii="仿宋_GB2312" w:hAnsi="仿宋_GB2312" w:eastAsia="仿宋_GB2312" w:cs="仿宋_GB2312"/>
                      <w:sz w:val="24"/>
                    </w:rPr>
                    <w:t>1</w:t>
                  </w:r>
                </w:p>
              </w:tc>
              <w:tc>
                <w:tcPr>
                  <w:tcW w:w="472" w:type="dxa"/>
                  <w:vMerge w:val="continue"/>
                  <w:tcBorders>
                    <w:top w:val="nil"/>
                    <w:left w:val="nil"/>
                    <w:bottom w:val="nil"/>
                    <w:right w:val="single" w:color="000000" w:sz="4" w:space="0"/>
                  </w:tcBorders>
                </w:tcPr>
                <w:p w14:paraId="5BB9C35C"/>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6D545">
                  <w:pPr>
                    <w:pStyle w:val="4"/>
                    <w:jc w:val="left"/>
                  </w:pPr>
                  <w:r>
                    <w:rPr>
                      <w:rFonts w:ascii="仿宋_GB2312" w:hAnsi="仿宋_GB2312" w:eastAsia="仿宋_GB2312" w:cs="仿宋_GB2312"/>
                      <w:color w:val="000000"/>
                      <w:sz w:val="24"/>
                    </w:rPr>
                    <w:t>/</w:t>
                  </w:r>
                </w:p>
              </w:tc>
            </w:tr>
            <w:tr w14:paraId="12497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4A0D1">
                  <w:pPr>
                    <w:pStyle w:val="4"/>
                    <w:jc w:val="center"/>
                  </w:pPr>
                  <w:r>
                    <w:rPr>
                      <w:rFonts w:ascii="仿宋_GB2312" w:hAnsi="仿宋_GB2312" w:eastAsia="仿宋_GB2312" w:cs="仿宋_GB2312"/>
                      <w:color w:val="000000"/>
                      <w:sz w:val="24"/>
                    </w:rPr>
                    <w:t>7</w:t>
                  </w:r>
                </w:p>
              </w:tc>
              <w:tc>
                <w:tcPr>
                  <w:tcW w:w="700" w:type="dxa"/>
                  <w:vMerge w:val="continue"/>
                  <w:tcBorders>
                    <w:top w:val="nil"/>
                    <w:left w:val="nil"/>
                    <w:bottom w:val="nil"/>
                    <w:right w:val="single" w:color="000000" w:sz="4" w:space="0"/>
                  </w:tcBorders>
                </w:tcPr>
                <w:p w14:paraId="086F5B07"/>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B7ACB">
                  <w:pPr>
                    <w:pStyle w:val="4"/>
                    <w:jc w:val="left"/>
                  </w:pPr>
                  <w:r>
                    <w:rPr>
                      <w:rFonts w:ascii="仿宋_GB2312" w:hAnsi="仿宋_GB2312" w:eastAsia="仿宋_GB2312" w:cs="仿宋_GB2312"/>
                      <w:sz w:val="24"/>
                    </w:rPr>
                    <w:t>英方授权机构需安排与外科培训基地相关的专家到访采购人处，对基地进行评估和相关学科工作指导。</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1D13A">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E2BDA">
                  <w:pPr>
                    <w:pStyle w:val="4"/>
                    <w:jc w:val="center"/>
                  </w:pPr>
                  <w:r>
                    <w:rPr>
                      <w:rFonts w:ascii="仿宋_GB2312" w:hAnsi="仿宋_GB2312" w:eastAsia="仿宋_GB2312" w:cs="仿宋_GB2312"/>
                      <w:sz w:val="24"/>
                    </w:rPr>
                    <w:t>位</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D6EEB">
                  <w:pPr>
                    <w:pStyle w:val="4"/>
                    <w:jc w:val="center"/>
                  </w:pPr>
                  <w:r>
                    <w:rPr>
                      <w:rFonts w:ascii="仿宋_GB2312" w:hAnsi="仿宋_GB2312" w:eastAsia="仿宋_GB2312" w:cs="仿宋_GB2312"/>
                      <w:sz w:val="24"/>
                    </w:rPr>
                    <w:t>7</w:t>
                  </w:r>
                </w:p>
              </w:tc>
              <w:tc>
                <w:tcPr>
                  <w:tcW w:w="472" w:type="dxa"/>
                  <w:vMerge w:val="continue"/>
                  <w:tcBorders>
                    <w:top w:val="nil"/>
                    <w:left w:val="nil"/>
                    <w:bottom w:val="nil"/>
                    <w:right w:val="single" w:color="000000" w:sz="4" w:space="0"/>
                  </w:tcBorders>
                </w:tcPr>
                <w:p w14:paraId="4A25F796"/>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4B081">
                  <w:pPr>
                    <w:pStyle w:val="4"/>
                    <w:jc w:val="left"/>
                  </w:pPr>
                  <w:r>
                    <w:rPr>
                      <w:rFonts w:ascii="仿宋_GB2312" w:hAnsi="仿宋_GB2312" w:eastAsia="仿宋_GB2312" w:cs="仿宋_GB2312"/>
                      <w:color w:val="000000"/>
                      <w:sz w:val="24"/>
                    </w:rPr>
                    <w:t>/</w:t>
                  </w:r>
                </w:p>
              </w:tc>
            </w:tr>
            <w:tr w14:paraId="410C9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D92F8">
                  <w:pPr>
                    <w:pStyle w:val="4"/>
                    <w:jc w:val="center"/>
                  </w:pPr>
                  <w:r>
                    <w:rPr>
                      <w:rFonts w:ascii="仿宋_GB2312" w:hAnsi="仿宋_GB2312" w:eastAsia="仿宋_GB2312" w:cs="仿宋_GB2312"/>
                      <w:color w:val="000000"/>
                      <w:sz w:val="24"/>
                    </w:rPr>
                    <w:t>8</w:t>
                  </w:r>
                </w:p>
              </w:tc>
              <w:tc>
                <w:tcPr>
                  <w:tcW w:w="700" w:type="dxa"/>
                  <w:vMerge w:val="restart"/>
                  <w:tcBorders>
                    <w:top w:val="nil"/>
                    <w:left w:val="nil"/>
                    <w:bottom w:val="nil"/>
                    <w:right w:val="single" w:color="000000" w:sz="4" w:space="0"/>
                  </w:tcBorders>
                  <w:tcMar>
                    <w:top w:w="0" w:type="dxa"/>
                    <w:left w:w="105" w:type="dxa"/>
                    <w:bottom w:w="0" w:type="dxa"/>
                    <w:right w:w="105" w:type="dxa"/>
                  </w:tcMar>
                  <w:vAlign w:val="top"/>
                </w:tcPr>
                <w:p w14:paraId="5BFE5CEC">
                  <w:pPr>
                    <w:pStyle w:val="4"/>
                    <w:jc w:val="left"/>
                  </w:pPr>
                  <w:r>
                    <w:rPr>
                      <w:rFonts w:ascii="仿宋_GB2312" w:hAnsi="仿宋_GB2312" w:eastAsia="仿宋_GB2312" w:cs="仿宋_GB2312"/>
                      <w:sz w:val="24"/>
                    </w:rPr>
                    <w:t>外籍专家聘任</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2AE49">
                  <w:pPr>
                    <w:pStyle w:val="4"/>
                    <w:jc w:val="left"/>
                  </w:pPr>
                  <w:r>
                    <w:rPr>
                      <w:rFonts w:ascii="仿宋_GB2312" w:hAnsi="仿宋_GB2312" w:eastAsia="仿宋_GB2312" w:cs="仿宋_GB2312"/>
                      <w:sz w:val="24"/>
                    </w:rPr>
                    <w:t>每位受聘专家需每年为采购人引进临床新技术或新模式至少1项</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98BEB">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DE1C4">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9F6F6">
                  <w:pPr>
                    <w:pStyle w:val="4"/>
                    <w:jc w:val="center"/>
                  </w:pPr>
                  <w:r>
                    <w:rPr>
                      <w:rFonts w:ascii="仿宋_GB2312" w:hAnsi="仿宋_GB2312" w:eastAsia="仿宋_GB2312" w:cs="仿宋_GB2312"/>
                      <w:sz w:val="24"/>
                    </w:rPr>
                    <w:t>5</w:t>
                  </w:r>
                </w:p>
              </w:tc>
              <w:tc>
                <w:tcPr>
                  <w:tcW w:w="472" w:type="dxa"/>
                  <w:vMerge w:val="restart"/>
                  <w:tcBorders>
                    <w:top w:val="nil"/>
                    <w:left w:val="nil"/>
                    <w:bottom w:val="nil"/>
                    <w:right w:val="single" w:color="000000" w:sz="4" w:space="0"/>
                  </w:tcBorders>
                  <w:tcMar>
                    <w:top w:w="0" w:type="dxa"/>
                    <w:left w:w="105" w:type="dxa"/>
                    <w:bottom w:w="0" w:type="dxa"/>
                    <w:right w:w="105" w:type="dxa"/>
                  </w:tcMar>
                  <w:vAlign w:val="top"/>
                </w:tcPr>
                <w:p w14:paraId="7EDF99D7">
                  <w:pPr>
                    <w:pStyle w:val="4"/>
                    <w:jc w:val="center"/>
                  </w:pPr>
                  <w:r>
                    <w:rPr>
                      <w:rFonts w:ascii="仿宋_GB2312" w:hAnsi="仿宋_GB2312" w:eastAsia="仿宋_GB2312" w:cs="仿宋_GB2312"/>
                      <w:sz w:val="24"/>
                    </w:rPr>
                    <w:t>35万元/人</w:t>
                  </w:r>
                </w:p>
              </w:tc>
              <w:tc>
                <w:tcPr>
                  <w:tcW w:w="317" w:type="dxa"/>
                  <w:vMerge w:val="restart"/>
                  <w:tcBorders>
                    <w:top w:val="nil"/>
                    <w:left w:val="nil"/>
                    <w:bottom w:val="nil"/>
                    <w:right w:val="single" w:color="000000" w:sz="4" w:space="0"/>
                  </w:tcBorders>
                  <w:tcMar>
                    <w:top w:w="0" w:type="dxa"/>
                    <w:left w:w="105" w:type="dxa"/>
                    <w:bottom w:w="0" w:type="dxa"/>
                    <w:right w:w="105" w:type="dxa"/>
                  </w:tcMar>
                  <w:vAlign w:val="top"/>
                </w:tcPr>
                <w:p w14:paraId="73714A8C">
                  <w:pPr>
                    <w:pStyle w:val="4"/>
                    <w:jc w:val="left"/>
                  </w:pPr>
                  <w:r>
                    <w:rPr>
                      <w:rFonts w:ascii="仿宋_GB2312" w:hAnsi="仿宋_GB2312" w:eastAsia="仿宋_GB2312" w:cs="仿宋_GB2312"/>
                      <w:color w:val="000000"/>
                      <w:sz w:val="24"/>
                    </w:rPr>
                    <w:t>/</w:t>
                  </w:r>
                </w:p>
              </w:tc>
            </w:tr>
            <w:tr w14:paraId="4B5F5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55D30">
                  <w:pPr>
                    <w:pStyle w:val="4"/>
                    <w:jc w:val="center"/>
                  </w:pPr>
                  <w:r>
                    <w:rPr>
                      <w:rFonts w:ascii="仿宋_GB2312" w:hAnsi="仿宋_GB2312" w:eastAsia="仿宋_GB2312" w:cs="仿宋_GB2312"/>
                      <w:color w:val="000000"/>
                      <w:sz w:val="24"/>
                    </w:rPr>
                    <w:t>9</w:t>
                  </w:r>
                </w:p>
              </w:tc>
              <w:tc>
                <w:tcPr>
                  <w:tcW w:w="700" w:type="dxa"/>
                  <w:vMerge w:val="continue"/>
                  <w:tcBorders>
                    <w:top w:val="nil"/>
                    <w:left w:val="nil"/>
                    <w:bottom w:val="nil"/>
                    <w:right w:val="single" w:color="000000" w:sz="4" w:space="0"/>
                  </w:tcBorders>
                </w:tcPr>
                <w:p w14:paraId="70EBCAC7"/>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6629E">
                  <w:pPr>
                    <w:pStyle w:val="4"/>
                    <w:jc w:val="left"/>
                  </w:pPr>
                  <w:r>
                    <w:rPr>
                      <w:rFonts w:ascii="仿宋_GB2312" w:hAnsi="仿宋_GB2312" w:eastAsia="仿宋_GB2312" w:cs="仿宋_GB2312"/>
                      <w:sz w:val="24"/>
                    </w:rPr>
                    <w:t>每年协助1位成都第五人民医院的医生成为皇家外科学院授权的专科授课老师，其所需相关培训、考核、出国差旅等所有费用由采购人承担</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6460BB">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778E7">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BBF84">
                  <w:pPr>
                    <w:pStyle w:val="4"/>
                    <w:jc w:val="center"/>
                  </w:pPr>
                  <w:r>
                    <w:rPr>
                      <w:rFonts w:ascii="仿宋_GB2312" w:hAnsi="仿宋_GB2312" w:eastAsia="仿宋_GB2312" w:cs="仿宋_GB2312"/>
                      <w:sz w:val="24"/>
                    </w:rPr>
                    <w:t>5</w:t>
                  </w:r>
                </w:p>
              </w:tc>
              <w:tc>
                <w:tcPr>
                  <w:tcW w:w="472" w:type="dxa"/>
                  <w:vMerge w:val="continue"/>
                  <w:tcBorders>
                    <w:top w:val="nil"/>
                    <w:left w:val="nil"/>
                    <w:bottom w:val="nil"/>
                    <w:right w:val="single" w:color="000000" w:sz="4" w:space="0"/>
                  </w:tcBorders>
                </w:tcPr>
                <w:p w14:paraId="749DFE08"/>
              </w:tc>
              <w:tc>
                <w:tcPr>
                  <w:tcW w:w="317" w:type="dxa"/>
                  <w:vMerge w:val="continue"/>
                  <w:tcBorders>
                    <w:top w:val="nil"/>
                    <w:left w:val="nil"/>
                    <w:bottom w:val="nil"/>
                    <w:right w:val="single" w:color="000000" w:sz="4" w:space="0"/>
                  </w:tcBorders>
                </w:tcPr>
                <w:p w14:paraId="4C50E1C1"/>
              </w:tc>
            </w:tr>
            <w:tr w14:paraId="26392E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5FFDD">
                  <w:pPr>
                    <w:pStyle w:val="4"/>
                    <w:jc w:val="center"/>
                  </w:pPr>
                  <w:r>
                    <w:rPr>
                      <w:rFonts w:ascii="仿宋_GB2312" w:hAnsi="仿宋_GB2312" w:eastAsia="仿宋_GB2312" w:cs="仿宋_GB2312"/>
                      <w:color w:val="000000"/>
                      <w:sz w:val="24"/>
                    </w:rPr>
                    <w:t>10</w:t>
                  </w:r>
                </w:p>
              </w:tc>
              <w:tc>
                <w:tcPr>
                  <w:tcW w:w="700" w:type="dxa"/>
                  <w:vMerge w:val="continue"/>
                  <w:tcBorders>
                    <w:top w:val="nil"/>
                    <w:left w:val="nil"/>
                    <w:bottom w:val="nil"/>
                    <w:right w:val="single" w:color="000000" w:sz="4" w:space="0"/>
                  </w:tcBorders>
                </w:tcPr>
                <w:p w14:paraId="204268D6"/>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8D91F">
                  <w:pPr>
                    <w:pStyle w:val="4"/>
                    <w:jc w:val="left"/>
                  </w:pPr>
                  <w:r>
                    <w:rPr>
                      <w:rFonts w:ascii="仿宋_GB2312" w:hAnsi="仿宋_GB2312" w:eastAsia="仿宋_GB2312" w:cs="仿宋_GB2312"/>
                      <w:sz w:val="24"/>
                    </w:rPr>
                    <w:t>每位受聘专家每年需对采购人医联体单位开展不小于2次的指导或授课，每次指导或授课不少于2小时</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2FFD6">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D03C2">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B0709">
                  <w:pPr>
                    <w:pStyle w:val="4"/>
                    <w:jc w:val="center"/>
                  </w:pPr>
                  <w:r>
                    <w:rPr>
                      <w:rFonts w:ascii="仿宋_GB2312" w:hAnsi="仿宋_GB2312" w:eastAsia="仿宋_GB2312" w:cs="仿宋_GB2312"/>
                      <w:sz w:val="24"/>
                    </w:rPr>
                    <w:t>4</w:t>
                  </w:r>
                </w:p>
              </w:tc>
              <w:tc>
                <w:tcPr>
                  <w:tcW w:w="472" w:type="dxa"/>
                  <w:vMerge w:val="continue"/>
                  <w:tcBorders>
                    <w:top w:val="nil"/>
                    <w:left w:val="nil"/>
                    <w:bottom w:val="nil"/>
                    <w:right w:val="single" w:color="000000" w:sz="4" w:space="0"/>
                  </w:tcBorders>
                </w:tcPr>
                <w:p w14:paraId="23797987"/>
              </w:tc>
              <w:tc>
                <w:tcPr>
                  <w:tcW w:w="317" w:type="dxa"/>
                  <w:vMerge w:val="continue"/>
                  <w:tcBorders>
                    <w:top w:val="nil"/>
                    <w:left w:val="nil"/>
                    <w:bottom w:val="nil"/>
                    <w:right w:val="single" w:color="000000" w:sz="4" w:space="0"/>
                  </w:tcBorders>
                </w:tcPr>
                <w:p w14:paraId="0B5F50BC"/>
              </w:tc>
            </w:tr>
            <w:tr w14:paraId="04878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172DE">
                  <w:pPr>
                    <w:pStyle w:val="4"/>
                    <w:jc w:val="center"/>
                  </w:pPr>
                  <w:r>
                    <w:rPr>
                      <w:rFonts w:ascii="仿宋_GB2312" w:hAnsi="仿宋_GB2312" w:eastAsia="仿宋_GB2312" w:cs="仿宋_GB2312"/>
                      <w:color w:val="000000"/>
                      <w:sz w:val="24"/>
                    </w:rPr>
                    <w:t>11</w:t>
                  </w:r>
                </w:p>
              </w:tc>
              <w:tc>
                <w:tcPr>
                  <w:tcW w:w="700" w:type="dxa"/>
                  <w:vMerge w:val="continue"/>
                  <w:tcBorders>
                    <w:top w:val="nil"/>
                    <w:left w:val="nil"/>
                    <w:bottom w:val="nil"/>
                    <w:right w:val="single" w:color="000000" w:sz="4" w:space="0"/>
                  </w:tcBorders>
                </w:tcPr>
                <w:p w14:paraId="506A8EB0"/>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4C674">
                  <w:pPr>
                    <w:pStyle w:val="4"/>
                    <w:jc w:val="left"/>
                  </w:pPr>
                  <w:r>
                    <w:rPr>
                      <w:rFonts w:ascii="仿宋_GB2312" w:hAnsi="仿宋_GB2312" w:eastAsia="仿宋_GB2312" w:cs="仿宋_GB2312"/>
                      <w:sz w:val="24"/>
                    </w:rPr>
                    <w:t>每位受聘专家每年需至少2次到采购人参加医院举办的国际性会议并做专题演讲或作为评审专家对医院举办相关医学竞赛作专业点评</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D64C0">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F0D13">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1900B">
                  <w:pPr>
                    <w:pStyle w:val="4"/>
                    <w:jc w:val="center"/>
                  </w:pPr>
                  <w:r>
                    <w:rPr>
                      <w:rFonts w:ascii="仿宋_GB2312" w:hAnsi="仿宋_GB2312" w:eastAsia="仿宋_GB2312" w:cs="仿宋_GB2312"/>
                      <w:sz w:val="24"/>
                    </w:rPr>
                    <w:t>6</w:t>
                  </w:r>
                </w:p>
              </w:tc>
              <w:tc>
                <w:tcPr>
                  <w:tcW w:w="472" w:type="dxa"/>
                  <w:vMerge w:val="continue"/>
                  <w:tcBorders>
                    <w:top w:val="nil"/>
                    <w:left w:val="nil"/>
                    <w:bottom w:val="nil"/>
                    <w:right w:val="single" w:color="000000" w:sz="4" w:space="0"/>
                  </w:tcBorders>
                </w:tcPr>
                <w:p w14:paraId="48B8B775"/>
              </w:tc>
              <w:tc>
                <w:tcPr>
                  <w:tcW w:w="317" w:type="dxa"/>
                  <w:vMerge w:val="continue"/>
                  <w:tcBorders>
                    <w:top w:val="nil"/>
                    <w:left w:val="nil"/>
                    <w:bottom w:val="nil"/>
                    <w:right w:val="single" w:color="000000" w:sz="4" w:space="0"/>
                  </w:tcBorders>
                </w:tcPr>
                <w:p w14:paraId="581EC4D5"/>
              </w:tc>
            </w:tr>
            <w:tr w14:paraId="5F878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11C87">
                  <w:pPr>
                    <w:pStyle w:val="4"/>
                    <w:jc w:val="center"/>
                  </w:pPr>
                  <w:r>
                    <w:rPr>
                      <w:rFonts w:ascii="仿宋_GB2312" w:hAnsi="仿宋_GB2312" w:eastAsia="仿宋_GB2312" w:cs="仿宋_GB2312"/>
                      <w:color w:val="000000"/>
                      <w:sz w:val="24"/>
                    </w:rPr>
                    <w:t>12</w:t>
                  </w:r>
                </w:p>
              </w:tc>
              <w:tc>
                <w:tcPr>
                  <w:tcW w:w="700" w:type="dxa"/>
                  <w:vMerge w:val="continue"/>
                  <w:tcBorders>
                    <w:top w:val="nil"/>
                    <w:left w:val="nil"/>
                    <w:bottom w:val="nil"/>
                    <w:right w:val="single" w:color="000000" w:sz="4" w:space="0"/>
                  </w:tcBorders>
                </w:tcPr>
                <w:p w14:paraId="502AEF8F"/>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31854">
                  <w:pPr>
                    <w:pStyle w:val="4"/>
                    <w:jc w:val="left"/>
                  </w:pPr>
                  <w:r>
                    <w:rPr>
                      <w:rFonts w:ascii="仿宋_GB2312" w:hAnsi="仿宋_GB2312" w:eastAsia="仿宋_GB2312" w:cs="仿宋_GB2312"/>
                      <w:sz w:val="24"/>
                    </w:rPr>
                    <w:t>每位受聘专家一年需至少2次到采购人访问指导（每次到访从中国入关到出关不少于五个自然天数），另需为基地课程或相关专科提供在线疑难病例讨论和科研等专业指导</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53E95">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95070">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A4C8B">
                  <w:pPr>
                    <w:pStyle w:val="4"/>
                    <w:jc w:val="center"/>
                  </w:pPr>
                  <w:r>
                    <w:rPr>
                      <w:rFonts w:ascii="仿宋_GB2312" w:hAnsi="仿宋_GB2312" w:eastAsia="仿宋_GB2312" w:cs="仿宋_GB2312"/>
                      <w:sz w:val="24"/>
                    </w:rPr>
                    <w:t>10</w:t>
                  </w:r>
                </w:p>
              </w:tc>
              <w:tc>
                <w:tcPr>
                  <w:tcW w:w="472" w:type="dxa"/>
                  <w:vMerge w:val="continue"/>
                  <w:tcBorders>
                    <w:top w:val="nil"/>
                    <w:left w:val="nil"/>
                    <w:bottom w:val="nil"/>
                    <w:right w:val="single" w:color="000000" w:sz="4" w:space="0"/>
                  </w:tcBorders>
                </w:tcPr>
                <w:p w14:paraId="57A18BC3"/>
              </w:tc>
              <w:tc>
                <w:tcPr>
                  <w:tcW w:w="317" w:type="dxa"/>
                  <w:vMerge w:val="continue"/>
                  <w:tcBorders>
                    <w:top w:val="nil"/>
                    <w:left w:val="nil"/>
                    <w:bottom w:val="nil"/>
                    <w:right w:val="single" w:color="000000" w:sz="4" w:space="0"/>
                  </w:tcBorders>
                </w:tcPr>
                <w:p w14:paraId="29124565"/>
              </w:tc>
            </w:tr>
            <w:tr w14:paraId="7CB31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E9300">
                  <w:pPr>
                    <w:pStyle w:val="4"/>
                    <w:jc w:val="center"/>
                  </w:pPr>
                  <w:r>
                    <w:rPr>
                      <w:rFonts w:ascii="仿宋_GB2312" w:hAnsi="仿宋_GB2312" w:eastAsia="仿宋_GB2312" w:cs="仿宋_GB2312"/>
                      <w:color w:val="000000"/>
                      <w:sz w:val="24"/>
                    </w:rPr>
                    <w:t>13</w:t>
                  </w:r>
                </w:p>
              </w:tc>
              <w:tc>
                <w:tcPr>
                  <w:tcW w:w="700" w:type="dxa"/>
                  <w:vMerge w:val="continue"/>
                  <w:tcBorders>
                    <w:top w:val="nil"/>
                    <w:left w:val="nil"/>
                    <w:bottom w:val="nil"/>
                    <w:right w:val="single" w:color="000000" w:sz="4" w:space="0"/>
                  </w:tcBorders>
                </w:tcPr>
                <w:p w14:paraId="6723986B"/>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3AB00">
                  <w:pPr>
                    <w:pStyle w:val="4"/>
                    <w:jc w:val="left"/>
                  </w:pPr>
                  <w:r>
                    <w:rPr>
                      <w:rFonts w:ascii="仿宋_GB2312" w:hAnsi="仿宋_GB2312" w:eastAsia="仿宋_GB2312" w:cs="仿宋_GB2312"/>
                      <w:sz w:val="24"/>
                    </w:rPr>
                    <w:t>采购需求中列明的其他服务内容</w:t>
                  </w:r>
                </w:p>
              </w:tc>
              <w:tc>
                <w:tcPr>
                  <w:tcW w:w="5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80432">
                  <w:pPr>
                    <w:pStyle w:val="4"/>
                    <w:jc w:val="center"/>
                  </w:pPr>
                  <w:r>
                    <w:rPr>
                      <w:rFonts w:ascii="仿宋_GB2312" w:hAnsi="仿宋_GB2312" w:eastAsia="仿宋_GB2312" w:cs="仿宋_GB2312"/>
                      <w:sz w:val="24"/>
                    </w:rPr>
                    <w:t>1</w:t>
                  </w:r>
                </w:p>
              </w:tc>
              <w:tc>
                <w:tcPr>
                  <w:tcW w:w="4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A8589">
                  <w:pPr>
                    <w:pStyle w:val="4"/>
                    <w:jc w:val="center"/>
                  </w:pPr>
                  <w:r>
                    <w:rPr>
                      <w:rFonts w:ascii="仿宋_GB2312" w:hAnsi="仿宋_GB2312" w:eastAsia="仿宋_GB2312" w:cs="仿宋_GB2312"/>
                      <w:sz w:val="24"/>
                    </w:rPr>
                    <w:t>项</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C2D18">
                  <w:pPr>
                    <w:pStyle w:val="4"/>
                    <w:jc w:val="center"/>
                  </w:pPr>
                  <w:r>
                    <w:rPr>
                      <w:rFonts w:ascii="仿宋_GB2312" w:hAnsi="仿宋_GB2312" w:eastAsia="仿宋_GB2312" w:cs="仿宋_GB2312"/>
                      <w:sz w:val="24"/>
                    </w:rPr>
                    <w:t>5</w:t>
                  </w:r>
                </w:p>
              </w:tc>
              <w:tc>
                <w:tcPr>
                  <w:tcW w:w="472" w:type="dxa"/>
                  <w:vMerge w:val="continue"/>
                  <w:tcBorders>
                    <w:top w:val="nil"/>
                    <w:left w:val="nil"/>
                    <w:bottom w:val="nil"/>
                    <w:right w:val="single" w:color="000000" w:sz="4" w:space="0"/>
                  </w:tcBorders>
                </w:tcPr>
                <w:p w14:paraId="33BAFA2B"/>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F2FCF">
                  <w:pPr>
                    <w:pStyle w:val="4"/>
                    <w:jc w:val="left"/>
                  </w:pPr>
                </w:p>
              </w:tc>
            </w:tr>
            <w:tr w14:paraId="1FFC3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97939">
                  <w:pPr>
                    <w:pStyle w:val="4"/>
                    <w:jc w:val="center"/>
                  </w:pPr>
                  <w:r>
                    <w:rPr>
                      <w:rFonts w:ascii="仿宋_GB2312" w:hAnsi="仿宋_GB2312" w:eastAsia="仿宋_GB2312" w:cs="仿宋_GB2312"/>
                      <w:color w:val="000000"/>
                      <w:sz w:val="24"/>
                    </w:rPr>
                    <w:t>14</w:t>
                  </w:r>
                </w:p>
              </w:tc>
              <w:tc>
                <w:tcPr>
                  <w:tcW w:w="4345" w:type="dxa"/>
                  <w:gridSpan w:val="5"/>
                  <w:tcBorders>
                    <w:top w:val="nil"/>
                    <w:left w:val="nil"/>
                    <w:bottom w:val="single" w:color="000000" w:sz="4" w:space="0"/>
                    <w:right w:val="single" w:color="000000" w:sz="4" w:space="0"/>
                  </w:tcBorders>
                  <w:tcMar>
                    <w:top w:w="0" w:type="dxa"/>
                    <w:left w:w="105" w:type="dxa"/>
                    <w:bottom w:w="0" w:type="dxa"/>
                    <w:right w:w="105" w:type="dxa"/>
                  </w:tcMar>
                  <w:vAlign w:val="top"/>
                </w:tcPr>
                <w:p w14:paraId="04B03B69">
                  <w:pPr>
                    <w:pStyle w:val="4"/>
                    <w:jc w:val="left"/>
                  </w:pPr>
                  <w:r>
                    <w:rPr>
                      <w:rFonts w:ascii="仿宋_GB2312" w:hAnsi="仿宋_GB2312" w:eastAsia="仿宋_GB2312" w:cs="仿宋_GB2312"/>
                      <w:sz w:val="24"/>
                    </w:rPr>
                    <w:t>服务费（按以上1-13项总价百分比确定，不超过每项费用15%）</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C6B58">
                  <w:pPr>
                    <w:pStyle w:val="4"/>
                    <w:jc w:val="left"/>
                  </w:pPr>
                  <w:r>
                    <w:rPr>
                      <w:rFonts w:ascii="仿宋_GB2312" w:hAnsi="仿宋_GB2312" w:eastAsia="仿宋_GB2312" w:cs="仿宋_GB2312"/>
                      <w:sz w:val="24"/>
                    </w:rPr>
                    <w:t>16.575</w:t>
                  </w:r>
                </w:p>
              </w:tc>
              <w:tc>
                <w:tcPr>
                  <w:tcW w:w="3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CFEB1">
                  <w:pPr>
                    <w:pStyle w:val="4"/>
                    <w:jc w:val="left"/>
                  </w:pPr>
                </w:p>
              </w:tc>
            </w:tr>
          </w:tbl>
          <w:p w14:paraId="0BEF4061">
            <w:pPr>
              <w:pStyle w:val="4"/>
              <w:jc w:val="left"/>
            </w:pPr>
            <w:r>
              <w:rPr>
                <w:rFonts w:ascii="仿宋_GB2312" w:hAnsi="仿宋_GB2312" w:eastAsia="仿宋_GB2312" w:cs="仿宋_GB2312"/>
                <w:sz w:val="32"/>
              </w:rPr>
              <w:t>附件2：</w:t>
            </w:r>
          </w:p>
          <w:p w14:paraId="20D5AA38">
            <w:pPr>
              <w:pStyle w:val="4"/>
              <w:spacing w:before="480" w:after="240"/>
              <w:jc w:val="center"/>
              <w:outlineLvl w:val="2"/>
            </w:pPr>
            <w:r>
              <w:rPr>
                <w:rFonts w:ascii="仿宋_GB2312" w:hAnsi="仿宋_GB2312" w:eastAsia="仿宋_GB2312" w:cs="仿宋_GB2312"/>
                <w:b/>
                <w:color w:val="0F1115"/>
                <w:sz w:val="24"/>
                <w:shd w:val="clear" w:fill="FFFFFF"/>
              </w:rPr>
              <w:t>2025年英国高水平大学及医院合作项目供应商半年度服务考核表</w:t>
            </w:r>
          </w:p>
          <w:p w14:paraId="4E4CF5A3">
            <w:pPr>
              <w:pStyle w:val="4"/>
              <w:spacing w:before="240" w:after="240"/>
              <w:jc w:val="left"/>
            </w:pPr>
            <w:r>
              <w:rPr>
                <w:rFonts w:ascii="仿宋_GB2312" w:hAnsi="仿宋_GB2312" w:eastAsia="仿宋_GB2312" w:cs="仿宋_GB2312"/>
                <w:b/>
                <w:color w:val="0F1115"/>
                <w:sz w:val="24"/>
                <w:shd w:val="clear" w:fill="FFFFFF"/>
              </w:rPr>
              <w:t>考核时间：</w:t>
            </w:r>
            <w:r>
              <w:rPr>
                <w:rFonts w:ascii="仿宋_GB2312" w:hAnsi="仿宋_GB2312" w:eastAsia="仿宋_GB2312" w:cs="仿宋_GB2312"/>
                <w:color w:val="0F1115"/>
                <w:sz w:val="24"/>
                <w:shd w:val="clear" w:fill="FFFFFF"/>
              </w:rPr>
              <w:t>自</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年</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月</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日至</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年</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月</w:t>
            </w:r>
            <w:r>
              <w:rPr>
                <w:rFonts w:ascii="仿宋_GB2312" w:hAnsi="仿宋_GB2312" w:eastAsia="仿宋_GB2312" w:cs="仿宋_GB2312"/>
                <w:sz w:val="32"/>
                <w:u w:val="single"/>
                <w:shd w:val="clear" w:fill="FFFFFF"/>
              </w:rPr>
              <w:t xml:space="preserve">  </w:t>
            </w:r>
            <w:r>
              <w:rPr>
                <w:rFonts w:ascii="仿宋_GB2312" w:hAnsi="仿宋_GB2312" w:eastAsia="仿宋_GB2312" w:cs="仿宋_GB2312"/>
                <w:color w:val="0F1115"/>
                <w:sz w:val="24"/>
                <w:shd w:val="clear" w:fill="FFFFFF"/>
              </w:rPr>
              <w:t>日</w:t>
            </w:r>
            <w:r>
              <w:br w:type="textWrapping"/>
            </w:r>
            <w:r>
              <w:rPr>
                <w:rFonts w:ascii="仿宋_GB2312" w:hAnsi="仿宋_GB2312" w:eastAsia="仿宋_GB2312" w:cs="仿宋_GB2312"/>
                <w:b/>
                <w:color w:val="0F1115"/>
                <w:sz w:val="24"/>
                <w:shd w:val="clear" w:fill="FFFFFF"/>
              </w:rPr>
              <w:t>被考核方（供应商）：</w:t>
            </w:r>
            <w:r>
              <w:rPr>
                <w:rFonts w:ascii="仿宋_GB2312" w:hAnsi="仿宋_GB2312" w:eastAsia="仿宋_GB2312" w:cs="仿宋_GB2312"/>
                <w:b/>
                <w:sz w:val="32"/>
                <w:u w:val="single"/>
                <w:shd w:val="clear" w:fill="FFFFFF"/>
              </w:rPr>
              <w:t xml:space="preserve">              </w:t>
            </w:r>
            <w:r>
              <w:rPr>
                <w:rFonts w:ascii="仿宋_GB2312" w:hAnsi="仿宋_GB2312" w:eastAsia="仿宋_GB2312" w:cs="仿宋_GB2312"/>
                <w:color w:val="0F1115"/>
                <w:sz w:val="24"/>
                <w:u w:val="single"/>
                <w:shd w:val="clear" w:fill="FFFFFF"/>
              </w:rPr>
              <w:t xml:space="preserve"> </w:t>
            </w:r>
            <w:r>
              <w:br w:type="textWrapping"/>
            </w:r>
            <w:r>
              <w:rPr>
                <w:rFonts w:ascii="仿宋_GB2312" w:hAnsi="仿宋_GB2312" w:eastAsia="仿宋_GB2312" w:cs="仿宋_GB2312"/>
                <w:b/>
                <w:color w:val="0F1115"/>
                <w:sz w:val="24"/>
                <w:shd w:val="clear" w:fill="FFFFFF"/>
              </w:rPr>
              <w:t>考核方（采购人：成都市第五人民医院）：</w:t>
            </w:r>
            <w:r>
              <w:rPr>
                <w:rFonts w:ascii="仿宋_GB2312" w:hAnsi="仿宋_GB2312" w:eastAsia="仿宋_GB2312" w:cs="仿宋_GB2312"/>
                <w:color w:val="0F1115"/>
                <w:sz w:val="24"/>
                <w:shd w:val="clear" w:fill="FFFFFF"/>
              </w:rPr>
              <w:t xml:space="preserve"> </w:t>
            </w:r>
            <w:r>
              <w:rPr>
                <w:rFonts w:ascii="仿宋_GB2312" w:hAnsi="仿宋_GB2312" w:eastAsia="仿宋_GB2312" w:cs="仿宋_GB2312"/>
                <w:sz w:val="32"/>
                <w:u w:val="single"/>
                <w:shd w:val="clear" w:fill="FFFFFF"/>
              </w:rPr>
              <w:t xml:space="preserve">                    </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5"/>
              <w:gridCol w:w="931"/>
              <w:gridCol w:w="721"/>
              <w:gridCol w:w="2510"/>
              <w:gridCol w:w="721"/>
            </w:tblGrid>
            <w:tr w14:paraId="0EA48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single" w:color="000000" w:sz="4" w:space="0"/>
                    <w:left w:val="single" w:color="000000" w:sz="4" w:space="0"/>
                    <w:bottom w:val="single" w:color="000000" w:sz="4" w:space="0"/>
                    <w:right w:val="single" w:color="000000" w:sz="4" w:space="0"/>
                  </w:tcBorders>
                  <w:tcMar>
                    <w:top w:w="150" w:type="dxa"/>
                    <w:left w:w="0" w:type="dxa"/>
                    <w:bottom w:w="150" w:type="dxa"/>
                    <w:right w:w="240" w:type="dxa"/>
                  </w:tcMar>
                  <w:vAlign w:val="top"/>
                </w:tcPr>
                <w:p w14:paraId="2042BA81">
                  <w:pPr>
                    <w:pStyle w:val="4"/>
                    <w:jc w:val="center"/>
                  </w:pPr>
                  <w:r>
                    <w:rPr>
                      <w:rFonts w:ascii="仿宋_GB2312" w:hAnsi="仿宋_GB2312" w:eastAsia="仿宋_GB2312" w:cs="仿宋_GB2312"/>
                      <w:b/>
                      <w:sz w:val="24"/>
                    </w:rPr>
                    <w:t>序号</w:t>
                  </w:r>
                </w:p>
              </w:tc>
              <w:tc>
                <w:tcPr>
                  <w:tcW w:w="958"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0DCFFD2D">
                  <w:pPr>
                    <w:pStyle w:val="4"/>
                    <w:jc w:val="center"/>
                  </w:pPr>
                  <w:r>
                    <w:rPr>
                      <w:rFonts w:ascii="仿宋_GB2312" w:hAnsi="仿宋_GB2312" w:eastAsia="仿宋_GB2312" w:cs="仿宋_GB2312"/>
                      <w:b/>
                      <w:sz w:val="24"/>
                    </w:rPr>
                    <w:t>考核项目</w:t>
                  </w:r>
                </w:p>
              </w:tc>
              <w:tc>
                <w:tcPr>
                  <w:tcW w:w="602"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636847D5">
                  <w:pPr>
                    <w:pStyle w:val="4"/>
                    <w:jc w:val="center"/>
                  </w:pPr>
                  <w:r>
                    <w:rPr>
                      <w:rFonts w:ascii="仿宋_GB2312" w:hAnsi="仿宋_GB2312" w:eastAsia="仿宋_GB2312" w:cs="仿宋_GB2312"/>
                      <w:b/>
                      <w:sz w:val="24"/>
                    </w:rPr>
                    <w:t>分值</w:t>
                  </w:r>
                </w:p>
              </w:tc>
              <w:tc>
                <w:tcPr>
                  <w:tcW w:w="2913"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4AADF992">
                  <w:pPr>
                    <w:pStyle w:val="4"/>
                    <w:jc w:val="center"/>
                  </w:pPr>
                  <w:r>
                    <w:rPr>
                      <w:rFonts w:ascii="仿宋_GB2312" w:hAnsi="仿宋_GB2312" w:eastAsia="仿宋_GB2312" w:cs="仿宋_GB2312"/>
                      <w:b/>
                      <w:sz w:val="24"/>
                    </w:rPr>
                    <w:t>评分细则与考核标准</w:t>
                  </w:r>
                </w:p>
              </w:tc>
              <w:tc>
                <w:tcPr>
                  <w:tcW w:w="721"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0B97C758">
                  <w:pPr>
                    <w:pStyle w:val="4"/>
                    <w:jc w:val="center"/>
                  </w:pPr>
                  <w:r>
                    <w:rPr>
                      <w:rFonts w:ascii="仿宋_GB2312" w:hAnsi="仿宋_GB2312" w:eastAsia="仿宋_GB2312" w:cs="仿宋_GB2312"/>
                      <w:b/>
                      <w:sz w:val="24"/>
                    </w:rPr>
                    <w:t>得分</w:t>
                  </w:r>
                </w:p>
              </w:tc>
            </w:tr>
            <w:tr w14:paraId="548C4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5"/>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63E5EAD3">
                  <w:pPr>
                    <w:pStyle w:val="4"/>
                    <w:jc w:val="left"/>
                  </w:pPr>
                  <w:r>
                    <w:rPr>
                      <w:rFonts w:ascii="仿宋_GB2312" w:hAnsi="仿宋_GB2312" w:eastAsia="仿宋_GB2312" w:cs="仿宋_GB2312"/>
                      <w:b/>
                      <w:sz w:val="24"/>
                    </w:rPr>
                    <w:t>一、临床及学术互访交流(30分)</w:t>
                  </w:r>
                </w:p>
              </w:tc>
            </w:tr>
            <w:tr w14:paraId="54AE1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015A12C5">
                  <w:pPr>
                    <w:pStyle w:val="4"/>
                    <w:jc w:val="left"/>
                  </w:pPr>
                  <w:r>
                    <w:rPr>
                      <w:rFonts w:ascii="仿宋_GB2312" w:hAnsi="仿宋_GB2312" w:eastAsia="仿宋_GB2312" w:cs="仿宋_GB2312"/>
                      <w:sz w:val="24"/>
                    </w:rPr>
                    <w:t>1.1</w:t>
                  </w:r>
                </w:p>
              </w:tc>
              <w:tc>
                <w:tcPr>
                  <w:tcW w:w="958"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1810E768">
                  <w:pPr>
                    <w:pStyle w:val="4"/>
                    <w:jc w:val="left"/>
                  </w:pPr>
                  <w:r>
                    <w:rPr>
                      <w:rFonts w:ascii="仿宋_GB2312" w:hAnsi="仿宋_GB2312" w:eastAsia="仿宋_GB2312" w:cs="仿宋_GB2312"/>
                      <w:b/>
                      <w:sz w:val="24"/>
                    </w:rPr>
                    <w:t>在线视频培训组织</w:t>
                  </w:r>
                </w:p>
              </w:tc>
              <w:tc>
                <w:tcPr>
                  <w:tcW w:w="602"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44019D32">
                  <w:pPr>
                    <w:pStyle w:val="4"/>
                    <w:jc w:val="left"/>
                  </w:pPr>
                  <w:r>
                    <w:rPr>
                      <w:rFonts w:ascii="仿宋_GB2312" w:hAnsi="仿宋_GB2312" w:eastAsia="仿宋_GB2312" w:cs="仿宋_GB2312"/>
                      <w:sz w:val="24"/>
                    </w:rPr>
                    <w:t>10</w:t>
                  </w:r>
                </w:p>
              </w:tc>
              <w:tc>
                <w:tcPr>
                  <w:tcW w:w="2913"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5872121D">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计划与方案（2分）</w:t>
                  </w:r>
                  <w:r>
                    <w:rPr>
                      <w:rFonts w:ascii="仿宋_GB2312" w:hAnsi="仿宋_GB2312" w:eastAsia="仿宋_GB2312" w:cs="仿宋_GB2312"/>
                      <w:sz w:val="24"/>
                    </w:rPr>
                    <w:t>：按合同要求提供详细培训计划与方案，得2分；延迟或内容不全，扣1-2分。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专家资质（2分）</w:t>
                  </w:r>
                  <w:r>
                    <w:rPr>
                      <w:rFonts w:ascii="仿宋_GB2312" w:hAnsi="仿宋_GB2312" w:eastAsia="仿宋_GB2312" w:cs="仿宋_GB2312"/>
                      <w:sz w:val="24"/>
                    </w:rPr>
                    <w:t>：授课讲师100%为英方在职副教授及以上/医学博士，得2分；每出现1次不符合，扣1分，扣完为止。</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培训管理（2分）</w:t>
                  </w:r>
                  <w:r>
                    <w:rPr>
                      <w:rFonts w:ascii="仿宋_GB2312" w:hAnsi="仿宋_GB2312" w:eastAsia="仿宋_GB2312" w:cs="仿宋_GB2312"/>
                      <w:sz w:val="24"/>
                    </w:rPr>
                    <w:t>：建立质量反馈机制，提供培训台账、视频资料等，得2分；缺项或延迟提交，扣2分。</w:t>
                  </w:r>
                  <w:r>
                    <w:br w:type="textWrapping"/>
                  </w:r>
                  <w:r>
                    <w:rPr>
                      <w:rFonts w:ascii="仿宋_GB2312" w:hAnsi="仿宋_GB2312" w:eastAsia="仿宋_GB2312" w:cs="仿宋_GB2312"/>
                      <w:sz w:val="24"/>
                    </w:rPr>
                    <w:t xml:space="preserve">4. </w:t>
                  </w:r>
                  <w:r>
                    <w:rPr>
                      <w:rFonts w:ascii="仿宋_GB2312" w:hAnsi="仿宋_GB2312" w:eastAsia="仿宋_GB2312" w:cs="仿宋_GB2312"/>
                      <w:b/>
                      <w:sz w:val="24"/>
                    </w:rPr>
                    <w:t>翻译保障（2分）</w:t>
                  </w:r>
                  <w:r>
                    <w:rPr>
                      <w:rFonts w:ascii="仿宋_GB2312" w:hAnsi="仿宋_GB2312" w:eastAsia="仿宋_GB2312" w:cs="仿宋_GB2312"/>
                      <w:sz w:val="24"/>
                    </w:rPr>
                    <w:t>：每场均配备1名及以上医学英语专业翻译，得2分；每缺少1次，扣1分，扣完为止。</w:t>
                  </w:r>
                </w:p>
                <w:p w14:paraId="736861B8">
                  <w:pPr>
                    <w:pStyle w:val="4"/>
                    <w:jc w:val="left"/>
                  </w:pPr>
                  <w:r>
                    <w:rPr>
                      <w:rFonts w:ascii="仿宋_GB2312" w:hAnsi="仿宋_GB2312" w:eastAsia="仿宋_GB2312" w:cs="仿宋_GB2312"/>
                      <w:sz w:val="24"/>
                    </w:rPr>
                    <w:t xml:space="preserve">5. </w:t>
                  </w:r>
                  <w:r>
                    <w:rPr>
                      <w:rFonts w:ascii="仿宋_GB2312" w:hAnsi="仿宋_GB2312" w:eastAsia="仿宋_GB2312" w:cs="仿宋_GB2312"/>
                      <w:b/>
                      <w:sz w:val="24"/>
                    </w:rPr>
                    <w:t>培训时长（2分）：</w:t>
                  </w:r>
                  <w:r>
                    <w:rPr>
                      <w:rFonts w:ascii="仿宋_GB2312" w:hAnsi="仿宋_GB2312" w:eastAsia="仿宋_GB2312" w:cs="仿宋_GB2312"/>
                      <w:sz w:val="24"/>
                    </w:rPr>
                    <w:t>在线视频培训每场不低于1.5小时，得2分；每有1次低于，扣1分，扣完为止。</w:t>
                  </w:r>
                </w:p>
              </w:tc>
              <w:tc>
                <w:tcPr>
                  <w:tcW w:w="721"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0" w:type="dxa"/>
                  </w:tcMar>
                  <w:vAlign w:val="top"/>
                </w:tcPr>
                <w:p w14:paraId="7D946A33">
                  <w:pPr>
                    <w:pStyle w:val="4"/>
                    <w:jc w:val="both"/>
                  </w:pPr>
                </w:p>
              </w:tc>
            </w:tr>
            <w:tr w14:paraId="57BFC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7F2DBBEF">
                  <w:pPr>
                    <w:pStyle w:val="4"/>
                    <w:jc w:val="left"/>
                  </w:pPr>
                  <w:r>
                    <w:rPr>
                      <w:rFonts w:ascii="仿宋_GB2312" w:hAnsi="仿宋_GB2312" w:eastAsia="仿宋_GB2312" w:cs="仿宋_GB2312"/>
                      <w:sz w:val="24"/>
                    </w:rPr>
                    <w:t>1.2</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0E18774F">
                  <w:pPr>
                    <w:pStyle w:val="4"/>
                    <w:jc w:val="left"/>
                  </w:pPr>
                  <w:r>
                    <w:rPr>
                      <w:rFonts w:ascii="仿宋_GB2312" w:hAnsi="仿宋_GB2312" w:eastAsia="仿宋_GB2312" w:cs="仿宋_GB2312"/>
                      <w:b/>
                      <w:sz w:val="24"/>
                    </w:rPr>
                    <w:t>专家团队赴英交流保障</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4549D6B0">
                  <w:pPr>
                    <w:pStyle w:val="4"/>
                    <w:jc w:val="left"/>
                  </w:pPr>
                  <w:r>
                    <w:rPr>
                      <w:rFonts w:ascii="仿宋_GB2312" w:hAnsi="仿宋_GB2312" w:eastAsia="仿宋_GB2312" w:cs="仿宋_GB2312"/>
                      <w:sz w:val="24"/>
                    </w:rPr>
                    <w:t>13</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630C1061">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行程与预算（2分）</w:t>
                  </w:r>
                  <w:r>
                    <w:rPr>
                      <w:rFonts w:ascii="仿宋_GB2312" w:hAnsi="仿宋_GB2312" w:eastAsia="仿宋_GB2312" w:cs="仿宋_GB2312"/>
                      <w:sz w:val="24"/>
                    </w:rPr>
                    <w:t>：方案符合《四川省因公临时出国经费管理办法》，得2分；不符合，扣2分。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签证服务（2分）</w:t>
                  </w:r>
                  <w:r>
                    <w:rPr>
                      <w:rFonts w:ascii="仿宋_GB2312" w:hAnsi="仿宋_GB2312" w:eastAsia="仿宋_GB2312" w:cs="仿宋_GB2312"/>
                      <w:sz w:val="24"/>
                    </w:rPr>
                    <w:t>：协助办理签证，提供预审、加急服务，得2分；因供应商责任导致延误，扣2分。</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全程翻译（2分）</w:t>
                  </w:r>
                  <w:r>
                    <w:rPr>
                      <w:rFonts w:ascii="仿宋_GB2312" w:hAnsi="仿宋_GB2312" w:eastAsia="仿宋_GB2312" w:cs="仿宋_GB2312"/>
                      <w:sz w:val="24"/>
                    </w:rPr>
                    <w:t>：配备符合资质（3年及以上经验、医学背景）专职翻译，得2分；不满足，扣2分。</w:t>
                  </w:r>
                  <w:r>
                    <w:br w:type="textWrapping"/>
                  </w:r>
                  <w:r>
                    <w:rPr>
                      <w:rFonts w:ascii="仿宋_GB2312" w:hAnsi="仿宋_GB2312" w:eastAsia="仿宋_GB2312" w:cs="仿宋_GB2312"/>
                      <w:sz w:val="24"/>
                    </w:rPr>
                    <w:t xml:space="preserve">4. </w:t>
                  </w:r>
                  <w:r>
                    <w:rPr>
                      <w:rFonts w:ascii="仿宋_GB2312" w:hAnsi="仿宋_GB2312" w:eastAsia="仿宋_GB2312" w:cs="仿宋_GB2312"/>
                      <w:b/>
                      <w:sz w:val="24"/>
                    </w:rPr>
                    <w:t>医学背景陪同（2分）</w:t>
                  </w:r>
                  <w:r>
                    <w:rPr>
                      <w:rFonts w:ascii="仿宋_GB2312" w:hAnsi="仿宋_GB2312" w:eastAsia="仿宋_GB2312" w:cs="仿宋_GB2312"/>
                      <w:sz w:val="24"/>
                    </w:rPr>
                    <w:t>：安排1名医学临床专业本科及以上学历工作人员全程陪同记录，得2分；未安排或不符合，扣2分。</w:t>
                  </w:r>
                  <w:r>
                    <w:br w:type="textWrapping"/>
                  </w:r>
                  <w:r>
                    <w:rPr>
                      <w:rFonts w:ascii="仿宋_GB2312" w:hAnsi="仿宋_GB2312" w:eastAsia="仿宋_GB2312" w:cs="仿宋_GB2312"/>
                      <w:sz w:val="24"/>
                    </w:rPr>
                    <w:t xml:space="preserve">5. </w:t>
                  </w:r>
                  <w:r>
                    <w:rPr>
                      <w:rFonts w:ascii="仿宋_GB2312" w:hAnsi="仿宋_GB2312" w:eastAsia="仿宋_GB2312" w:cs="仿宋_GB2312"/>
                      <w:b/>
                      <w:sz w:val="24"/>
                    </w:rPr>
                    <w:t>保险与应急预案（2分）</w:t>
                  </w:r>
                  <w:r>
                    <w:rPr>
                      <w:rFonts w:ascii="仿宋_GB2312" w:hAnsi="仿宋_GB2312" w:eastAsia="仿宋_GB2312" w:cs="仿宋_GB2312"/>
                      <w:sz w:val="24"/>
                    </w:rPr>
                    <w:t>：购买规定保险，建立应急联动机制，得2分；缺项，扣2分。</w:t>
                  </w:r>
                  <w:r>
                    <w:br w:type="textWrapping"/>
                  </w:r>
                  <w:r>
                    <w:rPr>
                      <w:rFonts w:ascii="仿宋_GB2312" w:hAnsi="仿宋_GB2312" w:eastAsia="仿宋_GB2312" w:cs="仿宋_GB2312"/>
                      <w:sz w:val="24"/>
                    </w:rPr>
                    <w:t xml:space="preserve">6. </w:t>
                  </w:r>
                  <w:r>
                    <w:rPr>
                      <w:rFonts w:ascii="仿宋_GB2312" w:hAnsi="仿宋_GB2312" w:eastAsia="仿宋_GB2312" w:cs="仿宋_GB2312"/>
                      <w:b/>
                      <w:sz w:val="24"/>
                    </w:rPr>
                    <w:t>交通、住宿、后勤（3分）</w:t>
                  </w:r>
                  <w:r>
                    <w:rPr>
                      <w:rFonts w:ascii="仿宋_GB2312" w:hAnsi="仿宋_GB2312" w:eastAsia="仿宋_GB2312" w:cs="仿宋_GB2312"/>
                      <w:sz w:val="24"/>
                    </w:rPr>
                    <w:t>：接送机、交通、住宿等安排符合规定且顺畅，得3分；每出现1次不符合规定或重大疏漏，扣3分。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287E48BA">
                  <w:pPr>
                    <w:pStyle w:val="4"/>
                    <w:jc w:val="both"/>
                  </w:pPr>
                </w:p>
              </w:tc>
            </w:tr>
            <w:tr w14:paraId="38353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7CEDD4F0">
                  <w:pPr>
                    <w:pStyle w:val="4"/>
                    <w:jc w:val="left"/>
                  </w:pPr>
                  <w:r>
                    <w:rPr>
                      <w:rFonts w:ascii="仿宋_GB2312" w:hAnsi="仿宋_GB2312" w:eastAsia="仿宋_GB2312" w:cs="仿宋_GB2312"/>
                      <w:sz w:val="24"/>
                    </w:rPr>
                    <w:t>1.3</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04CC873A">
                  <w:pPr>
                    <w:pStyle w:val="4"/>
                    <w:jc w:val="left"/>
                  </w:pPr>
                  <w:r>
                    <w:rPr>
                      <w:rFonts w:ascii="仿宋_GB2312" w:hAnsi="仿宋_GB2312" w:eastAsia="仿宋_GB2312" w:cs="仿宋_GB2312"/>
                      <w:b/>
                      <w:sz w:val="24"/>
                    </w:rPr>
                    <w:t>专家及骨干赴英研修安排</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47629CDD">
                  <w:pPr>
                    <w:pStyle w:val="4"/>
                    <w:jc w:val="left"/>
                  </w:pPr>
                  <w:r>
                    <w:rPr>
                      <w:rFonts w:ascii="仿宋_GB2312" w:hAnsi="仿宋_GB2312" w:eastAsia="仿宋_GB2312" w:cs="仿宋_GB2312"/>
                      <w:sz w:val="24"/>
                    </w:rPr>
                    <w:t>7</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3D11184A">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行程与预算（2分）</w:t>
                  </w:r>
                  <w:r>
                    <w:rPr>
                      <w:rFonts w:ascii="仿宋_GB2312" w:hAnsi="仿宋_GB2312" w:eastAsia="仿宋_GB2312" w:cs="仿宋_GB2312"/>
                      <w:sz w:val="24"/>
                    </w:rPr>
                    <w:t>：方案符合《四川省因公临时出国经费管理办法》，得2分；不符合，扣2分。</w:t>
                  </w:r>
                </w:p>
                <w:p w14:paraId="0FEDB25B">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研修席位（2分）</w:t>
                  </w:r>
                  <w:r>
                    <w:rPr>
                      <w:rFonts w:ascii="仿宋_GB2312" w:hAnsi="仿宋_GB2312" w:eastAsia="仿宋_GB2312" w:cs="仿宋_GB2312"/>
                      <w:sz w:val="24"/>
                    </w:rPr>
                    <w:t>：提供≥3家符合要求机构的定点研修席位，得2分；每少1家，扣1分。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生活与保障（2分）</w:t>
                  </w:r>
                  <w:r>
                    <w:rPr>
                      <w:rFonts w:ascii="仿宋_GB2312" w:hAnsi="仿宋_GB2312" w:eastAsia="仿宋_GB2312" w:cs="仿宋_GB2312"/>
                      <w:sz w:val="24"/>
                    </w:rPr>
                    <w:t>：提供符合标准住宿及≥3人专业保障团队，得2分；不达标，扣1-2分。</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专项培训（1分）</w:t>
                  </w:r>
                  <w:r>
                    <w:rPr>
                      <w:rFonts w:ascii="仿宋_GB2312" w:hAnsi="仿宋_GB2312" w:eastAsia="仿宋_GB2312" w:cs="仿宋_GB2312"/>
                      <w:sz w:val="24"/>
                    </w:rPr>
                    <w:t>：提供英国法律专项培训及法律顾问支持，得1分；未提供，扣1分。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18E5FA9F">
                  <w:pPr>
                    <w:pStyle w:val="4"/>
                    <w:jc w:val="both"/>
                  </w:pPr>
                </w:p>
              </w:tc>
            </w:tr>
            <w:tr w14:paraId="479695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5"/>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41BDE4D7">
                  <w:pPr>
                    <w:pStyle w:val="4"/>
                    <w:jc w:val="left"/>
                  </w:pPr>
                  <w:r>
                    <w:rPr>
                      <w:rFonts w:ascii="仿宋_GB2312" w:hAnsi="仿宋_GB2312" w:eastAsia="仿宋_GB2312" w:cs="仿宋_GB2312"/>
                      <w:b/>
                      <w:sz w:val="24"/>
                    </w:rPr>
                    <w:t>二、中英共建外科培训基地(25分)</w:t>
                  </w:r>
                </w:p>
              </w:tc>
            </w:tr>
            <w:tr w14:paraId="05938C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6699E503">
                  <w:pPr>
                    <w:pStyle w:val="4"/>
                    <w:jc w:val="left"/>
                  </w:pPr>
                  <w:r>
                    <w:rPr>
                      <w:rFonts w:ascii="仿宋_GB2312" w:hAnsi="仿宋_GB2312" w:eastAsia="仿宋_GB2312" w:cs="仿宋_GB2312"/>
                      <w:sz w:val="24"/>
                    </w:rPr>
                    <w:t>2.1</w:t>
                  </w:r>
                </w:p>
              </w:tc>
              <w:tc>
                <w:tcPr>
                  <w:tcW w:w="958"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5FD910F5">
                  <w:pPr>
                    <w:pStyle w:val="4"/>
                    <w:jc w:val="center"/>
                  </w:pPr>
                  <w:r>
                    <w:rPr>
                      <w:rFonts w:ascii="仿宋_GB2312" w:hAnsi="仿宋_GB2312" w:eastAsia="仿宋_GB2312" w:cs="仿宋_GB2312"/>
                      <w:b/>
                      <w:sz w:val="24"/>
                    </w:rPr>
                    <w:t>基地授牌推进</w:t>
                  </w:r>
                </w:p>
              </w:tc>
              <w:tc>
                <w:tcPr>
                  <w:tcW w:w="602"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4F590150">
                  <w:pPr>
                    <w:pStyle w:val="4"/>
                    <w:jc w:val="left"/>
                  </w:pPr>
                  <w:r>
                    <w:rPr>
                      <w:rFonts w:ascii="仿宋_GB2312" w:hAnsi="仿宋_GB2312" w:eastAsia="仿宋_GB2312" w:cs="仿宋_GB2312"/>
                      <w:sz w:val="24"/>
                    </w:rPr>
                    <w:t>11</w:t>
                  </w:r>
                </w:p>
              </w:tc>
              <w:tc>
                <w:tcPr>
                  <w:tcW w:w="2913"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5124E208">
                  <w:pPr>
                    <w:pStyle w:val="4"/>
                    <w:jc w:val="left"/>
                  </w:pPr>
                  <w:r>
                    <w:rPr>
                      <w:rFonts w:ascii="仿宋_GB2312" w:hAnsi="仿宋_GB2312" w:eastAsia="仿宋_GB2312" w:cs="仿宋_GB2312"/>
                      <w:b/>
                      <w:sz w:val="24"/>
                    </w:rPr>
                    <w:t>核心目标</w:t>
                  </w:r>
                  <w:r>
                    <w:rPr>
                      <w:rFonts w:ascii="仿宋_GB2312" w:hAnsi="仿宋_GB2312" w:eastAsia="仿宋_GB2312" w:cs="仿宋_GB2312"/>
                      <w:sz w:val="24"/>
                    </w:rPr>
                    <w:t>：积极沟通，按计划推进授牌工作。</w:t>
                  </w:r>
                  <w:r>
                    <w:br w:type="textWrapping"/>
                  </w:r>
                  <w:r>
                    <w:rPr>
                      <w:rFonts w:ascii="仿宋_GB2312" w:hAnsi="仿宋_GB2312" w:eastAsia="仿宋_GB2312" w:cs="仿宋_GB2312"/>
                      <w:b/>
                      <w:sz w:val="24"/>
                    </w:rPr>
                    <w:t>评分</w:t>
                  </w:r>
                  <w:r>
                    <w:rPr>
                      <w:rFonts w:ascii="仿宋_GB2312" w:hAnsi="仿宋_GB2312" w:eastAsia="仿宋_GB2312" w:cs="仿宋_GB2312"/>
                      <w:sz w:val="24"/>
                    </w:rPr>
                    <w:t>：制定明确路线图并有效执行，每半年度提供进展报告，得8-11分；工作推进缓慢或沟通不畅，得4-7分；无实质性进展，得0-3分。</w:t>
                  </w:r>
                  <w:r>
                    <w:rPr>
                      <w:rFonts w:ascii="仿宋_GB2312" w:hAnsi="仿宋_GB2312" w:eastAsia="仿宋_GB2312" w:cs="仿宋_GB2312"/>
                      <w:b/>
                      <w:sz w:val="24"/>
                    </w:rPr>
                    <w:t>（若年度内完全无推进工作，本项得0分）</w:t>
                  </w:r>
                </w:p>
              </w:tc>
              <w:tc>
                <w:tcPr>
                  <w:tcW w:w="721"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0" w:type="dxa"/>
                  </w:tcMar>
                  <w:vAlign w:val="top"/>
                </w:tcPr>
                <w:p w14:paraId="19A14960">
                  <w:pPr>
                    <w:pStyle w:val="4"/>
                    <w:jc w:val="both"/>
                  </w:pPr>
                </w:p>
              </w:tc>
            </w:tr>
            <w:tr w14:paraId="4AD2D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6719DA43">
                  <w:pPr>
                    <w:pStyle w:val="4"/>
                    <w:jc w:val="left"/>
                  </w:pPr>
                  <w:r>
                    <w:rPr>
                      <w:rFonts w:ascii="仿宋_GB2312" w:hAnsi="仿宋_GB2312" w:eastAsia="仿宋_GB2312" w:cs="仿宋_GB2312"/>
                      <w:sz w:val="24"/>
                    </w:rPr>
                    <w:t>2.2</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6E151E6C">
                  <w:pPr>
                    <w:pStyle w:val="4"/>
                    <w:jc w:val="left"/>
                  </w:pPr>
                  <w:r>
                    <w:rPr>
                      <w:rFonts w:ascii="仿宋_GB2312" w:hAnsi="仿宋_GB2312" w:eastAsia="仿宋_GB2312" w:cs="仿宋_GB2312"/>
                      <w:b/>
                      <w:sz w:val="24"/>
                    </w:rPr>
                    <w:t>年度活动与指导落实</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5FE02DB9">
                  <w:pPr>
                    <w:pStyle w:val="4"/>
                    <w:jc w:val="left"/>
                  </w:pPr>
                  <w:r>
                    <w:rPr>
                      <w:rFonts w:ascii="仿宋_GB2312" w:hAnsi="仿宋_GB2312" w:eastAsia="仿宋_GB2312" w:cs="仿宋_GB2312"/>
                      <w:sz w:val="24"/>
                    </w:rPr>
                    <w:t>14</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3297F7FC">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线上会议（2分）</w:t>
                  </w:r>
                  <w:r>
                    <w:rPr>
                      <w:rFonts w:ascii="仿宋_GB2312" w:hAnsi="仿宋_GB2312" w:eastAsia="仿宋_GB2312" w:cs="仿宋_GB2312"/>
                      <w:sz w:val="24"/>
                    </w:rPr>
                    <w:t>：按要求组织参加“全球认证中心大会”线上会议2次，得2分；每少1次，扣1分。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在线指导（5分）</w:t>
                  </w:r>
                  <w:r>
                    <w:rPr>
                      <w:rFonts w:ascii="仿宋_GB2312" w:hAnsi="仿宋_GB2312" w:eastAsia="仿宋_GB2312" w:cs="仿宋_GB2312"/>
                      <w:sz w:val="24"/>
                    </w:rPr>
                    <w:t>：组织英方在线指导≥5次，得5分；每少1次，扣1分。</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院区建设指导（4分）</w:t>
                  </w:r>
                  <w:r>
                    <w:rPr>
                      <w:rFonts w:ascii="仿宋_GB2312" w:hAnsi="仿宋_GB2312" w:eastAsia="仿宋_GB2312" w:cs="仿宋_GB2312"/>
                      <w:sz w:val="24"/>
                    </w:rPr>
                    <w:t>：组织英方对光华院区外科中心制度建设指导≥2次，得4分；每少1次，扣2分。</w:t>
                  </w:r>
                  <w:r>
                    <w:br w:type="textWrapping"/>
                  </w:r>
                  <w:r>
                    <w:rPr>
                      <w:rFonts w:ascii="仿宋_GB2312" w:hAnsi="仿宋_GB2312" w:eastAsia="仿宋_GB2312" w:cs="仿宋_GB2312"/>
                      <w:sz w:val="24"/>
                    </w:rPr>
                    <w:t xml:space="preserve">4. </w:t>
                  </w:r>
                  <w:r>
                    <w:rPr>
                      <w:rFonts w:ascii="仿宋_GB2312" w:hAnsi="仿宋_GB2312" w:eastAsia="仿宋_GB2312" w:cs="仿宋_GB2312"/>
                      <w:b/>
                      <w:sz w:val="24"/>
                    </w:rPr>
                    <w:t>专家到访（3分）</w:t>
                  </w:r>
                  <w:r>
                    <w:rPr>
                      <w:rFonts w:ascii="仿宋_GB2312" w:hAnsi="仿宋_GB2312" w:eastAsia="仿宋_GB2312" w:cs="仿宋_GB2312"/>
                      <w:sz w:val="24"/>
                    </w:rPr>
                    <w:t>：每年度成功安排1位专家到访并完成评估指导，得3分。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5CBE8442">
                  <w:pPr>
                    <w:pStyle w:val="4"/>
                    <w:jc w:val="both"/>
                  </w:pPr>
                </w:p>
              </w:tc>
            </w:tr>
            <w:tr w14:paraId="6EE03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5"/>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27018984">
                  <w:pPr>
                    <w:pStyle w:val="4"/>
                    <w:jc w:val="left"/>
                  </w:pPr>
                  <w:r>
                    <w:rPr>
                      <w:rFonts w:ascii="仿宋_GB2312" w:hAnsi="仿宋_GB2312" w:eastAsia="仿宋_GB2312" w:cs="仿宋_GB2312"/>
                      <w:b/>
                      <w:sz w:val="24"/>
                    </w:rPr>
                    <w:t>三、外籍专家聘任与服务(25分)</w:t>
                  </w:r>
                </w:p>
              </w:tc>
            </w:tr>
            <w:tr w14:paraId="4A567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6E4AF1FD">
                  <w:pPr>
                    <w:pStyle w:val="4"/>
                    <w:jc w:val="left"/>
                  </w:pPr>
                  <w:r>
                    <w:rPr>
                      <w:rFonts w:ascii="仿宋_GB2312" w:hAnsi="仿宋_GB2312" w:eastAsia="仿宋_GB2312" w:cs="仿宋_GB2312"/>
                      <w:sz w:val="24"/>
                    </w:rPr>
                    <w:t>3.1</w:t>
                  </w:r>
                </w:p>
              </w:tc>
              <w:tc>
                <w:tcPr>
                  <w:tcW w:w="958"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01E99C39">
                  <w:pPr>
                    <w:pStyle w:val="4"/>
                    <w:jc w:val="left"/>
                  </w:pPr>
                  <w:r>
                    <w:rPr>
                      <w:rFonts w:ascii="仿宋_GB2312" w:hAnsi="仿宋_GB2312" w:eastAsia="仿宋_GB2312" w:cs="仿宋_GB2312"/>
                      <w:b/>
                      <w:sz w:val="24"/>
                    </w:rPr>
                    <w:t>专家筛选与资质核验</w:t>
                  </w:r>
                </w:p>
              </w:tc>
              <w:tc>
                <w:tcPr>
                  <w:tcW w:w="602"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2F55775F">
                  <w:pPr>
                    <w:pStyle w:val="4"/>
                    <w:jc w:val="left"/>
                  </w:pPr>
                  <w:r>
                    <w:rPr>
                      <w:rFonts w:ascii="仿宋_GB2312" w:hAnsi="仿宋_GB2312" w:eastAsia="仿宋_GB2312" w:cs="仿宋_GB2312"/>
                      <w:sz w:val="24"/>
                    </w:rPr>
                    <w:t>5</w:t>
                  </w:r>
                </w:p>
              </w:tc>
              <w:tc>
                <w:tcPr>
                  <w:tcW w:w="2913"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55E56A75">
                  <w:pPr>
                    <w:pStyle w:val="4"/>
                    <w:jc w:val="left"/>
                  </w:pPr>
                  <w:r>
                    <w:rPr>
                      <w:rFonts w:ascii="仿宋_GB2312" w:hAnsi="仿宋_GB2312" w:eastAsia="仿宋_GB2312" w:cs="仿宋_GB2312"/>
                      <w:sz w:val="24"/>
                    </w:rPr>
                    <w:t>1. 按标准（教授/博士、≥5年经验等）筛选候选人，得3分。</w:t>
                  </w:r>
                  <w:r>
                    <w:br w:type="textWrapping"/>
                  </w:r>
                  <w:r>
                    <w:rPr>
                      <w:rFonts w:ascii="仿宋_GB2312" w:hAnsi="仿宋_GB2312" w:eastAsia="仿宋_GB2312" w:cs="仿宋_GB2312"/>
                      <w:sz w:val="24"/>
                    </w:rPr>
                    <w:t>2. 提供GMC注册状态等持续验证服务，得2分。</w:t>
                  </w:r>
                  <w:r>
                    <w:br w:type="textWrapping"/>
                  </w:r>
                  <w:r>
                    <w:rPr>
                      <w:rFonts w:ascii="仿宋_GB2312" w:hAnsi="仿宋_GB2312" w:eastAsia="仿宋_GB2312" w:cs="仿宋_GB2312"/>
                      <w:sz w:val="24"/>
                    </w:rPr>
                    <w:t>（有一项不符，扣相应分值）</w:t>
                  </w:r>
                </w:p>
              </w:tc>
              <w:tc>
                <w:tcPr>
                  <w:tcW w:w="721"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0" w:type="dxa"/>
                  </w:tcMar>
                  <w:vAlign w:val="top"/>
                </w:tcPr>
                <w:p w14:paraId="0ED065B2">
                  <w:pPr>
                    <w:pStyle w:val="4"/>
                    <w:jc w:val="both"/>
                  </w:pPr>
                </w:p>
              </w:tc>
            </w:tr>
            <w:tr w14:paraId="4FB55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71D4890C">
                  <w:pPr>
                    <w:pStyle w:val="4"/>
                    <w:jc w:val="left"/>
                  </w:pPr>
                  <w:r>
                    <w:rPr>
                      <w:rFonts w:ascii="仿宋_GB2312" w:hAnsi="仿宋_GB2312" w:eastAsia="仿宋_GB2312" w:cs="仿宋_GB2312"/>
                      <w:sz w:val="24"/>
                    </w:rPr>
                    <w:t>3.2</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5A736377">
                  <w:pPr>
                    <w:pStyle w:val="4"/>
                    <w:jc w:val="left"/>
                  </w:pPr>
                  <w:r>
                    <w:rPr>
                      <w:rFonts w:ascii="仿宋_GB2312" w:hAnsi="仿宋_GB2312" w:eastAsia="仿宋_GB2312" w:cs="仿宋_GB2312"/>
                      <w:b/>
                      <w:sz w:val="24"/>
                    </w:rPr>
                    <w:t>政治背景审查与风险管理</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42678BCB">
                  <w:pPr>
                    <w:pStyle w:val="4"/>
                    <w:jc w:val="left"/>
                  </w:pPr>
                  <w:r>
                    <w:rPr>
                      <w:rFonts w:ascii="仿宋_GB2312" w:hAnsi="仿宋_GB2312" w:eastAsia="仿宋_GB2312" w:cs="仿宋_GB2312"/>
                      <w:sz w:val="24"/>
                    </w:rPr>
                    <w:t>5</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1A0629E5">
                  <w:pPr>
                    <w:pStyle w:val="4"/>
                    <w:jc w:val="left"/>
                  </w:pPr>
                  <w:r>
                    <w:rPr>
                      <w:rFonts w:ascii="仿宋_GB2312" w:hAnsi="仿宋_GB2312" w:eastAsia="仿宋_GB2312" w:cs="仿宋_GB2312"/>
                      <w:sz w:val="24"/>
                    </w:rPr>
                    <w:t>1. 出具详细政治背景调查报告，得2分。</w:t>
                  </w:r>
                  <w:r>
                    <w:br w:type="textWrapping"/>
                  </w:r>
                  <w:r>
                    <w:rPr>
                      <w:rFonts w:ascii="仿宋_GB2312" w:hAnsi="仿宋_GB2312" w:eastAsia="仿宋_GB2312" w:cs="仿宋_GB2312"/>
                      <w:sz w:val="24"/>
                    </w:rPr>
                    <w:t>2. 建立持续追踪机制与应急预案，得3分。</w:t>
                  </w:r>
                  <w:r>
                    <w:br w:type="textWrapping"/>
                  </w:r>
                  <w:r>
                    <w:rPr>
                      <w:rFonts w:ascii="仿宋_GB2312" w:hAnsi="仿宋_GB2312" w:eastAsia="仿宋_GB2312" w:cs="仿宋_GB2312"/>
                      <w:sz w:val="24"/>
                    </w:rPr>
                    <w:t>（未提供报告或发现风险未报告，本项目不得分）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37985CB6">
                  <w:pPr>
                    <w:pStyle w:val="4"/>
                    <w:jc w:val="both"/>
                  </w:pPr>
                </w:p>
              </w:tc>
            </w:tr>
            <w:tr w14:paraId="21806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0BCB875F">
                  <w:pPr>
                    <w:pStyle w:val="4"/>
                    <w:jc w:val="left"/>
                  </w:pPr>
                  <w:r>
                    <w:rPr>
                      <w:rFonts w:ascii="仿宋_GB2312" w:hAnsi="仿宋_GB2312" w:eastAsia="仿宋_GB2312" w:cs="仿宋_GB2312"/>
                      <w:sz w:val="24"/>
                    </w:rPr>
                    <w:t>3.3</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78D9FBE9">
                  <w:pPr>
                    <w:pStyle w:val="4"/>
                    <w:jc w:val="left"/>
                  </w:pPr>
                  <w:r>
                    <w:rPr>
                      <w:rFonts w:ascii="仿宋_GB2312" w:hAnsi="仿宋_GB2312" w:eastAsia="仿宋_GB2312" w:cs="仿宋_GB2312"/>
                      <w:b/>
                      <w:sz w:val="24"/>
                    </w:rPr>
                    <w:t>专家年度工作成果</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16FA419E">
                  <w:pPr>
                    <w:pStyle w:val="4"/>
                    <w:jc w:val="left"/>
                  </w:pPr>
                  <w:r>
                    <w:rPr>
                      <w:rFonts w:ascii="仿宋_GB2312" w:hAnsi="仿宋_GB2312" w:eastAsia="仿宋_GB2312" w:cs="仿宋_GB2312"/>
                      <w:sz w:val="24"/>
                    </w:rPr>
                    <w:t>15</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7E952340">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引进技术（7分）</w:t>
                  </w:r>
                  <w:r>
                    <w:rPr>
                      <w:rFonts w:ascii="仿宋_GB2312" w:hAnsi="仿宋_GB2312" w:eastAsia="仿宋_GB2312" w:cs="仿宋_GB2312"/>
                      <w:sz w:val="24"/>
                    </w:rPr>
                    <w:t>：受聘专家成功引进临床新技术/模式≥1项，得7分；未完成，得0分。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协助授权（5分）</w:t>
                  </w:r>
                  <w:r>
                    <w:rPr>
                      <w:rFonts w:ascii="仿宋_GB2312" w:hAnsi="仿宋_GB2312" w:eastAsia="仿宋_GB2312" w:cs="仿宋_GB2312"/>
                      <w:sz w:val="24"/>
                    </w:rPr>
                    <w:t>：协助1位本院医生成为皇家外科学院授权专科授课老师（相关费用由院方承担），得5分；未完成，得0分。</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其他活动（3分）</w:t>
                  </w:r>
                  <w:r>
                    <w:rPr>
                      <w:rFonts w:ascii="仿宋_GB2312" w:hAnsi="仿宋_GB2312" w:eastAsia="仿宋_GB2312" w:cs="仿宋_GB2312"/>
                      <w:sz w:val="24"/>
                    </w:rPr>
                    <w:t>：完成对医联体指导（≥2次）、参加国际会议（≥2次）、来院访问指导（≥2次）等要求，得3分；每有一项未完成，扣1分。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37641E4E">
                  <w:pPr>
                    <w:pStyle w:val="4"/>
                    <w:jc w:val="both"/>
                  </w:pPr>
                </w:p>
              </w:tc>
            </w:tr>
            <w:tr w14:paraId="26DB3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5"/>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7C2E320D">
                  <w:pPr>
                    <w:pStyle w:val="4"/>
                    <w:jc w:val="left"/>
                  </w:pPr>
                  <w:r>
                    <w:rPr>
                      <w:rFonts w:ascii="仿宋_GB2312" w:hAnsi="仿宋_GB2312" w:eastAsia="仿宋_GB2312" w:cs="仿宋_GB2312"/>
                      <w:b/>
                      <w:sz w:val="24"/>
                    </w:rPr>
                    <w:t>四、综合履约与管理(20分)</w:t>
                  </w:r>
                </w:p>
              </w:tc>
            </w:tr>
            <w:tr w14:paraId="49601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22AE2805">
                  <w:pPr>
                    <w:pStyle w:val="4"/>
                    <w:jc w:val="left"/>
                  </w:pPr>
                  <w:r>
                    <w:rPr>
                      <w:rFonts w:ascii="仿宋_GB2312" w:hAnsi="仿宋_GB2312" w:eastAsia="仿宋_GB2312" w:cs="仿宋_GB2312"/>
                      <w:sz w:val="24"/>
                    </w:rPr>
                    <w:t>4.1</w:t>
                  </w:r>
                </w:p>
              </w:tc>
              <w:tc>
                <w:tcPr>
                  <w:tcW w:w="958"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7EA23A49">
                  <w:pPr>
                    <w:pStyle w:val="4"/>
                    <w:jc w:val="left"/>
                  </w:pPr>
                  <w:r>
                    <w:rPr>
                      <w:rFonts w:ascii="仿宋_GB2312" w:hAnsi="仿宋_GB2312" w:eastAsia="仿宋_GB2312" w:cs="仿宋_GB2312"/>
                      <w:b/>
                      <w:sz w:val="24"/>
                    </w:rPr>
                    <w:t>响应时效与沟通</w:t>
                  </w:r>
                </w:p>
              </w:tc>
              <w:tc>
                <w:tcPr>
                  <w:tcW w:w="602"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56B17534">
                  <w:pPr>
                    <w:pStyle w:val="4"/>
                    <w:jc w:val="left"/>
                  </w:pPr>
                  <w:r>
                    <w:rPr>
                      <w:rFonts w:ascii="仿宋_GB2312" w:hAnsi="仿宋_GB2312" w:eastAsia="仿宋_GB2312" w:cs="仿宋_GB2312"/>
                      <w:sz w:val="24"/>
                    </w:rPr>
                    <w:t>5</w:t>
                  </w:r>
                </w:p>
              </w:tc>
              <w:tc>
                <w:tcPr>
                  <w:tcW w:w="2913"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240" w:type="dxa"/>
                  </w:tcMar>
                  <w:vAlign w:val="top"/>
                </w:tcPr>
                <w:p w14:paraId="3C9ADE1A">
                  <w:pPr>
                    <w:pStyle w:val="4"/>
                    <w:jc w:val="left"/>
                  </w:pPr>
                  <w:r>
                    <w:rPr>
                      <w:rFonts w:ascii="仿宋_GB2312" w:hAnsi="仿宋_GB2312" w:eastAsia="仿宋_GB2312" w:cs="仿宋_GB2312"/>
                      <w:sz w:val="24"/>
                    </w:rPr>
                    <w:t>接到通知后24小时内响应，72小时内提供详细方案，得5分；每延迟1次，扣1分，扣完为止。</w:t>
                  </w:r>
                </w:p>
              </w:tc>
              <w:tc>
                <w:tcPr>
                  <w:tcW w:w="721" w:type="dxa"/>
                  <w:tcBorders>
                    <w:top w:val="single" w:color="000000" w:sz="4" w:space="0"/>
                    <w:left w:val="single" w:color="000000" w:sz="4" w:space="0"/>
                    <w:bottom w:val="single" w:color="000000" w:sz="4" w:space="0"/>
                    <w:right w:val="single" w:color="000000" w:sz="4" w:space="0"/>
                  </w:tcBorders>
                  <w:tcMar>
                    <w:top w:w="150" w:type="dxa"/>
                    <w:left w:w="240" w:type="dxa"/>
                    <w:bottom w:w="150" w:type="dxa"/>
                    <w:right w:w="0" w:type="dxa"/>
                  </w:tcMar>
                  <w:vAlign w:val="top"/>
                </w:tcPr>
                <w:p w14:paraId="470B396A">
                  <w:pPr>
                    <w:pStyle w:val="4"/>
                    <w:jc w:val="both"/>
                  </w:pPr>
                </w:p>
              </w:tc>
            </w:tr>
            <w:tr w14:paraId="651BB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06A8904E">
                  <w:pPr>
                    <w:pStyle w:val="4"/>
                    <w:jc w:val="left"/>
                  </w:pPr>
                  <w:r>
                    <w:rPr>
                      <w:rFonts w:ascii="仿宋_GB2312" w:hAnsi="仿宋_GB2312" w:eastAsia="仿宋_GB2312" w:cs="仿宋_GB2312"/>
                      <w:sz w:val="24"/>
                    </w:rPr>
                    <w:t>4.2</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7C741E22">
                  <w:pPr>
                    <w:pStyle w:val="4"/>
                    <w:jc w:val="left"/>
                  </w:pPr>
                  <w:r>
                    <w:rPr>
                      <w:rFonts w:ascii="仿宋_GB2312" w:hAnsi="仿宋_GB2312" w:eastAsia="仿宋_GB2312" w:cs="仿宋_GB2312"/>
                      <w:b/>
                      <w:sz w:val="24"/>
                    </w:rPr>
                    <w:t>资料管理与交付</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620B9F6E">
                  <w:pPr>
                    <w:pStyle w:val="4"/>
                    <w:jc w:val="left"/>
                  </w:pPr>
                  <w:r>
                    <w:rPr>
                      <w:rFonts w:ascii="仿宋_GB2312" w:hAnsi="仿宋_GB2312" w:eastAsia="仿宋_GB2312" w:cs="仿宋_GB2312"/>
                      <w:sz w:val="24"/>
                    </w:rPr>
                    <w:t>5</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6FACF941">
                  <w:pPr>
                    <w:pStyle w:val="4"/>
                    <w:jc w:val="left"/>
                  </w:pPr>
                  <w:r>
                    <w:rPr>
                      <w:rFonts w:ascii="仿宋_GB2312" w:hAnsi="仿宋_GB2312" w:eastAsia="仿宋_GB2312" w:cs="仿宋_GB2312"/>
                      <w:sz w:val="24"/>
                    </w:rPr>
                    <w:t>按要求及时提交各类计划、方案、报告、视频资料、会议纪要等，归档完整清晰，得5分；延迟或缺失，每次扣1分。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4736B384">
                  <w:pPr>
                    <w:pStyle w:val="4"/>
                    <w:jc w:val="both"/>
                  </w:pPr>
                </w:p>
              </w:tc>
            </w:tr>
            <w:tr w14:paraId="1C2CE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2710E356">
                  <w:pPr>
                    <w:pStyle w:val="4"/>
                    <w:jc w:val="left"/>
                  </w:pPr>
                  <w:r>
                    <w:rPr>
                      <w:rFonts w:ascii="仿宋_GB2312" w:hAnsi="仿宋_GB2312" w:eastAsia="仿宋_GB2312" w:cs="仿宋_GB2312"/>
                      <w:sz w:val="24"/>
                    </w:rPr>
                    <w:t>4.3</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16002C92">
                  <w:pPr>
                    <w:pStyle w:val="4"/>
                    <w:jc w:val="left"/>
                  </w:pPr>
                  <w:r>
                    <w:rPr>
                      <w:rFonts w:ascii="仿宋_GB2312" w:hAnsi="仿宋_GB2312" w:eastAsia="仿宋_GB2312" w:cs="仿宋_GB2312"/>
                      <w:b/>
                      <w:sz w:val="24"/>
                    </w:rPr>
                    <w:t>合作态度与问题解决</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5F1A1575">
                  <w:pPr>
                    <w:pStyle w:val="4"/>
                    <w:jc w:val="left"/>
                  </w:pPr>
                  <w:r>
                    <w:rPr>
                      <w:rFonts w:ascii="仿宋_GB2312" w:hAnsi="仿宋_GB2312" w:eastAsia="仿宋_GB2312" w:cs="仿宋_GB2312"/>
                      <w:sz w:val="24"/>
                    </w:rPr>
                    <w:t>5</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06BC1CA2">
                  <w:pPr>
                    <w:pStyle w:val="4"/>
                    <w:jc w:val="left"/>
                  </w:pPr>
                  <w:r>
                    <w:rPr>
                      <w:rFonts w:ascii="仿宋_GB2312" w:hAnsi="仿宋_GB2312" w:eastAsia="仿宋_GB2312" w:cs="仿宋_GB2312"/>
                      <w:sz w:val="24"/>
                    </w:rPr>
                    <w:t>积极主动沟通，合作态度好，对出现的问题能及时有效解决，得5分；推诿、被动或问题解决不力，扣1-5分。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1E24BAF3">
                  <w:pPr>
                    <w:pStyle w:val="4"/>
                    <w:jc w:val="both"/>
                  </w:pPr>
                </w:p>
              </w:tc>
            </w:tr>
            <w:tr w14:paraId="122A6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009275AD">
                  <w:pPr>
                    <w:pStyle w:val="4"/>
                    <w:jc w:val="left"/>
                  </w:pPr>
                  <w:r>
                    <w:rPr>
                      <w:rFonts w:ascii="仿宋_GB2312" w:hAnsi="仿宋_GB2312" w:eastAsia="仿宋_GB2312" w:cs="仿宋_GB2312"/>
                      <w:sz w:val="24"/>
                    </w:rPr>
                    <w:t>4.4</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05301817">
                  <w:pPr>
                    <w:pStyle w:val="4"/>
                    <w:jc w:val="left"/>
                  </w:pPr>
                  <w:r>
                    <w:rPr>
                      <w:rFonts w:ascii="仿宋_GB2312" w:hAnsi="仿宋_GB2312" w:eastAsia="仿宋_GB2312" w:cs="仿宋_GB2312"/>
                      <w:b/>
                      <w:sz w:val="24"/>
                    </w:rPr>
                    <w:t>安全管理与合规性</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059B2F04">
                  <w:pPr>
                    <w:pStyle w:val="4"/>
                    <w:jc w:val="left"/>
                  </w:pPr>
                  <w:r>
                    <w:rPr>
                      <w:rFonts w:ascii="仿宋_GB2312" w:hAnsi="仿宋_GB2312" w:eastAsia="仿宋_GB2312" w:cs="仿宋_GB2312"/>
                      <w:sz w:val="24"/>
                    </w:rPr>
                    <w:t>5</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158DEDC3">
                  <w:pPr>
                    <w:pStyle w:val="4"/>
                    <w:jc w:val="left"/>
                  </w:pPr>
                  <w:r>
                    <w:rPr>
                      <w:rFonts w:ascii="仿宋_GB2312" w:hAnsi="仿宋_GB2312" w:eastAsia="仿宋_GB2312" w:cs="仿宋_GB2312"/>
                      <w:sz w:val="24"/>
                    </w:rPr>
                    <w:t>每半年度未发生因供应商责任导致的安全事故、合规违规或法律纠纷，得5分；发生一次，扣2-5分，情节严重者本项目不得分。</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0065A75E">
                  <w:pPr>
                    <w:pStyle w:val="4"/>
                    <w:jc w:val="both"/>
                  </w:pPr>
                </w:p>
              </w:tc>
            </w:tr>
            <w:tr w14:paraId="5F2FD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2C5D3BCF">
                  <w:pPr>
                    <w:pStyle w:val="4"/>
                    <w:jc w:val="left"/>
                  </w:pPr>
                  <w:r>
                    <w:rPr>
                      <w:rFonts w:ascii="仿宋_GB2312" w:hAnsi="仿宋_GB2312" w:eastAsia="仿宋_GB2312" w:cs="仿宋_GB2312"/>
                      <w:b/>
                      <w:sz w:val="24"/>
                    </w:rPr>
                    <w:t>五</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2203212D">
                  <w:pPr>
                    <w:pStyle w:val="4"/>
                    <w:jc w:val="left"/>
                  </w:pPr>
                  <w:r>
                    <w:rPr>
                      <w:rFonts w:ascii="仿宋_GB2312" w:hAnsi="仿宋_GB2312" w:eastAsia="仿宋_GB2312" w:cs="仿宋_GB2312"/>
                      <w:b/>
                      <w:sz w:val="24"/>
                    </w:rPr>
                    <w:t>加分项(最高10分)</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22254B04">
                  <w:pPr>
                    <w:pStyle w:val="4"/>
                    <w:jc w:val="left"/>
                  </w:pPr>
                  <w:r>
                    <w:rPr>
                      <w:rFonts w:ascii="仿宋_GB2312" w:hAnsi="仿宋_GB2312" w:eastAsia="仿宋_GB2312" w:cs="仿宋_GB2312"/>
                      <w:sz w:val="24"/>
                    </w:rPr>
                    <w:t>≤10</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1A19EBD0">
                  <w:pPr>
                    <w:pStyle w:val="4"/>
                    <w:jc w:val="left"/>
                  </w:pPr>
                  <w:r>
                    <w:rPr>
                      <w:rFonts w:ascii="仿宋_GB2312" w:hAnsi="仿宋_GB2312" w:eastAsia="仿宋_GB2312" w:cs="仿宋_GB2312"/>
                      <w:sz w:val="24"/>
                    </w:rPr>
                    <w:t xml:space="preserve">1. </w:t>
                  </w:r>
                  <w:r>
                    <w:rPr>
                      <w:rFonts w:ascii="仿宋_GB2312" w:hAnsi="仿宋_GB2312" w:eastAsia="仿宋_GB2312" w:cs="仿宋_GB2312"/>
                      <w:b/>
                      <w:sz w:val="24"/>
                    </w:rPr>
                    <w:t>超额完成任务</w:t>
                  </w:r>
                  <w:r>
                    <w:rPr>
                      <w:rFonts w:ascii="仿宋_GB2312" w:hAnsi="仿宋_GB2312" w:eastAsia="仿宋_GB2312" w:cs="仿宋_GB2312"/>
                      <w:sz w:val="24"/>
                    </w:rPr>
                    <w:t>：受聘专家需每年为采购人引进临床新技术或新模式超过1项，视情况加1-3分。</w:t>
                  </w:r>
                  <w:r>
                    <w:br w:type="textWrapping"/>
                  </w:r>
                  <w:r>
                    <w:rPr>
                      <w:rFonts w:ascii="仿宋_GB2312" w:hAnsi="仿宋_GB2312" w:eastAsia="仿宋_GB2312" w:cs="仿宋_GB2312"/>
                      <w:sz w:val="24"/>
                    </w:rPr>
                    <w:t xml:space="preserve">2. </w:t>
                  </w:r>
                  <w:r>
                    <w:rPr>
                      <w:rFonts w:ascii="仿宋_GB2312" w:hAnsi="仿宋_GB2312" w:eastAsia="仿宋_GB2312" w:cs="仿宋_GB2312"/>
                      <w:b/>
                      <w:sz w:val="24"/>
                    </w:rPr>
                    <w:t>取得突出成果</w:t>
                  </w:r>
                  <w:r>
                    <w:rPr>
                      <w:rFonts w:ascii="仿宋_GB2312" w:hAnsi="仿宋_GB2312" w:eastAsia="仿宋_GB2312" w:cs="仿宋_GB2312"/>
                      <w:sz w:val="24"/>
                    </w:rPr>
                    <w:t>：例如，在推进外科培训基地授牌方面取得突破性进展，或在顶级期刊发表合作科研成果等，视情况加2-5分。</w:t>
                  </w:r>
                  <w:r>
                    <w:br w:type="textWrapping"/>
                  </w:r>
                  <w:r>
                    <w:rPr>
                      <w:rFonts w:ascii="仿宋_GB2312" w:hAnsi="仿宋_GB2312" w:eastAsia="仿宋_GB2312" w:cs="仿宋_GB2312"/>
                      <w:sz w:val="24"/>
                    </w:rPr>
                    <w:t xml:space="preserve">3. </w:t>
                  </w:r>
                  <w:r>
                    <w:rPr>
                      <w:rFonts w:ascii="仿宋_GB2312" w:hAnsi="仿宋_GB2312" w:eastAsia="仿宋_GB2312" w:cs="仿宋_GB2312"/>
                      <w:b/>
                      <w:sz w:val="24"/>
                    </w:rPr>
                    <w:t>获得表彰或好评</w:t>
                  </w:r>
                  <w:r>
                    <w:rPr>
                      <w:rFonts w:ascii="仿宋_GB2312" w:hAnsi="仿宋_GB2312" w:eastAsia="仿宋_GB2312" w:cs="仿宋_GB2312"/>
                      <w:sz w:val="24"/>
                    </w:rPr>
                    <w:t>：合作项目或成果获得市级以上官方表彰，或英方合作机构来函高度赞扬，加1-2分。</w:t>
                  </w:r>
                  <w:r>
                    <w:br w:type="textWrapping"/>
                  </w:r>
                  <w:r>
                    <w:rPr>
                      <w:rFonts w:ascii="仿宋_GB2312" w:hAnsi="仿宋_GB2312" w:eastAsia="仿宋_GB2312" w:cs="仿宋_GB2312"/>
                      <w:sz w:val="24"/>
                    </w:rPr>
                    <w:t>（需提供有效证明材料）</w:t>
                  </w:r>
                </w:p>
              </w:tc>
              <w:tc>
                <w:tcPr>
                  <w:tcW w:w="721" w:type="dxa"/>
                  <w:tcBorders>
                    <w:top w:val="nil"/>
                    <w:left w:val="single" w:color="000000" w:sz="4" w:space="0"/>
                    <w:bottom w:val="single" w:color="000000" w:sz="4" w:space="0"/>
                    <w:right w:val="single" w:color="000000" w:sz="4" w:space="0"/>
                  </w:tcBorders>
                  <w:tcMar>
                    <w:top w:w="150" w:type="dxa"/>
                    <w:left w:w="240" w:type="dxa"/>
                    <w:bottom w:w="150" w:type="dxa"/>
                    <w:right w:w="0" w:type="dxa"/>
                  </w:tcMar>
                  <w:vAlign w:val="top"/>
                </w:tcPr>
                <w:p w14:paraId="692C4C8D">
                  <w:pPr>
                    <w:pStyle w:val="4"/>
                    <w:jc w:val="both"/>
                  </w:pPr>
                </w:p>
              </w:tc>
            </w:tr>
            <w:tr w14:paraId="49C9A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 w:type="dxa"/>
                  <w:tcBorders>
                    <w:top w:val="nil"/>
                    <w:left w:val="single" w:color="000000" w:sz="4" w:space="0"/>
                    <w:bottom w:val="single" w:color="000000" w:sz="4" w:space="0"/>
                    <w:right w:val="single" w:color="000000" w:sz="4" w:space="0"/>
                  </w:tcBorders>
                  <w:tcMar>
                    <w:top w:w="150" w:type="dxa"/>
                    <w:left w:w="0" w:type="dxa"/>
                    <w:bottom w:w="150" w:type="dxa"/>
                    <w:right w:w="240" w:type="dxa"/>
                  </w:tcMar>
                  <w:vAlign w:val="top"/>
                </w:tcPr>
                <w:p w14:paraId="034AEDA5">
                  <w:pPr>
                    <w:pStyle w:val="4"/>
                    <w:jc w:val="left"/>
                  </w:pPr>
                  <w:r>
                    <w:rPr>
                      <w:rFonts w:ascii="仿宋_GB2312" w:hAnsi="仿宋_GB2312" w:eastAsia="仿宋_GB2312" w:cs="仿宋_GB2312"/>
                      <w:b/>
                      <w:sz w:val="24"/>
                    </w:rPr>
                    <w:t>六</w:t>
                  </w:r>
                </w:p>
              </w:tc>
              <w:tc>
                <w:tcPr>
                  <w:tcW w:w="958"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79830683">
                  <w:pPr>
                    <w:pStyle w:val="4"/>
                    <w:jc w:val="center"/>
                  </w:pPr>
                  <w:r>
                    <w:rPr>
                      <w:rFonts w:ascii="仿宋_GB2312" w:hAnsi="仿宋_GB2312" w:eastAsia="仿宋_GB2312" w:cs="仿宋_GB2312"/>
                      <w:b/>
                      <w:sz w:val="24"/>
                    </w:rPr>
                    <w:t>退出机制</w:t>
                  </w:r>
                </w:p>
              </w:tc>
              <w:tc>
                <w:tcPr>
                  <w:tcW w:w="602"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2DC8B474">
                  <w:pPr>
                    <w:pStyle w:val="4"/>
                    <w:jc w:val="left"/>
                  </w:pPr>
                  <w:r>
                    <w:rPr>
                      <w:rFonts w:ascii="仿宋_GB2312" w:hAnsi="仿宋_GB2312" w:eastAsia="仿宋_GB2312" w:cs="仿宋_GB2312"/>
                      <w:sz w:val="24"/>
                    </w:rPr>
                    <w:t>/</w:t>
                  </w:r>
                </w:p>
              </w:tc>
              <w:tc>
                <w:tcPr>
                  <w:tcW w:w="2913" w:type="dxa"/>
                  <w:tcBorders>
                    <w:top w:val="nil"/>
                    <w:left w:val="single" w:color="000000" w:sz="4" w:space="0"/>
                    <w:bottom w:val="single" w:color="000000" w:sz="4" w:space="0"/>
                    <w:right w:val="single" w:color="000000" w:sz="4" w:space="0"/>
                  </w:tcBorders>
                  <w:tcMar>
                    <w:top w:w="150" w:type="dxa"/>
                    <w:left w:w="240" w:type="dxa"/>
                    <w:bottom w:w="150" w:type="dxa"/>
                    <w:right w:w="240" w:type="dxa"/>
                  </w:tcMar>
                  <w:vAlign w:val="top"/>
                </w:tcPr>
                <w:p w14:paraId="669AC918">
                  <w:pPr>
                    <w:pStyle w:val="4"/>
                    <w:jc w:val="left"/>
                  </w:pPr>
                  <w:r>
                    <w:rPr>
                      <w:rFonts w:ascii="仿宋_GB2312" w:hAnsi="仿宋_GB2312" w:eastAsia="仿宋_GB2312" w:cs="仿宋_GB2312"/>
                      <w:sz w:val="24"/>
                    </w:rPr>
                    <w:t>出现以下情况之一，</w:t>
                  </w:r>
                  <w:r>
                    <w:rPr>
                      <w:rFonts w:ascii="仿宋_GB2312" w:hAnsi="仿宋_GB2312" w:eastAsia="仿宋_GB2312" w:cs="仿宋_GB2312"/>
                      <w:b/>
                      <w:sz w:val="24"/>
                    </w:rPr>
                    <w:t>本年度考核直接认定为“不合格”</w:t>
                  </w:r>
                  <w:r>
                    <w:rPr>
                      <w:rFonts w:ascii="仿宋_GB2312" w:hAnsi="仿宋_GB2312" w:eastAsia="仿宋_GB2312" w:cs="仿宋_GB2312"/>
                      <w:sz w:val="24"/>
                    </w:rPr>
                    <w:t>：</w:t>
                  </w:r>
                  <w:r>
                    <w:br w:type="textWrapping"/>
                  </w:r>
                  <w:r>
                    <w:rPr>
                      <w:rFonts w:ascii="仿宋_GB2312" w:hAnsi="仿宋_GB2312" w:eastAsia="仿宋_GB2312" w:cs="仿宋_GB2312"/>
                      <w:sz w:val="24"/>
                    </w:rPr>
                    <w:t>1. 提供虚假材料或伪造业绩。</w:t>
                  </w:r>
                  <w:r>
                    <w:br w:type="textWrapping"/>
                  </w:r>
                  <w:r>
                    <w:rPr>
                      <w:rFonts w:ascii="仿宋_GB2312" w:hAnsi="仿宋_GB2312" w:eastAsia="仿宋_GB2312" w:cs="仿宋_GB2312"/>
                      <w:sz w:val="24"/>
                    </w:rPr>
                    <w:t>2. 因供应商重大过失或违约，导致采购人遭受重大经济损失或严重声誉损害。</w:t>
                  </w:r>
                  <w:r>
                    <w:br w:type="textWrapping"/>
                  </w:r>
                  <w:r>
                    <w:rPr>
                      <w:rFonts w:ascii="仿宋_GB2312" w:hAnsi="仿宋_GB2312" w:eastAsia="仿宋_GB2312" w:cs="仿宋_GB2312"/>
                      <w:sz w:val="24"/>
                    </w:rPr>
                    <w:t>3. 发生严重安全事故或违法违纪事件。</w:t>
                  </w:r>
                </w:p>
              </w:tc>
              <w:tc>
                <w:tcPr>
                  <w:tcW w:w="72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45BF4019">
                  <w:pPr>
                    <w:pStyle w:val="4"/>
                    <w:jc w:val="both"/>
                  </w:pPr>
                </w:p>
              </w:tc>
            </w:tr>
          </w:tbl>
          <w:p w14:paraId="1460FC00">
            <w:pPr>
              <w:pStyle w:val="4"/>
              <w:jc w:val="both"/>
            </w:pPr>
            <w:r>
              <w:rPr>
                <w:rFonts w:ascii="仿宋_GB2312" w:hAnsi="仿宋_GB2312" w:eastAsia="仿宋_GB2312" w:cs="仿宋_GB2312"/>
                <w:sz w:val="32"/>
              </w:rPr>
              <w:t>注：按半年度考核，若该半年度未发生或者未完成的服务内容在考核的半年度内不进行扣分。半年度得分在90分（含）以上，全额支付该半年度的据实结算费用；半年度得分在80分（含）-90分（不含）的，支付该半年度的据实结算费用的90%；半年度得分在70分（含）-80分（不含）的，支付该半年度的据实结算费用的80%；半年度得分在60分（含）-70分（不含）的，支付该半年度的据实结算费用的70%；</w:t>
            </w:r>
            <w:r>
              <w:rPr>
                <w:rFonts w:ascii="仿宋_GB2312" w:hAnsi="仿宋_GB2312" w:eastAsia="仿宋_GB2312" w:cs="仿宋_GB2312"/>
                <w:b/>
                <w:sz w:val="32"/>
              </w:rPr>
              <w:t>半年度得分在不足60分的，视为该半年度考核不合格，</w:t>
            </w:r>
            <w:r>
              <w:rPr>
                <w:rFonts w:ascii="仿宋_GB2312" w:hAnsi="仿宋_GB2312" w:eastAsia="仿宋_GB2312" w:cs="仿宋_GB2312"/>
                <w:sz w:val="32"/>
              </w:rPr>
              <w:t>供应商需进行整改后，采购人重新考核，根据重新考核后的结果支付费用。若重新考核后仍不合格的，采购人有权不支付该半年度任何费用，供应商不持异议。</w:t>
            </w:r>
            <w:r>
              <w:rPr>
                <w:rFonts w:ascii="仿宋_GB2312" w:hAnsi="仿宋_GB2312" w:eastAsia="仿宋_GB2312" w:cs="仿宋_GB2312"/>
                <w:b/>
                <w:sz w:val="32"/>
              </w:rPr>
              <w:t>全年累计两次考核不合格或全年平均考核得分不合格的，视为全年考核不合格，采购人有权终止合同或不予续签下一年度合同。</w:t>
            </w:r>
          </w:p>
          <w:p w14:paraId="279BE891">
            <w:pPr>
              <w:pStyle w:val="4"/>
              <w:jc w:val="left"/>
            </w:pPr>
            <w:r>
              <w:rPr>
                <w:rFonts w:ascii="仿宋_GB2312" w:hAnsi="仿宋_GB2312" w:eastAsia="仿宋_GB2312" w:cs="仿宋_GB2312"/>
              </w:rPr>
              <w:t xml:space="preserve"> </w:t>
            </w:r>
          </w:p>
        </w:tc>
      </w:tr>
    </w:tbl>
    <w:p w14:paraId="5C146608">
      <w:pPr>
        <w:pStyle w:val="4"/>
        <w:jc w:val="left"/>
        <w:outlineLvl w:val="2"/>
      </w:pPr>
      <w:r>
        <w:rPr>
          <w:rFonts w:ascii="仿宋_GB2312" w:hAnsi="仿宋_GB2312" w:eastAsia="仿宋_GB2312" w:cs="仿宋_GB2312"/>
          <w:b/>
          <w:sz w:val="28"/>
        </w:rPr>
        <w:t>3.3.服务要求</w:t>
      </w:r>
    </w:p>
    <w:p w14:paraId="22274A43">
      <w:pPr>
        <w:pStyle w:val="4"/>
        <w:jc w:val="left"/>
        <w:outlineLvl w:val="3"/>
      </w:pPr>
      <w:r>
        <w:rPr>
          <w:rFonts w:ascii="仿宋_GB2312" w:hAnsi="仿宋_GB2312" w:eastAsia="仿宋_GB2312" w:cs="仿宋_GB2312"/>
          <w:b/>
          <w:sz w:val="24"/>
        </w:rPr>
        <w:t>3.3.1.服务内容要求</w:t>
      </w:r>
    </w:p>
    <w:p w14:paraId="5BA63F5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CB2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B45345">
            <w:pPr>
              <w:pStyle w:val="4"/>
              <w:jc w:val="center"/>
            </w:pPr>
            <w:r>
              <w:rPr>
                <w:rFonts w:ascii="仿宋_GB2312" w:hAnsi="仿宋_GB2312" w:eastAsia="仿宋_GB2312" w:cs="仿宋_GB2312"/>
              </w:rPr>
              <w:t xml:space="preserve"> 序号</w:t>
            </w:r>
          </w:p>
        </w:tc>
        <w:tc>
          <w:tcPr>
            <w:tcW w:w="581" w:type="dxa"/>
          </w:tcPr>
          <w:p w14:paraId="4F39E9CC">
            <w:pPr>
              <w:pStyle w:val="4"/>
              <w:jc w:val="center"/>
            </w:pPr>
            <w:r>
              <w:rPr>
                <w:rFonts w:ascii="仿宋_GB2312" w:hAnsi="仿宋_GB2312" w:eastAsia="仿宋_GB2312" w:cs="仿宋_GB2312"/>
              </w:rPr>
              <w:t xml:space="preserve"> 符号标识</w:t>
            </w:r>
          </w:p>
        </w:tc>
        <w:tc>
          <w:tcPr>
            <w:tcW w:w="1495" w:type="dxa"/>
          </w:tcPr>
          <w:p w14:paraId="38A527D4">
            <w:pPr>
              <w:pStyle w:val="4"/>
              <w:jc w:val="center"/>
            </w:pPr>
            <w:r>
              <w:rPr>
                <w:rFonts w:ascii="仿宋_GB2312" w:hAnsi="仿宋_GB2312" w:eastAsia="仿宋_GB2312" w:cs="仿宋_GB2312"/>
              </w:rPr>
              <w:t xml:space="preserve"> 服务要求名称</w:t>
            </w:r>
          </w:p>
        </w:tc>
        <w:tc>
          <w:tcPr>
            <w:tcW w:w="5814" w:type="dxa"/>
          </w:tcPr>
          <w:p w14:paraId="5FDE3D66">
            <w:pPr>
              <w:pStyle w:val="4"/>
              <w:jc w:val="center"/>
            </w:pPr>
            <w:r>
              <w:rPr>
                <w:rFonts w:ascii="仿宋_GB2312" w:hAnsi="仿宋_GB2312" w:eastAsia="仿宋_GB2312" w:cs="仿宋_GB2312"/>
              </w:rPr>
              <w:t xml:space="preserve"> 服务要求内容</w:t>
            </w:r>
          </w:p>
        </w:tc>
      </w:tr>
      <w:tr w14:paraId="43123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C480728">
            <w:pPr>
              <w:pStyle w:val="4"/>
              <w:jc w:val="center"/>
            </w:pPr>
            <w:r>
              <w:rPr>
                <w:rFonts w:ascii="仿宋_GB2312" w:hAnsi="仿宋_GB2312" w:eastAsia="仿宋_GB2312" w:cs="仿宋_GB2312"/>
              </w:rPr>
              <w:t>无</w:t>
            </w:r>
          </w:p>
        </w:tc>
      </w:tr>
    </w:tbl>
    <w:p w14:paraId="1317ECEF">
      <w:pPr>
        <w:pStyle w:val="4"/>
        <w:jc w:val="left"/>
        <w:outlineLvl w:val="3"/>
      </w:pPr>
      <w:r>
        <w:rPr>
          <w:rFonts w:ascii="仿宋_GB2312" w:hAnsi="仿宋_GB2312" w:eastAsia="仿宋_GB2312" w:cs="仿宋_GB2312"/>
          <w:b/>
          <w:sz w:val="24"/>
        </w:rPr>
        <w:t>3.3.2.商务要求</w:t>
      </w:r>
    </w:p>
    <w:p w14:paraId="0053E09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772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566CDF">
            <w:pPr>
              <w:pStyle w:val="4"/>
              <w:jc w:val="center"/>
            </w:pPr>
            <w:r>
              <w:rPr>
                <w:rFonts w:ascii="仿宋_GB2312" w:hAnsi="仿宋_GB2312" w:eastAsia="仿宋_GB2312" w:cs="仿宋_GB2312"/>
              </w:rPr>
              <w:t>序号</w:t>
            </w:r>
          </w:p>
        </w:tc>
        <w:tc>
          <w:tcPr>
            <w:tcW w:w="581" w:type="dxa"/>
          </w:tcPr>
          <w:p w14:paraId="0703B3B0">
            <w:pPr>
              <w:pStyle w:val="4"/>
              <w:jc w:val="center"/>
            </w:pPr>
            <w:r>
              <w:rPr>
                <w:rFonts w:ascii="仿宋_GB2312" w:hAnsi="仿宋_GB2312" w:eastAsia="仿宋_GB2312" w:cs="仿宋_GB2312"/>
              </w:rPr>
              <w:t>符号标识</w:t>
            </w:r>
          </w:p>
        </w:tc>
        <w:tc>
          <w:tcPr>
            <w:tcW w:w="1495" w:type="dxa"/>
          </w:tcPr>
          <w:p w14:paraId="470424C2">
            <w:pPr>
              <w:pStyle w:val="4"/>
              <w:jc w:val="center"/>
            </w:pPr>
            <w:r>
              <w:rPr>
                <w:rFonts w:ascii="仿宋_GB2312" w:hAnsi="仿宋_GB2312" w:eastAsia="仿宋_GB2312" w:cs="仿宋_GB2312"/>
              </w:rPr>
              <w:t>商务要求名称</w:t>
            </w:r>
          </w:p>
        </w:tc>
        <w:tc>
          <w:tcPr>
            <w:tcW w:w="5814" w:type="dxa"/>
          </w:tcPr>
          <w:p w14:paraId="22AC5638">
            <w:pPr>
              <w:pStyle w:val="4"/>
              <w:jc w:val="center"/>
            </w:pPr>
            <w:r>
              <w:rPr>
                <w:rFonts w:ascii="仿宋_GB2312" w:hAnsi="仿宋_GB2312" w:eastAsia="仿宋_GB2312" w:cs="仿宋_GB2312"/>
              </w:rPr>
              <w:t>商务要求内容</w:t>
            </w:r>
          </w:p>
        </w:tc>
      </w:tr>
      <w:tr w14:paraId="5FC1C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7B1717">
            <w:pPr>
              <w:pStyle w:val="4"/>
              <w:jc w:val="center"/>
            </w:pPr>
            <w:r>
              <w:rPr>
                <w:rFonts w:ascii="仿宋_GB2312" w:hAnsi="仿宋_GB2312" w:eastAsia="仿宋_GB2312" w:cs="仿宋_GB2312"/>
              </w:rPr>
              <w:t>1</w:t>
            </w:r>
          </w:p>
        </w:tc>
        <w:tc>
          <w:tcPr>
            <w:tcW w:w="581" w:type="dxa"/>
          </w:tcPr>
          <w:p w14:paraId="1BFBDF5A"/>
        </w:tc>
        <w:tc>
          <w:tcPr>
            <w:tcW w:w="1495" w:type="dxa"/>
          </w:tcPr>
          <w:p w14:paraId="05CF8BFC">
            <w:pPr>
              <w:pStyle w:val="4"/>
              <w:jc w:val="left"/>
            </w:pPr>
            <w:r>
              <w:rPr>
                <w:rFonts w:ascii="仿宋_GB2312" w:hAnsi="仿宋_GB2312" w:eastAsia="仿宋_GB2312" w:cs="仿宋_GB2312"/>
              </w:rPr>
              <w:t>服务期限</w:t>
            </w:r>
          </w:p>
        </w:tc>
        <w:tc>
          <w:tcPr>
            <w:tcW w:w="5814" w:type="dxa"/>
          </w:tcPr>
          <w:p w14:paraId="653C2E03">
            <w:pPr>
              <w:pStyle w:val="4"/>
              <w:jc w:val="left"/>
            </w:pPr>
            <w:r>
              <w:rPr>
                <w:rFonts w:ascii="仿宋_GB2312" w:hAnsi="仿宋_GB2312" w:eastAsia="仿宋_GB2312" w:cs="仿宋_GB2312"/>
              </w:rPr>
              <w:t>自合同签订之日起三年，合同一年一签；自合同签订之日起在年度合同期限内。</w:t>
            </w:r>
          </w:p>
        </w:tc>
      </w:tr>
      <w:tr w14:paraId="6036D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EC87EB">
            <w:pPr>
              <w:pStyle w:val="4"/>
              <w:jc w:val="center"/>
            </w:pPr>
            <w:r>
              <w:rPr>
                <w:rFonts w:ascii="仿宋_GB2312" w:hAnsi="仿宋_GB2312" w:eastAsia="仿宋_GB2312" w:cs="仿宋_GB2312"/>
              </w:rPr>
              <w:t>2</w:t>
            </w:r>
          </w:p>
        </w:tc>
        <w:tc>
          <w:tcPr>
            <w:tcW w:w="581" w:type="dxa"/>
          </w:tcPr>
          <w:p w14:paraId="1B024A2F"/>
        </w:tc>
        <w:tc>
          <w:tcPr>
            <w:tcW w:w="1495" w:type="dxa"/>
          </w:tcPr>
          <w:p w14:paraId="34E6003F">
            <w:pPr>
              <w:pStyle w:val="4"/>
              <w:jc w:val="left"/>
            </w:pPr>
            <w:r>
              <w:rPr>
                <w:rFonts w:ascii="仿宋_GB2312" w:hAnsi="仿宋_GB2312" w:eastAsia="仿宋_GB2312" w:cs="仿宋_GB2312"/>
              </w:rPr>
              <w:t>服务地点</w:t>
            </w:r>
          </w:p>
        </w:tc>
        <w:tc>
          <w:tcPr>
            <w:tcW w:w="5814" w:type="dxa"/>
          </w:tcPr>
          <w:p w14:paraId="228DFA61">
            <w:pPr>
              <w:pStyle w:val="4"/>
              <w:jc w:val="left"/>
            </w:pPr>
            <w:r>
              <w:rPr>
                <w:rFonts w:ascii="仿宋_GB2312" w:hAnsi="仿宋_GB2312" w:eastAsia="仿宋_GB2312" w:cs="仿宋_GB2312"/>
              </w:rPr>
              <w:t>采购人指定地点</w:t>
            </w:r>
          </w:p>
        </w:tc>
      </w:tr>
      <w:tr w14:paraId="65A3A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7D0837">
            <w:pPr>
              <w:pStyle w:val="4"/>
              <w:jc w:val="center"/>
            </w:pPr>
            <w:r>
              <w:rPr>
                <w:rFonts w:ascii="仿宋_GB2312" w:hAnsi="仿宋_GB2312" w:eastAsia="仿宋_GB2312" w:cs="仿宋_GB2312"/>
              </w:rPr>
              <w:t>3</w:t>
            </w:r>
          </w:p>
        </w:tc>
        <w:tc>
          <w:tcPr>
            <w:tcW w:w="581" w:type="dxa"/>
          </w:tcPr>
          <w:p w14:paraId="4AD69476"/>
        </w:tc>
        <w:tc>
          <w:tcPr>
            <w:tcW w:w="1495" w:type="dxa"/>
          </w:tcPr>
          <w:p w14:paraId="61F9C5C7">
            <w:pPr>
              <w:pStyle w:val="4"/>
              <w:jc w:val="left"/>
            </w:pPr>
            <w:r>
              <w:rPr>
                <w:rFonts w:ascii="仿宋_GB2312" w:hAnsi="仿宋_GB2312" w:eastAsia="仿宋_GB2312" w:cs="仿宋_GB2312"/>
              </w:rPr>
              <w:t>验收、交付标准和方法</w:t>
            </w:r>
          </w:p>
        </w:tc>
        <w:tc>
          <w:tcPr>
            <w:tcW w:w="5814" w:type="dxa"/>
          </w:tcPr>
          <w:p w14:paraId="5A1F4E79">
            <w:pPr>
              <w:pStyle w:val="4"/>
              <w:jc w:val="left"/>
            </w:pPr>
            <w:r>
              <w:rPr>
                <w:rFonts w:ascii="仿宋_GB2312" w:hAnsi="仿宋_GB2312" w:eastAsia="仿宋_GB2312" w:cs="仿宋_GB2312"/>
              </w:rPr>
              <w:t>验收、交付标准：由采购人组织，成交人与采购人应严格按照《财政部关于进一步加强政府采购需求和履约验收管理的指导意见》（财库〔2016〕205号）及相关法律法规的要求进行验收。方法：按半年度考核，若半年度未发生或者未完成的服务内容在考核的半年度内不进行扣分。半年度得分在90分（含）以上，全额支付该半年度的据实结算费用；半年度得分在80分（含）-90分（不含）的，支付该半年度的据实结算费用的90%；半年度得分在70分（含）-80分（不含）的，支付该半年度的据实结算费用的80%；半年度得分在60分（含）-70分（不含）的，支付该半年度的据实结算费用的70%；半年度得分在不足60分的，视为该半年度考核不合格，供应商需进行整改后，采购人重新考核，根据重新考核后的结果支付费用。若重新考核后仍不合格的，采购人有权不支付该半年度任何费用，供应商不持异议。全年累计两次考核不合格或全年两次考核得分相加后的平均考核得分不合格的，视为全年考核不合格，采购人有权终止合同或不予续签下一年度合同。</w:t>
            </w:r>
          </w:p>
        </w:tc>
      </w:tr>
      <w:tr w14:paraId="5C6BE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DE2354">
            <w:pPr>
              <w:pStyle w:val="4"/>
              <w:jc w:val="center"/>
            </w:pPr>
            <w:r>
              <w:rPr>
                <w:rFonts w:ascii="仿宋_GB2312" w:hAnsi="仿宋_GB2312" w:eastAsia="仿宋_GB2312" w:cs="仿宋_GB2312"/>
              </w:rPr>
              <w:t>4</w:t>
            </w:r>
          </w:p>
        </w:tc>
        <w:tc>
          <w:tcPr>
            <w:tcW w:w="581" w:type="dxa"/>
          </w:tcPr>
          <w:p w14:paraId="4B2E465C"/>
        </w:tc>
        <w:tc>
          <w:tcPr>
            <w:tcW w:w="1495" w:type="dxa"/>
          </w:tcPr>
          <w:p w14:paraId="18B26165">
            <w:pPr>
              <w:pStyle w:val="4"/>
              <w:jc w:val="left"/>
            </w:pPr>
            <w:r>
              <w:rPr>
                <w:rFonts w:ascii="仿宋_GB2312" w:hAnsi="仿宋_GB2312" w:eastAsia="仿宋_GB2312" w:cs="仿宋_GB2312"/>
              </w:rPr>
              <w:t>支付方式</w:t>
            </w:r>
          </w:p>
        </w:tc>
        <w:tc>
          <w:tcPr>
            <w:tcW w:w="5814" w:type="dxa"/>
          </w:tcPr>
          <w:p w14:paraId="39FC8C5E">
            <w:pPr>
              <w:pStyle w:val="4"/>
              <w:jc w:val="left"/>
            </w:pPr>
            <w:r>
              <w:rPr>
                <w:rFonts w:ascii="仿宋_GB2312" w:hAnsi="仿宋_GB2312" w:eastAsia="仿宋_GB2312" w:cs="仿宋_GB2312"/>
              </w:rPr>
              <w:t>分期付款</w:t>
            </w:r>
          </w:p>
        </w:tc>
      </w:tr>
      <w:tr w14:paraId="57C3C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4C2AD">
            <w:pPr>
              <w:pStyle w:val="4"/>
              <w:jc w:val="center"/>
            </w:pPr>
            <w:r>
              <w:rPr>
                <w:rFonts w:ascii="仿宋_GB2312" w:hAnsi="仿宋_GB2312" w:eastAsia="仿宋_GB2312" w:cs="仿宋_GB2312"/>
              </w:rPr>
              <w:t>5</w:t>
            </w:r>
          </w:p>
        </w:tc>
        <w:tc>
          <w:tcPr>
            <w:tcW w:w="581" w:type="dxa"/>
          </w:tcPr>
          <w:p w14:paraId="0A0AB2BB"/>
        </w:tc>
        <w:tc>
          <w:tcPr>
            <w:tcW w:w="1495" w:type="dxa"/>
          </w:tcPr>
          <w:p w14:paraId="4350E1D7">
            <w:pPr>
              <w:pStyle w:val="4"/>
              <w:jc w:val="left"/>
            </w:pPr>
            <w:r>
              <w:rPr>
                <w:rFonts w:ascii="仿宋_GB2312" w:hAnsi="仿宋_GB2312" w:eastAsia="仿宋_GB2312" w:cs="仿宋_GB2312"/>
              </w:rPr>
              <w:t>付款进度安排</w:t>
            </w:r>
          </w:p>
        </w:tc>
        <w:tc>
          <w:tcPr>
            <w:tcW w:w="5814" w:type="dxa"/>
          </w:tcPr>
          <w:p w14:paraId="3993FD9C">
            <w:pPr>
              <w:pStyle w:val="4"/>
              <w:jc w:val="left"/>
            </w:pPr>
            <w:r>
              <w:rPr>
                <w:rFonts w:ascii="仿宋_GB2312" w:hAnsi="仿宋_GB2312" w:eastAsia="仿宋_GB2312" w:cs="仿宋_GB2312"/>
              </w:rPr>
              <w:t>1、合同签订生效后支付合同金额的40%，达到付款条件起14日内，据实结算说明为合同签订生效后支付合同金额的40%，采购人在收到供应商开具的正式合规发票后10个工作日内以银行转账方式支付</w:t>
            </w:r>
          </w:p>
          <w:p w14:paraId="20455BBE">
            <w:pPr>
              <w:pStyle w:val="4"/>
              <w:jc w:val="left"/>
            </w:pPr>
            <w:r>
              <w:rPr>
                <w:rFonts w:ascii="仿宋_GB2312" w:hAnsi="仿宋_GB2312" w:eastAsia="仿宋_GB2312" w:cs="仿宋_GB2312"/>
              </w:rPr>
              <w:t>2、根据上半年完成的服务内容及数量和对应项目中标单价，结合考核结果，据实结算，达到付款条件起14日内，据实结算说明为服务开展半年后，采购人对供应商开展半年考核，按照服务内容清单列明的项目，根据上半年完成的服务内容及数量和对应项目中标单价，结合考核结果，据实结算，采购人收到供应商开具的正式发票后10个工作日内通过银行转账方式支付</w:t>
            </w:r>
          </w:p>
          <w:p w14:paraId="51E32BBB">
            <w:pPr>
              <w:pStyle w:val="4"/>
              <w:jc w:val="left"/>
            </w:pPr>
            <w:r>
              <w:rPr>
                <w:rFonts w:ascii="仿宋_GB2312" w:hAnsi="仿宋_GB2312" w:eastAsia="仿宋_GB2312" w:cs="仿宋_GB2312"/>
              </w:rPr>
              <w:t>3、根据下半年完成的服务内容及数量，结合考核结果，据实计算并扣减预付款的金额后再进行结算，达到付款条件起14日内，据实结算说明为年度服务结束前30天，采购人对供应商开展年终考核，根据下半年完成的服务内容及数量，结合考核结果，据实计算并扣减预付款的金额后再进行结算，采购人收到供应商开具的正式发票后10个工作日内支付。若实际结算尾款不足以抵扣预付款，差额部分供应商应当在采购人发出退款通知后10个工作日内通过银行转账方式返还</w:t>
            </w:r>
          </w:p>
        </w:tc>
      </w:tr>
      <w:tr w14:paraId="4A485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33997B">
            <w:pPr>
              <w:pStyle w:val="4"/>
              <w:jc w:val="center"/>
            </w:pPr>
            <w:r>
              <w:rPr>
                <w:rFonts w:ascii="仿宋_GB2312" w:hAnsi="仿宋_GB2312" w:eastAsia="仿宋_GB2312" w:cs="仿宋_GB2312"/>
              </w:rPr>
              <w:t>6</w:t>
            </w:r>
          </w:p>
        </w:tc>
        <w:tc>
          <w:tcPr>
            <w:tcW w:w="581" w:type="dxa"/>
          </w:tcPr>
          <w:p w14:paraId="6F174743"/>
        </w:tc>
        <w:tc>
          <w:tcPr>
            <w:tcW w:w="1495" w:type="dxa"/>
          </w:tcPr>
          <w:p w14:paraId="0EA2677D">
            <w:pPr>
              <w:pStyle w:val="4"/>
              <w:jc w:val="left"/>
            </w:pPr>
            <w:r>
              <w:rPr>
                <w:rFonts w:ascii="仿宋_GB2312" w:hAnsi="仿宋_GB2312" w:eastAsia="仿宋_GB2312" w:cs="仿宋_GB2312"/>
              </w:rPr>
              <w:t>违约责任与解决争议的方法</w:t>
            </w:r>
          </w:p>
        </w:tc>
        <w:tc>
          <w:tcPr>
            <w:tcW w:w="5814" w:type="dxa"/>
          </w:tcPr>
          <w:p w14:paraId="6AF840B0">
            <w:pPr>
              <w:pStyle w:val="4"/>
              <w:jc w:val="left"/>
            </w:pPr>
            <w:r>
              <w:rPr>
                <w:rFonts w:ascii="仿宋_GB2312" w:hAnsi="仿宋_GB2312" w:eastAsia="仿宋_GB2312" w:cs="仿宋_GB2312"/>
              </w:rPr>
              <w:t>成交供应商在合同签订后的任何违约行为，经采购人指出后未在采购人指定的期限内予以改正的，采购人有权要求成交供应商承担合同总价15%的违约金，同时采购人有权解除合同。 采购人与成交供应商签订合同后，如因成交供应商的原因给采购人造成人身损害或财产损失的，包括但不限于采购人本身的财产损失、由此而导致的采购人对任何第三方的法律责任等，成交供应商对此承担全部的赔偿责任，赔偿范围包括但不限于采购人因委托第三方履约产生的费用及为维权产生的律师费、诉讼费、仲裁费、保全费、保全担保保险费、差旅费等。成交供应商应承担的违约金或赔偿金可由采购人从任何一笔应付款项中直接扣除。</w:t>
            </w:r>
          </w:p>
        </w:tc>
      </w:tr>
    </w:tbl>
    <w:p w14:paraId="2F28C7FF">
      <w:pPr>
        <w:pStyle w:val="4"/>
        <w:jc w:val="left"/>
        <w:outlineLvl w:val="2"/>
      </w:pPr>
      <w:r>
        <w:rPr>
          <w:rFonts w:ascii="仿宋_GB2312" w:hAnsi="仿宋_GB2312" w:eastAsia="仿宋_GB2312" w:cs="仿宋_GB2312"/>
          <w:b/>
          <w:sz w:val="28"/>
        </w:rPr>
        <w:t>3.4.其他要求</w:t>
      </w:r>
    </w:p>
    <w:p w14:paraId="40E439EC">
      <w:pPr>
        <w:pStyle w:val="4"/>
        <w:ind w:firstLine="480"/>
        <w:jc w:val="left"/>
      </w:pPr>
      <w:r>
        <w:rPr>
          <w:rFonts w:ascii="仿宋_GB2312" w:hAnsi="仿宋_GB2312" w:eastAsia="仿宋_GB2312" w:cs="仿宋_GB2312"/>
        </w:rPr>
        <w:t>采购包1：</w:t>
      </w:r>
    </w:p>
    <w:p w14:paraId="5B7C572E">
      <w:pPr>
        <w:pStyle w:val="4"/>
        <w:jc w:val="left"/>
      </w:pPr>
      <w:r>
        <w:rPr>
          <w:rFonts w:ascii="仿宋_GB2312" w:hAnsi="仿宋_GB2312" w:eastAsia="仿宋_GB2312" w:cs="仿宋_GB2312"/>
        </w:rPr>
        <w:t>因系统固化原因，本项目“商务要求”以本章3.2.技术要求中“2★商务要求”中的为准进行响应，原3.3.2.商务要求可不用响应。</w:t>
      </w:r>
    </w:p>
    <w:p w14:paraId="7395BE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C2EB4"/>
    <w:rsid w:val="415C48B0"/>
    <w:rsid w:val="55DC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4900</Words>
  <Characters>5119</Characters>
  <Lines>0</Lines>
  <Paragraphs>0</Paragraphs>
  <TotalTime>0</TotalTime>
  <ScaleCrop>false</ScaleCrop>
  <LinksUpToDate>false</LinksUpToDate>
  <CharactersWithSpaces>5129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2026-05-18T06:52:00Z</dcterms:created>
  <dc:creator>範</dc:creator>
  <cp:lastModifiedBy>範</cp:lastModifiedBy>
  <dcterms:modified xsi:type="dcterms:W3CDTF">2026-05-18T06:59:43Z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E4552AEDCAE444B7AAE92C8EBEC71FF2_11</vt:lpwstr>
  </property>
  <property fmtid="{D5CDD505-2E9C-101B-9397-08002B2CF9AE}" pid="4" name="KSOTemplateDocerSaveRecord">
    <vt:lpwstr>eyJoZGlkIjoiZjM0MDVkMGZiZmIwMzE4MWEyY2UxYWY2MTNmNTU2ZDkiLCJ1c2VySWQiOiI0NTI4MTExNjIifQ==</vt:lpwstr>
  </property>
</Properties>
</file>