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CAB2">
      <w:pPr>
        <w:spacing w:line="276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水电维修材料配送服务项目--考核标准</w:t>
      </w:r>
    </w:p>
    <w:p w14:paraId="6DED47B6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139"/>
        <w:gridCol w:w="1531"/>
        <w:gridCol w:w="3576"/>
        <w:gridCol w:w="659"/>
        <w:gridCol w:w="590"/>
        <w:gridCol w:w="569"/>
      </w:tblGrid>
      <w:tr w14:paraId="0824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C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考核指标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内容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7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评分标准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F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410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E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项目管理团队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考核（80分）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无故拒接（10分）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4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供应商无故拒接采购人电话。每出现1次，扣1分，本项分值扣完为止。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F5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26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8D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3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E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06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未按合同要求品牌、规格提供材料（30分）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0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未按采购人订单或要求提供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产品或材料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，每次扣2分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，本项分值扣完为止。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1E2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9CA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23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9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9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A1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需求处理（20分）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根据提出的需求，在规定时间内不能提供对应的产品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材料，每次扣2分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，本项分值扣完为止。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ACC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2DB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11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B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A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3A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售后质保（20分）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提供的产品或材料在质保期内损坏，若3天内不能及时解决，每次扣2分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，本项分值扣完为止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10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65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82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D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F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8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项目管理团队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投诉情况（20分）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48C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服务质量（20分）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遇到有科室投诉的，经双方核实属实的每次扣2分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，本项分值扣完为止。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80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BE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25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A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47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被考核人：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3D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B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考核人员：</w:t>
            </w:r>
          </w:p>
        </w:tc>
      </w:tr>
      <w:tr w14:paraId="564E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51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7D5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备注：1、每年项目验收前对供应商考核一次。</w:t>
            </w:r>
          </w:p>
          <w:p w14:paraId="3D5D885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考核结果≥80分，视为合格，可续签合同。</w:t>
            </w:r>
          </w:p>
          <w:p w14:paraId="7A4CA93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考核结果≤90分，采购人有权要求供应商进行整改或更换不合格人员。</w:t>
            </w:r>
          </w:p>
        </w:tc>
      </w:tr>
    </w:tbl>
    <w:p w14:paraId="0AED9C8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B6E66"/>
    <w:rsid w:val="1B1867C3"/>
    <w:rsid w:val="545B6E66"/>
    <w:rsid w:val="587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snapToGrid w:val="0"/>
      <w:jc w:val="left"/>
    </w:pPr>
  </w:style>
  <w:style w:type="paragraph" w:styleId="3">
    <w:name w:val="annotation text"/>
    <w:basedOn w:val="1"/>
    <w:qFormat/>
    <w:uiPriority w:val="0"/>
    <w:pPr>
      <w:jc w:val="left"/>
    </w:pPr>
    <w:rPr>
      <w:rFonts w:eastAsia="仿宋"/>
    </w:rPr>
  </w:style>
  <w:style w:type="paragraph" w:styleId="4">
    <w:name w:val="Body Text"/>
    <w:basedOn w:val="1"/>
    <w:next w:val="1"/>
    <w:uiPriority w:val="99"/>
    <w:pPr>
      <w:spacing w:after="12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534</Characters>
  <Lines>0</Lines>
  <Paragraphs>0</Paragraphs>
  <TotalTime>8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2025-03-07T06:38:00Z</dcterms:created>
  <dc:creator>Ratio</dc:creator>
  <cp:lastModifiedBy>WYC</cp:lastModifiedBy>
  <dcterms:modified xsi:type="dcterms:W3CDTF">2026-01-03T13:41:59Z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53243233A1A9409796FF79447F0C501D_13</vt:lpwstr>
  </property>
  <property fmtid="{D5CDD505-2E9C-101B-9397-08002B2CF9AE}" pid="4" name="KSOTemplateDocerSaveRecord">
    <vt:lpwstr>eyJoZGlkIjoiYzczMjJhM2Y5MGRlN2E1YmJmMjFmZWZmYTk3YzEyOTciLCJ1c2VySWQiOiI0Mzc4MDgxNTEifQ==</vt:lpwstr>
  </property>
</Properties>
</file>