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4242">
      <w:pPr>
        <w:pStyle w:val="12"/>
        <w:jc w:val="left"/>
        <w:rPr>
          <w:rFonts w:hint="eastAsia" w:ascii="仿宋" w:hAnsi="仿宋" w:eastAsia="仿宋" w:cs="仿宋"/>
          <w:b/>
          <w:bCs/>
          <w:color w:val="auto"/>
          <w:sz w:val="48"/>
          <w:szCs w:val="48"/>
          <w:highlight w:val="none"/>
        </w:rPr>
      </w:pPr>
      <w:r>
        <w:rPr>
          <w:rFonts w:hint="eastAsia" w:ascii="仿宋" w:hAnsi="仿宋" w:eastAsia="仿宋" w:cs="仿宋"/>
          <w:b/>
          <w:color w:val="auto"/>
          <w:sz w:val="48"/>
          <w:szCs w:val="48"/>
          <w:highlight w:val="none"/>
        </w:rPr>
        <w:drawing>
          <wp:inline distT="0" distB="0" distL="0" distR="0">
            <wp:extent cx="1285875" cy="1195705"/>
            <wp:effectExtent l="0" t="0" r="9525" b="2540"/>
            <wp:docPr id="4" name="图片 4"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公司标志"/>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r>
        <w:rPr>
          <w:rFonts w:hint="eastAsia" w:ascii="仿宋" w:hAnsi="仿宋" w:eastAsia="仿宋" w:cs="仿宋"/>
          <w:b/>
          <w:color w:val="auto"/>
          <w:sz w:val="48"/>
          <w:szCs w:val="48"/>
          <w:highlight w:val="none"/>
        </w:rPr>
        <w:t xml:space="preserve">  </w:t>
      </w:r>
    </w:p>
    <w:p w14:paraId="74BB0A15">
      <w:pPr>
        <w:pStyle w:val="12"/>
        <w:jc w:val="center"/>
        <w:rPr>
          <w:rFonts w:hint="eastAsia" w:ascii="仿宋" w:hAnsi="仿宋" w:eastAsia="仿宋" w:cs="仿宋"/>
          <w:b/>
          <w:bCs/>
          <w:color w:val="auto"/>
          <w:sz w:val="48"/>
          <w:szCs w:val="48"/>
          <w:highlight w:val="none"/>
        </w:rPr>
      </w:pPr>
    </w:p>
    <w:p w14:paraId="1E487FCF">
      <w:pPr>
        <w:jc w:val="center"/>
        <w:rPr>
          <w:rFonts w:hint="eastAsia" w:ascii="仿宋" w:hAnsi="仿宋" w:eastAsia="仿宋" w:cs="仿宋"/>
          <w:color w:val="auto"/>
          <w:highlight w:val="none"/>
          <w:lang w:eastAsia="zh-CN"/>
        </w:rPr>
      </w:pPr>
      <w:r>
        <w:rPr>
          <w:rFonts w:hint="eastAsia" w:ascii="仿宋" w:hAnsi="仿宋" w:eastAsia="仿宋" w:cs="仿宋"/>
          <w:b/>
          <w:bCs/>
          <w:color w:val="auto"/>
          <w:sz w:val="48"/>
          <w:szCs w:val="48"/>
          <w:highlight w:val="none"/>
          <w:lang w:eastAsia="zh-CN"/>
        </w:rPr>
        <w:t>乌鲁木齐市职业中等专业学校智慧校园三期设备采购项目</w:t>
      </w:r>
    </w:p>
    <w:p w14:paraId="739B3005">
      <w:pPr>
        <w:pStyle w:val="12"/>
        <w:rPr>
          <w:rFonts w:hint="eastAsia" w:ascii="仿宋" w:hAnsi="仿宋" w:eastAsia="仿宋" w:cs="仿宋"/>
          <w:color w:val="auto"/>
          <w:highlight w:val="none"/>
        </w:rPr>
      </w:pPr>
    </w:p>
    <w:p w14:paraId="19DE3385">
      <w:pPr>
        <w:rPr>
          <w:rFonts w:hint="eastAsia" w:ascii="仿宋" w:hAnsi="仿宋" w:eastAsia="仿宋" w:cs="仿宋"/>
          <w:color w:val="auto"/>
          <w:highlight w:val="none"/>
        </w:rPr>
      </w:pPr>
    </w:p>
    <w:p w14:paraId="4948C886">
      <w:pPr>
        <w:rPr>
          <w:rFonts w:hint="eastAsia" w:ascii="仿宋" w:hAnsi="仿宋" w:eastAsia="仿宋" w:cs="仿宋"/>
          <w:color w:val="auto"/>
          <w:highlight w:val="none"/>
        </w:rPr>
      </w:pPr>
    </w:p>
    <w:p w14:paraId="0E1FCCD6">
      <w:pPr>
        <w:pStyle w:val="12"/>
        <w:rPr>
          <w:rFonts w:hint="eastAsia" w:ascii="仿宋" w:hAnsi="仿宋" w:eastAsia="仿宋" w:cs="仿宋"/>
          <w:color w:val="auto"/>
          <w:highlight w:val="none"/>
        </w:rPr>
      </w:pPr>
    </w:p>
    <w:p w14:paraId="6BC5586D">
      <w:pPr>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招 标 文 件</w:t>
      </w:r>
    </w:p>
    <w:p w14:paraId="496B24D6">
      <w:pPr>
        <w:adjustRightInd w:val="0"/>
        <w:snapToGrid w:val="0"/>
        <w:spacing w:line="360" w:lineRule="auto"/>
        <w:jc w:val="center"/>
        <w:rPr>
          <w:rFonts w:hint="eastAsia" w:ascii="仿宋" w:hAnsi="仿宋" w:eastAsia="仿宋" w:cs="仿宋"/>
          <w:b/>
          <w:color w:val="auto"/>
          <w:sz w:val="28"/>
          <w:szCs w:val="18"/>
          <w:highlight w:val="none"/>
        </w:rPr>
      </w:pPr>
      <w:r>
        <w:rPr>
          <w:rFonts w:hint="eastAsia" w:ascii="仿宋" w:hAnsi="仿宋" w:eastAsia="仿宋" w:cs="仿宋"/>
          <w:b/>
          <w:color w:val="auto"/>
          <w:sz w:val="28"/>
          <w:szCs w:val="18"/>
          <w:highlight w:val="none"/>
        </w:rPr>
        <w:t>（项目编号：</w:t>
      </w:r>
      <w:r>
        <w:rPr>
          <w:rFonts w:hint="eastAsia" w:ascii="仿宋" w:hAnsi="仿宋" w:eastAsia="仿宋" w:cs="仿宋"/>
          <w:b/>
          <w:color w:val="auto"/>
          <w:sz w:val="28"/>
          <w:szCs w:val="18"/>
          <w:highlight w:val="none"/>
          <w:lang w:val="en-US" w:eastAsia="zh-CN"/>
        </w:rPr>
        <w:t xml:space="preserve">XJXSJ-2026(ZC)-215 </w:t>
      </w:r>
      <w:r>
        <w:rPr>
          <w:rFonts w:hint="eastAsia" w:ascii="仿宋" w:hAnsi="仿宋" w:eastAsia="仿宋" w:cs="仿宋"/>
          <w:b/>
          <w:color w:val="auto"/>
          <w:sz w:val="28"/>
          <w:szCs w:val="18"/>
          <w:highlight w:val="none"/>
        </w:rPr>
        <w:t>）</w:t>
      </w:r>
    </w:p>
    <w:p w14:paraId="430C25DB">
      <w:pPr>
        <w:adjustRightInd w:val="0"/>
        <w:snapToGrid w:val="0"/>
        <w:spacing w:line="360" w:lineRule="auto"/>
        <w:rPr>
          <w:rFonts w:hint="eastAsia" w:ascii="仿宋" w:hAnsi="仿宋" w:eastAsia="仿宋" w:cs="仿宋"/>
          <w:b/>
          <w:color w:val="auto"/>
          <w:sz w:val="32"/>
          <w:highlight w:val="none"/>
        </w:rPr>
      </w:pPr>
      <w:r>
        <w:rPr>
          <w:rFonts w:hint="eastAsia" w:ascii="仿宋" w:hAnsi="仿宋" w:eastAsia="仿宋" w:cs="仿宋"/>
          <w:b/>
          <w:color w:val="auto"/>
          <w:sz w:val="32"/>
          <w:highlight w:val="none"/>
        </w:rPr>
        <w:t xml:space="preserve">     </w:t>
      </w:r>
    </w:p>
    <w:p w14:paraId="7BF5F135">
      <w:pPr>
        <w:pStyle w:val="12"/>
        <w:rPr>
          <w:rFonts w:hint="eastAsia" w:ascii="仿宋" w:hAnsi="仿宋" w:eastAsia="仿宋" w:cs="仿宋"/>
          <w:color w:val="auto"/>
          <w:highlight w:val="none"/>
        </w:rPr>
      </w:pPr>
    </w:p>
    <w:p w14:paraId="2DC0825C">
      <w:pPr>
        <w:ind w:firstLine="420"/>
        <w:rPr>
          <w:rFonts w:hint="eastAsia" w:ascii="仿宋" w:hAnsi="仿宋" w:eastAsia="仿宋" w:cs="仿宋"/>
          <w:color w:val="auto"/>
          <w:sz w:val="28"/>
          <w:szCs w:val="28"/>
          <w:highlight w:val="none"/>
        </w:rPr>
      </w:pPr>
    </w:p>
    <w:tbl>
      <w:tblPr>
        <w:tblStyle w:val="41"/>
        <w:tblpPr w:leftFromText="180" w:rightFromText="180" w:vertAnchor="text" w:horzAnchor="margin" w:tblpY="400"/>
        <w:tblW w:w="9399" w:type="dxa"/>
        <w:tblInd w:w="0" w:type="dxa"/>
        <w:tblLayout w:type="fixed"/>
        <w:tblCellMar>
          <w:top w:w="0" w:type="dxa"/>
          <w:left w:w="108" w:type="dxa"/>
          <w:bottom w:w="0" w:type="dxa"/>
          <w:right w:w="108" w:type="dxa"/>
        </w:tblCellMar>
      </w:tblPr>
      <w:tblGrid>
        <w:gridCol w:w="1756"/>
        <w:gridCol w:w="7643"/>
      </w:tblGrid>
      <w:tr w14:paraId="60DED848">
        <w:tblPrEx>
          <w:tblCellMar>
            <w:top w:w="0" w:type="dxa"/>
            <w:left w:w="108" w:type="dxa"/>
            <w:bottom w:w="0" w:type="dxa"/>
            <w:right w:w="108" w:type="dxa"/>
          </w:tblCellMar>
        </w:tblPrEx>
        <w:trPr>
          <w:trHeight w:val="1459" w:hRule="atLeast"/>
        </w:trPr>
        <w:tc>
          <w:tcPr>
            <w:tcW w:w="1756" w:type="dxa"/>
            <w:vAlign w:val="center"/>
          </w:tcPr>
          <w:p w14:paraId="7AC67508">
            <w:pPr>
              <w:tabs>
                <w:tab w:val="left" w:pos="8504"/>
              </w:tabs>
              <w:spacing w:line="360" w:lineRule="auto"/>
              <w:rPr>
                <w:rFonts w:hint="eastAsia" w:ascii="仿宋" w:hAnsi="仿宋" w:eastAsia="仿宋" w:cs="仿宋"/>
                <w:b/>
                <w:color w:val="auto"/>
                <w:spacing w:val="14"/>
                <w:sz w:val="28"/>
                <w:szCs w:val="28"/>
                <w:highlight w:val="none"/>
              </w:rPr>
            </w:pPr>
            <w:r>
              <w:rPr>
                <w:rFonts w:hint="eastAsia" w:ascii="仿宋" w:hAnsi="仿宋" w:eastAsia="仿宋" w:cs="仿宋"/>
                <w:b/>
                <w:color w:val="auto"/>
                <w:spacing w:val="14"/>
                <w:sz w:val="28"/>
                <w:szCs w:val="28"/>
                <w:highlight w:val="none"/>
              </w:rPr>
              <w:t>采 购 人：</w:t>
            </w:r>
          </w:p>
          <w:p w14:paraId="2B9205AF">
            <w:pPr>
              <w:tabs>
                <w:tab w:val="left" w:pos="8504"/>
              </w:tabs>
              <w:spacing w:line="360" w:lineRule="auto"/>
              <w:rPr>
                <w:rFonts w:hint="eastAsia" w:ascii="仿宋" w:hAnsi="仿宋" w:eastAsia="仿宋" w:cs="仿宋"/>
                <w:b/>
                <w:color w:val="auto"/>
                <w:spacing w:val="14"/>
                <w:sz w:val="28"/>
                <w:szCs w:val="28"/>
                <w:highlight w:val="none"/>
              </w:rPr>
            </w:pPr>
            <w:r>
              <w:rPr>
                <w:rFonts w:hint="eastAsia" w:ascii="仿宋" w:hAnsi="仿宋" w:eastAsia="仿宋" w:cs="仿宋"/>
                <w:b/>
                <w:color w:val="auto"/>
                <w:spacing w:val="14"/>
                <w:sz w:val="28"/>
                <w:szCs w:val="28"/>
                <w:highlight w:val="none"/>
              </w:rPr>
              <w:t>采购代理：</w:t>
            </w:r>
          </w:p>
        </w:tc>
        <w:tc>
          <w:tcPr>
            <w:tcW w:w="7643" w:type="dxa"/>
            <w:vAlign w:val="center"/>
          </w:tcPr>
          <w:p w14:paraId="509307CB">
            <w:pPr>
              <w:tabs>
                <w:tab w:val="left" w:pos="8504"/>
              </w:tabs>
              <w:spacing w:line="360" w:lineRule="auto"/>
              <w:rPr>
                <w:rFonts w:hint="eastAsia" w:ascii="仿宋" w:hAnsi="仿宋" w:eastAsia="仿宋" w:cs="仿宋"/>
                <w:b/>
                <w:color w:val="auto"/>
                <w:spacing w:val="14"/>
                <w:sz w:val="28"/>
                <w:szCs w:val="28"/>
                <w:highlight w:val="none"/>
                <w:lang w:eastAsia="zh-CN"/>
              </w:rPr>
            </w:pPr>
            <w:r>
              <w:rPr>
                <w:rFonts w:hint="eastAsia" w:ascii="仿宋" w:hAnsi="仿宋" w:eastAsia="仿宋" w:cs="仿宋"/>
                <w:b/>
                <w:color w:val="auto"/>
                <w:spacing w:val="14"/>
                <w:sz w:val="28"/>
                <w:szCs w:val="28"/>
                <w:highlight w:val="none"/>
                <w:lang w:eastAsia="zh-CN"/>
              </w:rPr>
              <w:t>乌鲁木齐市职业中等专业学校</w:t>
            </w:r>
          </w:p>
          <w:p w14:paraId="11BDC5EA">
            <w:pPr>
              <w:tabs>
                <w:tab w:val="left" w:pos="8504"/>
              </w:tabs>
              <w:spacing w:line="360" w:lineRule="auto"/>
              <w:rPr>
                <w:rFonts w:hint="eastAsia" w:ascii="仿宋" w:hAnsi="仿宋" w:eastAsia="仿宋" w:cs="仿宋"/>
                <w:color w:val="auto"/>
                <w:highlight w:val="none"/>
              </w:rPr>
            </w:pPr>
            <w:r>
              <w:rPr>
                <w:rFonts w:hint="eastAsia" w:ascii="仿宋" w:hAnsi="仿宋" w:eastAsia="仿宋" w:cs="仿宋"/>
                <w:b/>
                <w:color w:val="auto"/>
                <w:spacing w:val="14"/>
                <w:sz w:val="28"/>
                <w:szCs w:val="28"/>
                <w:highlight w:val="none"/>
              </w:rPr>
              <w:t>新疆新世纪招标有限公司</w:t>
            </w:r>
          </w:p>
        </w:tc>
      </w:tr>
    </w:tbl>
    <w:p w14:paraId="5119DED0">
      <w:pPr>
        <w:spacing w:line="360" w:lineRule="atLeast"/>
        <w:ind w:firstLine="3514" w:firstLineChars="1250"/>
        <w:rPr>
          <w:rFonts w:hint="eastAsia" w:ascii="仿宋" w:hAnsi="仿宋" w:eastAsia="仿宋" w:cs="仿宋"/>
          <w:b/>
          <w:color w:val="auto"/>
          <w:sz w:val="28"/>
          <w:szCs w:val="28"/>
          <w:highlight w:val="none"/>
        </w:rPr>
      </w:pPr>
    </w:p>
    <w:p w14:paraId="6684C207">
      <w:pPr>
        <w:spacing w:line="360" w:lineRule="atLeast"/>
        <w:ind w:firstLine="3514" w:firstLineChars="1250"/>
        <w:rPr>
          <w:rFonts w:hint="eastAsia" w:ascii="仿宋" w:hAnsi="仿宋" w:eastAsia="仿宋" w:cs="仿宋"/>
          <w:b/>
          <w:color w:val="auto"/>
          <w:sz w:val="28"/>
          <w:szCs w:val="28"/>
          <w:highlight w:val="none"/>
        </w:rPr>
      </w:pPr>
    </w:p>
    <w:p w14:paraId="584BCD31">
      <w:pPr>
        <w:spacing w:line="360" w:lineRule="atLeast"/>
        <w:ind w:firstLine="3514" w:firstLineChars="1250"/>
        <w:rPr>
          <w:rFonts w:hint="eastAsia" w:ascii="仿宋" w:hAnsi="仿宋" w:eastAsia="仿宋" w:cs="仿宋"/>
          <w:color w:val="auto"/>
          <w:sz w:val="48"/>
          <w:szCs w:val="48"/>
          <w:highlight w:val="none"/>
        </w:rPr>
      </w:pPr>
      <w:r>
        <w:rPr>
          <w:rFonts w:hint="eastAsia" w:ascii="仿宋" w:hAnsi="仿宋" w:eastAsia="仿宋" w:cs="仿宋"/>
          <w:b/>
          <w:color w:val="auto"/>
          <w:sz w:val="28"/>
          <w:szCs w:val="28"/>
          <w:highlight w:val="none"/>
        </w:rPr>
        <w:t>二〇二</w:t>
      </w: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月</w:t>
      </w:r>
    </w:p>
    <w:p w14:paraId="68DC9547">
      <w:pPr>
        <w:adjustRightInd w:val="0"/>
        <w:snapToGrid w:val="0"/>
        <w:spacing w:line="480" w:lineRule="exact"/>
        <w:rPr>
          <w:rFonts w:hint="eastAsia" w:ascii="仿宋" w:hAnsi="仿宋" w:eastAsia="仿宋" w:cs="仿宋"/>
          <w:bCs/>
          <w:color w:val="auto"/>
          <w:sz w:val="32"/>
          <w:szCs w:val="32"/>
          <w:highlight w:val="none"/>
        </w:rPr>
      </w:pPr>
    </w:p>
    <w:p w14:paraId="258C071D">
      <w:pPr>
        <w:widowControl/>
        <w:jc w:val="left"/>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br w:type="page"/>
      </w:r>
    </w:p>
    <w:p w14:paraId="7F985402">
      <w:pPr>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目录</w:t>
      </w:r>
    </w:p>
    <w:p w14:paraId="42DA609D">
      <w:pPr>
        <w:pStyle w:val="26"/>
        <w:tabs>
          <w:tab w:val="right" w:leader="dot" w:pos="9354"/>
        </w:tabs>
        <w:rPr>
          <w:rStyle w:val="51"/>
          <w:rFonts w:hint="eastAsia" w:ascii="仿宋" w:hAnsi="仿宋" w:eastAsia="宋体" w:cs="仿宋"/>
          <w:b/>
          <w:color w:val="auto"/>
          <w:sz w:val="24"/>
          <w:highlight w:val="none"/>
          <w:lang w:eastAsia="zh-CN"/>
        </w:rPr>
      </w:pPr>
      <w:r>
        <w:rPr>
          <w:rFonts w:hint="eastAsia" w:ascii="仿宋" w:hAnsi="仿宋" w:eastAsia="仿宋" w:cs="仿宋"/>
          <w:color w:val="auto"/>
          <w:szCs w:val="28"/>
          <w:highlight w:val="none"/>
        </w:rPr>
        <w:t>公开招标公告</w:t>
      </w:r>
      <w:r>
        <w:rPr>
          <w:color w:val="auto"/>
          <w:highlight w:val="none"/>
        </w:rPr>
        <w:tab/>
      </w:r>
      <w:r>
        <w:rPr>
          <w:rFonts w:hint="eastAsia"/>
          <w:color w:val="auto"/>
          <w:highlight w:val="none"/>
          <w:lang w:val="en-US" w:eastAsia="zh-CN"/>
        </w:rPr>
        <w:t>1</w:t>
      </w:r>
    </w:p>
    <w:p w14:paraId="6C90A4B1">
      <w:pPr>
        <w:pStyle w:val="26"/>
        <w:tabs>
          <w:tab w:val="right" w:leader="dot" w:pos="9354"/>
        </w:tabs>
        <w:rPr>
          <w:color w:val="auto"/>
          <w:highlight w:val="none"/>
        </w:rPr>
      </w:pPr>
      <w:r>
        <w:rPr>
          <w:rStyle w:val="51"/>
          <w:rFonts w:hint="eastAsia" w:ascii="仿宋" w:hAnsi="仿宋" w:eastAsia="仿宋" w:cs="仿宋"/>
          <w:b/>
          <w:color w:val="auto"/>
          <w:sz w:val="24"/>
          <w:highlight w:val="none"/>
        </w:rPr>
        <w:fldChar w:fldCharType="begin"/>
      </w:r>
      <w:r>
        <w:rPr>
          <w:rStyle w:val="51"/>
          <w:rFonts w:hint="eastAsia" w:ascii="仿宋" w:hAnsi="仿宋" w:eastAsia="仿宋" w:cs="仿宋"/>
          <w:b/>
          <w:color w:val="auto"/>
          <w:sz w:val="24"/>
          <w:highlight w:val="none"/>
        </w:rPr>
        <w:instrText xml:space="preserve">TOC \o "1-3" \h \u </w:instrText>
      </w:r>
      <w:r>
        <w:rPr>
          <w:rStyle w:val="51"/>
          <w:rFonts w:hint="eastAsia" w:ascii="仿宋" w:hAnsi="仿宋" w:eastAsia="仿宋" w:cs="仿宋"/>
          <w:b/>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_Toc16640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_Toc16640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color w:val="auto"/>
          <w:highlight w:val="none"/>
        </w:rPr>
        <w:fldChar w:fldCharType="end"/>
      </w:r>
    </w:p>
    <w:p w14:paraId="0A741573">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_Toc13492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_Toc13492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highlight w:val="none"/>
        </w:rPr>
        <w:fldChar w:fldCharType="end"/>
      </w:r>
    </w:p>
    <w:p w14:paraId="1C2E9257">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_Toc4941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1．总则</w:t>
      </w:r>
      <w:r>
        <w:rPr>
          <w:color w:val="auto"/>
          <w:highlight w:val="none"/>
        </w:rPr>
        <w:tab/>
      </w:r>
      <w:r>
        <w:rPr>
          <w:color w:val="auto"/>
          <w:highlight w:val="none"/>
        </w:rPr>
        <w:fldChar w:fldCharType="begin"/>
      </w:r>
      <w:r>
        <w:rPr>
          <w:color w:val="auto"/>
          <w:highlight w:val="none"/>
        </w:rPr>
        <w:instrText xml:space="preserve"> PAGEREF _Toc4941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highlight w:val="none"/>
        </w:rPr>
        <w:fldChar w:fldCharType="end"/>
      </w:r>
    </w:p>
    <w:p w14:paraId="61E35F8E">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2．招标文件</w:t>
      </w:r>
      <w:r>
        <w:rPr>
          <w:color w:val="auto"/>
          <w:highlight w:val="none"/>
        </w:rPr>
        <w:tab/>
      </w:r>
      <w:r>
        <w:rPr>
          <w:color w:val="auto"/>
          <w:highlight w:val="none"/>
        </w:rPr>
        <w:fldChar w:fldCharType="begin"/>
      </w:r>
      <w:r>
        <w:rPr>
          <w:color w:val="auto"/>
          <w:highlight w:val="none"/>
        </w:rPr>
        <w:instrText xml:space="preserve"> PAGEREF _Toc20119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highlight w:val="none"/>
        </w:rPr>
        <w:fldChar w:fldCharType="end"/>
      </w:r>
    </w:p>
    <w:p w14:paraId="6D4428E1">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_Toc19174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3．投标文件</w:t>
      </w:r>
      <w:r>
        <w:rPr>
          <w:color w:val="auto"/>
          <w:highlight w:val="none"/>
        </w:rPr>
        <w:tab/>
      </w:r>
      <w:r>
        <w:rPr>
          <w:color w:val="auto"/>
          <w:highlight w:val="none"/>
        </w:rPr>
        <w:fldChar w:fldCharType="begin"/>
      </w:r>
      <w:r>
        <w:rPr>
          <w:color w:val="auto"/>
          <w:highlight w:val="none"/>
        </w:rPr>
        <w:instrText xml:space="preserve"> PAGEREF _Toc19174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highlight w:val="none"/>
        </w:rPr>
        <w:fldChar w:fldCharType="end"/>
      </w:r>
    </w:p>
    <w:p w14:paraId="61B34922">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_Toc28962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4．投标</w:t>
      </w:r>
      <w:r>
        <w:rPr>
          <w:color w:val="auto"/>
          <w:highlight w:val="none"/>
        </w:rPr>
        <w:tab/>
      </w:r>
      <w:r>
        <w:rPr>
          <w:color w:val="auto"/>
          <w:highlight w:val="none"/>
        </w:rPr>
        <w:fldChar w:fldCharType="begin"/>
      </w:r>
      <w:r>
        <w:rPr>
          <w:color w:val="auto"/>
          <w:highlight w:val="none"/>
        </w:rPr>
        <w:instrText xml:space="preserve"> PAGEREF _Toc28962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highlight w:val="none"/>
        </w:rPr>
        <w:fldChar w:fldCharType="end"/>
      </w:r>
    </w:p>
    <w:p w14:paraId="22DA5585">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_Toc31720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5．开标</w:t>
      </w:r>
      <w:r>
        <w:rPr>
          <w:color w:val="auto"/>
          <w:highlight w:val="none"/>
        </w:rPr>
        <w:tab/>
      </w:r>
      <w:r>
        <w:rPr>
          <w:color w:val="auto"/>
          <w:highlight w:val="none"/>
        </w:rPr>
        <w:fldChar w:fldCharType="begin"/>
      </w:r>
      <w:r>
        <w:rPr>
          <w:color w:val="auto"/>
          <w:highlight w:val="none"/>
        </w:rPr>
        <w:instrText xml:space="preserve"> PAGEREF _Toc31720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3760F563">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_Toc13908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6．评标</w:t>
      </w:r>
      <w:r>
        <w:rPr>
          <w:color w:val="auto"/>
          <w:highlight w:val="none"/>
        </w:rPr>
        <w:tab/>
      </w:r>
      <w:r>
        <w:rPr>
          <w:color w:val="auto"/>
          <w:highlight w:val="none"/>
        </w:rPr>
        <w:fldChar w:fldCharType="begin"/>
      </w:r>
      <w:r>
        <w:rPr>
          <w:color w:val="auto"/>
          <w:highlight w:val="none"/>
        </w:rPr>
        <w:instrText xml:space="preserve"> PAGEREF _Toc13908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14D26FEA">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_Toc15685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7．定标及合同授予</w:t>
      </w:r>
      <w:r>
        <w:rPr>
          <w:color w:val="auto"/>
          <w:highlight w:val="none"/>
        </w:rPr>
        <w:tab/>
      </w:r>
      <w:r>
        <w:rPr>
          <w:color w:val="auto"/>
          <w:highlight w:val="none"/>
        </w:rPr>
        <w:fldChar w:fldCharType="begin"/>
      </w:r>
      <w:r>
        <w:rPr>
          <w:color w:val="auto"/>
          <w:highlight w:val="none"/>
        </w:rPr>
        <w:instrText xml:space="preserve"> PAGEREF _Toc15685 \h </w:instrText>
      </w:r>
      <w:r>
        <w:rPr>
          <w:color w:val="auto"/>
          <w:highlight w:val="none"/>
        </w:rPr>
        <w:fldChar w:fldCharType="separate"/>
      </w:r>
      <w:r>
        <w:rPr>
          <w:color w:val="auto"/>
          <w:highlight w:val="none"/>
        </w:rPr>
        <w:t>17</w:t>
      </w:r>
      <w:r>
        <w:rPr>
          <w:color w:val="auto"/>
          <w:highlight w:val="none"/>
        </w:rPr>
        <w:fldChar w:fldCharType="end"/>
      </w:r>
      <w:r>
        <w:rPr>
          <w:rFonts w:hint="eastAsia" w:ascii="仿宋" w:hAnsi="仿宋" w:eastAsia="仿宋" w:cs="仿宋"/>
          <w:color w:val="auto"/>
          <w:highlight w:val="none"/>
        </w:rPr>
        <w:fldChar w:fldCharType="end"/>
      </w:r>
    </w:p>
    <w:p w14:paraId="4C3768E3">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_Toc29318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8．纪律和监督</w:t>
      </w:r>
      <w:r>
        <w:rPr>
          <w:color w:val="auto"/>
          <w:highlight w:val="none"/>
        </w:rPr>
        <w:tab/>
      </w:r>
      <w:r>
        <w:rPr>
          <w:color w:val="auto"/>
          <w:highlight w:val="none"/>
        </w:rPr>
        <w:fldChar w:fldCharType="begin"/>
      </w:r>
      <w:r>
        <w:rPr>
          <w:color w:val="auto"/>
          <w:highlight w:val="none"/>
        </w:rPr>
        <w:instrText xml:space="preserve"> PAGEREF _Toc29318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highlight w:val="none"/>
        </w:rPr>
        <w:fldChar w:fldCharType="end"/>
      </w:r>
    </w:p>
    <w:p w14:paraId="54FFABD1">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_Toc28275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第二章 评标办法</w:t>
      </w:r>
      <w:r>
        <w:rPr>
          <w:color w:val="auto"/>
          <w:highlight w:val="none"/>
        </w:rPr>
        <w:tab/>
      </w:r>
      <w:r>
        <w:rPr>
          <w:color w:val="auto"/>
          <w:highlight w:val="none"/>
        </w:rPr>
        <w:fldChar w:fldCharType="begin"/>
      </w:r>
      <w:r>
        <w:rPr>
          <w:color w:val="auto"/>
          <w:highlight w:val="none"/>
        </w:rPr>
        <w:instrText xml:space="preserve"> PAGEREF _Toc28275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highlight w:val="none"/>
        </w:rPr>
        <w:fldChar w:fldCharType="end"/>
      </w:r>
    </w:p>
    <w:p w14:paraId="5DA7D761">
      <w:pPr>
        <w:pStyle w:val="18"/>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_Toc31184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_Toc31184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highlight w:val="none"/>
        </w:rPr>
        <w:fldChar w:fldCharType="end"/>
      </w:r>
    </w:p>
    <w:p w14:paraId="52D78FD4">
      <w:pPr>
        <w:pStyle w:val="18"/>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_Toc9150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 评标方法</w:t>
      </w:r>
      <w:r>
        <w:rPr>
          <w:color w:val="auto"/>
          <w:highlight w:val="none"/>
        </w:rPr>
        <w:tab/>
      </w:r>
      <w:r>
        <w:rPr>
          <w:color w:val="auto"/>
          <w:highlight w:val="none"/>
        </w:rPr>
        <w:fldChar w:fldCharType="begin"/>
      </w:r>
      <w:r>
        <w:rPr>
          <w:color w:val="auto"/>
          <w:highlight w:val="none"/>
        </w:rPr>
        <w:instrText xml:space="preserve"> PAGEREF _Toc9150 \h </w:instrText>
      </w:r>
      <w:r>
        <w:rPr>
          <w:color w:val="auto"/>
          <w:highlight w:val="none"/>
        </w:rPr>
        <w:fldChar w:fldCharType="separate"/>
      </w:r>
      <w:r>
        <w:rPr>
          <w:color w:val="auto"/>
          <w:highlight w:val="none"/>
        </w:rPr>
        <w:t>22</w:t>
      </w:r>
      <w:r>
        <w:rPr>
          <w:color w:val="auto"/>
          <w:highlight w:val="none"/>
        </w:rPr>
        <w:fldChar w:fldCharType="end"/>
      </w:r>
      <w:r>
        <w:rPr>
          <w:rFonts w:hint="eastAsia" w:ascii="仿宋" w:hAnsi="仿宋" w:eastAsia="仿宋" w:cs="仿宋"/>
          <w:color w:val="auto"/>
          <w:highlight w:val="none"/>
        </w:rPr>
        <w:fldChar w:fldCharType="end"/>
      </w:r>
    </w:p>
    <w:p w14:paraId="61E4A94E">
      <w:pPr>
        <w:pStyle w:val="18"/>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_Toc9620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2. 评标标准</w:t>
      </w:r>
      <w:r>
        <w:rPr>
          <w:color w:val="auto"/>
          <w:highlight w:val="none"/>
        </w:rPr>
        <w:tab/>
      </w:r>
      <w:r>
        <w:rPr>
          <w:color w:val="auto"/>
          <w:highlight w:val="none"/>
        </w:rPr>
        <w:fldChar w:fldCharType="begin"/>
      </w:r>
      <w:r>
        <w:rPr>
          <w:color w:val="auto"/>
          <w:highlight w:val="none"/>
        </w:rPr>
        <w:instrText xml:space="preserve"> PAGEREF _Toc9620 \h </w:instrText>
      </w:r>
      <w:r>
        <w:rPr>
          <w:color w:val="auto"/>
          <w:highlight w:val="none"/>
        </w:rPr>
        <w:fldChar w:fldCharType="separate"/>
      </w:r>
      <w:r>
        <w:rPr>
          <w:color w:val="auto"/>
          <w:highlight w:val="none"/>
        </w:rPr>
        <w:t>22</w:t>
      </w:r>
      <w:r>
        <w:rPr>
          <w:color w:val="auto"/>
          <w:highlight w:val="none"/>
        </w:rPr>
        <w:fldChar w:fldCharType="end"/>
      </w:r>
      <w:r>
        <w:rPr>
          <w:rFonts w:hint="eastAsia" w:ascii="仿宋" w:hAnsi="仿宋" w:eastAsia="仿宋" w:cs="仿宋"/>
          <w:color w:val="auto"/>
          <w:highlight w:val="none"/>
        </w:rPr>
        <w:fldChar w:fldCharType="end"/>
      </w:r>
    </w:p>
    <w:p w14:paraId="46A5731C">
      <w:pPr>
        <w:pStyle w:val="18"/>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_Toc13856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3. 评标程序</w:t>
      </w:r>
      <w:r>
        <w:rPr>
          <w:color w:val="auto"/>
          <w:highlight w:val="none"/>
        </w:rPr>
        <w:tab/>
      </w:r>
      <w:r>
        <w:rPr>
          <w:color w:val="auto"/>
          <w:highlight w:val="none"/>
        </w:rPr>
        <w:fldChar w:fldCharType="begin"/>
      </w:r>
      <w:r>
        <w:rPr>
          <w:color w:val="auto"/>
          <w:highlight w:val="none"/>
        </w:rPr>
        <w:instrText xml:space="preserve"> PAGEREF _Toc13856 \h </w:instrText>
      </w:r>
      <w:r>
        <w:rPr>
          <w:color w:val="auto"/>
          <w:highlight w:val="none"/>
        </w:rPr>
        <w:fldChar w:fldCharType="separate"/>
      </w:r>
      <w:r>
        <w:rPr>
          <w:color w:val="auto"/>
          <w:highlight w:val="none"/>
        </w:rPr>
        <w:t>22</w:t>
      </w:r>
      <w:r>
        <w:rPr>
          <w:color w:val="auto"/>
          <w:highlight w:val="none"/>
        </w:rPr>
        <w:fldChar w:fldCharType="end"/>
      </w:r>
      <w:r>
        <w:rPr>
          <w:rFonts w:hint="eastAsia" w:ascii="仿宋" w:hAnsi="仿宋" w:eastAsia="仿宋" w:cs="仿宋"/>
          <w:color w:val="auto"/>
          <w:highlight w:val="none"/>
        </w:rPr>
        <w:fldChar w:fldCharType="end"/>
      </w:r>
    </w:p>
    <w:p w14:paraId="6469097A">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_Toc17281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Cs w:val="24"/>
          <w:highlight w:val="none"/>
          <w:lang w:val="en-US" w:eastAsia="zh-CN" w:bidi="ar-SA"/>
        </w:rPr>
        <w:t>第三章 合同条款</w:t>
      </w:r>
      <w:r>
        <w:rPr>
          <w:color w:val="auto"/>
          <w:highlight w:val="none"/>
        </w:rPr>
        <w:tab/>
      </w:r>
      <w:r>
        <w:rPr>
          <w:color w:val="auto"/>
          <w:highlight w:val="none"/>
        </w:rPr>
        <w:fldChar w:fldCharType="begin"/>
      </w:r>
      <w:r>
        <w:rPr>
          <w:color w:val="auto"/>
          <w:highlight w:val="none"/>
        </w:rPr>
        <w:instrText xml:space="preserve"> PAGEREF _Toc17281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highlight w:val="none"/>
        </w:rPr>
        <w:fldChar w:fldCharType="end"/>
      </w:r>
    </w:p>
    <w:p w14:paraId="66FFF873">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_Toc6849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 xml:space="preserve">第四章 </w:t>
      </w:r>
      <w:r>
        <w:rPr>
          <w:rFonts w:hint="eastAsia" w:ascii="仿宋" w:hAnsi="仿宋" w:eastAsia="仿宋" w:cs="仿宋"/>
          <w:color w:val="auto"/>
          <w:szCs w:val="24"/>
          <w:highlight w:val="none"/>
          <w:lang w:val="en-US" w:eastAsia="zh-CN"/>
        </w:rPr>
        <w:t>供货要求及参数</w:t>
      </w:r>
      <w:r>
        <w:rPr>
          <w:color w:val="auto"/>
          <w:highlight w:val="none"/>
        </w:rPr>
        <w:tab/>
      </w:r>
      <w:r>
        <w:rPr>
          <w:color w:val="auto"/>
          <w:highlight w:val="none"/>
        </w:rPr>
        <w:fldChar w:fldCharType="begin"/>
      </w:r>
      <w:r>
        <w:rPr>
          <w:color w:val="auto"/>
          <w:highlight w:val="none"/>
        </w:rPr>
        <w:instrText xml:space="preserve"> PAGEREF _Toc6849 \h </w:instrText>
      </w:r>
      <w:r>
        <w:rPr>
          <w:color w:val="auto"/>
          <w:highlight w:val="none"/>
        </w:rPr>
        <w:fldChar w:fldCharType="separate"/>
      </w:r>
      <w:r>
        <w:rPr>
          <w:color w:val="auto"/>
          <w:highlight w:val="none"/>
        </w:rPr>
        <w:t>45</w:t>
      </w:r>
      <w:r>
        <w:rPr>
          <w:color w:val="auto"/>
          <w:highlight w:val="none"/>
        </w:rPr>
        <w:fldChar w:fldCharType="end"/>
      </w:r>
      <w:r>
        <w:rPr>
          <w:rFonts w:hint="eastAsia" w:ascii="仿宋" w:hAnsi="仿宋" w:eastAsia="仿宋" w:cs="仿宋"/>
          <w:color w:val="auto"/>
          <w:highlight w:val="none"/>
        </w:rPr>
        <w:fldChar w:fldCharType="end"/>
      </w:r>
    </w:p>
    <w:p w14:paraId="06988624">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_Toc8583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_Toc8583 \h </w:instrText>
      </w:r>
      <w:r>
        <w:rPr>
          <w:color w:val="auto"/>
          <w:highlight w:val="none"/>
        </w:rPr>
        <w:fldChar w:fldCharType="separate"/>
      </w:r>
      <w:r>
        <w:rPr>
          <w:color w:val="auto"/>
          <w:highlight w:val="none"/>
        </w:rPr>
        <w:t>54</w:t>
      </w:r>
      <w:r>
        <w:rPr>
          <w:color w:val="auto"/>
          <w:highlight w:val="none"/>
        </w:rPr>
        <w:fldChar w:fldCharType="end"/>
      </w:r>
      <w:r>
        <w:rPr>
          <w:rFonts w:hint="eastAsia" w:ascii="仿宋" w:hAnsi="仿宋" w:eastAsia="仿宋" w:cs="仿宋"/>
          <w:color w:val="auto"/>
          <w:highlight w:val="none"/>
        </w:rPr>
        <w:fldChar w:fldCharType="end"/>
      </w:r>
    </w:p>
    <w:p w14:paraId="65F55089">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目录</w:t>
      </w:r>
      <w:r>
        <w:rPr>
          <w:color w:val="auto"/>
          <w:highlight w:val="none"/>
        </w:rPr>
        <w:tab/>
      </w:r>
      <w:r>
        <w:rPr>
          <w:color w:val="auto"/>
          <w:highlight w:val="none"/>
        </w:rPr>
        <w:fldChar w:fldCharType="begin"/>
      </w:r>
      <w:r>
        <w:rPr>
          <w:color w:val="auto"/>
          <w:highlight w:val="none"/>
        </w:rPr>
        <w:instrText xml:space="preserve"> PAGEREF _Toc1937 \h </w:instrText>
      </w:r>
      <w:r>
        <w:rPr>
          <w:color w:val="auto"/>
          <w:highlight w:val="none"/>
        </w:rPr>
        <w:fldChar w:fldCharType="separate"/>
      </w:r>
      <w:r>
        <w:rPr>
          <w:color w:val="auto"/>
          <w:highlight w:val="none"/>
        </w:rPr>
        <w:t>55</w:t>
      </w:r>
      <w:r>
        <w:rPr>
          <w:color w:val="auto"/>
          <w:highlight w:val="none"/>
        </w:rPr>
        <w:fldChar w:fldCharType="end"/>
      </w:r>
      <w:r>
        <w:rPr>
          <w:rFonts w:hint="eastAsia" w:ascii="仿宋" w:hAnsi="仿宋" w:eastAsia="仿宋" w:cs="仿宋"/>
          <w:color w:val="auto"/>
          <w:highlight w:val="none"/>
        </w:rPr>
        <w:fldChar w:fldCharType="end"/>
      </w:r>
    </w:p>
    <w:p w14:paraId="5CEC11E5">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一、投标函</w:t>
      </w:r>
      <w:r>
        <w:rPr>
          <w:color w:val="auto"/>
          <w:highlight w:val="none"/>
        </w:rPr>
        <w:tab/>
      </w:r>
      <w:r>
        <w:rPr>
          <w:color w:val="auto"/>
          <w:highlight w:val="none"/>
        </w:rPr>
        <w:fldChar w:fldCharType="begin"/>
      </w:r>
      <w:r>
        <w:rPr>
          <w:color w:val="auto"/>
          <w:highlight w:val="none"/>
        </w:rPr>
        <w:instrText xml:space="preserve"> PAGEREF _Toc18067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color w:val="auto"/>
          <w:highlight w:val="none"/>
        </w:rPr>
        <w:fldChar w:fldCharType="end"/>
      </w:r>
    </w:p>
    <w:p w14:paraId="431C353B">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_Toc21913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二、开标一览表</w:t>
      </w:r>
      <w:r>
        <w:rPr>
          <w:color w:val="auto"/>
          <w:highlight w:val="none"/>
        </w:rPr>
        <w:tab/>
      </w:r>
      <w:r>
        <w:rPr>
          <w:color w:val="auto"/>
          <w:highlight w:val="none"/>
        </w:rPr>
        <w:fldChar w:fldCharType="begin"/>
      </w:r>
      <w:r>
        <w:rPr>
          <w:color w:val="auto"/>
          <w:highlight w:val="none"/>
        </w:rPr>
        <w:instrText xml:space="preserve"> PAGEREF _Toc21913 \h </w:instrText>
      </w:r>
      <w:r>
        <w:rPr>
          <w:color w:val="auto"/>
          <w:highlight w:val="none"/>
        </w:rPr>
        <w:fldChar w:fldCharType="separate"/>
      </w:r>
      <w:r>
        <w:rPr>
          <w:color w:val="auto"/>
          <w:highlight w:val="none"/>
        </w:rPr>
        <w:t>57</w:t>
      </w:r>
      <w:r>
        <w:rPr>
          <w:color w:val="auto"/>
          <w:highlight w:val="none"/>
        </w:rPr>
        <w:fldChar w:fldCharType="end"/>
      </w:r>
      <w:r>
        <w:rPr>
          <w:rFonts w:hint="eastAsia" w:ascii="仿宋" w:hAnsi="仿宋" w:eastAsia="仿宋" w:cs="仿宋"/>
          <w:color w:val="auto"/>
          <w:highlight w:val="none"/>
        </w:rPr>
        <w:fldChar w:fldCharType="end"/>
      </w:r>
    </w:p>
    <w:p w14:paraId="106A8060">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_Toc9746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三、投标价格明细表</w:t>
      </w:r>
      <w:r>
        <w:rPr>
          <w:color w:val="auto"/>
          <w:highlight w:val="none"/>
        </w:rPr>
        <w:tab/>
      </w:r>
      <w:r>
        <w:rPr>
          <w:color w:val="auto"/>
          <w:highlight w:val="none"/>
        </w:rPr>
        <w:fldChar w:fldCharType="begin"/>
      </w:r>
      <w:r>
        <w:rPr>
          <w:color w:val="auto"/>
          <w:highlight w:val="none"/>
        </w:rPr>
        <w:instrText xml:space="preserve"> PAGEREF _Toc9746 \h </w:instrText>
      </w:r>
      <w:r>
        <w:rPr>
          <w:color w:val="auto"/>
          <w:highlight w:val="none"/>
        </w:rPr>
        <w:fldChar w:fldCharType="separate"/>
      </w:r>
      <w:r>
        <w:rPr>
          <w:color w:val="auto"/>
          <w:highlight w:val="none"/>
        </w:rPr>
        <w:t>58</w:t>
      </w:r>
      <w:r>
        <w:rPr>
          <w:color w:val="auto"/>
          <w:highlight w:val="none"/>
        </w:rPr>
        <w:fldChar w:fldCharType="end"/>
      </w:r>
      <w:r>
        <w:rPr>
          <w:rFonts w:hint="eastAsia" w:ascii="仿宋" w:hAnsi="仿宋" w:eastAsia="仿宋" w:cs="仿宋"/>
          <w:color w:val="auto"/>
          <w:highlight w:val="none"/>
        </w:rPr>
        <w:fldChar w:fldCharType="end"/>
      </w:r>
    </w:p>
    <w:p w14:paraId="1F21BCCB">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_Toc22264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四、商务条款偏离表</w:t>
      </w:r>
      <w:r>
        <w:rPr>
          <w:color w:val="auto"/>
          <w:highlight w:val="none"/>
        </w:rPr>
        <w:tab/>
      </w:r>
      <w:r>
        <w:rPr>
          <w:color w:val="auto"/>
          <w:highlight w:val="none"/>
        </w:rPr>
        <w:fldChar w:fldCharType="begin"/>
      </w:r>
      <w:r>
        <w:rPr>
          <w:color w:val="auto"/>
          <w:highlight w:val="none"/>
        </w:rPr>
        <w:instrText xml:space="preserve"> PAGEREF _Toc22264 \h </w:instrText>
      </w:r>
      <w:r>
        <w:rPr>
          <w:color w:val="auto"/>
          <w:highlight w:val="none"/>
        </w:rPr>
        <w:fldChar w:fldCharType="separate"/>
      </w:r>
      <w:r>
        <w:rPr>
          <w:color w:val="auto"/>
          <w:highlight w:val="none"/>
        </w:rPr>
        <w:t>59</w:t>
      </w:r>
      <w:r>
        <w:rPr>
          <w:color w:val="auto"/>
          <w:highlight w:val="none"/>
        </w:rPr>
        <w:fldChar w:fldCharType="end"/>
      </w:r>
      <w:r>
        <w:rPr>
          <w:rFonts w:hint="eastAsia" w:ascii="仿宋" w:hAnsi="仿宋" w:eastAsia="仿宋" w:cs="仿宋"/>
          <w:color w:val="auto"/>
          <w:highlight w:val="none"/>
        </w:rPr>
        <w:fldChar w:fldCharType="end"/>
      </w:r>
    </w:p>
    <w:p w14:paraId="0ECD57E7">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_Toc19585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五、技术条款偏离表</w:t>
      </w:r>
      <w:r>
        <w:rPr>
          <w:color w:val="auto"/>
          <w:highlight w:val="none"/>
        </w:rPr>
        <w:tab/>
      </w:r>
      <w:r>
        <w:rPr>
          <w:color w:val="auto"/>
          <w:highlight w:val="none"/>
        </w:rPr>
        <w:fldChar w:fldCharType="begin"/>
      </w:r>
      <w:r>
        <w:rPr>
          <w:color w:val="auto"/>
          <w:highlight w:val="none"/>
        </w:rPr>
        <w:instrText xml:space="preserve"> PAGEREF _Toc19585 \h </w:instrText>
      </w:r>
      <w:r>
        <w:rPr>
          <w:color w:val="auto"/>
          <w:highlight w:val="none"/>
        </w:rPr>
        <w:fldChar w:fldCharType="separate"/>
      </w:r>
      <w:r>
        <w:rPr>
          <w:color w:val="auto"/>
          <w:highlight w:val="none"/>
        </w:rPr>
        <w:t>60</w:t>
      </w:r>
      <w:r>
        <w:rPr>
          <w:color w:val="auto"/>
          <w:highlight w:val="none"/>
        </w:rPr>
        <w:fldChar w:fldCharType="end"/>
      </w:r>
      <w:r>
        <w:rPr>
          <w:rFonts w:hint="eastAsia" w:ascii="仿宋" w:hAnsi="仿宋" w:eastAsia="仿宋" w:cs="仿宋"/>
          <w:color w:val="auto"/>
          <w:highlight w:val="none"/>
        </w:rPr>
        <w:fldChar w:fldCharType="end"/>
      </w:r>
    </w:p>
    <w:p w14:paraId="0660BD6F">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_Toc17833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六、法定代表人身份证明书</w:t>
      </w:r>
      <w:r>
        <w:rPr>
          <w:color w:val="auto"/>
          <w:highlight w:val="none"/>
        </w:rPr>
        <w:tab/>
      </w:r>
      <w:r>
        <w:rPr>
          <w:color w:val="auto"/>
          <w:highlight w:val="none"/>
        </w:rPr>
        <w:fldChar w:fldCharType="begin"/>
      </w:r>
      <w:r>
        <w:rPr>
          <w:color w:val="auto"/>
          <w:highlight w:val="none"/>
        </w:rPr>
        <w:instrText xml:space="preserve"> PAGEREF _Toc17833 \h </w:instrText>
      </w:r>
      <w:r>
        <w:rPr>
          <w:color w:val="auto"/>
          <w:highlight w:val="none"/>
        </w:rPr>
        <w:fldChar w:fldCharType="separate"/>
      </w:r>
      <w:r>
        <w:rPr>
          <w:color w:val="auto"/>
          <w:highlight w:val="none"/>
        </w:rPr>
        <w:t>61</w:t>
      </w:r>
      <w:r>
        <w:rPr>
          <w:color w:val="auto"/>
          <w:highlight w:val="none"/>
        </w:rPr>
        <w:fldChar w:fldCharType="end"/>
      </w:r>
      <w:r>
        <w:rPr>
          <w:rFonts w:hint="eastAsia" w:ascii="仿宋" w:hAnsi="仿宋" w:eastAsia="仿宋" w:cs="仿宋"/>
          <w:color w:val="auto"/>
          <w:highlight w:val="none"/>
        </w:rPr>
        <w:fldChar w:fldCharType="end"/>
      </w:r>
    </w:p>
    <w:p w14:paraId="096E7319">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_Toc13722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七、法定代表人授权委托书</w:t>
      </w:r>
      <w:r>
        <w:rPr>
          <w:color w:val="auto"/>
          <w:highlight w:val="none"/>
        </w:rPr>
        <w:tab/>
      </w:r>
      <w:r>
        <w:rPr>
          <w:color w:val="auto"/>
          <w:highlight w:val="none"/>
        </w:rPr>
        <w:fldChar w:fldCharType="begin"/>
      </w:r>
      <w:r>
        <w:rPr>
          <w:color w:val="auto"/>
          <w:highlight w:val="none"/>
        </w:rPr>
        <w:instrText xml:space="preserve"> PAGEREF _Toc13722 \h </w:instrText>
      </w:r>
      <w:r>
        <w:rPr>
          <w:color w:val="auto"/>
          <w:highlight w:val="none"/>
        </w:rPr>
        <w:fldChar w:fldCharType="separate"/>
      </w:r>
      <w:r>
        <w:rPr>
          <w:color w:val="auto"/>
          <w:highlight w:val="none"/>
        </w:rPr>
        <w:t>62</w:t>
      </w:r>
      <w:r>
        <w:rPr>
          <w:color w:val="auto"/>
          <w:highlight w:val="none"/>
        </w:rPr>
        <w:fldChar w:fldCharType="end"/>
      </w:r>
      <w:r>
        <w:rPr>
          <w:rFonts w:hint="eastAsia" w:ascii="仿宋" w:hAnsi="仿宋" w:eastAsia="仿宋" w:cs="仿宋"/>
          <w:color w:val="auto"/>
          <w:highlight w:val="none"/>
        </w:rPr>
        <w:fldChar w:fldCharType="end"/>
      </w:r>
    </w:p>
    <w:p w14:paraId="68C18AD8">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_Toc22909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八、投标人基本情况</w:t>
      </w:r>
      <w:r>
        <w:rPr>
          <w:color w:val="auto"/>
          <w:highlight w:val="none"/>
        </w:rPr>
        <w:tab/>
      </w:r>
      <w:r>
        <w:rPr>
          <w:color w:val="auto"/>
          <w:highlight w:val="none"/>
        </w:rPr>
        <w:fldChar w:fldCharType="begin"/>
      </w:r>
      <w:r>
        <w:rPr>
          <w:color w:val="auto"/>
          <w:highlight w:val="none"/>
        </w:rPr>
        <w:instrText xml:space="preserve"> PAGEREF _Toc22909 \h </w:instrText>
      </w:r>
      <w:r>
        <w:rPr>
          <w:color w:val="auto"/>
          <w:highlight w:val="none"/>
        </w:rPr>
        <w:fldChar w:fldCharType="separate"/>
      </w:r>
      <w:r>
        <w:rPr>
          <w:color w:val="auto"/>
          <w:highlight w:val="none"/>
        </w:rPr>
        <w:t>63</w:t>
      </w:r>
      <w:r>
        <w:rPr>
          <w:color w:val="auto"/>
          <w:highlight w:val="none"/>
        </w:rPr>
        <w:fldChar w:fldCharType="end"/>
      </w:r>
      <w:r>
        <w:rPr>
          <w:rFonts w:hint="eastAsia" w:ascii="仿宋" w:hAnsi="仿宋" w:eastAsia="仿宋" w:cs="仿宋"/>
          <w:color w:val="auto"/>
          <w:highlight w:val="none"/>
        </w:rPr>
        <w:fldChar w:fldCharType="end"/>
      </w:r>
    </w:p>
    <w:p w14:paraId="0C5D3CB0">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_Toc16611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8.1法人或者其他组织的营业执照等证明文件，自然人的身份证明</w:t>
      </w:r>
      <w:r>
        <w:rPr>
          <w:color w:val="auto"/>
          <w:highlight w:val="none"/>
        </w:rPr>
        <w:tab/>
      </w:r>
      <w:r>
        <w:rPr>
          <w:color w:val="auto"/>
          <w:highlight w:val="none"/>
        </w:rPr>
        <w:fldChar w:fldCharType="begin"/>
      </w:r>
      <w:r>
        <w:rPr>
          <w:color w:val="auto"/>
          <w:highlight w:val="none"/>
        </w:rPr>
        <w:instrText xml:space="preserve"> PAGEREF _Toc16611 \h </w:instrText>
      </w:r>
      <w:r>
        <w:rPr>
          <w:color w:val="auto"/>
          <w:highlight w:val="none"/>
        </w:rPr>
        <w:fldChar w:fldCharType="separate"/>
      </w:r>
      <w:r>
        <w:rPr>
          <w:color w:val="auto"/>
          <w:highlight w:val="none"/>
        </w:rPr>
        <w:t>64</w:t>
      </w:r>
      <w:r>
        <w:rPr>
          <w:color w:val="auto"/>
          <w:highlight w:val="none"/>
        </w:rPr>
        <w:fldChar w:fldCharType="end"/>
      </w:r>
      <w:r>
        <w:rPr>
          <w:rFonts w:hint="eastAsia" w:ascii="仿宋" w:hAnsi="仿宋" w:eastAsia="仿宋" w:cs="仿宋"/>
          <w:color w:val="auto"/>
          <w:highlight w:val="none"/>
        </w:rPr>
        <w:fldChar w:fldCharType="end"/>
      </w:r>
    </w:p>
    <w:p w14:paraId="6D7E3548">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_Toc18165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8.2财务状况报告，依法缴纳税收和社会保障资金的相关材料</w:t>
      </w:r>
      <w:r>
        <w:rPr>
          <w:color w:val="auto"/>
          <w:highlight w:val="none"/>
        </w:rPr>
        <w:tab/>
      </w:r>
      <w:r>
        <w:rPr>
          <w:color w:val="auto"/>
          <w:highlight w:val="none"/>
        </w:rPr>
        <w:fldChar w:fldCharType="begin"/>
      </w:r>
      <w:r>
        <w:rPr>
          <w:color w:val="auto"/>
          <w:highlight w:val="none"/>
        </w:rPr>
        <w:instrText xml:space="preserve"> PAGEREF _Toc18165 \h </w:instrText>
      </w:r>
      <w:r>
        <w:rPr>
          <w:color w:val="auto"/>
          <w:highlight w:val="none"/>
        </w:rPr>
        <w:fldChar w:fldCharType="separate"/>
      </w:r>
      <w:r>
        <w:rPr>
          <w:color w:val="auto"/>
          <w:highlight w:val="none"/>
        </w:rPr>
        <w:t>65</w:t>
      </w:r>
      <w:r>
        <w:rPr>
          <w:color w:val="auto"/>
          <w:highlight w:val="none"/>
        </w:rPr>
        <w:fldChar w:fldCharType="end"/>
      </w:r>
      <w:r>
        <w:rPr>
          <w:rFonts w:hint="eastAsia" w:ascii="仿宋" w:hAnsi="仿宋" w:eastAsia="仿宋" w:cs="仿宋"/>
          <w:color w:val="auto"/>
          <w:highlight w:val="none"/>
        </w:rPr>
        <w:fldChar w:fldCharType="end"/>
      </w:r>
    </w:p>
    <w:p w14:paraId="3A60A4AD">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_Toc8098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8.3具备履行合同所必需的设备和专业技术能力的证明材料</w:t>
      </w:r>
      <w:r>
        <w:rPr>
          <w:color w:val="auto"/>
          <w:highlight w:val="none"/>
        </w:rPr>
        <w:tab/>
      </w:r>
      <w:r>
        <w:rPr>
          <w:color w:val="auto"/>
          <w:highlight w:val="none"/>
        </w:rPr>
        <w:fldChar w:fldCharType="begin"/>
      </w:r>
      <w:r>
        <w:rPr>
          <w:color w:val="auto"/>
          <w:highlight w:val="none"/>
        </w:rPr>
        <w:instrText xml:space="preserve"> PAGEREF _Toc8098 \h </w:instrText>
      </w:r>
      <w:r>
        <w:rPr>
          <w:color w:val="auto"/>
          <w:highlight w:val="none"/>
        </w:rPr>
        <w:fldChar w:fldCharType="separate"/>
      </w:r>
      <w:r>
        <w:rPr>
          <w:color w:val="auto"/>
          <w:highlight w:val="none"/>
        </w:rPr>
        <w:t>66</w:t>
      </w:r>
      <w:r>
        <w:rPr>
          <w:color w:val="auto"/>
          <w:highlight w:val="none"/>
        </w:rPr>
        <w:fldChar w:fldCharType="end"/>
      </w:r>
      <w:r>
        <w:rPr>
          <w:rFonts w:hint="eastAsia" w:ascii="仿宋" w:hAnsi="仿宋" w:eastAsia="仿宋" w:cs="仿宋"/>
          <w:color w:val="auto"/>
          <w:highlight w:val="none"/>
        </w:rPr>
        <w:fldChar w:fldCharType="end"/>
      </w:r>
    </w:p>
    <w:p w14:paraId="48F8F34F">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_Toc13792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8.4参加政府采购活动前3年内在经营活动中没有重大违法记录的书面声明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_Toc13792 \h </w:instrText>
      </w:r>
      <w:r>
        <w:rPr>
          <w:color w:val="auto"/>
          <w:highlight w:val="none"/>
        </w:rPr>
        <w:fldChar w:fldCharType="separate"/>
      </w:r>
      <w:r>
        <w:rPr>
          <w:color w:val="auto"/>
          <w:highlight w:val="none"/>
        </w:rPr>
        <w:t>67</w:t>
      </w:r>
      <w:r>
        <w:rPr>
          <w:color w:val="auto"/>
          <w:highlight w:val="none"/>
        </w:rPr>
        <w:fldChar w:fldCharType="end"/>
      </w:r>
      <w:r>
        <w:rPr>
          <w:rFonts w:hint="eastAsia" w:ascii="仿宋" w:hAnsi="仿宋" w:eastAsia="仿宋" w:cs="仿宋"/>
          <w:color w:val="auto"/>
          <w:highlight w:val="none"/>
        </w:rPr>
        <w:fldChar w:fldCharType="end"/>
      </w:r>
    </w:p>
    <w:p w14:paraId="316141BA">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8.5具备法律、行政法规规定的其他条件的证明材料</w:t>
      </w:r>
      <w:r>
        <w:rPr>
          <w:color w:val="auto"/>
          <w:highlight w:val="none"/>
        </w:rPr>
        <w:tab/>
      </w:r>
      <w:r>
        <w:rPr>
          <w:color w:val="auto"/>
          <w:highlight w:val="none"/>
        </w:rPr>
        <w:fldChar w:fldCharType="begin"/>
      </w:r>
      <w:r>
        <w:rPr>
          <w:color w:val="auto"/>
          <w:highlight w:val="none"/>
        </w:rPr>
        <w:instrText xml:space="preserve"> PAGEREF _Toc12167 \h </w:instrText>
      </w:r>
      <w:r>
        <w:rPr>
          <w:color w:val="auto"/>
          <w:highlight w:val="none"/>
        </w:rPr>
        <w:fldChar w:fldCharType="separate"/>
      </w:r>
      <w:r>
        <w:rPr>
          <w:color w:val="auto"/>
          <w:highlight w:val="none"/>
        </w:rPr>
        <w:t>68</w:t>
      </w:r>
      <w:r>
        <w:rPr>
          <w:color w:val="auto"/>
          <w:highlight w:val="none"/>
        </w:rPr>
        <w:fldChar w:fldCharType="end"/>
      </w:r>
      <w:r>
        <w:rPr>
          <w:rFonts w:hint="eastAsia" w:ascii="仿宋" w:hAnsi="仿宋" w:eastAsia="仿宋" w:cs="仿宋"/>
          <w:color w:val="auto"/>
          <w:highlight w:val="none"/>
        </w:rPr>
        <w:fldChar w:fldCharType="end"/>
      </w:r>
    </w:p>
    <w:p w14:paraId="3E3039DE">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_Toc30180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九、</w:t>
      </w:r>
      <w:r>
        <w:rPr>
          <w:rFonts w:hint="eastAsia" w:ascii="仿宋" w:hAnsi="仿宋" w:eastAsia="仿宋" w:cs="仿宋"/>
          <w:bCs/>
          <w:color w:val="auto"/>
          <w:szCs w:val="24"/>
          <w:highlight w:val="none"/>
          <w:shd w:val="clear" w:color="auto" w:fill="FFFFFF" w:themeFill="background1"/>
        </w:rPr>
        <w:t>投标人近三年类似项目业绩表</w:t>
      </w:r>
      <w:r>
        <w:rPr>
          <w:color w:val="auto"/>
          <w:highlight w:val="none"/>
        </w:rPr>
        <w:tab/>
      </w:r>
      <w:r>
        <w:rPr>
          <w:color w:val="auto"/>
          <w:highlight w:val="none"/>
        </w:rPr>
        <w:fldChar w:fldCharType="begin"/>
      </w:r>
      <w:r>
        <w:rPr>
          <w:color w:val="auto"/>
          <w:highlight w:val="none"/>
        </w:rPr>
        <w:instrText xml:space="preserve"> PAGEREF _Toc30180 \h </w:instrText>
      </w:r>
      <w:r>
        <w:rPr>
          <w:color w:val="auto"/>
          <w:highlight w:val="none"/>
        </w:rPr>
        <w:fldChar w:fldCharType="separate"/>
      </w:r>
      <w:r>
        <w:rPr>
          <w:color w:val="auto"/>
          <w:highlight w:val="none"/>
        </w:rPr>
        <w:t>71</w:t>
      </w:r>
      <w:r>
        <w:rPr>
          <w:color w:val="auto"/>
          <w:highlight w:val="none"/>
        </w:rPr>
        <w:fldChar w:fldCharType="end"/>
      </w:r>
      <w:r>
        <w:rPr>
          <w:rFonts w:hint="eastAsia" w:ascii="仿宋" w:hAnsi="仿宋" w:eastAsia="仿宋" w:cs="仿宋"/>
          <w:color w:val="auto"/>
          <w:highlight w:val="none"/>
        </w:rPr>
        <w:fldChar w:fldCharType="end"/>
      </w:r>
    </w:p>
    <w:p w14:paraId="5183445A">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_Toc3975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w:t>
      </w:r>
      <w:r>
        <w:rPr>
          <w:rFonts w:hint="eastAsia" w:ascii="仿宋" w:hAnsi="仿宋" w:eastAsia="仿宋" w:cs="仿宋"/>
          <w:bCs/>
          <w:color w:val="auto"/>
          <w:szCs w:val="24"/>
          <w:highlight w:val="none"/>
          <w:shd w:val="clear" w:color="auto" w:fill="FFFFFF" w:themeFill="background1"/>
        </w:rPr>
        <w:t>项目负责人简历表</w:t>
      </w:r>
      <w:r>
        <w:rPr>
          <w:color w:val="auto"/>
          <w:highlight w:val="none"/>
        </w:rPr>
        <w:tab/>
      </w:r>
      <w:r>
        <w:rPr>
          <w:color w:val="auto"/>
          <w:highlight w:val="none"/>
        </w:rPr>
        <w:fldChar w:fldCharType="begin"/>
      </w:r>
      <w:r>
        <w:rPr>
          <w:color w:val="auto"/>
          <w:highlight w:val="none"/>
        </w:rPr>
        <w:instrText xml:space="preserve"> PAGEREF _Toc3975 \h </w:instrText>
      </w:r>
      <w:r>
        <w:rPr>
          <w:color w:val="auto"/>
          <w:highlight w:val="none"/>
        </w:rPr>
        <w:fldChar w:fldCharType="separate"/>
      </w:r>
      <w:r>
        <w:rPr>
          <w:color w:val="auto"/>
          <w:highlight w:val="none"/>
        </w:rPr>
        <w:t>72</w:t>
      </w:r>
      <w:r>
        <w:rPr>
          <w:color w:val="auto"/>
          <w:highlight w:val="none"/>
        </w:rPr>
        <w:fldChar w:fldCharType="end"/>
      </w:r>
      <w:r>
        <w:rPr>
          <w:rFonts w:hint="eastAsia" w:ascii="仿宋" w:hAnsi="仿宋" w:eastAsia="仿宋" w:cs="仿宋"/>
          <w:color w:val="auto"/>
          <w:highlight w:val="none"/>
        </w:rPr>
        <w:fldChar w:fldCharType="end"/>
      </w:r>
    </w:p>
    <w:p w14:paraId="5A402350">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_Toc10335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shd w:val="clear" w:color="auto" w:fill="FFFFFF" w:themeFill="background1"/>
        </w:rPr>
        <w:t>十一、拟派本项目服务人员情况表</w:t>
      </w:r>
      <w:r>
        <w:rPr>
          <w:color w:val="auto"/>
          <w:highlight w:val="none"/>
        </w:rPr>
        <w:tab/>
      </w:r>
      <w:r>
        <w:rPr>
          <w:color w:val="auto"/>
          <w:highlight w:val="none"/>
        </w:rPr>
        <w:fldChar w:fldCharType="begin"/>
      </w:r>
      <w:r>
        <w:rPr>
          <w:color w:val="auto"/>
          <w:highlight w:val="none"/>
        </w:rPr>
        <w:instrText xml:space="preserve"> PAGEREF _Toc10335 \h </w:instrText>
      </w:r>
      <w:r>
        <w:rPr>
          <w:color w:val="auto"/>
          <w:highlight w:val="none"/>
        </w:rPr>
        <w:fldChar w:fldCharType="separate"/>
      </w:r>
      <w:r>
        <w:rPr>
          <w:color w:val="auto"/>
          <w:highlight w:val="none"/>
        </w:rPr>
        <w:t>73</w:t>
      </w:r>
      <w:r>
        <w:rPr>
          <w:color w:val="auto"/>
          <w:highlight w:val="none"/>
        </w:rPr>
        <w:fldChar w:fldCharType="end"/>
      </w:r>
      <w:r>
        <w:rPr>
          <w:rFonts w:hint="eastAsia" w:ascii="仿宋" w:hAnsi="仿宋" w:eastAsia="仿宋" w:cs="仿宋"/>
          <w:color w:val="auto"/>
          <w:highlight w:val="none"/>
        </w:rPr>
        <w:fldChar w:fldCharType="end"/>
      </w:r>
    </w:p>
    <w:p w14:paraId="7DE54E42">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_Toc26818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十二、</w:t>
      </w:r>
      <w:r>
        <w:rPr>
          <w:rFonts w:hint="eastAsia" w:ascii="仿宋" w:hAnsi="仿宋" w:eastAsia="仿宋" w:cs="仿宋"/>
          <w:color w:val="auto"/>
          <w:szCs w:val="24"/>
          <w:highlight w:val="none"/>
          <w:shd w:val="clear" w:color="auto" w:fill="FFFFFF" w:themeFill="background1"/>
          <w:lang w:val="en-US" w:eastAsia="zh-CN"/>
        </w:rPr>
        <w:t>供货</w:t>
      </w:r>
      <w:r>
        <w:rPr>
          <w:rFonts w:hint="eastAsia" w:ascii="仿宋" w:hAnsi="仿宋" w:eastAsia="仿宋" w:cs="仿宋"/>
          <w:bCs/>
          <w:color w:val="auto"/>
          <w:szCs w:val="24"/>
          <w:highlight w:val="none"/>
          <w:shd w:val="clear" w:color="auto" w:fill="FFFFFF" w:themeFill="background1"/>
        </w:rPr>
        <w:t>方案</w:t>
      </w:r>
      <w:r>
        <w:rPr>
          <w:color w:val="auto"/>
          <w:highlight w:val="none"/>
        </w:rPr>
        <w:tab/>
      </w:r>
      <w:r>
        <w:rPr>
          <w:color w:val="auto"/>
          <w:highlight w:val="none"/>
        </w:rPr>
        <w:fldChar w:fldCharType="begin"/>
      </w:r>
      <w:r>
        <w:rPr>
          <w:color w:val="auto"/>
          <w:highlight w:val="none"/>
        </w:rPr>
        <w:instrText xml:space="preserve"> PAGEREF _Toc26818 \h </w:instrText>
      </w:r>
      <w:r>
        <w:rPr>
          <w:color w:val="auto"/>
          <w:highlight w:val="none"/>
        </w:rPr>
        <w:fldChar w:fldCharType="separate"/>
      </w:r>
      <w:r>
        <w:rPr>
          <w:color w:val="auto"/>
          <w:highlight w:val="none"/>
        </w:rPr>
        <w:t>74</w:t>
      </w:r>
      <w:r>
        <w:rPr>
          <w:color w:val="auto"/>
          <w:highlight w:val="none"/>
        </w:rPr>
        <w:fldChar w:fldCharType="end"/>
      </w:r>
      <w:r>
        <w:rPr>
          <w:rFonts w:hint="eastAsia" w:ascii="仿宋" w:hAnsi="仿宋" w:eastAsia="仿宋" w:cs="仿宋"/>
          <w:color w:val="auto"/>
          <w:highlight w:val="none"/>
        </w:rPr>
        <w:fldChar w:fldCharType="end"/>
      </w:r>
    </w:p>
    <w:p w14:paraId="2A29F2A8">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_Toc4676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十三、其他需要提交的资料</w:t>
      </w:r>
      <w:r>
        <w:rPr>
          <w:color w:val="auto"/>
          <w:highlight w:val="none"/>
        </w:rPr>
        <w:tab/>
      </w:r>
      <w:r>
        <w:rPr>
          <w:color w:val="auto"/>
          <w:highlight w:val="none"/>
        </w:rPr>
        <w:fldChar w:fldCharType="begin"/>
      </w:r>
      <w:r>
        <w:rPr>
          <w:color w:val="auto"/>
          <w:highlight w:val="none"/>
        </w:rPr>
        <w:instrText xml:space="preserve"> PAGEREF _Toc4676 \h </w:instrText>
      </w:r>
      <w:r>
        <w:rPr>
          <w:color w:val="auto"/>
          <w:highlight w:val="none"/>
        </w:rPr>
        <w:fldChar w:fldCharType="separate"/>
      </w:r>
      <w:r>
        <w:rPr>
          <w:color w:val="auto"/>
          <w:highlight w:val="none"/>
        </w:rPr>
        <w:t>74</w:t>
      </w:r>
      <w:r>
        <w:rPr>
          <w:color w:val="auto"/>
          <w:highlight w:val="none"/>
        </w:rPr>
        <w:fldChar w:fldCharType="end"/>
      </w:r>
      <w:r>
        <w:rPr>
          <w:rFonts w:hint="eastAsia" w:ascii="仿宋" w:hAnsi="仿宋" w:eastAsia="仿宋" w:cs="仿宋"/>
          <w:color w:val="auto"/>
          <w:highlight w:val="none"/>
        </w:rPr>
        <w:fldChar w:fldCharType="end"/>
      </w:r>
    </w:p>
    <w:p w14:paraId="26DAA57B">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_Toc29549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color w:val="auto"/>
          <w:highlight w:val="none"/>
        </w:rPr>
        <w:tab/>
      </w:r>
      <w:r>
        <w:rPr>
          <w:color w:val="auto"/>
          <w:highlight w:val="none"/>
        </w:rPr>
        <w:fldChar w:fldCharType="begin"/>
      </w:r>
      <w:r>
        <w:rPr>
          <w:color w:val="auto"/>
          <w:highlight w:val="none"/>
        </w:rPr>
        <w:instrText xml:space="preserve"> PAGEREF _Toc29549 \h </w:instrText>
      </w:r>
      <w:r>
        <w:rPr>
          <w:color w:val="auto"/>
          <w:highlight w:val="none"/>
        </w:rPr>
        <w:fldChar w:fldCharType="separate"/>
      </w:r>
      <w:r>
        <w:rPr>
          <w:color w:val="auto"/>
          <w:highlight w:val="none"/>
        </w:rPr>
        <w:t>75</w:t>
      </w:r>
      <w:r>
        <w:rPr>
          <w:color w:val="auto"/>
          <w:highlight w:val="none"/>
        </w:rPr>
        <w:fldChar w:fldCharType="end"/>
      </w:r>
      <w:r>
        <w:rPr>
          <w:rFonts w:hint="eastAsia" w:ascii="仿宋" w:hAnsi="仿宋" w:eastAsia="仿宋" w:cs="仿宋"/>
          <w:color w:val="auto"/>
          <w:highlight w:val="none"/>
        </w:rPr>
        <w:fldChar w:fldCharType="end"/>
      </w:r>
    </w:p>
    <w:p w14:paraId="72589406">
      <w:pPr>
        <w:pStyle w:val="26"/>
        <w:tabs>
          <w:tab w:val="right" w:leader="dot" w:pos="9344"/>
        </w:tabs>
        <w:spacing w:line="276" w:lineRule="auto"/>
        <w:rPr>
          <w:rFonts w:hint="eastAsia" w:ascii="仿宋" w:hAnsi="仿宋" w:eastAsia="仿宋" w:cs="仿宋"/>
          <w:b/>
          <w:bCs/>
          <w:color w:val="auto"/>
          <w:highlight w:val="none"/>
        </w:rPr>
        <w:sectPr>
          <w:footerReference r:id="rId6" w:type="first"/>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color w:val="auto"/>
          <w:highlight w:val="none"/>
        </w:rPr>
        <w:fldChar w:fldCharType="end"/>
      </w:r>
    </w:p>
    <w:p w14:paraId="56DB8856">
      <w:pPr>
        <w:keepNext/>
        <w:widowControl/>
        <w:spacing w:after="120" w:afterLines="50"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乌鲁木齐市职业中等专业学校智慧校园三期设备采购项目</w:t>
      </w:r>
    </w:p>
    <w:p w14:paraId="7A518CD3">
      <w:pPr>
        <w:keepNext/>
        <w:widowControl/>
        <w:spacing w:after="120" w:after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公开招标公告</w:t>
      </w:r>
    </w:p>
    <w:p w14:paraId="1A38DB6B">
      <w:pPr>
        <w:widowControl/>
        <w:spacing w:before="60" w:after="6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项目概况</w:t>
      </w:r>
    </w:p>
    <w:p w14:paraId="78B16DD9">
      <w:pPr>
        <w:keepNext w:val="0"/>
        <w:keepLines w:val="0"/>
        <w:pageBreakBefore w:val="0"/>
        <w:widowControl/>
        <w:kinsoku/>
        <w:wordWrap w:val="0"/>
        <w:overflowPunct/>
        <w:topLinePunct w:val="0"/>
        <w:autoSpaceDE/>
        <w:autoSpaceDN/>
        <w:bidi w:val="0"/>
        <w:adjustRightInd/>
        <w:snapToGrid/>
        <w:spacing w:before="60" w:after="60"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乌鲁木齐市职业中等专业学校智慧校园三期设备采购项目</w:t>
      </w:r>
      <w:r>
        <w:rPr>
          <w:rFonts w:hint="eastAsia" w:ascii="仿宋" w:hAnsi="仿宋" w:eastAsia="仿宋" w:cs="仿宋"/>
          <w:color w:val="auto"/>
          <w:kern w:val="0"/>
          <w:sz w:val="24"/>
          <w:szCs w:val="24"/>
          <w:highlight w:val="none"/>
        </w:rPr>
        <w:t xml:space="preserve"> 招标项目的潜在投标人应在政采云平台http://www.zcygov.cn获取招标文件，并于</w:t>
      </w:r>
      <w:r>
        <w:rPr>
          <w:rFonts w:hint="eastAsia" w:ascii="仿宋" w:hAnsi="仿宋" w:eastAsia="仿宋" w:cs="仿宋"/>
          <w:color w:val="FF0000"/>
          <w:kern w:val="0"/>
          <w:sz w:val="24"/>
          <w:szCs w:val="24"/>
          <w:highlight w:val="none"/>
          <w:lang w:eastAsia="zh-CN"/>
        </w:rPr>
        <w:t>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lang w:eastAsia="zh-CN"/>
        </w:rPr>
        <w:t>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14</w:t>
      </w:r>
      <w:r>
        <w:rPr>
          <w:rFonts w:hint="eastAsia" w:ascii="仿宋" w:hAnsi="仿宋" w:eastAsia="仿宋" w:cs="仿宋"/>
          <w:color w:val="FF0000"/>
          <w:kern w:val="0"/>
          <w:sz w:val="24"/>
          <w:szCs w:val="24"/>
          <w:highlight w:val="none"/>
          <w:lang w:eastAsia="zh-CN"/>
        </w:rPr>
        <w:t>日1</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lang w:eastAsia="zh-CN"/>
        </w:rPr>
        <w:t>:00（北京时间）</w:t>
      </w:r>
      <w:r>
        <w:rPr>
          <w:rFonts w:hint="eastAsia" w:ascii="仿宋" w:hAnsi="仿宋" w:eastAsia="仿宋" w:cs="仿宋"/>
          <w:color w:val="auto"/>
          <w:kern w:val="0"/>
          <w:sz w:val="24"/>
          <w:szCs w:val="24"/>
          <w:highlight w:val="none"/>
        </w:rPr>
        <w:t>前递交投标文件。</w:t>
      </w:r>
    </w:p>
    <w:p w14:paraId="359659DB">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一、目基本情况</w:t>
      </w:r>
    </w:p>
    <w:p w14:paraId="777A13B6">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招标方式：公开招标</w:t>
      </w:r>
    </w:p>
    <w:p w14:paraId="4ECCDB28">
      <w:pPr>
        <w:widowControl/>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项目编号：</w:t>
      </w:r>
      <w:r>
        <w:rPr>
          <w:rFonts w:hint="eastAsia" w:ascii="仿宋" w:hAnsi="仿宋" w:eastAsia="仿宋" w:cs="仿宋"/>
          <w:color w:val="auto"/>
          <w:kern w:val="0"/>
          <w:sz w:val="24"/>
          <w:szCs w:val="24"/>
          <w:highlight w:val="none"/>
          <w:lang w:val="en-US" w:eastAsia="zh-CN"/>
        </w:rPr>
        <w:t>XJXSJ-2026(ZC)-215</w:t>
      </w:r>
      <w:bookmarkStart w:id="415" w:name="_GoBack"/>
      <w:bookmarkEnd w:id="415"/>
    </w:p>
    <w:p w14:paraId="4AA1351C">
      <w:pPr>
        <w:widowControl/>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kern w:val="0"/>
          <w:sz w:val="24"/>
          <w:szCs w:val="24"/>
          <w:highlight w:val="none"/>
          <w:lang w:eastAsia="zh-CN"/>
        </w:rPr>
        <w:t>乌鲁木齐市职业中等专业学校智慧校园三期设备采购项目</w:t>
      </w:r>
    </w:p>
    <w:p w14:paraId="51F57397">
      <w:pPr>
        <w:widowControl/>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预算金额（元）：</w:t>
      </w:r>
      <w:r>
        <w:rPr>
          <w:rFonts w:hint="eastAsia" w:ascii="仿宋" w:hAnsi="仿宋" w:eastAsia="仿宋" w:cs="仿宋"/>
          <w:color w:val="auto"/>
          <w:kern w:val="0"/>
          <w:sz w:val="24"/>
          <w:szCs w:val="24"/>
          <w:highlight w:val="none"/>
          <w:lang w:val="en-US" w:eastAsia="zh-CN"/>
        </w:rPr>
        <w:t>905869</w:t>
      </w:r>
    </w:p>
    <w:p w14:paraId="7AFCBB91">
      <w:pPr>
        <w:widowControl/>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最高限价（元）：</w:t>
      </w:r>
      <w:r>
        <w:rPr>
          <w:rFonts w:hint="eastAsia" w:ascii="仿宋" w:hAnsi="仿宋" w:eastAsia="仿宋" w:cs="仿宋"/>
          <w:color w:val="auto"/>
          <w:kern w:val="0"/>
          <w:sz w:val="24"/>
          <w:szCs w:val="24"/>
          <w:highlight w:val="none"/>
          <w:lang w:val="en-US" w:eastAsia="zh-CN"/>
        </w:rPr>
        <w:t>905869；</w:t>
      </w:r>
    </w:p>
    <w:p w14:paraId="4B58211A">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采购需求：</w:t>
      </w:r>
      <w:r>
        <w:rPr>
          <w:rFonts w:hint="eastAsia" w:ascii="仿宋" w:hAnsi="仿宋" w:eastAsia="仿宋" w:cs="仿宋"/>
          <w:color w:val="auto"/>
          <w:kern w:val="0"/>
          <w:sz w:val="24"/>
          <w:szCs w:val="24"/>
          <w:highlight w:val="none"/>
        </w:rPr>
        <w:tab/>
      </w:r>
    </w:p>
    <w:p w14:paraId="3D400B10">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标项名称:</w:t>
      </w:r>
      <w:r>
        <w:rPr>
          <w:rFonts w:hint="eastAsia" w:ascii="仿宋" w:hAnsi="仿宋" w:eastAsia="仿宋" w:cs="仿宋"/>
          <w:color w:val="auto"/>
          <w:kern w:val="0"/>
          <w:sz w:val="24"/>
          <w:szCs w:val="24"/>
          <w:highlight w:val="none"/>
          <w:lang w:eastAsia="zh-CN"/>
        </w:rPr>
        <w:t>乌鲁木齐市职业中等专业学校智慧校园三期设备采购项目</w:t>
      </w:r>
    </w:p>
    <w:p w14:paraId="2713A2B4">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数量:不限</w:t>
      </w:r>
    </w:p>
    <w:p w14:paraId="5466C7D6">
      <w:pPr>
        <w:widowControl/>
        <w:tabs>
          <w:tab w:val="left" w:pos="7125"/>
        </w:tabs>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预算金额（元）: </w:t>
      </w:r>
      <w:r>
        <w:rPr>
          <w:rFonts w:hint="eastAsia" w:ascii="仿宋" w:hAnsi="仿宋" w:eastAsia="仿宋" w:cs="仿宋"/>
          <w:color w:val="auto"/>
          <w:kern w:val="0"/>
          <w:sz w:val="24"/>
          <w:szCs w:val="24"/>
          <w:highlight w:val="none"/>
          <w:lang w:val="en-US" w:eastAsia="zh-CN"/>
        </w:rPr>
        <w:t>905869</w:t>
      </w:r>
    </w:p>
    <w:p w14:paraId="5F2A848E">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简要规格描述或项目基本概况介绍、用途：</w:t>
      </w:r>
      <w:r>
        <w:rPr>
          <w:rFonts w:ascii="仿宋" w:hAnsi="仿宋" w:eastAsia="仿宋" w:cs="仿宋"/>
          <w:spacing w:val="-3"/>
          <w:sz w:val="24"/>
          <w:szCs w:val="24"/>
        </w:rPr>
        <w:t>信创桌面管理平</w:t>
      </w:r>
      <w:r>
        <w:rPr>
          <w:rFonts w:ascii="仿宋" w:hAnsi="仿宋" w:eastAsia="仿宋" w:cs="仿宋"/>
          <w:sz w:val="24"/>
          <w:szCs w:val="24"/>
        </w:rPr>
        <w:t>台</w:t>
      </w:r>
      <w:r>
        <w:rPr>
          <w:rFonts w:hint="eastAsia" w:ascii="仿宋" w:hAnsi="仿宋" w:eastAsia="仿宋" w:cs="仿宋"/>
          <w:sz w:val="24"/>
          <w:szCs w:val="24"/>
          <w:lang w:eastAsia="zh-CN"/>
        </w:rPr>
        <w:t>、</w:t>
      </w:r>
      <w:r>
        <w:rPr>
          <w:rFonts w:ascii="仿宋" w:hAnsi="仿宋" w:eastAsia="仿宋" w:cs="仿宋"/>
          <w:spacing w:val="-4"/>
          <w:sz w:val="24"/>
          <w:szCs w:val="24"/>
        </w:rPr>
        <w:t>信创云终端</w:t>
      </w:r>
      <w:r>
        <w:rPr>
          <w:rFonts w:hint="eastAsia" w:ascii="仿宋" w:hAnsi="仿宋" w:eastAsia="仿宋" w:cs="仿宋"/>
          <w:spacing w:val="-4"/>
          <w:sz w:val="24"/>
          <w:szCs w:val="24"/>
          <w:lang w:eastAsia="zh-CN"/>
        </w:rPr>
        <w:t>、集中控制管理</w:t>
      </w:r>
      <w:r>
        <w:rPr>
          <w:rFonts w:hint="eastAsia" w:ascii="仿宋" w:hAnsi="仿宋" w:eastAsia="仿宋" w:cs="仿宋"/>
          <w:spacing w:val="-4"/>
          <w:sz w:val="24"/>
          <w:szCs w:val="24"/>
          <w:lang w:val="en-US" w:eastAsia="zh-CN"/>
        </w:rPr>
        <w:t>平台、</w:t>
      </w:r>
      <w:r>
        <w:rPr>
          <w:rFonts w:ascii="仿宋" w:hAnsi="仿宋" w:eastAsia="仿宋" w:cs="仿宋"/>
          <w:spacing w:val="-3"/>
          <w:sz w:val="24"/>
          <w:szCs w:val="24"/>
        </w:rPr>
        <w:t>触摸互动终端</w:t>
      </w:r>
      <w:r>
        <w:rPr>
          <w:rFonts w:hint="eastAsia" w:ascii="仿宋" w:hAnsi="仿宋" w:eastAsia="仿宋" w:cs="仿宋"/>
          <w:spacing w:val="-3"/>
          <w:sz w:val="24"/>
          <w:szCs w:val="24"/>
          <w:lang w:val="en-US" w:eastAsia="zh-CN"/>
        </w:rPr>
        <w:t>等相关设备采购及配套安装拆除服务</w:t>
      </w:r>
      <w:r>
        <w:rPr>
          <w:rFonts w:hint="eastAsia" w:ascii="仿宋" w:hAnsi="仿宋" w:eastAsia="仿宋" w:cs="仿宋"/>
          <w:color w:val="auto"/>
          <w:kern w:val="0"/>
          <w:sz w:val="24"/>
          <w:szCs w:val="24"/>
          <w:highlight w:val="none"/>
          <w:lang w:eastAsia="zh-CN"/>
        </w:rPr>
        <w:t>。</w:t>
      </w:r>
    </w:p>
    <w:p w14:paraId="1C71B7DF">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p w14:paraId="7FA1841E">
      <w:pPr>
        <w:widowControl/>
        <w:tabs>
          <w:tab w:val="left" w:pos="7125"/>
        </w:tabs>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合同履约期限：</w:t>
      </w:r>
      <w:r>
        <w:rPr>
          <w:rFonts w:hint="eastAsia" w:ascii="仿宋" w:hAnsi="仿宋" w:eastAsia="仿宋" w:cs="仿宋"/>
          <w:color w:val="auto"/>
          <w:kern w:val="0"/>
          <w:sz w:val="24"/>
          <w:szCs w:val="24"/>
          <w:highlight w:val="none"/>
          <w:lang w:val="en-US" w:eastAsia="zh-CN"/>
        </w:rPr>
        <w:t>自合同签订之日起15天内完成。</w:t>
      </w:r>
    </w:p>
    <w:p w14:paraId="4457565C">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本项目不接受联合体投标。</w:t>
      </w:r>
    </w:p>
    <w:p w14:paraId="2A61264B">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二、申请人的资格要求：</w:t>
      </w:r>
    </w:p>
    <w:p w14:paraId="1FB5FF22">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1.满足《中华人民共和国政府采购法》第二十二条规定；</w:t>
      </w:r>
    </w:p>
    <w:p w14:paraId="467E9372">
      <w:pPr>
        <w:widowControl/>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2.落实政府采购政策需满足的资格要求：符合促进中小企业发展政策的，依据规定给予评审优惠。</w:t>
      </w:r>
    </w:p>
    <w:p w14:paraId="7FE0406A">
      <w:pPr>
        <w:widowControl/>
        <w:spacing w:before="60" w:after="60"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3.本项目的特定资格要求：</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rPr>
        <w:t>如在“信用中国”网站（www.creditchina.gov.cn）、中国政府采购网（www.ccgp.gov.cn）等渠道被列入失信被执行人、重大税收违法失信主体、政府采购严重违法失信行为记录名单及其它不符合《中华人民共和国政府采购法》第二十二条规定条件的</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rPr>
        <w:t>，尚在处罚期内的将被拒绝参加本次</w:t>
      </w:r>
      <w:r>
        <w:rPr>
          <w:rFonts w:hint="eastAsia" w:ascii="仿宋" w:hAnsi="仿宋" w:eastAsia="仿宋" w:cs="仿宋"/>
          <w:color w:val="auto"/>
          <w:kern w:val="0"/>
          <w:sz w:val="24"/>
          <w:highlight w:val="none"/>
          <w:lang w:eastAsia="zh-CN"/>
        </w:rPr>
        <w:t>招标</w:t>
      </w:r>
      <w:r>
        <w:rPr>
          <w:rFonts w:hint="eastAsia" w:ascii="仿宋" w:hAnsi="仿宋" w:eastAsia="仿宋" w:cs="仿宋"/>
          <w:color w:val="auto"/>
          <w:kern w:val="0"/>
          <w:sz w:val="24"/>
          <w:highlight w:val="none"/>
        </w:rPr>
        <w:t>活动。</w:t>
      </w:r>
    </w:p>
    <w:p w14:paraId="2CBE7F40">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三、获取招标文件</w:t>
      </w:r>
    </w:p>
    <w:p w14:paraId="087BA461">
      <w:pPr>
        <w:widowControl/>
        <w:spacing w:before="60" w:after="60" w:line="360" w:lineRule="auto"/>
        <w:ind w:firstLine="480"/>
        <w:jc w:val="left"/>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04月23</w:t>
      </w:r>
      <w:r>
        <w:rPr>
          <w:rFonts w:hint="eastAsia" w:ascii="仿宋" w:hAnsi="仿宋" w:eastAsia="仿宋" w:cs="仿宋"/>
          <w:color w:val="FF0000"/>
          <w:kern w:val="0"/>
          <w:sz w:val="24"/>
          <w:szCs w:val="24"/>
          <w:highlight w:val="none"/>
        </w:rPr>
        <w:t>日至</w:t>
      </w:r>
      <w:r>
        <w:rPr>
          <w:rFonts w:hint="eastAsia" w:ascii="仿宋" w:hAnsi="仿宋" w:eastAsia="仿宋" w:cs="仿宋"/>
          <w:color w:val="FF0000"/>
          <w:kern w:val="0"/>
          <w:sz w:val="24"/>
          <w:szCs w:val="24"/>
          <w:highlight w:val="none"/>
          <w:lang w:eastAsia="zh-CN"/>
        </w:rPr>
        <w:t>2026</w:t>
      </w:r>
      <w:r>
        <w:rPr>
          <w:rFonts w:hint="eastAsia" w:ascii="仿宋" w:hAnsi="仿宋" w:eastAsia="仿宋" w:cs="仿宋"/>
          <w:color w:val="FF0000"/>
          <w:kern w:val="0"/>
          <w:sz w:val="24"/>
          <w:szCs w:val="24"/>
          <w:highlight w:val="none"/>
          <w:lang w:val="en-US" w:eastAsia="zh-CN"/>
        </w:rPr>
        <w:t>年04月30</w:t>
      </w:r>
      <w:r>
        <w:rPr>
          <w:rFonts w:hint="eastAsia" w:ascii="仿宋" w:hAnsi="仿宋" w:eastAsia="仿宋" w:cs="仿宋"/>
          <w:color w:val="FF0000"/>
          <w:kern w:val="0"/>
          <w:sz w:val="24"/>
          <w:szCs w:val="24"/>
          <w:highlight w:val="none"/>
        </w:rPr>
        <w:t>日，每天上午00:00至1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:00，下午1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:00至23:59（北京时间，法定节假日除外）</w:t>
      </w:r>
    </w:p>
    <w:p w14:paraId="11C86AA9">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地点：政采云平台http://www.zcygov.cn</w:t>
      </w:r>
    </w:p>
    <w:p w14:paraId="41EE59B8">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方式：免费获取，</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登录政采云账户（网址：https://www.zcygov.cn/）,在线申请获取招标文件</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登录政府采购云平台→采购项目→获取采购文件→申请，审核通过后可下载招标文件，如有操作性问题，可与政采云在线客服进行咨询，咨询电话：95763</w:t>
      </w:r>
      <w:r>
        <w:rPr>
          <w:rFonts w:hint="eastAsia" w:ascii="仿宋" w:hAnsi="仿宋" w:eastAsia="仿宋" w:cs="仿宋"/>
          <w:color w:val="auto"/>
          <w:kern w:val="0"/>
          <w:sz w:val="24"/>
          <w:szCs w:val="24"/>
          <w:highlight w:val="none"/>
          <w:lang w:eastAsia="zh-CN"/>
        </w:rPr>
        <w:t>。</w:t>
      </w:r>
    </w:p>
    <w:p w14:paraId="179FC21A">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售价（元）：0</w:t>
      </w:r>
    </w:p>
    <w:p w14:paraId="778EE0C3">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四、提交投标文件截止时间、开标时间和地点</w:t>
      </w:r>
    </w:p>
    <w:p w14:paraId="73728197">
      <w:pPr>
        <w:widowControl/>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提交投标文件截止时间：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14</w:t>
      </w:r>
      <w:r>
        <w:rPr>
          <w:rFonts w:hint="eastAsia" w:ascii="仿宋" w:hAnsi="仿宋" w:eastAsia="仿宋" w:cs="仿宋"/>
          <w:color w:val="FF0000"/>
          <w:kern w:val="0"/>
          <w:sz w:val="24"/>
          <w:szCs w:val="24"/>
          <w:highlight w:val="none"/>
          <w:lang w:eastAsia="zh-CN"/>
        </w:rPr>
        <w:t>日1</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lang w:eastAsia="zh-CN"/>
        </w:rPr>
        <w:t>:00（北京时间）</w:t>
      </w:r>
    </w:p>
    <w:p w14:paraId="0B4FC5A7">
      <w:pPr>
        <w:widowControl/>
        <w:spacing w:before="60" w:after="60" w:line="360" w:lineRule="auto"/>
        <w:ind w:firstLine="480"/>
        <w:jc w:val="left"/>
        <w:rPr>
          <w:rStyle w:val="214"/>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投标地点：</w:t>
      </w:r>
      <w:bookmarkStart w:id="0" w:name="_Hlk129254397"/>
      <w:r>
        <w:rPr>
          <w:rStyle w:val="214"/>
          <w:rFonts w:hint="eastAsia" w:ascii="仿宋" w:hAnsi="仿宋" w:eastAsia="仿宋" w:cs="仿宋"/>
          <w:color w:val="auto"/>
          <w:sz w:val="24"/>
          <w:szCs w:val="24"/>
          <w:highlight w:val="none"/>
          <w:lang w:eastAsia="zh-CN"/>
        </w:rPr>
        <w:t>投标人</w:t>
      </w:r>
      <w:r>
        <w:rPr>
          <w:rStyle w:val="214"/>
          <w:rFonts w:hint="eastAsia" w:ascii="仿宋" w:hAnsi="仿宋" w:eastAsia="仿宋" w:cs="仿宋"/>
          <w:color w:val="auto"/>
          <w:sz w:val="24"/>
          <w:szCs w:val="24"/>
          <w:highlight w:val="none"/>
        </w:rPr>
        <w:t>应在此之前将加密的投标文件上传至政采云平台对应位置 (逾期送达或不符合规定的投标文件将被拒绝接收)。</w:t>
      </w:r>
      <w:bookmarkEnd w:id="0"/>
    </w:p>
    <w:p w14:paraId="2B613935">
      <w:pPr>
        <w:widowControl/>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开标时间：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14</w:t>
      </w:r>
      <w:r>
        <w:rPr>
          <w:rFonts w:hint="eastAsia" w:ascii="仿宋" w:hAnsi="仿宋" w:eastAsia="仿宋" w:cs="仿宋"/>
          <w:color w:val="FF0000"/>
          <w:kern w:val="0"/>
          <w:sz w:val="24"/>
          <w:szCs w:val="24"/>
          <w:highlight w:val="none"/>
          <w:lang w:eastAsia="zh-CN"/>
        </w:rPr>
        <w:t>日1</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lang w:eastAsia="zh-CN"/>
        </w:rPr>
        <w:t>:00（北京时间）</w:t>
      </w:r>
    </w:p>
    <w:p w14:paraId="331C87B4">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开标地点：</w:t>
      </w:r>
      <w:r>
        <w:rPr>
          <w:rStyle w:val="214"/>
          <w:rFonts w:hint="eastAsia" w:ascii="仿宋" w:hAnsi="仿宋" w:eastAsia="仿宋" w:cs="仿宋"/>
          <w:color w:val="auto"/>
          <w:sz w:val="24"/>
          <w:szCs w:val="24"/>
          <w:highlight w:val="none"/>
        </w:rPr>
        <w:t>政采云平台https://www.zcygov.cn/不见面开标大厅</w:t>
      </w:r>
    </w:p>
    <w:p w14:paraId="0968F2A0">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五、公告期限</w:t>
      </w:r>
    </w:p>
    <w:p w14:paraId="50EB0326">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14:paraId="4C74D264">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六、其他补充事宜</w:t>
      </w:r>
    </w:p>
    <w:p w14:paraId="0BA5642E">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1.本项目实行电子招投标，</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须登录政采云平台申请获取采购文件，并需要使用CA锁，登录政采云电子投标客户端制作投标文件，若</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参与投标,自行承担与投标有关的一切费用。</w:t>
      </w:r>
    </w:p>
    <w:p w14:paraId="7769A20C">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2.各</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应在开标前确保是新疆维吾尔自治区政府采购网正式注册入库的</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，并完成CA数字证书申领。因未注册入库、未办理CA数字证书等原因造成无法投标或投标失败等后果的由</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自行承担</w:t>
      </w:r>
    </w:p>
    <w:p w14:paraId="308C2351">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可前往新疆政府采购网（http://www.ccgp-xinjiang.gov.cn/）下载专区，下载政采云电子投标客户端，安装完成后，可通过账号密码或CA登录客户端进行投标文件制作。</w:t>
      </w:r>
    </w:p>
    <w:p w14:paraId="3375C79F">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在开标时须携带制作加密电子投标文件所使用的CA锁，电脑须提前配置好浏览器，以便开标时在线解密。</w:t>
      </w:r>
    </w:p>
    <w:p w14:paraId="4B2D5703">
      <w:pPr>
        <w:widowControl/>
        <w:tabs>
          <w:tab w:val="left" w:pos="7125"/>
        </w:tabs>
        <w:spacing w:before="60" w:after="60" w:line="360" w:lineRule="auto"/>
        <w:ind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应当在投标截止时间前，将生成的“电子加密投标文件”上传递交至“政府采购云平台”，投标截止时间以后上传递交的投标文件将被“政府采购云平台”拒收。</w:t>
      </w:r>
      <w:r>
        <w:rPr>
          <w:rFonts w:hint="eastAsia" w:ascii="仿宋" w:hAnsi="仿宋" w:eastAsia="仿宋" w:cs="仿宋"/>
          <w:color w:val="auto"/>
          <w:highlight w:val="none"/>
        </w:rPr>
        <w:br w:type="textWrapping"/>
      </w:r>
      <w:r>
        <w:rPr>
          <w:rFonts w:hint="eastAsia" w:ascii="仿宋" w:hAnsi="仿宋" w:eastAsia="仿宋" w:cs="仿宋"/>
          <w:b/>
          <w:bCs/>
          <w:color w:val="auto"/>
          <w:kern w:val="0"/>
          <w:sz w:val="24"/>
          <w:szCs w:val="24"/>
          <w:highlight w:val="none"/>
        </w:rPr>
        <w:t>七、对本次采购提出询问，请按以下方式联系</w:t>
      </w:r>
    </w:p>
    <w:p w14:paraId="09782B9B">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1.采购人信息</w:t>
      </w:r>
    </w:p>
    <w:p w14:paraId="7A09F18E">
      <w:pPr>
        <w:widowControl/>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名 称：</w:t>
      </w:r>
      <w:r>
        <w:rPr>
          <w:rFonts w:hint="eastAsia" w:ascii="仿宋" w:hAnsi="仿宋" w:eastAsia="仿宋" w:cs="仿宋"/>
          <w:color w:val="auto"/>
          <w:kern w:val="0"/>
          <w:sz w:val="24"/>
          <w:szCs w:val="24"/>
          <w:highlight w:val="none"/>
          <w:lang w:eastAsia="zh-CN"/>
        </w:rPr>
        <w:t>乌鲁木齐市职业中等专业学校</w:t>
      </w:r>
    </w:p>
    <w:p w14:paraId="695C603C">
      <w:pPr>
        <w:widowControl/>
        <w:spacing w:before="60" w:after="60" w:line="360" w:lineRule="auto"/>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地址：乌鲁木齐市天山区中湾街1号</w:t>
      </w:r>
    </w:p>
    <w:p w14:paraId="77B981A6">
      <w:pPr>
        <w:widowControl/>
        <w:spacing w:before="60" w:after="60" w:line="360" w:lineRule="auto"/>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项目联系人：</w:t>
      </w:r>
      <w:r>
        <w:rPr>
          <w:rFonts w:hint="eastAsia" w:ascii="仿宋" w:hAnsi="仿宋" w:eastAsia="仿宋" w:cs="仿宋"/>
          <w:color w:val="auto"/>
          <w:kern w:val="0"/>
          <w:sz w:val="24"/>
          <w:szCs w:val="24"/>
          <w:highlight w:val="none"/>
          <w:lang w:val="en-US" w:eastAsia="zh-CN"/>
        </w:rPr>
        <w:t>乔老师</w:t>
      </w:r>
    </w:p>
    <w:p w14:paraId="60C4452C">
      <w:pPr>
        <w:widowControl/>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项目联系方式：13999258358</w:t>
      </w:r>
    </w:p>
    <w:p w14:paraId="6713E224">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2.采购代理机构信息</w:t>
      </w:r>
    </w:p>
    <w:p w14:paraId="539A1AE4">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名称：新疆新世纪招标有限公司</w:t>
      </w:r>
    </w:p>
    <w:p w14:paraId="2A3A58BA">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地址：乌鲁木齐市新兴街20号凤凰科技大厦五楼</w:t>
      </w:r>
    </w:p>
    <w:p w14:paraId="32FD51FD">
      <w:pPr>
        <w:widowControl/>
        <w:spacing w:before="60" w:after="60" w:line="360" w:lineRule="auto"/>
        <w:ind w:firstLine="480"/>
        <w:jc w:val="lef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联系方式：</w:t>
      </w:r>
      <w:r>
        <w:rPr>
          <w:rFonts w:hint="eastAsia" w:ascii="仿宋" w:hAnsi="仿宋" w:eastAsia="仿宋" w:cs="仿宋"/>
          <w:color w:val="auto"/>
          <w:kern w:val="0"/>
          <w:sz w:val="24"/>
          <w:szCs w:val="24"/>
          <w:highlight w:val="none"/>
          <w:lang w:val="en-US" w:eastAsia="zh-CN"/>
        </w:rPr>
        <w:t>19190107263、17609941920</w:t>
      </w:r>
    </w:p>
    <w:p w14:paraId="79CDA967">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3.项目联系方式</w:t>
      </w:r>
    </w:p>
    <w:p w14:paraId="6C23A6E1">
      <w:pPr>
        <w:widowControl/>
        <w:spacing w:before="60" w:after="60" w:line="360" w:lineRule="auto"/>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项目联系人：</w:t>
      </w:r>
      <w:r>
        <w:rPr>
          <w:rFonts w:hint="eastAsia" w:ascii="仿宋" w:hAnsi="仿宋" w:eastAsia="仿宋" w:cs="仿宋"/>
          <w:color w:val="auto"/>
          <w:kern w:val="0"/>
          <w:sz w:val="24"/>
          <w:szCs w:val="24"/>
          <w:highlight w:val="none"/>
          <w:lang w:val="en-US" w:eastAsia="zh-CN"/>
        </w:rPr>
        <w:t>陈泉旭、闵俊瑀</w:t>
      </w:r>
    </w:p>
    <w:p w14:paraId="7A2E1E4B">
      <w:pPr>
        <w:widowControl/>
        <w:spacing w:before="60" w:after="60" w:line="360" w:lineRule="auto"/>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项目联系方式：</w:t>
      </w:r>
      <w:r>
        <w:rPr>
          <w:rFonts w:hint="eastAsia" w:ascii="仿宋" w:hAnsi="仿宋" w:eastAsia="仿宋" w:cs="仿宋"/>
          <w:color w:val="auto"/>
          <w:kern w:val="0"/>
          <w:sz w:val="24"/>
          <w:szCs w:val="24"/>
          <w:highlight w:val="none"/>
          <w:lang w:val="en-US" w:eastAsia="zh-CN"/>
        </w:rPr>
        <w:t>19190107263、17609941920</w:t>
      </w:r>
    </w:p>
    <w:p w14:paraId="73EDD95A">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B3EA91D">
      <w:pPr>
        <w:spacing w:line="440" w:lineRule="exact"/>
        <w:jc w:val="center"/>
        <w:outlineLvl w:val="0"/>
        <w:rPr>
          <w:rFonts w:hint="eastAsia" w:ascii="仿宋" w:hAnsi="仿宋" w:eastAsia="仿宋" w:cs="仿宋"/>
          <w:b/>
          <w:color w:val="auto"/>
          <w:sz w:val="28"/>
          <w:szCs w:val="28"/>
          <w:highlight w:val="none"/>
        </w:rPr>
      </w:pPr>
      <w:bookmarkStart w:id="1" w:name="_Toc16640"/>
      <w:r>
        <w:rPr>
          <w:rFonts w:hint="eastAsia" w:ascii="仿宋" w:hAnsi="仿宋" w:eastAsia="仿宋" w:cs="仿宋"/>
          <w:b/>
          <w:color w:val="auto"/>
          <w:sz w:val="28"/>
          <w:szCs w:val="28"/>
          <w:highlight w:val="none"/>
        </w:rPr>
        <w:t>投标人须知前附表</w:t>
      </w:r>
      <w:bookmarkEnd w:id="1"/>
    </w:p>
    <w:tbl>
      <w:tblPr>
        <w:tblStyle w:val="4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909"/>
        <w:gridCol w:w="6574"/>
      </w:tblGrid>
      <w:tr w14:paraId="22CA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tcBorders>
              <w:top w:val="single" w:color="auto" w:sz="4" w:space="0"/>
              <w:left w:val="single" w:color="auto" w:sz="4" w:space="0"/>
              <w:bottom w:val="single" w:color="auto" w:sz="4" w:space="0"/>
              <w:right w:val="single" w:color="auto" w:sz="4" w:space="0"/>
            </w:tcBorders>
            <w:shd w:val="clear" w:color="auto" w:fill="FFFFFF"/>
            <w:vAlign w:val="center"/>
          </w:tcPr>
          <w:p w14:paraId="07834A4D">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项号</w:t>
            </w:r>
          </w:p>
        </w:tc>
        <w:tc>
          <w:tcPr>
            <w:tcW w:w="84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C6E70B">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编列内容</w:t>
            </w:r>
          </w:p>
        </w:tc>
      </w:tr>
      <w:tr w14:paraId="263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tcBorders>
              <w:top w:val="single" w:color="auto" w:sz="4" w:space="0"/>
            </w:tcBorders>
            <w:shd w:val="clear" w:color="auto" w:fill="FFFFFF"/>
            <w:vAlign w:val="center"/>
          </w:tcPr>
          <w:p w14:paraId="335463E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09" w:type="dxa"/>
            <w:tcBorders>
              <w:top w:val="single" w:color="auto" w:sz="4" w:space="0"/>
            </w:tcBorders>
            <w:shd w:val="clear" w:color="auto" w:fill="FFFFFF"/>
            <w:vAlign w:val="center"/>
          </w:tcPr>
          <w:p w14:paraId="6889571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574" w:type="dxa"/>
            <w:tcBorders>
              <w:top w:val="single" w:color="auto" w:sz="4" w:space="0"/>
            </w:tcBorders>
            <w:shd w:val="clear" w:color="auto" w:fill="FFFFFF"/>
            <w:vAlign w:val="center"/>
          </w:tcPr>
          <w:p w14:paraId="5282097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乌鲁木齐市职业中等专业学校智慧校园三期设备采购项目</w:t>
            </w:r>
          </w:p>
        </w:tc>
      </w:tr>
      <w:tr w14:paraId="4BCA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049B2DB4">
            <w:pPr>
              <w:spacing w:line="360" w:lineRule="auto"/>
              <w:jc w:val="center"/>
              <w:rPr>
                <w:rFonts w:hint="eastAsia" w:ascii="仿宋" w:hAnsi="仿宋" w:eastAsia="仿宋" w:cs="仿宋"/>
                <w:color w:val="auto"/>
                <w:sz w:val="24"/>
                <w:szCs w:val="24"/>
                <w:highlight w:val="none"/>
              </w:rPr>
            </w:pPr>
          </w:p>
        </w:tc>
        <w:tc>
          <w:tcPr>
            <w:tcW w:w="1909" w:type="dxa"/>
            <w:shd w:val="clear" w:color="auto" w:fill="FFFFFF"/>
            <w:vAlign w:val="center"/>
          </w:tcPr>
          <w:p w14:paraId="0773DC3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574" w:type="dxa"/>
            <w:shd w:val="clear" w:color="auto" w:fill="FFFFFF"/>
            <w:vAlign w:val="center"/>
          </w:tcPr>
          <w:p w14:paraId="14CDD530">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XJXSJ-2026(ZC)-215</w:t>
            </w:r>
          </w:p>
        </w:tc>
      </w:tr>
      <w:tr w14:paraId="394D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148EDDB0">
            <w:pPr>
              <w:spacing w:line="360" w:lineRule="auto"/>
              <w:jc w:val="center"/>
              <w:rPr>
                <w:rFonts w:hint="eastAsia" w:ascii="仿宋" w:hAnsi="仿宋" w:eastAsia="仿宋" w:cs="仿宋"/>
                <w:color w:val="auto"/>
                <w:sz w:val="24"/>
                <w:szCs w:val="24"/>
                <w:highlight w:val="none"/>
              </w:rPr>
            </w:pPr>
          </w:p>
        </w:tc>
        <w:tc>
          <w:tcPr>
            <w:tcW w:w="1909" w:type="dxa"/>
            <w:shd w:val="clear" w:color="auto" w:fill="FFFFFF"/>
            <w:vAlign w:val="center"/>
          </w:tcPr>
          <w:p w14:paraId="44B81D1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574" w:type="dxa"/>
            <w:shd w:val="clear" w:color="auto" w:fill="FFFFFF"/>
            <w:vAlign w:val="center"/>
          </w:tcPr>
          <w:p w14:paraId="3BE1BB6F">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乌鲁木齐市职业中等专业学校</w:t>
            </w:r>
          </w:p>
        </w:tc>
      </w:tr>
      <w:tr w14:paraId="569A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4ADEC214">
            <w:pPr>
              <w:spacing w:line="360" w:lineRule="auto"/>
              <w:jc w:val="center"/>
              <w:rPr>
                <w:rFonts w:hint="eastAsia" w:ascii="仿宋" w:hAnsi="仿宋" w:eastAsia="仿宋" w:cs="仿宋"/>
                <w:color w:val="auto"/>
                <w:sz w:val="24"/>
                <w:szCs w:val="24"/>
                <w:highlight w:val="none"/>
              </w:rPr>
            </w:pPr>
          </w:p>
        </w:tc>
        <w:tc>
          <w:tcPr>
            <w:tcW w:w="1909" w:type="dxa"/>
            <w:shd w:val="clear" w:color="auto" w:fill="FFFFFF"/>
            <w:vAlign w:val="center"/>
          </w:tcPr>
          <w:p w14:paraId="0774439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574" w:type="dxa"/>
            <w:shd w:val="clear" w:color="auto" w:fill="FFFFFF"/>
            <w:vAlign w:val="center"/>
          </w:tcPr>
          <w:p w14:paraId="5D85233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新疆新世纪招标有限公司</w:t>
            </w:r>
          </w:p>
        </w:tc>
      </w:tr>
      <w:tr w14:paraId="1E62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393187D7">
            <w:pPr>
              <w:spacing w:line="360" w:lineRule="auto"/>
              <w:jc w:val="center"/>
              <w:rPr>
                <w:rFonts w:hint="eastAsia" w:ascii="仿宋" w:hAnsi="仿宋" w:eastAsia="仿宋" w:cs="仿宋"/>
                <w:color w:val="auto"/>
                <w:sz w:val="24"/>
                <w:szCs w:val="24"/>
                <w:highlight w:val="none"/>
              </w:rPr>
            </w:pPr>
          </w:p>
        </w:tc>
        <w:tc>
          <w:tcPr>
            <w:tcW w:w="1909" w:type="dxa"/>
            <w:shd w:val="clear" w:color="auto" w:fill="FFFFFF"/>
            <w:vAlign w:val="center"/>
          </w:tcPr>
          <w:p w14:paraId="48A902A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6574" w:type="dxa"/>
            <w:shd w:val="clear" w:color="auto" w:fill="FFFFFF"/>
            <w:vAlign w:val="center"/>
          </w:tcPr>
          <w:p w14:paraId="7BC12CC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财政资金</w:t>
            </w:r>
          </w:p>
        </w:tc>
      </w:tr>
      <w:tr w14:paraId="55AE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9" w:hRule="atLeast"/>
          <w:jc w:val="center"/>
        </w:trPr>
        <w:tc>
          <w:tcPr>
            <w:tcW w:w="597" w:type="dxa"/>
            <w:vMerge w:val="continue"/>
            <w:shd w:val="clear" w:color="auto" w:fill="FFFFFF"/>
            <w:vAlign w:val="center"/>
          </w:tcPr>
          <w:p w14:paraId="3E3AD518">
            <w:pPr>
              <w:spacing w:line="360" w:lineRule="auto"/>
              <w:jc w:val="center"/>
              <w:rPr>
                <w:rFonts w:hint="eastAsia" w:ascii="仿宋" w:hAnsi="仿宋" w:eastAsia="仿宋" w:cs="仿宋"/>
                <w:color w:val="auto"/>
                <w:sz w:val="24"/>
                <w:szCs w:val="24"/>
                <w:highlight w:val="none"/>
              </w:rPr>
            </w:pPr>
          </w:p>
        </w:tc>
        <w:tc>
          <w:tcPr>
            <w:tcW w:w="1909" w:type="dxa"/>
            <w:shd w:val="clear" w:color="auto" w:fill="FFFFFF"/>
            <w:vAlign w:val="center"/>
          </w:tcPr>
          <w:p w14:paraId="2E97303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采购预算金额</w:t>
            </w:r>
          </w:p>
        </w:tc>
        <w:tc>
          <w:tcPr>
            <w:tcW w:w="6574" w:type="dxa"/>
            <w:shd w:val="clear" w:color="auto" w:fill="FFFFFF"/>
            <w:vAlign w:val="center"/>
          </w:tcPr>
          <w:p w14:paraId="348BEAB3">
            <w:pPr>
              <w:widowControl/>
              <w:spacing w:line="360" w:lineRule="auto"/>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90.5869万元</w:t>
            </w:r>
          </w:p>
          <w:p w14:paraId="77B2C2C6">
            <w:pPr>
              <w:pStyle w:val="58"/>
              <w:spacing w:line="360" w:lineRule="auto"/>
              <w:rPr>
                <w:rFonts w:hint="default"/>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注：投标</w:t>
            </w:r>
            <w:r>
              <w:rPr>
                <w:rFonts w:hint="eastAsia" w:ascii="仿宋" w:hAnsi="仿宋" w:eastAsia="仿宋" w:cs="仿宋"/>
                <w:b/>
                <w:bCs/>
                <w:color w:val="000000" w:themeColor="text1"/>
                <w:kern w:val="0"/>
                <w:szCs w:val="24"/>
                <w:highlight w:val="none"/>
                <w14:textFill>
                  <w14:solidFill>
                    <w14:schemeClr w14:val="tx1"/>
                  </w14:solidFill>
                </w14:textFill>
              </w:rPr>
              <w:t>价格不得超过</w:t>
            </w:r>
            <w:r>
              <w:rPr>
                <w:rFonts w:hint="eastAsia" w:ascii="仿宋" w:hAnsi="仿宋" w:eastAsia="仿宋" w:cs="仿宋"/>
                <w:b/>
                <w:bCs/>
                <w:color w:val="000000" w:themeColor="text1"/>
                <w:kern w:val="0"/>
                <w:szCs w:val="24"/>
                <w:highlight w:val="none"/>
                <w:lang w:val="en-US" w:eastAsia="zh-CN"/>
                <w14:textFill>
                  <w14:solidFill>
                    <w14:schemeClr w14:val="tx1"/>
                  </w14:solidFill>
                </w14:textFill>
              </w:rPr>
              <w:t>最高限价。</w:t>
            </w:r>
          </w:p>
        </w:tc>
      </w:tr>
      <w:tr w14:paraId="3FD3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515BB944">
            <w:pPr>
              <w:spacing w:line="360" w:lineRule="auto"/>
              <w:jc w:val="center"/>
              <w:rPr>
                <w:rFonts w:hint="eastAsia" w:ascii="仿宋" w:hAnsi="仿宋" w:eastAsia="仿宋" w:cs="仿宋"/>
                <w:color w:val="auto"/>
                <w:sz w:val="24"/>
                <w:szCs w:val="24"/>
                <w:highlight w:val="none"/>
              </w:rPr>
            </w:pPr>
          </w:p>
        </w:tc>
        <w:tc>
          <w:tcPr>
            <w:tcW w:w="1909" w:type="dxa"/>
            <w:shd w:val="clear" w:color="auto" w:fill="FFFFFF"/>
            <w:vAlign w:val="center"/>
          </w:tcPr>
          <w:p w14:paraId="6D8EA3F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供货及安装工期</w:t>
            </w:r>
          </w:p>
        </w:tc>
        <w:tc>
          <w:tcPr>
            <w:tcW w:w="6574" w:type="dxa"/>
            <w:shd w:val="clear" w:color="auto" w:fill="FFFFFF"/>
            <w:vAlign w:val="center"/>
          </w:tcPr>
          <w:p w14:paraId="605E46F5">
            <w:pPr>
              <w:widowControl/>
              <w:numPr>
                <w:ilvl w:val="0"/>
                <w:numId w:val="0"/>
              </w:numPr>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z w:val="24"/>
                <w:szCs w:val="24"/>
                <w:lang w:val="en-US" w:eastAsia="zh-CN"/>
              </w:rPr>
              <w:t>自合同签订起15天内完成。</w:t>
            </w:r>
          </w:p>
        </w:tc>
      </w:tr>
      <w:tr w14:paraId="7858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3F4E8E3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09" w:type="dxa"/>
            <w:shd w:val="clear" w:color="auto" w:fill="FFFFFF"/>
            <w:vAlign w:val="center"/>
          </w:tcPr>
          <w:p w14:paraId="78B9DAA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采购范围</w:t>
            </w:r>
          </w:p>
        </w:tc>
        <w:tc>
          <w:tcPr>
            <w:tcW w:w="6574" w:type="dxa"/>
            <w:shd w:val="clear" w:color="auto" w:fill="FFFFFF"/>
            <w:vAlign w:val="center"/>
          </w:tcPr>
          <w:p w14:paraId="41ECC7C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乌鲁木齐市职业中等专业学校智慧校园三期设备采购项目</w:t>
            </w:r>
            <w:r>
              <w:rPr>
                <w:rFonts w:hint="eastAsia" w:ascii="仿宋" w:hAnsi="仿宋" w:eastAsia="仿宋" w:cs="仿宋"/>
                <w:color w:val="auto"/>
                <w:sz w:val="24"/>
                <w:szCs w:val="24"/>
                <w:highlight w:val="none"/>
              </w:rPr>
              <w:t>范围内的所有工作内容，关于采购范围的详细说明见招标文件第四章“</w:t>
            </w:r>
            <w:r>
              <w:rPr>
                <w:rFonts w:hint="eastAsia" w:ascii="仿宋" w:hAnsi="仿宋" w:eastAsia="仿宋" w:cs="仿宋"/>
                <w:sz w:val="24"/>
                <w:szCs w:val="24"/>
                <w:lang w:val="en-US" w:eastAsia="zh-CN"/>
              </w:rPr>
              <w:t>供货及安装工期</w:t>
            </w:r>
            <w:r>
              <w:rPr>
                <w:rFonts w:hint="eastAsia" w:ascii="仿宋" w:hAnsi="仿宋" w:eastAsia="仿宋" w:cs="仿宋"/>
                <w:color w:val="auto"/>
                <w:sz w:val="24"/>
                <w:szCs w:val="24"/>
                <w:highlight w:val="none"/>
              </w:rPr>
              <w:t>”。</w:t>
            </w:r>
          </w:p>
        </w:tc>
      </w:tr>
      <w:tr w14:paraId="0787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1FAA192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09" w:type="dxa"/>
            <w:shd w:val="clear" w:color="auto" w:fill="FFFFFF"/>
            <w:vAlign w:val="center"/>
          </w:tcPr>
          <w:p w14:paraId="7F04EB1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6574" w:type="dxa"/>
            <w:shd w:val="clear" w:color="auto" w:fill="FFFFFF"/>
            <w:vAlign w:val="center"/>
          </w:tcPr>
          <w:p w14:paraId="5816F96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公开招标</w:t>
            </w:r>
          </w:p>
        </w:tc>
      </w:tr>
      <w:tr w14:paraId="3A5F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DEE2808">
            <w:pPr>
              <w:spacing w:line="360" w:lineRule="auto"/>
              <w:jc w:val="center"/>
              <w:rPr>
                <w:rFonts w:hint="eastAsia" w:ascii="仿宋" w:hAnsi="仿宋" w:eastAsia="仿宋" w:cs="仿宋"/>
                <w:color w:val="auto"/>
                <w:sz w:val="24"/>
                <w:szCs w:val="24"/>
                <w:highlight w:val="none"/>
              </w:rPr>
            </w:pPr>
          </w:p>
        </w:tc>
        <w:tc>
          <w:tcPr>
            <w:tcW w:w="1909" w:type="dxa"/>
            <w:shd w:val="clear" w:color="auto" w:fill="FFFFFF"/>
            <w:vAlign w:val="center"/>
          </w:tcPr>
          <w:p w14:paraId="36ABE80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资格审查方式</w:t>
            </w:r>
          </w:p>
        </w:tc>
        <w:tc>
          <w:tcPr>
            <w:tcW w:w="6574" w:type="dxa"/>
            <w:shd w:val="clear" w:color="auto" w:fill="FFFFFF"/>
            <w:vAlign w:val="center"/>
          </w:tcPr>
          <w:p w14:paraId="0E0F5A7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资格后审</w:t>
            </w:r>
          </w:p>
        </w:tc>
      </w:tr>
      <w:tr w14:paraId="6B63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0F3BA69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909" w:type="dxa"/>
            <w:shd w:val="clear" w:color="auto" w:fill="FFFFFF"/>
            <w:vAlign w:val="center"/>
          </w:tcPr>
          <w:p w14:paraId="221C1A8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6574" w:type="dxa"/>
            <w:shd w:val="clear" w:color="auto" w:fill="FFFFFF"/>
            <w:vAlign w:val="center"/>
          </w:tcPr>
          <w:p w14:paraId="2BA53C9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612D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A8930B4">
            <w:pPr>
              <w:spacing w:line="360" w:lineRule="auto"/>
              <w:jc w:val="center"/>
              <w:rPr>
                <w:rFonts w:hint="eastAsia" w:ascii="仿宋" w:hAnsi="仿宋" w:eastAsia="仿宋" w:cs="仿宋"/>
                <w:color w:val="auto"/>
                <w:sz w:val="24"/>
                <w:szCs w:val="24"/>
                <w:highlight w:val="none"/>
              </w:rPr>
            </w:pPr>
          </w:p>
        </w:tc>
        <w:tc>
          <w:tcPr>
            <w:tcW w:w="1909" w:type="dxa"/>
            <w:shd w:val="clear" w:color="auto" w:fill="FFFFFF"/>
            <w:vAlign w:val="center"/>
          </w:tcPr>
          <w:p w14:paraId="51D2A8A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定标方法</w:t>
            </w:r>
          </w:p>
        </w:tc>
        <w:tc>
          <w:tcPr>
            <w:tcW w:w="6574" w:type="dxa"/>
            <w:shd w:val="clear" w:color="auto" w:fill="FFFFFF"/>
            <w:vAlign w:val="center"/>
          </w:tcPr>
          <w:p w14:paraId="0215F0E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评标小组推荐三名中标候选人</w:t>
            </w:r>
          </w:p>
        </w:tc>
      </w:tr>
      <w:tr w14:paraId="72E2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BD53AF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909" w:type="dxa"/>
            <w:shd w:val="clear" w:color="auto" w:fill="FFFFFF"/>
            <w:vAlign w:val="center"/>
          </w:tcPr>
          <w:p w14:paraId="019D25C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投标人最低资格条件和能力</w:t>
            </w:r>
          </w:p>
        </w:tc>
        <w:tc>
          <w:tcPr>
            <w:tcW w:w="6574" w:type="dxa"/>
            <w:shd w:val="clear" w:color="auto" w:fill="FFFFFF"/>
            <w:vAlign w:val="center"/>
          </w:tcPr>
          <w:p w14:paraId="4A0420F5">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1DF7FE6">
            <w:pPr>
              <w:widowControl/>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kern w:val="0"/>
                <w:sz w:val="24"/>
                <w:szCs w:val="24"/>
                <w:highlight w:val="none"/>
              </w:rPr>
              <w:t>符合促进中小企业发展政策的，依据规定给予评审优惠。</w:t>
            </w:r>
          </w:p>
          <w:p w14:paraId="08E04527">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r>
      <w:tr w14:paraId="2009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D048D7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909" w:type="dxa"/>
            <w:shd w:val="clear" w:color="auto" w:fill="FFFFFF"/>
            <w:vAlign w:val="center"/>
          </w:tcPr>
          <w:p w14:paraId="2C4A3DB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招标文件费</w:t>
            </w:r>
          </w:p>
        </w:tc>
        <w:tc>
          <w:tcPr>
            <w:tcW w:w="6574" w:type="dxa"/>
            <w:shd w:val="clear" w:color="auto" w:fill="FFFFFF"/>
            <w:vAlign w:val="center"/>
          </w:tcPr>
          <w:p w14:paraId="35A0CB5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0元/份</w:t>
            </w:r>
          </w:p>
        </w:tc>
      </w:tr>
      <w:tr w14:paraId="6AFB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0033255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909" w:type="dxa"/>
            <w:shd w:val="clear" w:color="auto" w:fill="FFFFFF"/>
            <w:vAlign w:val="center"/>
          </w:tcPr>
          <w:p w14:paraId="7AB13DC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6574" w:type="dxa"/>
            <w:shd w:val="clear" w:color="auto" w:fill="FFFFFF"/>
            <w:vAlign w:val="center"/>
          </w:tcPr>
          <w:p w14:paraId="3552659C">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18000.00元整</w:t>
            </w:r>
          </w:p>
          <w:p w14:paraId="4606FE70">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（详见第一章3.4.2条）</w:t>
            </w:r>
          </w:p>
        </w:tc>
      </w:tr>
      <w:tr w14:paraId="0F0E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5A6A54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909" w:type="dxa"/>
            <w:shd w:val="clear" w:color="auto" w:fill="FFFFFF"/>
            <w:vAlign w:val="center"/>
          </w:tcPr>
          <w:p w14:paraId="4DF26BAB">
            <w:pPr>
              <w:keepNext/>
              <w:widowControl/>
              <w:spacing w:line="360" w:lineRule="auto"/>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现场踏勘</w:t>
            </w:r>
          </w:p>
        </w:tc>
        <w:tc>
          <w:tcPr>
            <w:tcW w:w="6574" w:type="dxa"/>
            <w:shd w:val="clear" w:color="auto" w:fill="FFFFFF"/>
            <w:vAlign w:val="center"/>
          </w:tcPr>
          <w:p w14:paraId="70C7AAC4">
            <w:pPr>
              <w:keepNext/>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p w14:paraId="42CCA43B">
            <w:pPr>
              <w:keepNext/>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□统一组织</w:t>
            </w:r>
          </w:p>
        </w:tc>
      </w:tr>
      <w:tr w14:paraId="6626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0C2E8AB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909" w:type="dxa"/>
            <w:shd w:val="clear" w:color="auto" w:fill="FFFFFF"/>
            <w:vAlign w:val="center"/>
          </w:tcPr>
          <w:p w14:paraId="39CF021E">
            <w:pPr>
              <w:keepNext/>
              <w:widowControl/>
              <w:spacing w:line="360" w:lineRule="auto"/>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是否允许联合体投标</w:t>
            </w:r>
          </w:p>
        </w:tc>
        <w:tc>
          <w:tcPr>
            <w:tcW w:w="6574" w:type="dxa"/>
            <w:shd w:val="clear" w:color="auto" w:fill="FFFFFF"/>
            <w:vAlign w:val="center"/>
          </w:tcPr>
          <w:p w14:paraId="1B4FDED5">
            <w:pPr>
              <w:keepNext/>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p w14:paraId="2BF9489B">
            <w:pPr>
              <w:keepNext/>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tc>
      </w:tr>
      <w:tr w14:paraId="7486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8758C1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909" w:type="dxa"/>
            <w:shd w:val="clear" w:color="auto" w:fill="FFFFFF"/>
            <w:vAlign w:val="center"/>
          </w:tcPr>
          <w:p w14:paraId="7580D57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招标答疑</w:t>
            </w:r>
          </w:p>
        </w:tc>
        <w:tc>
          <w:tcPr>
            <w:tcW w:w="6574" w:type="dxa"/>
            <w:shd w:val="clear" w:color="auto" w:fill="FFFFFF"/>
            <w:vAlign w:val="center"/>
          </w:tcPr>
          <w:p w14:paraId="10201B7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提出询问的，应当在投标文件递交截止时间15日前以书面形式（加盖公章）递交至新疆新世纪招标有限公司，否则采购人不</w:t>
            </w:r>
            <w:r>
              <w:rPr>
                <w:rFonts w:hint="eastAsia" w:ascii="仿宋" w:hAnsi="仿宋" w:eastAsia="仿宋" w:cs="仿宋"/>
                <w:color w:val="auto"/>
                <w:sz w:val="24"/>
                <w:szCs w:val="24"/>
                <w:highlight w:val="none"/>
                <w:lang w:val="en-US" w:eastAsia="zh-CN"/>
              </w:rPr>
              <w:t>做</w:t>
            </w:r>
            <w:r>
              <w:rPr>
                <w:rFonts w:hint="eastAsia" w:ascii="仿宋" w:hAnsi="仿宋" w:eastAsia="仿宋" w:cs="仿宋"/>
                <w:color w:val="auto"/>
                <w:sz w:val="24"/>
                <w:szCs w:val="24"/>
                <w:highlight w:val="none"/>
              </w:rPr>
              <w:t>任何解释。</w:t>
            </w:r>
          </w:p>
          <w:p w14:paraId="0606C3E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提出质疑的，应当在获取招标文件或者招标公告期限届满之日起7个工作日内一次性以书面形式（按照财政部制定的质疑函范本编写）提出并递交至采购代理机构。</w:t>
            </w:r>
          </w:p>
          <w:p w14:paraId="2AC56547">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质疑接收人：</w:t>
            </w:r>
            <w:r>
              <w:rPr>
                <w:rFonts w:hint="eastAsia" w:ascii="仿宋" w:hAnsi="仿宋" w:eastAsia="仿宋" w:cs="仿宋"/>
                <w:color w:val="auto"/>
                <w:sz w:val="24"/>
                <w:szCs w:val="24"/>
                <w:highlight w:val="none"/>
                <w:lang w:val="en-US" w:eastAsia="zh-CN"/>
              </w:rPr>
              <w:t>陈泉旭</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19190107263</w:t>
            </w:r>
            <w:r>
              <w:rPr>
                <w:rFonts w:hint="eastAsia" w:ascii="仿宋" w:hAnsi="仿宋" w:eastAsia="仿宋" w:cs="仿宋"/>
                <w:color w:val="auto"/>
                <w:sz w:val="24"/>
                <w:szCs w:val="24"/>
                <w:highlight w:val="none"/>
              </w:rPr>
              <w:t>。</w:t>
            </w:r>
          </w:p>
          <w:p w14:paraId="400DB9B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7416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2C5479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909" w:type="dxa"/>
            <w:shd w:val="clear" w:color="auto" w:fill="FFFFFF"/>
            <w:vAlign w:val="center"/>
          </w:tcPr>
          <w:p w14:paraId="058A2D2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w:t>
            </w:r>
          </w:p>
        </w:tc>
        <w:tc>
          <w:tcPr>
            <w:tcW w:w="6574" w:type="dxa"/>
            <w:shd w:val="clear" w:color="auto" w:fill="FFFFFF"/>
            <w:vAlign w:val="center"/>
          </w:tcPr>
          <w:p w14:paraId="2C10935C">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1、本次采购采用电子交易方式，电子交易平台为“政采云平台（https://www.zcygov.cn/）”。投标人参与本项目电子交易活动前，应注册成为政府采购云平台正式投标人。编制电子投标文件前还需申领CA证书并绑定</w:t>
            </w:r>
            <w:r>
              <w:rPr>
                <w:rFonts w:hint="eastAsia" w:ascii="仿宋" w:hAnsi="仿宋" w:eastAsia="仿宋" w:cs="仿宋"/>
                <w:color w:val="auto"/>
                <w:sz w:val="24"/>
                <w:szCs w:val="24"/>
                <w:highlight w:val="none"/>
                <w:lang w:eastAsia="zh-CN"/>
              </w:rPr>
              <w:t>账号</w:t>
            </w:r>
            <w:r>
              <w:rPr>
                <w:rFonts w:hint="eastAsia" w:ascii="仿宋" w:hAnsi="仿宋" w:eastAsia="仿宋" w:cs="仿宋"/>
                <w:color w:val="auto"/>
                <w:sz w:val="24"/>
                <w:szCs w:val="24"/>
                <w:highlight w:val="none"/>
              </w:rPr>
              <w:t>。投标人应充分考虑完成平台注册、申领CA证书等所需的时间。因未注册入库、未办理CA数字证书等原因造成无法投标或投标失败等后果由投标人自行承担。</w:t>
            </w:r>
          </w:p>
          <w:p w14:paraId="6118B16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0C90514B">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3、加密的电子投标文件应在投标文件递交截止时间前通过政采云平台上传完成。逾期上传或者未上传指定地点的投标文件，不予受理。</w:t>
            </w:r>
          </w:p>
          <w:p w14:paraId="0331C17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0EB15BA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5、如遇“政采云平台（https://www.zcygov.cn/）”电子交易规则调整，以最新要求为准。</w:t>
            </w:r>
          </w:p>
        </w:tc>
      </w:tr>
      <w:tr w14:paraId="0407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744A78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909" w:type="dxa"/>
            <w:shd w:val="clear" w:color="auto" w:fill="FFFFFF"/>
            <w:vAlign w:val="center"/>
          </w:tcPr>
          <w:p w14:paraId="665E8A1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w:t>
            </w:r>
          </w:p>
        </w:tc>
        <w:tc>
          <w:tcPr>
            <w:tcW w:w="6574" w:type="dxa"/>
            <w:shd w:val="clear" w:color="auto" w:fill="FFFFFF"/>
            <w:vAlign w:val="center"/>
          </w:tcPr>
          <w:p w14:paraId="25BB7E40">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截止时间：</w:t>
            </w:r>
            <w:r>
              <w:rPr>
                <w:rFonts w:hint="eastAsia" w:ascii="仿宋" w:hAnsi="仿宋" w:eastAsia="仿宋" w:cs="仿宋"/>
                <w:color w:val="FF0000"/>
                <w:sz w:val="24"/>
                <w:szCs w:val="24"/>
                <w:highlight w:val="none"/>
                <w:u w:val="single"/>
                <w:lang w:eastAsia="zh-CN"/>
              </w:rPr>
              <w:t>2026年</w:t>
            </w:r>
            <w:r>
              <w:rPr>
                <w:rFonts w:hint="eastAsia" w:ascii="仿宋" w:hAnsi="仿宋" w:eastAsia="仿宋" w:cs="仿宋"/>
                <w:color w:val="FF0000"/>
                <w:sz w:val="24"/>
                <w:szCs w:val="24"/>
                <w:highlight w:val="none"/>
                <w:u w:val="single"/>
                <w:lang w:val="en-US" w:eastAsia="zh-CN"/>
              </w:rPr>
              <w:t>05</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14</w:t>
            </w:r>
            <w:r>
              <w:rPr>
                <w:rFonts w:hint="eastAsia" w:ascii="仿宋" w:hAnsi="仿宋" w:eastAsia="仿宋" w:cs="仿宋"/>
                <w:color w:val="FF0000"/>
                <w:sz w:val="24"/>
                <w:szCs w:val="24"/>
                <w:highlight w:val="none"/>
                <w:u w:val="single"/>
                <w:lang w:eastAsia="zh-CN"/>
              </w:rPr>
              <w:t>日1</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:00（北京时间）</w:t>
            </w:r>
          </w:p>
          <w:p w14:paraId="5ADD831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递交地点：加密的电子响应文件（.jmbs格式）应在投标文件递交截止时间前通过政采云平台上传完成。</w:t>
            </w:r>
          </w:p>
        </w:tc>
      </w:tr>
      <w:tr w14:paraId="631D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7A0B03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909" w:type="dxa"/>
            <w:shd w:val="clear" w:color="auto" w:fill="FFFFFF"/>
            <w:vAlign w:val="center"/>
          </w:tcPr>
          <w:p w14:paraId="3050556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w:t>
            </w:r>
          </w:p>
        </w:tc>
        <w:tc>
          <w:tcPr>
            <w:tcW w:w="6574" w:type="dxa"/>
            <w:shd w:val="clear" w:color="auto" w:fill="FFFFFF"/>
            <w:vAlign w:val="center"/>
          </w:tcPr>
          <w:p w14:paraId="2FD18443">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w:t>
            </w:r>
            <w:r>
              <w:rPr>
                <w:rFonts w:hint="eastAsia" w:ascii="仿宋" w:hAnsi="仿宋" w:eastAsia="仿宋" w:cs="仿宋"/>
                <w:color w:val="FF0000"/>
                <w:sz w:val="24"/>
                <w:szCs w:val="24"/>
                <w:highlight w:val="none"/>
                <w:u w:val="single"/>
                <w:lang w:eastAsia="zh-CN"/>
              </w:rPr>
              <w:t>2026年</w:t>
            </w:r>
            <w:r>
              <w:rPr>
                <w:rFonts w:hint="eastAsia" w:ascii="仿宋" w:hAnsi="仿宋" w:eastAsia="仿宋" w:cs="仿宋"/>
                <w:color w:val="FF0000"/>
                <w:sz w:val="24"/>
                <w:szCs w:val="24"/>
                <w:highlight w:val="none"/>
                <w:u w:val="single"/>
                <w:lang w:val="en-US" w:eastAsia="zh-CN"/>
              </w:rPr>
              <w:t>05</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14</w:t>
            </w:r>
            <w:r>
              <w:rPr>
                <w:rFonts w:hint="eastAsia" w:ascii="仿宋" w:hAnsi="仿宋" w:eastAsia="仿宋" w:cs="仿宋"/>
                <w:color w:val="FF0000"/>
                <w:sz w:val="24"/>
                <w:szCs w:val="24"/>
                <w:highlight w:val="none"/>
                <w:u w:val="single"/>
                <w:lang w:eastAsia="zh-CN"/>
              </w:rPr>
              <w:t>日1</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:00（北京时间）</w:t>
            </w:r>
          </w:p>
          <w:p w14:paraId="5A56E2A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政采云平台（https://www.zcygov.cn/）</w:t>
            </w:r>
          </w:p>
        </w:tc>
      </w:tr>
      <w:tr w14:paraId="7A39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4DD892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909" w:type="dxa"/>
            <w:shd w:val="clear" w:color="auto" w:fill="FFFFFF"/>
            <w:vAlign w:val="center"/>
          </w:tcPr>
          <w:p w14:paraId="041DCF0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574" w:type="dxa"/>
            <w:shd w:val="clear" w:color="auto" w:fill="FFFFFF"/>
            <w:vAlign w:val="center"/>
          </w:tcPr>
          <w:p w14:paraId="79738C8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自投标截止之日90日历日</w:t>
            </w:r>
          </w:p>
        </w:tc>
      </w:tr>
      <w:tr w14:paraId="3CEF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6BC41C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09" w:type="dxa"/>
            <w:shd w:val="clear" w:color="auto" w:fill="FFFFFF"/>
            <w:vAlign w:val="center"/>
          </w:tcPr>
          <w:p w14:paraId="1E64D1B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公告发布媒体</w:t>
            </w:r>
          </w:p>
        </w:tc>
        <w:tc>
          <w:tcPr>
            <w:tcW w:w="6574" w:type="dxa"/>
            <w:shd w:val="clear" w:color="auto" w:fill="FFFFFF"/>
            <w:vAlign w:val="center"/>
          </w:tcPr>
          <w:p w14:paraId="1065C57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新疆政府采购网(http://www.ccgp-xinjiang.gov.cn/)</w:t>
            </w:r>
          </w:p>
        </w:tc>
      </w:tr>
      <w:tr w14:paraId="137A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D6494F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1909" w:type="dxa"/>
            <w:shd w:val="clear" w:color="auto" w:fill="FFFFFF"/>
            <w:vAlign w:val="center"/>
          </w:tcPr>
          <w:p w14:paraId="4B19344B">
            <w:pPr>
              <w:keepNext/>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履约保证金</w:t>
            </w:r>
          </w:p>
        </w:tc>
        <w:tc>
          <w:tcPr>
            <w:tcW w:w="6574" w:type="dxa"/>
            <w:shd w:val="clear" w:color="auto" w:fill="FFFFFF"/>
            <w:vAlign w:val="center"/>
          </w:tcPr>
          <w:p w14:paraId="420D3229">
            <w:pPr>
              <w:keepNext/>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☑不交纳</w:t>
            </w:r>
          </w:p>
          <w:p w14:paraId="64D2F2E6">
            <w:pPr>
              <w:keepNext/>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□交纳</w:t>
            </w:r>
          </w:p>
        </w:tc>
      </w:tr>
      <w:tr w14:paraId="2A4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BEC917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909" w:type="dxa"/>
            <w:shd w:val="clear" w:color="auto" w:fill="FFFFFF"/>
            <w:vAlign w:val="center"/>
          </w:tcPr>
          <w:p w14:paraId="3C386B0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中小企业政策说明</w:t>
            </w:r>
          </w:p>
        </w:tc>
        <w:tc>
          <w:tcPr>
            <w:tcW w:w="6574" w:type="dxa"/>
            <w:shd w:val="clear" w:color="auto" w:fill="FFFFFF"/>
            <w:vAlign w:val="center"/>
          </w:tcPr>
          <w:p w14:paraId="51BA4A34">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DEA75F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B8D63C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3、在货物采购项目中，投标人提供的货物既有中小企业制造货物，也有大型企业制造货物的，不享受本办法规定的中小企业扶持政策。</w:t>
            </w:r>
          </w:p>
          <w:p w14:paraId="408E17B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4、以联合体形式参加政府采购活动，联合体各方均为中小企业的，联合体视同中小企业。其中，联合体各方均为小微企业的，联合体视同小微企业。</w:t>
            </w:r>
          </w:p>
          <w:p w14:paraId="033F459C">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5、投标人经享受扶持政策获得政府采购合同的，小微企业不得将合同分包给大中型企业，中型企业不得将合同分包给大型企业；</w:t>
            </w:r>
          </w:p>
          <w:p w14:paraId="3276221E">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6、本项目中小企业扶持政策：①、符合政府采购优先(节约能源、保护环境) 采购政策及促进中小企业(监狱企业、残疾人福利性单位) 发展政策的，依据规定给予评审优惠。②、因落实政府采购政策对小微企业、残疾人福利性单位、监狱企业的价格给予10%价格扣除；以扣除后的价格参与评审，不重复享受价格扣除政策。</w:t>
            </w:r>
          </w:p>
          <w:p w14:paraId="4AEBEB7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7、根据“关于印发中小企业划型标准规定的通知(工信部联企业〔2011〕300号)”等有关规定，本项目标的所属行业为</w:t>
            </w:r>
            <w:r>
              <w:rPr>
                <w:rFonts w:hint="eastAsia" w:ascii="仿宋" w:hAnsi="仿宋" w:eastAsia="仿宋" w:cs="仿宋"/>
                <w:b/>
                <w:bCs/>
                <w:color w:val="auto"/>
                <w:sz w:val="24"/>
                <w:szCs w:val="24"/>
                <w:highlight w:val="none"/>
                <w:u w:val="single"/>
              </w:rPr>
              <w:t>信息传输、软件和信息技术服务业</w:t>
            </w:r>
            <w:r>
              <w:rPr>
                <w:rFonts w:hint="eastAsia" w:ascii="仿宋" w:hAnsi="仿宋" w:eastAsia="仿宋" w:cs="仿宋"/>
                <w:b/>
                <w:bCs/>
                <w:color w:val="auto"/>
                <w:kern w:val="0"/>
                <w:sz w:val="24"/>
                <w:szCs w:val="24"/>
                <w:highlight w:val="none"/>
                <w:u w:val="single"/>
              </w:rPr>
              <w:t>。</w:t>
            </w:r>
          </w:p>
        </w:tc>
      </w:tr>
      <w:tr w14:paraId="52B3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4C9EC7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1909" w:type="dxa"/>
            <w:shd w:val="clear" w:color="auto" w:fill="FFFFFF"/>
            <w:vAlign w:val="center"/>
          </w:tcPr>
          <w:p w14:paraId="380F500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招标代理费</w:t>
            </w:r>
          </w:p>
        </w:tc>
        <w:tc>
          <w:tcPr>
            <w:tcW w:w="6574" w:type="dxa"/>
            <w:shd w:val="clear" w:color="auto" w:fill="FFFFFF"/>
            <w:vAlign w:val="center"/>
          </w:tcPr>
          <w:p w14:paraId="35B8E20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中标单位</w:t>
            </w:r>
            <w:r>
              <w:rPr>
                <w:rFonts w:hint="eastAsia" w:ascii="仿宋" w:hAnsi="仿宋" w:eastAsia="仿宋" w:cs="仿宋"/>
                <w:color w:val="auto"/>
                <w:sz w:val="24"/>
                <w:szCs w:val="24"/>
                <w:highlight w:val="none"/>
              </w:rPr>
              <w:t>在收到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通知书前，</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价格为基准，计算标准和方法参照国家计委《招标代理服务费管理暂行办法》的通知(计价格[2002]1980号)，由</w:t>
            </w:r>
            <w:r>
              <w:rPr>
                <w:rFonts w:hint="eastAsia" w:ascii="仿宋" w:hAnsi="仿宋" w:eastAsia="仿宋" w:cs="仿宋"/>
                <w:color w:val="auto"/>
                <w:sz w:val="24"/>
                <w:szCs w:val="24"/>
                <w:highlight w:val="none"/>
                <w:lang w:val="en-US" w:eastAsia="zh-CN"/>
              </w:rPr>
              <w:t>中标单位</w:t>
            </w:r>
            <w:r>
              <w:rPr>
                <w:rFonts w:hint="eastAsia" w:ascii="仿宋" w:hAnsi="仿宋" w:eastAsia="仿宋" w:cs="仿宋"/>
                <w:color w:val="auto"/>
                <w:sz w:val="24"/>
                <w:szCs w:val="24"/>
                <w:highlight w:val="none"/>
              </w:rPr>
              <w:t>向新疆新世纪招标有限公司支付代理服务费。</w:t>
            </w:r>
          </w:p>
        </w:tc>
      </w:tr>
      <w:tr w14:paraId="605D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52FA519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1909" w:type="dxa"/>
            <w:shd w:val="clear" w:color="auto" w:fill="FFFFFF"/>
            <w:vAlign w:val="center"/>
          </w:tcPr>
          <w:p w14:paraId="0CA4DD9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c>
          <w:tcPr>
            <w:tcW w:w="6574" w:type="dxa"/>
            <w:shd w:val="clear" w:color="auto" w:fill="FFFFFF"/>
            <w:vAlign w:val="center"/>
          </w:tcPr>
          <w:p w14:paraId="59408AC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1、付款币种：本次招标所述的项目资金均以人民币支付。</w:t>
            </w:r>
          </w:p>
          <w:p w14:paraId="06BCCD90">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2、付款方式：最终付款方式以后期与甲方签订合同为准。</w:t>
            </w:r>
          </w:p>
        </w:tc>
      </w:tr>
      <w:tr w14:paraId="5930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69EDE77">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909" w:type="dxa"/>
            <w:shd w:val="clear" w:color="auto" w:fill="FFFFFF"/>
            <w:vAlign w:val="center"/>
          </w:tcPr>
          <w:p w14:paraId="24318A7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6574" w:type="dxa"/>
            <w:shd w:val="clear" w:color="auto" w:fill="FFFFFF"/>
            <w:vAlign w:val="center"/>
          </w:tcPr>
          <w:p w14:paraId="0F45858B">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本表内容如与后文内容不一致处，以本表为准。</w:t>
            </w:r>
          </w:p>
        </w:tc>
      </w:tr>
    </w:tbl>
    <w:p w14:paraId="344E556C">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FFC1C28">
      <w:pPr>
        <w:spacing w:line="360" w:lineRule="auto"/>
        <w:jc w:val="center"/>
        <w:outlineLvl w:val="0"/>
        <w:rPr>
          <w:rFonts w:hint="eastAsia" w:ascii="仿宋" w:hAnsi="仿宋" w:eastAsia="仿宋" w:cs="仿宋"/>
          <w:b/>
          <w:color w:val="auto"/>
          <w:sz w:val="28"/>
          <w:szCs w:val="28"/>
          <w:highlight w:val="none"/>
        </w:rPr>
      </w:pPr>
      <w:bookmarkStart w:id="2" w:name="_Toc13492"/>
      <w:r>
        <w:rPr>
          <w:rFonts w:hint="eastAsia" w:ascii="仿宋" w:hAnsi="仿宋" w:eastAsia="仿宋" w:cs="仿宋"/>
          <w:b/>
          <w:color w:val="auto"/>
          <w:sz w:val="28"/>
          <w:szCs w:val="28"/>
          <w:highlight w:val="none"/>
        </w:rPr>
        <w:t>第一章 投标人须知</w:t>
      </w:r>
      <w:bookmarkEnd w:id="2"/>
      <w:bookmarkStart w:id="3" w:name="_BookMark_2"/>
      <w:bookmarkEnd w:id="3"/>
    </w:p>
    <w:p w14:paraId="7EDE3CD7">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 w:name="_Toc535592195"/>
      <w:bookmarkStart w:id="5" w:name="_Toc4941"/>
      <w:r>
        <w:rPr>
          <w:rFonts w:hint="eastAsia" w:ascii="仿宋" w:hAnsi="仿宋" w:eastAsia="仿宋" w:cs="仿宋"/>
          <w:b/>
          <w:color w:val="auto"/>
          <w:sz w:val="24"/>
          <w:szCs w:val="24"/>
          <w:highlight w:val="none"/>
        </w:rPr>
        <w:t>1．总则</w:t>
      </w:r>
      <w:bookmarkEnd w:id="4"/>
      <w:bookmarkEnd w:id="5"/>
    </w:p>
    <w:p w14:paraId="306B9A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 招标项目概况</w:t>
      </w:r>
    </w:p>
    <w:p w14:paraId="79BF9F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1.1.1项目名称：详见投标人须知前附表。</w:t>
      </w:r>
    </w:p>
    <w:p w14:paraId="509380B4">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1.1.2标项名称</w:t>
      </w:r>
      <w:r>
        <w:rPr>
          <w:rFonts w:hint="eastAsia" w:ascii="仿宋" w:hAnsi="仿宋" w:eastAsia="仿宋" w:cs="仿宋"/>
          <w:color w:val="auto"/>
          <w:kern w:val="0"/>
          <w:sz w:val="24"/>
          <w:szCs w:val="24"/>
          <w:highlight w:val="none"/>
        </w:rPr>
        <w:t>：详见投标人须知前附表。</w:t>
      </w:r>
    </w:p>
    <w:p w14:paraId="496026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项目编号：详见投标人须知前附表。</w:t>
      </w:r>
    </w:p>
    <w:p w14:paraId="09D035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采购人：详见投标人须知前附表。</w:t>
      </w:r>
    </w:p>
    <w:p w14:paraId="2513F6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采购代理机构：详见投标人须知前附表。</w:t>
      </w:r>
    </w:p>
    <w:p w14:paraId="4223BB1C">
      <w:pPr>
        <w:pStyle w:val="14"/>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资金来源：详见投标人须知前附表。</w:t>
      </w:r>
    </w:p>
    <w:p w14:paraId="361A06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采购预算金额：详见投标人须知前附表。</w:t>
      </w:r>
    </w:p>
    <w:p w14:paraId="3D579D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sz w:val="24"/>
          <w:szCs w:val="24"/>
          <w:lang w:val="en-US" w:eastAsia="zh-CN"/>
        </w:rPr>
        <w:t>供货及安装工期</w:t>
      </w:r>
      <w:r>
        <w:rPr>
          <w:rFonts w:hint="eastAsia" w:ascii="仿宋" w:hAnsi="仿宋" w:eastAsia="仿宋" w:cs="仿宋"/>
          <w:color w:val="auto"/>
          <w:kern w:val="0"/>
          <w:sz w:val="24"/>
          <w:szCs w:val="24"/>
          <w:highlight w:val="none"/>
        </w:rPr>
        <w:t>：详见投标人须知前附表。</w:t>
      </w:r>
    </w:p>
    <w:p w14:paraId="6F15296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1.2采购范围：详见投标人须知前附表。</w:t>
      </w:r>
    </w:p>
    <w:p w14:paraId="0C751C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 采购方式和资格审查方式</w:t>
      </w:r>
    </w:p>
    <w:p w14:paraId="083D83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 采购方式：详见投标人须知前附表。</w:t>
      </w:r>
    </w:p>
    <w:p w14:paraId="0CFAFE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 资格审查方式：详见投标人须知前附表。</w:t>
      </w:r>
    </w:p>
    <w:p w14:paraId="53E474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评标办法及定标方法</w:t>
      </w:r>
    </w:p>
    <w:p w14:paraId="4712A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 评标办法：详见投标人须知前附表。</w:t>
      </w:r>
    </w:p>
    <w:p w14:paraId="0BF3D8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定标方法：详见投标人须知前附表。</w:t>
      </w:r>
    </w:p>
    <w:p w14:paraId="7D6023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 投标人资格条件</w:t>
      </w:r>
    </w:p>
    <w:p w14:paraId="4B6088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 投标人应具备承担本招标项目的资格条件，具体要求详见投标人须知前附表。</w:t>
      </w:r>
    </w:p>
    <w:p w14:paraId="1EF7F4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753C7A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 投标人不得存在下列情形之一，否则相关投标均应被否决：</w:t>
      </w:r>
    </w:p>
    <w:p w14:paraId="3BA72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（1）与采购人存在利害关系可能影响招标公正性的法人、其他组织或者个人的；</w:t>
      </w:r>
    </w:p>
    <w:p w14:paraId="18139F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（2）单位负责人为同一人或者存在控股、管理关系的不同单位，参加同一标段投标或者未划分标段的同一招标项目投标的；</w:t>
      </w:r>
    </w:p>
    <w:p w14:paraId="2F265B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（3）法定代表人为同一个人的两个及两个以上法人，母公司、全资子公司及其控股公司，参加同一标段投标或者未划分标段的同一招标项目投标的；</w:t>
      </w:r>
    </w:p>
    <w:p w14:paraId="6CB16C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（4）被责令停业的； </w:t>
      </w:r>
    </w:p>
    <w:p w14:paraId="1BC8EB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（5）被暂停或取消投标资格的； </w:t>
      </w:r>
    </w:p>
    <w:p w14:paraId="7005C9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（6）财产被接管或冻结的；</w:t>
      </w:r>
    </w:p>
    <w:p w14:paraId="3C4A78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（7）在最近三年内有骗取中标或严重违约或重大质量问题的；</w:t>
      </w:r>
    </w:p>
    <w:p w14:paraId="5E6FED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（8）法律规定的其他情形。</w:t>
      </w:r>
      <w:bookmarkStart w:id="6" w:name="_BookMark_5"/>
      <w:bookmarkEnd w:id="6"/>
    </w:p>
    <w:p w14:paraId="3BC41B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1.6费用承担</w:t>
      </w:r>
    </w:p>
    <w:p w14:paraId="68C8E7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1.6.1招标文件费：详见投标人须知前附表。</w:t>
      </w:r>
    </w:p>
    <w:p w14:paraId="7C10D9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1.6.2投标人应承担其编制投标文件与递交投标文件所涉及的一切费用，无论投标结果如何，采购人及采购代理机构对上述费用不作任何补偿。采购代理咨询费由中标人支付。</w:t>
      </w:r>
    </w:p>
    <w:p w14:paraId="51295D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1.7投标保证金：详见投标人须知前附表。</w:t>
      </w:r>
    </w:p>
    <w:p w14:paraId="3EC55E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1.8踏勘现场</w:t>
      </w:r>
    </w:p>
    <w:p w14:paraId="00E9BC2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1.8.1 投标人须知前附表规定组织踏勘现场的，采购人或采购代理机构按投标人须知前附表规定的时间、地点组织投标人踏勘项目现场。 </w:t>
      </w:r>
    </w:p>
    <w:p w14:paraId="5C1CEF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 投标人踏勘现场发生的费用自理。</w:t>
      </w:r>
    </w:p>
    <w:p w14:paraId="087AD1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 除采购人或采购代理机构的原因外，投标人自行负责在踏勘现场中所发生的人员伤亡和财产损失。</w:t>
      </w:r>
    </w:p>
    <w:p w14:paraId="2FAC45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1.8.4 采购人或采购代理机构在踏勘现场中介绍的项目有关情况，供投标人在编制投标文件时参考，采购人或采购代理机构不对投标人据此作出的判断和决策负责。</w:t>
      </w:r>
    </w:p>
    <w:p w14:paraId="64AAE6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 是否允许联合体投标：详见投标人须知前附表。</w:t>
      </w:r>
    </w:p>
    <w:p w14:paraId="38EB63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 招标答疑会和招标澄清答疑要求</w:t>
      </w:r>
    </w:p>
    <w:p w14:paraId="4091AB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 投标人若有疑问，应按投标人须知前附表规定的时间、方式向采购人或采购代理机构提出，要求采购人对招标文件予以澄清。</w:t>
      </w:r>
    </w:p>
    <w:p w14:paraId="2FCB34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1.10.2 采购人或采购代理机构将按照投标人须知前附表规定的时间方式对投标人的疑问作出统一的解答。</w:t>
      </w:r>
    </w:p>
    <w:p w14:paraId="2F5F83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1.11投标文件：详见投标人须知前附表。</w:t>
      </w:r>
    </w:p>
    <w:p w14:paraId="11B749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1.12投标文件递交：详见投标人须知前附表。</w:t>
      </w:r>
    </w:p>
    <w:p w14:paraId="133DB1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1.13开标：详见投标人须知前附表。</w:t>
      </w:r>
    </w:p>
    <w:p w14:paraId="56CD37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1.14投标有效期：详见投标人须知前附表。</w:t>
      </w:r>
    </w:p>
    <w:p w14:paraId="4171FC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1.15公告发布媒体：详见投标人须知前附表。</w:t>
      </w:r>
    </w:p>
    <w:p w14:paraId="7449FC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1.16履约保证金：详见投标人须知前附表。</w:t>
      </w:r>
    </w:p>
    <w:p w14:paraId="6D9950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1.17中小企业政策说明：详见投标人须知前附表。</w:t>
      </w:r>
    </w:p>
    <w:p w14:paraId="29C549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w:t>
      </w:r>
      <w:r>
        <w:rPr>
          <w:rFonts w:hint="eastAsia" w:ascii="仿宋" w:hAnsi="仿宋" w:eastAsia="仿宋" w:cs="仿宋"/>
          <w:color w:val="auto"/>
          <w:sz w:val="24"/>
          <w:szCs w:val="24"/>
          <w:highlight w:val="none"/>
        </w:rPr>
        <w:t>招标代理费</w:t>
      </w:r>
      <w:r>
        <w:rPr>
          <w:rFonts w:hint="eastAsia" w:ascii="仿宋" w:hAnsi="仿宋" w:eastAsia="仿宋" w:cs="仿宋"/>
          <w:color w:val="auto"/>
          <w:kern w:val="0"/>
          <w:sz w:val="24"/>
          <w:szCs w:val="24"/>
          <w:highlight w:val="none"/>
        </w:rPr>
        <w:t>：详见投标人须知前附表。</w:t>
      </w:r>
    </w:p>
    <w:p w14:paraId="437B54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w:t>
      </w:r>
      <w:r>
        <w:rPr>
          <w:rFonts w:hint="eastAsia" w:ascii="仿宋" w:hAnsi="仿宋" w:eastAsia="仿宋" w:cs="仿宋"/>
          <w:color w:val="auto"/>
          <w:sz w:val="24"/>
          <w:szCs w:val="24"/>
          <w:highlight w:val="none"/>
        </w:rPr>
        <w:t>付款方式</w:t>
      </w:r>
      <w:r>
        <w:rPr>
          <w:rFonts w:hint="eastAsia" w:ascii="仿宋" w:hAnsi="仿宋" w:eastAsia="仿宋" w:cs="仿宋"/>
          <w:color w:val="auto"/>
          <w:kern w:val="0"/>
          <w:sz w:val="24"/>
          <w:szCs w:val="24"/>
          <w:highlight w:val="none"/>
        </w:rPr>
        <w:t>：详见投标人须知前附表。</w:t>
      </w:r>
    </w:p>
    <w:p w14:paraId="6F6CCA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1.20保密</w:t>
      </w:r>
    </w:p>
    <w:p w14:paraId="1F3D7C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7BF5E2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1.21语言文字</w:t>
      </w:r>
    </w:p>
    <w:p w14:paraId="63E5EC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43884F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1.22计量单位</w:t>
      </w:r>
    </w:p>
    <w:p w14:paraId="4069D49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0556A9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1.23偏离</w:t>
      </w:r>
    </w:p>
    <w:p w14:paraId="67F1A3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投标文件与招标文件某些要求产生偏离的，偏离应当符合招标文件规定的偏离范围和幅度。</w:t>
      </w:r>
    </w:p>
    <w:p w14:paraId="2EAEBD1B">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7" w:name="_Toc535592196"/>
      <w:bookmarkStart w:id="8" w:name="_Toc20119"/>
      <w:r>
        <w:rPr>
          <w:rFonts w:hint="eastAsia" w:ascii="仿宋" w:hAnsi="仿宋" w:eastAsia="仿宋" w:cs="仿宋"/>
          <w:b/>
          <w:color w:val="auto"/>
          <w:sz w:val="24"/>
          <w:szCs w:val="24"/>
          <w:highlight w:val="none"/>
        </w:rPr>
        <w:t>2．招标文件</w:t>
      </w:r>
      <w:bookmarkEnd w:id="7"/>
      <w:bookmarkEnd w:id="8"/>
    </w:p>
    <w:p w14:paraId="49856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80F63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（1）投标人须知；</w:t>
      </w:r>
    </w:p>
    <w:p w14:paraId="49275C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（2）评标办法；</w:t>
      </w:r>
    </w:p>
    <w:p w14:paraId="3E758A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（3）合同条款；</w:t>
      </w:r>
    </w:p>
    <w:p w14:paraId="4785B1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供货要求及参数</w:t>
      </w:r>
      <w:r>
        <w:rPr>
          <w:rFonts w:hint="eastAsia" w:ascii="仿宋" w:hAnsi="仿宋" w:eastAsia="仿宋" w:cs="仿宋"/>
          <w:color w:val="auto"/>
          <w:kern w:val="0"/>
          <w:sz w:val="24"/>
          <w:szCs w:val="24"/>
          <w:highlight w:val="none"/>
        </w:rPr>
        <w:t>；</w:t>
      </w:r>
    </w:p>
    <w:p w14:paraId="31B367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（5）投标文件格式；</w:t>
      </w:r>
    </w:p>
    <w:p w14:paraId="35317E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（6）补充条款。</w:t>
      </w:r>
    </w:p>
    <w:p w14:paraId="3F9EB5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根据本章第2.4款和第2.5款对招标文件所作的澄清、修改，构成招标文件的组成部分。</w:t>
      </w:r>
    </w:p>
    <w:p w14:paraId="119FF0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 招标文件的获取</w:t>
      </w:r>
    </w:p>
    <w:p w14:paraId="1FCE2A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凡有意参加并符合投标人须知前附表“投标人资格条件和能力”的投标人，均可在采购代理机构获取招标文件。</w:t>
      </w:r>
    </w:p>
    <w:p w14:paraId="59FF43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招标文件的澄清</w:t>
      </w:r>
    </w:p>
    <w:p w14:paraId="2F9983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FE5C5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5CB0D8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2CCE1D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4A9ABB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在投标人须知前附表规定的截止时间前，无论出于何种原因，采购代理机构和采购人可主动地或在解答潜在投标人提出的澄清问题时对招标文件进行修改。</w:t>
      </w:r>
    </w:p>
    <w:p w14:paraId="5B0151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44368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为使投标人准备投标时有充分时间对招标文件的修改部分进行研究，采购人可适当推迟投标截止期。</w:t>
      </w:r>
    </w:p>
    <w:p w14:paraId="268737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当采购人发放的招标文件及招标文件的答疑文件、修改文件、补充文件前后不一致，发生矛盾情况时，以最后发出的为准。</w:t>
      </w:r>
    </w:p>
    <w:p w14:paraId="08DB48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E843EA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9" w:name="_BookMark_6"/>
      <w:bookmarkEnd w:id="9"/>
      <w:bookmarkStart w:id="10" w:name="_Toc535592197"/>
      <w:bookmarkStart w:id="11" w:name="_Toc19174"/>
      <w:r>
        <w:rPr>
          <w:rFonts w:hint="eastAsia" w:ascii="仿宋" w:hAnsi="仿宋" w:eastAsia="仿宋" w:cs="仿宋"/>
          <w:b/>
          <w:color w:val="auto"/>
          <w:sz w:val="24"/>
          <w:szCs w:val="24"/>
          <w:highlight w:val="none"/>
        </w:rPr>
        <w:t>3．投标文件</w:t>
      </w:r>
      <w:bookmarkEnd w:id="10"/>
      <w:bookmarkEnd w:id="11"/>
    </w:p>
    <w:p w14:paraId="0C4C5A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033268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3.1.1投标文件应包括下列内容：</w:t>
      </w:r>
    </w:p>
    <w:p w14:paraId="6DCDC6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投标函</w:t>
      </w:r>
      <w:r>
        <w:rPr>
          <w:rFonts w:hint="eastAsia" w:ascii="仿宋" w:hAnsi="仿宋" w:eastAsia="仿宋" w:cs="仿宋"/>
          <w:color w:val="auto"/>
          <w:kern w:val="0"/>
          <w:sz w:val="24"/>
          <w:szCs w:val="24"/>
          <w:highlight w:val="none"/>
          <w:lang w:eastAsia="zh-CN"/>
        </w:rPr>
        <w:t>；</w:t>
      </w:r>
    </w:p>
    <w:p w14:paraId="589B6F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开标一览表</w:t>
      </w:r>
      <w:r>
        <w:rPr>
          <w:rFonts w:hint="eastAsia" w:ascii="仿宋" w:hAnsi="仿宋" w:eastAsia="仿宋" w:cs="仿宋"/>
          <w:color w:val="auto"/>
          <w:kern w:val="0"/>
          <w:sz w:val="24"/>
          <w:szCs w:val="24"/>
          <w:highlight w:val="none"/>
          <w:lang w:eastAsia="zh-CN"/>
        </w:rPr>
        <w:t>；</w:t>
      </w:r>
    </w:p>
    <w:p w14:paraId="2937CF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投标价格明细表</w:t>
      </w:r>
      <w:r>
        <w:rPr>
          <w:rFonts w:hint="eastAsia" w:ascii="仿宋" w:hAnsi="仿宋" w:eastAsia="仿宋" w:cs="仿宋"/>
          <w:color w:val="auto"/>
          <w:kern w:val="0"/>
          <w:sz w:val="24"/>
          <w:szCs w:val="24"/>
          <w:highlight w:val="none"/>
          <w:lang w:eastAsia="zh-CN"/>
        </w:rPr>
        <w:t>；</w:t>
      </w:r>
    </w:p>
    <w:p w14:paraId="4A3A7C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商务条款偏离表</w:t>
      </w:r>
      <w:r>
        <w:rPr>
          <w:rFonts w:hint="eastAsia" w:ascii="仿宋" w:hAnsi="仿宋" w:eastAsia="仿宋" w:cs="仿宋"/>
          <w:color w:val="auto"/>
          <w:kern w:val="0"/>
          <w:sz w:val="24"/>
          <w:szCs w:val="24"/>
          <w:highlight w:val="none"/>
          <w:lang w:eastAsia="zh-CN"/>
        </w:rPr>
        <w:t>；</w:t>
      </w:r>
    </w:p>
    <w:p w14:paraId="1B59A9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技术条款偏离表</w:t>
      </w:r>
      <w:r>
        <w:rPr>
          <w:rFonts w:hint="eastAsia" w:ascii="仿宋" w:hAnsi="仿宋" w:eastAsia="仿宋" w:cs="仿宋"/>
          <w:color w:val="auto"/>
          <w:kern w:val="0"/>
          <w:sz w:val="24"/>
          <w:szCs w:val="24"/>
          <w:highlight w:val="none"/>
          <w:lang w:eastAsia="zh-CN"/>
        </w:rPr>
        <w:t>；</w:t>
      </w:r>
    </w:p>
    <w:p w14:paraId="77F687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法定代表人身份证明书</w:t>
      </w:r>
      <w:r>
        <w:rPr>
          <w:rFonts w:hint="eastAsia" w:ascii="仿宋" w:hAnsi="仿宋" w:eastAsia="仿宋" w:cs="仿宋"/>
          <w:color w:val="auto"/>
          <w:kern w:val="0"/>
          <w:sz w:val="24"/>
          <w:szCs w:val="24"/>
          <w:highlight w:val="none"/>
          <w:lang w:eastAsia="zh-CN"/>
        </w:rPr>
        <w:t>；</w:t>
      </w:r>
    </w:p>
    <w:p w14:paraId="52E092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法定代表人授权委托书</w:t>
      </w:r>
      <w:r>
        <w:rPr>
          <w:rFonts w:hint="eastAsia" w:ascii="仿宋" w:hAnsi="仿宋" w:eastAsia="仿宋" w:cs="仿宋"/>
          <w:color w:val="auto"/>
          <w:kern w:val="0"/>
          <w:sz w:val="24"/>
          <w:szCs w:val="24"/>
          <w:highlight w:val="none"/>
          <w:lang w:eastAsia="zh-CN"/>
        </w:rPr>
        <w:t>；</w:t>
      </w:r>
    </w:p>
    <w:p w14:paraId="6B5FF5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投标人基本情况</w:t>
      </w:r>
      <w:r>
        <w:rPr>
          <w:rFonts w:hint="eastAsia" w:ascii="仿宋" w:hAnsi="仿宋" w:eastAsia="仿宋" w:cs="仿宋"/>
          <w:color w:val="auto"/>
          <w:kern w:val="0"/>
          <w:sz w:val="24"/>
          <w:szCs w:val="24"/>
          <w:highlight w:val="none"/>
          <w:lang w:eastAsia="zh-CN"/>
        </w:rPr>
        <w:t>；</w:t>
      </w:r>
    </w:p>
    <w:p w14:paraId="140AD6A7">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8.1</w:t>
      </w:r>
      <w:r>
        <w:rPr>
          <w:rFonts w:hint="eastAsia" w:ascii="仿宋" w:hAnsi="仿宋" w:eastAsia="仿宋" w:cs="仿宋"/>
          <w:color w:val="auto"/>
          <w:kern w:val="0"/>
          <w:sz w:val="24"/>
          <w:szCs w:val="24"/>
          <w:highlight w:val="none"/>
        </w:rPr>
        <w:t>法人或者其他组织的营业执照等证明文件，自然人的身份证明</w:t>
      </w:r>
      <w:r>
        <w:rPr>
          <w:rFonts w:hint="eastAsia" w:ascii="仿宋" w:hAnsi="仿宋" w:eastAsia="仿宋" w:cs="仿宋"/>
          <w:color w:val="auto"/>
          <w:kern w:val="0"/>
          <w:sz w:val="24"/>
          <w:szCs w:val="24"/>
          <w:highlight w:val="none"/>
          <w:lang w:eastAsia="zh-CN"/>
        </w:rPr>
        <w:t>；</w:t>
      </w:r>
    </w:p>
    <w:p w14:paraId="4525C333">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8.2</w:t>
      </w:r>
      <w:r>
        <w:rPr>
          <w:rFonts w:hint="eastAsia" w:ascii="仿宋" w:hAnsi="仿宋" w:eastAsia="仿宋" w:cs="仿宋"/>
          <w:color w:val="auto"/>
          <w:kern w:val="0"/>
          <w:sz w:val="24"/>
          <w:szCs w:val="24"/>
          <w:highlight w:val="none"/>
        </w:rPr>
        <w:t>财务状况报告，依法缴纳税收和社会保障资金的相关材料</w:t>
      </w:r>
      <w:r>
        <w:rPr>
          <w:rFonts w:hint="eastAsia" w:ascii="仿宋" w:hAnsi="仿宋" w:eastAsia="仿宋" w:cs="仿宋"/>
          <w:color w:val="auto"/>
          <w:kern w:val="0"/>
          <w:sz w:val="24"/>
          <w:szCs w:val="24"/>
          <w:highlight w:val="none"/>
          <w:lang w:eastAsia="zh-CN"/>
        </w:rPr>
        <w:t>；</w:t>
      </w:r>
    </w:p>
    <w:p w14:paraId="250A0FFA">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8.3</w:t>
      </w:r>
      <w:r>
        <w:rPr>
          <w:rFonts w:hint="eastAsia" w:ascii="仿宋" w:hAnsi="仿宋" w:eastAsia="仿宋" w:cs="仿宋"/>
          <w:color w:val="auto"/>
          <w:kern w:val="0"/>
          <w:sz w:val="24"/>
          <w:szCs w:val="24"/>
          <w:highlight w:val="none"/>
        </w:rPr>
        <w:t>具备履行合同所必需的设备和专业技术能力的证明材料</w:t>
      </w:r>
      <w:r>
        <w:rPr>
          <w:rFonts w:hint="eastAsia" w:ascii="仿宋" w:hAnsi="仿宋" w:eastAsia="仿宋" w:cs="仿宋"/>
          <w:color w:val="auto"/>
          <w:kern w:val="0"/>
          <w:sz w:val="24"/>
          <w:szCs w:val="24"/>
          <w:highlight w:val="none"/>
          <w:lang w:eastAsia="zh-CN"/>
        </w:rPr>
        <w:t>；</w:t>
      </w:r>
    </w:p>
    <w:p w14:paraId="793E3766">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8.4</w:t>
      </w:r>
      <w:r>
        <w:rPr>
          <w:rFonts w:hint="eastAsia" w:ascii="仿宋" w:hAnsi="仿宋" w:eastAsia="仿宋" w:cs="仿宋"/>
          <w:color w:val="auto"/>
          <w:kern w:val="0"/>
          <w:sz w:val="24"/>
          <w:szCs w:val="24"/>
          <w:highlight w:val="none"/>
        </w:rPr>
        <w:t>参加政府采购活动前3年内在经营活动中没有重大违法记录的书面声明</w:t>
      </w:r>
      <w:r>
        <w:rPr>
          <w:rFonts w:hint="eastAsia" w:ascii="仿宋" w:hAnsi="仿宋" w:eastAsia="仿宋" w:cs="仿宋"/>
          <w:color w:val="auto"/>
          <w:kern w:val="0"/>
          <w:sz w:val="24"/>
          <w:szCs w:val="24"/>
          <w:highlight w:val="none"/>
          <w:lang w:eastAsia="zh-CN"/>
        </w:rPr>
        <w:t>；</w:t>
      </w:r>
    </w:p>
    <w:p w14:paraId="7C91DEA6">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8.5</w:t>
      </w:r>
      <w:r>
        <w:rPr>
          <w:rFonts w:hint="eastAsia" w:ascii="仿宋" w:hAnsi="仿宋" w:eastAsia="仿宋" w:cs="仿宋"/>
          <w:color w:val="auto"/>
          <w:kern w:val="0"/>
          <w:sz w:val="24"/>
          <w:szCs w:val="24"/>
          <w:highlight w:val="none"/>
        </w:rPr>
        <w:t>具备法律、行政法规规定的其他条件的证明材料</w:t>
      </w:r>
      <w:r>
        <w:rPr>
          <w:rFonts w:hint="eastAsia" w:ascii="仿宋" w:hAnsi="仿宋" w:eastAsia="仿宋" w:cs="仿宋"/>
          <w:color w:val="auto"/>
          <w:kern w:val="0"/>
          <w:sz w:val="24"/>
          <w:szCs w:val="24"/>
          <w:highlight w:val="none"/>
          <w:lang w:eastAsia="zh-CN"/>
        </w:rPr>
        <w:t>；</w:t>
      </w:r>
    </w:p>
    <w:p w14:paraId="1C53E4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投标人近三年类似项目业绩表</w:t>
      </w:r>
      <w:r>
        <w:rPr>
          <w:rFonts w:hint="eastAsia" w:ascii="仿宋" w:hAnsi="仿宋" w:eastAsia="仿宋" w:cs="仿宋"/>
          <w:color w:val="auto"/>
          <w:kern w:val="0"/>
          <w:sz w:val="24"/>
          <w:szCs w:val="24"/>
          <w:highlight w:val="none"/>
          <w:lang w:eastAsia="zh-CN"/>
        </w:rPr>
        <w:t>；</w:t>
      </w:r>
    </w:p>
    <w:p w14:paraId="70B2E6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项目负责人简历表</w:t>
      </w:r>
      <w:r>
        <w:rPr>
          <w:rFonts w:hint="eastAsia" w:ascii="仿宋" w:hAnsi="仿宋" w:eastAsia="仿宋" w:cs="仿宋"/>
          <w:color w:val="auto"/>
          <w:kern w:val="0"/>
          <w:sz w:val="24"/>
          <w:szCs w:val="24"/>
          <w:highlight w:val="none"/>
          <w:lang w:eastAsia="zh-CN"/>
        </w:rPr>
        <w:t>；</w:t>
      </w:r>
    </w:p>
    <w:p w14:paraId="3783C4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拟派本项目服务人员情况表</w:t>
      </w:r>
      <w:r>
        <w:rPr>
          <w:rFonts w:hint="eastAsia" w:ascii="仿宋" w:hAnsi="仿宋" w:eastAsia="仿宋" w:cs="仿宋"/>
          <w:color w:val="auto"/>
          <w:kern w:val="0"/>
          <w:sz w:val="24"/>
          <w:szCs w:val="24"/>
          <w:highlight w:val="none"/>
          <w:lang w:eastAsia="zh-CN"/>
        </w:rPr>
        <w:t>；</w:t>
      </w:r>
    </w:p>
    <w:p w14:paraId="63A067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供货</w:t>
      </w:r>
      <w:r>
        <w:rPr>
          <w:rFonts w:hint="eastAsia" w:ascii="仿宋" w:hAnsi="仿宋" w:eastAsia="仿宋" w:cs="仿宋"/>
          <w:color w:val="auto"/>
          <w:kern w:val="0"/>
          <w:sz w:val="24"/>
          <w:szCs w:val="24"/>
          <w:highlight w:val="none"/>
        </w:rPr>
        <w:t>方案</w:t>
      </w:r>
      <w:r>
        <w:rPr>
          <w:rFonts w:hint="eastAsia" w:ascii="仿宋" w:hAnsi="仿宋" w:eastAsia="仿宋" w:cs="仿宋"/>
          <w:color w:val="auto"/>
          <w:kern w:val="0"/>
          <w:sz w:val="24"/>
          <w:szCs w:val="24"/>
          <w:highlight w:val="none"/>
          <w:lang w:eastAsia="zh-CN"/>
        </w:rPr>
        <w:t>；</w:t>
      </w:r>
    </w:p>
    <w:p w14:paraId="47DB50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其他需要提交的资料</w:t>
      </w:r>
      <w:r>
        <w:rPr>
          <w:rFonts w:hint="eastAsia" w:ascii="仿宋" w:hAnsi="仿宋" w:eastAsia="仿宋" w:cs="仿宋"/>
          <w:color w:val="auto"/>
          <w:kern w:val="0"/>
          <w:sz w:val="24"/>
          <w:szCs w:val="24"/>
          <w:highlight w:val="none"/>
          <w:lang w:eastAsia="zh-CN"/>
        </w:rPr>
        <w:t>。</w:t>
      </w:r>
    </w:p>
    <w:p w14:paraId="196B5D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3.1.2 投标人须知前附表规定不接受联合体投标的，或投标人没有组成联合体的，投标文件不包括本章所指的联合体协议书。 </w:t>
      </w:r>
    </w:p>
    <w:p w14:paraId="0439F7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62E094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9F532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投标人的投标价格不能超出本项目采购预算金额。</w:t>
      </w:r>
    </w:p>
    <w:p w14:paraId="482838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D70C9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461113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5E1901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3.3.3 投标保证金的有效期与投标有效期一致。</w:t>
      </w:r>
    </w:p>
    <w:p w14:paraId="0F59A1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0357E2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2A82C976">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5F8EDFDE">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采购代理机构名称：新疆新世纪招标有限公司</w:t>
      </w:r>
    </w:p>
    <w:p w14:paraId="117BC497">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纳税人识别号：91650100726988855F</w:t>
      </w:r>
    </w:p>
    <w:p w14:paraId="73714D26">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开户行：中国农业银行乌鲁木齐新民西街支行</w:t>
      </w:r>
    </w:p>
    <w:p w14:paraId="272FBDAA">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账号：30014701040000595</w:t>
      </w:r>
    </w:p>
    <w:p w14:paraId="69BDF1BB">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 投标保证金是为了保护采购人免遭因投标人的行为而蒙受损失。采购人在因投标人的行为受到损害时可根据相关法律规定没收投标人的投标保证金。</w:t>
      </w:r>
    </w:p>
    <w:p w14:paraId="4A5E82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59E72AE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074CEF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 有下列情形之一的，投标保证金不予退还：</w:t>
      </w:r>
    </w:p>
    <w:p w14:paraId="59E81C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（1）投标人在规定的投标有效期内撤销或修改其投标文件的；</w:t>
      </w:r>
    </w:p>
    <w:p w14:paraId="1CD385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（2）中标人在收到中标通知书后，无正当理由拒签合同协议书或在签订合同时提出附加条件或者更改合同实质性内容的；</w:t>
      </w:r>
    </w:p>
    <w:p w14:paraId="74278A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68F4DC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1FF8E7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72E63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4DADFF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2" w:name="_BookMark_7"/>
      <w:bookmarkEnd w:id="12"/>
      <w:bookmarkStart w:id="13" w:name="_Toc535592198"/>
      <w:r>
        <w:rPr>
          <w:rFonts w:hint="eastAsia" w:ascii="仿宋" w:hAnsi="仿宋" w:eastAsia="仿宋" w:cs="仿宋"/>
          <w:color w:val="auto"/>
          <w:kern w:val="0"/>
          <w:sz w:val="24"/>
          <w:szCs w:val="24"/>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083433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3.5.4电子投标文件须使用投标人电子公章及法定代表人的电子签名。</w:t>
      </w:r>
    </w:p>
    <w:p w14:paraId="545142AD">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szCs w:val="24"/>
          <w:highlight w:val="none"/>
          <w:shd w:val="clear" w:color="auto" w:fill="FFFFFF" w:themeFill="background1"/>
        </w:rPr>
        <w:t>。</w:t>
      </w:r>
    </w:p>
    <w:p w14:paraId="349CFAE2">
      <w:pPr>
        <w:tabs>
          <w:tab w:val="center" w:pos="4832"/>
          <w:tab w:val="left" w:pos="7140"/>
        </w:tabs>
        <w:spacing w:line="360" w:lineRule="auto"/>
        <w:ind w:firstLine="470" w:firstLineChars="196"/>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3.5.6</w:t>
      </w:r>
      <w:r>
        <w:rPr>
          <w:rFonts w:hint="eastAsia" w:ascii="仿宋" w:hAnsi="仿宋" w:eastAsia="仿宋" w:cs="仿宋"/>
          <w:color w:val="auto"/>
          <w:sz w:val="24"/>
          <w:szCs w:val="24"/>
          <w:highlight w:val="none"/>
          <w:shd w:val="clear" w:color="auto" w:fill="FFFFFF" w:themeFill="background1"/>
        </w:rPr>
        <w:t>未按招标文件要求签署和盖章的投标文件，其投标将被认定为投标无效。</w:t>
      </w:r>
    </w:p>
    <w:p w14:paraId="0B311A8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4" w:name="_Toc28962"/>
      <w:r>
        <w:rPr>
          <w:rFonts w:hint="eastAsia" w:ascii="仿宋" w:hAnsi="仿宋" w:eastAsia="仿宋" w:cs="仿宋"/>
          <w:b/>
          <w:color w:val="auto"/>
          <w:sz w:val="24"/>
          <w:szCs w:val="24"/>
          <w:highlight w:val="none"/>
        </w:rPr>
        <w:t>4．投标</w:t>
      </w:r>
      <w:bookmarkEnd w:id="13"/>
      <w:bookmarkEnd w:id="14"/>
    </w:p>
    <w:p w14:paraId="76AE2177">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15" w:name="_BookMark_8"/>
      <w:bookmarkEnd w:id="15"/>
      <w:bookmarkStart w:id="16" w:name="_Toc535592199"/>
      <w:r>
        <w:rPr>
          <w:rFonts w:hint="eastAsia" w:ascii="仿宋" w:hAnsi="仿宋" w:eastAsia="仿宋" w:cs="仿宋"/>
          <w:bCs/>
          <w:color w:val="auto"/>
          <w:sz w:val="24"/>
          <w:szCs w:val="24"/>
          <w:highlight w:val="none"/>
        </w:rPr>
        <w:t>4.1本次采购采用电子交易方式，电子交易平台为“政采云平台（https://www.zcygov.cn/）”。投标人参与本项目电子交易活动前，应注册成为政府采购云平台投标人。编制电子投标文件前还需申领CA证书并绑定</w:t>
      </w:r>
      <w:r>
        <w:rPr>
          <w:rFonts w:hint="eastAsia" w:ascii="仿宋" w:hAnsi="仿宋" w:eastAsia="仿宋" w:cs="仿宋"/>
          <w:bCs/>
          <w:color w:val="auto"/>
          <w:sz w:val="24"/>
          <w:szCs w:val="24"/>
          <w:highlight w:val="none"/>
          <w:lang w:eastAsia="zh-CN"/>
        </w:rPr>
        <w:t>账号</w:t>
      </w:r>
      <w:r>
        <w:rPr>
          <w:rFonts w:hint="eastAsia" w:ascii="仿宋" w:hAnsi="仿宋" w:eastAsia="仿宋" w:cs="仿宋"/>
          <w:bCs/>
          <w:color w:val="auto"/>
          <w:sz w:val="24"/>
          <w:szCs w:val="24"/>
          <w:highlight w:val="none"/>
        </w:rPr>
        <w:t xml:space="preserve">。投标人应充分考虑完成平台注册、申领CA证书等所需的时间。因未注册入库、未办理CA数字证书等原因造成无法投标或投标失败等后果由投标人自行承担。 </w:t>
      </w:r>
    </w:p>
    <w:p w14:paraId="3B6997A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AE2A8D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5B4343D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2BE6397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19D997D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0E50A5D7">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（1）逾期上传的投标文件；</w:t>
      </w:r>
    </w:p>
    <w:p w14:paraId="6D6F01C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（2）未按招标文件要求加密的投标文件。</w:t>
      </w:r>
    </w:p>
    <w:p w14:paraId="20CF37F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7217601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A5DAA45">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6D109C0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34B29FCC">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2C2BF48F">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7" w:name="_Toc31720"/>
      <w:r>
        <w:rPr>
          <w:rFonts w:hint="eastAsia" w:ascii="仿宋" w:hAnsi="仿宋" w:eastAsia="仿宋" w:cs="仿宋"/>
          <w:b/>
          <w:color w:val="auto"/>
          <w:sz w:val="24"/>
          <w:szCs w:val="24"/>
          <w:highlight w:val="none"/>
        </w:rPr>
        <w:t>5．开标</w:t>
      </w:r>
      <w:bookmarkEnd w:id="16"/>
      <w:bookmarkEnd w:id="17"/>
    </w:p>
    <w:p w14:paraId="0DBCB8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56BD1B3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采购人在投标人须知前附表规定的时间、地点公开开标，并邀请所有投标人的法定代表人或其授权委托人参加。</w:t>
      </w:r>
    </w:p>
    <w:p w14:paraId="1669B1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BBFE0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6445C9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（1）投标人解密投标文件</w:t>
      </w:r>
      <w:r>
        <w:rPr>
          <w:rFonts w:hint="eastAsia" w:ascii="仿宋" w:hAnsi="仿宋" w:eastAsia="仿宋" w:cs="仿宋"/>
          <w:color w:val="auto"/>
          <w:kern w:val="0"/>
          <w:sz w:val="24"/>
          <w:szCs w:val="24"/>
          <w:highlight w:val="none"/>
          <w:lang w:eastAsia="zh-CN"/>
        </w:rPr>
        <w:t>；</w:t>
      </w:r>
    </w:p>
    <w:p w14:paraId="0AFFE6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（2）开启报价文件</w:t>
      </w:r>
      <w:r>
        <w:rPr>
          <w:rFonts w:hint="eastAsia" w:ascii="仿宋" w:hAnsi="仿宋" w:eastAsia="仿宋" w:cs="仿宋"/>
          <w:color w:val="auto"/>
          <w:kern w:val="0"/>
          <w:sz w:val="24"/>
          <w:szCs w:val="24"/>
          <w:highlight w:val="none"/>
          <w:lang w:eastAsia="zh-CN"/>
        </w:rPr>
        <w:t>；</w:t>
      </w:r>
    </w:p>
    <w:p w14:paraId="27702C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（3）投标人线上签字确认</w:t>
      </w:r>
      <w:r>
        <w:rPr>
          <w:rFonts w:hint="eastAsia" w:ascii="仿宋" w:hAnsi="仿宋" w:eastAsia="仿宋" w:cs="仿宋"/>
          <w:color w:val="auto"/>
          <w:kern w:val="0"/>
          <w:sz w:val="24"/>
          <w:szCs w:val="24"/>
          <w:highlight w:val="none"/>
          <w:lang w:eastAsia="zh-CN"/>
        </w:rPr>
        <w:t>；</w:t>
      </w:r>
    </w:p>
    <w:p w14:paraId="626C3A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（4）开标结束</w:t>
      </w:r>
      <w:r>
        <w:rPr>
          <w:rFonts w:hint="eastAsia" w:ascii="仿宋" w:hAnsi="仿宋" w:eastAsia="仿宋" w:cs="仿宋"/>
          <w:color w:val="auto"/>
          <w:kern w:val="0"/>
          <w:sz w:val="24"/>
          <w:szCs w:val="24"/>
          <w:highlight w:val="none"/>
          <w:lang w:eastAsia="zh-CN"/>
        </w:rPr>
        <w:t>。</w:t>
      </w:r>
    </w:p>
    <w:p w14:paraId="709499A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8" w:name="_BookMark_9"/>
      <w:bookmarkEnd w:id="18"/>
      <w:bookmarkStart w:id="19" w:name="_Toc13908"/>
      <w:bookmarkStart w:id="20" w:name="_Toc535592200"/>
      <w:r>
        <w:rPr>
          <w:rFonts w:hint="eastAsia" w:ascii="仿宋" w:hAnsi="仿宋" w:eastAsia="仿宋" w:cs="仿宋"/>
          <w:b/>
          <w:color w:val="auto"/>
          <w:sz w:val="24"/>
          <w:szCs w:val="24"/>
          <w:highlight w:val="none"/>
        </w:rPr>
        <w:t>6．评标</w:t>
      </w:r>
      <w:bookmarkEnd w:id="19"/>
      <w:bookmarkEnd w:id="20"/>
    </w:p>
    <w:p w14:paraId="3A3D7F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评标小组</w:t>
      </w:r>
    </w:p>
    <w:p w14:paraId="5BAF9D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评标由采购人按照《政府采购评标专家管理办法》财库〔2016〕198号，依法组建的评标小组负责。评标小组由采购人熟悉相关业务的代表，以及有关技术、经济等方面的专家组成。</w:t>
      </w:r>
    </w:p>
    <w:p w14:paraId="3E9FE9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评标小组成员有下列情形之一的，应当回避：</w:t>
      </w:r>
    </w:p>
    <w:p w14:paraId="2C17EF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27E1EA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4C68FD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682C4C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6.2 评标原则 </w:t>
      </w:r>
    </w:p>
    <w:p w14:paraId="3A00BE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582C1C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92D2E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评标小组按照招标文件中规定的方法、评标因素、标准和程序对投标文件进行评标。</w:t>
      </w:r>
    </w:p>
    <w:p w14:paraId="36AB8E1E">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1" w:name="_BookMark_10"/>
      <w:bookmarkEnd w:id="21"/>
      <w:bookmarkStart w:id="22" w:name="_Toc535592201"/>
      <w:bookmarkStart w:id="23" w:name="_Toc15685"/>
      <w:r>
        <w:rPr>
          <w:rFonts w:hint="eastAsia" w:ascii="仿宋" w:hAnsi="仿宋" w:eastAsia="仿宋" w:cs="仿宋"/>
          <w:b/>
          <w:color w:val="auto"/>
          <w:sz w:val="24"/>
          <w:szCs w:val="24"/>
          <w:highlight w:val="none"/>
        </w:rPr>
        <w:t>7．定标及合同授予</w:t>
      </w:r>
      <w:bookmarkEnd w:id="22"/>
      <w:bookmarkEnd w:id="23"/>
    </w:p>
    <w:p w14:paraId="531D22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7C6672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05D4A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63514E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5DDB1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CE013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 履约保证金</w:t>
      </w:r>
    </w:p>
    <w:p w14:paraId="5533A1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22A86D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中标人不能按要求提交履约保证金的，视为放弃中标，其投标保证金不予退还；给采购人造成的损失超过投标保证金数额的，中标人还应当对超过部分予以赔偿。</w:t>
      </w:r>
    </w:p>
    <w:p w14:paraId="73656F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 签订合同</w:t>
      </w:r>
    </w:p>
    <w:p w14:paraId="0BD4A84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6C2130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6ADC22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7.4.3发出中标通知书后，中标人无正当理由拒签合同的，采购人取消其中标资格，其投标保证金不予退还；给采购人造成的损失超过投标保证金数额的，中标人还应当对超过部分予以赔偿。</w:t>
      </w:r>
    </w:p>
    <w:p w14:paraId="15C5E5EA">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4" w:name="_BookMark_11"/>
      <w:bookmarkEnd w:id="24"/>
      <w:bookmarkStart w:id="25" w:name="_Toc29318"/>
      <w:bookmarkStart w:id="26" w:name="_Toc535592202"/>
      <w:r>
        <w:rPr>
          <w:rFonts w:hint="eastAsia" w:ascii="仿宋" w:hAnsi="仿宋" w:eastAsia="仿宋" w:cs="仿宋"/>
          <w:b/>
          <w:color w:val="auto"/>
          <w:sz w:val="24"/>
          <w:szCs w:val="24"/>
          <w:highlight w:val="none"/>
        </w:rPr>
        <w:t>8．纪律和监督</w:t>
      </w:r>
      <w:bookmarkEnd w:id="25"/>
      <w:bookmarkEnd w:id="26"/>
    </w:p>
    <w:p w14:paraId="4A04F2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6D3E2C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488CE9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6DF910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4026C1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对评标小组成员的纪律要求</w:t>
      </w:r>
    </w:p>
    <w:p w14:paraId="58C854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评标小组成员不得收受他人的财物或者其他好处，不得向他人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对投标文件的评标和比较、中标候选人的推荐情况以及评标有关的其他情况。在评标活动中，评标小组成员不得擅离职守，影响评标程序正常进行，不得使用评标办法没有规定的评标因素和标准进行评标。</w:t>
      </w:r>
    </w:p>
    <w:p w14:paraId="1DB920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104F1E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对投标文件的评标和比较、中标候选人的推荐情况以及评标有关的其他情况。在评标活动中，与评标活动有关的工作人员不得擅离职守，影响评标程序正常进行。</w:t>
      </w:r>
    </w:p>
    <w:p w14:paraId="2021C1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2D0DFDCE">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66EDE37B">
      <w:pPr>
        <w:widowControl/>
        <w:shd w:val="clear" w:color="auto" w:fill="FFFFFF"/>
        <w:snapToGrid w:val="0"/>
        <w:spacing w:line="360" w:lineRule="auto"/>
        <w:jc w:val="center"/>
        <w:outlineLvl w:val="0"/>
        <w:rPr>
          <w:rFonts w:hint="eastAsia" w:ascii="仿宋" w:hAnsi="仿宋" w:eastAsia="仿宋" w:cs="仿宋"/>
          <w:b/>
          <w:color w:val="auto"/>
          <w:sz w:val="28"/>
          <w:szCs w:val="28"/>
          <w:highlight w:val="none"/>
        </w:rPr>
      </w:pPr>
      <w:bookmarkStart w:id="27" w:name="_Toc28275"/>
      <w:r>
        <w:rPr>
          <w:rFonts w:hint="eastAsia" w:ascii="仿宋" w:hAnsi="仿宋" w:eastAsia="仿宋" w:cs="仿宋"/>
          <w:b/>
          <w:color w:val="auto"/>
          <w:sz w:val="28"/>
          <w:szCs w:val="28"/>
          <w:highlight w:val="none"/>
        </w:rPr>
        <w:t>第二章 评标办法</w:t>
      </w:r>
      <w:bookmarkEnd w:id="27"/>
    </w:p>
    <w:p w14:paraId="641BCEAC">
      <w:pPr>
        <w:tabs>
          <w:tab w:val="center" w:pos="4832"/>
          <w:tab w:val="left" w:pos="7140"/>
        </w:tabs>
        <w:spacing w:line="360" w:lineRule="auto"/>
        <w:jc w:val="center"/>
        <w:outlineLvl w:val="2"/>
        <w:rPr>
          <w:rFonts w:hint="eastAsia" w:ascii="仿宋" w:hAnsi="仿宋" w:eastAsia="仿宋" w:cs="仿宋"/>
          <w:b/>
          <w:color w:val="auto"/>
          <w:sz w:val="28"/>
          <w:szCs w:val="28"/>
          <w:highlight w:val="none"/>
        </w:rPr>
      </w:pPr>
      <w:bookmarkStart w:id="28" w:name="_BookMark_1"/>
      <w:bookmarkEnd w:id="28"/>
      <w:bookmarkStart w:id="29" w:name="_Toc58342531"/>
      <w:bookmarkStart w:id="30" w:name="_Toc31184"/>
      <w:bookmarkStart w:id="31" w:name="_Toc501719166"/>
      <w:r>
        <w:rPr>
          <w:rFonts w:hint="eastAsia" w:ascii="仿宋" w:hAnsi="仿宋" w:eastAsia="仿宋" w:cs="仿宋"/>
          <w:b/>
          <w:color w:val="auto"/>
          <w:sz w:val="28"/>
          <w:szCs w:val="28"/>
          <w:highlight w:val="none"/>
        </w:rPr>
        <w:t>评审办法前附表</w:t>
      </w:r>
      <w:bookmarkEnd w:id="29"/>
      <w:bookmarkEnd w:id="30"/>
    </w:p>
    <w:tbl>
      <w:tblPr>
        <w:tblStyle w:val="4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52"/>
        <w:gridCol w:w="2519"/>
        <w:gridCol w:w="5261"/>
      </w:tblGrid>
      <w:tr w14:paraId="76225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1" w:type="pct"/>
            <w:tcBorders>
              <w:tl2br w:val="nil"/>
              <w:tr2bl w:val="nil"/>
            </w:tcBorders>
            <w:tcMar>
              <w:top w:w="0" w:type="dxa"/>
              <w:left w:w="28" w:type="dxa"/>
              <w:bottom w:w="0" w:type="dxa"/>
              <w:right w:w="28" w:type="dxa"/>
            </w:tcMar>
            <w:vAlign w:val="center"/>
          </w:tcPr>
          <w:p w14:paraId="131BA21B">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11" w:type="pct"/>
            <w:tcBorders>
              <w:tl2br w:val="nil"/>
              <w:tr2bl w:val="nil"/>
            </w:tcBorders>
            <w:tcMar>
              <w:top w:w="0" w:type="dxa"/>
              <w:left w:w="28" w:type="dxa"/>
              <w:bottom w:w="0" w:type="dxa"/>
              <w:right w:w="28" w:type="dxa"/>
            </w:tcMar>
            <w:vAlign w:val="center"/>
          </w:tcPr>
          <w:p w14:paraId="6B314243">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条款内容</w:t>
            </w:r>
          </w:p>
        </w:tc>
        <w:tc>
          <w:tcPr>
            <w:tcW w:w="3156" w:type="pct"/>
            <w:tcBorders>
              <w:tl2br w:val="nil"/>
              <w:tr2bl w:val="nil"/>
            </w:tcBorders>
            <w:tcMar>
              <w:top w:w="0" w:type="dxa"/>
              <w:left w:w="28" w:type="dxa"/>
              <w:bottom w:w="0" w:type="dxa"/>
              <w:right w:w="28" w:type="dxa"/>
            </w:tcMar>
            <w:vAlign w:val="center"/>
          </w:tcPr>
          <w:p w14:paraId="0EB84DC8">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编列内容</w:t>
            </w:r>
          </w:p>
        </w:tc>
      </w:tr>
      <w:tr w14:paraId="325F7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0" w:hRule="atLeast"/>
          <w:jc w:val="center"/>
        </w:trPr>
        <w:tc>
          <w:tcPr>
            <w:tcW w:w="331" w:type="pct"/>
            <w:tcBorders>
              <w:tl2br w:val="nil"/>
              <w:tr2bl w:val="nil"/>
            </w:tcBorders>
            <w:tcMar>
              <w:top w:w="0" w:type="dxa"/>
              <w:left w:w="28" w:type="dxa"/>
              <w:bottom w:w="0" w:type="dxa"/>
              <w:right w:w="28" w:type="dxa"/>
            </w:tcMar>
            <w:vAlign w:val="center"/>
          </w:tcPr>
          <w:p w14:paraId="4E64E8F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11" w:type="pct"/>
            <w:tcBorders>
              <w:tl2br w:val="nil"/>
              <w:tr2bl w:val="nil"/>
            </w:tcBorders>
            <w:tcMar>
              <w:top w:w="0" w:type="dxa"/>
              <w:left w:w="28" w:type="dxa"/>
              <w:bottom w:w="0" w:type="dxa"/>
              <w:right w:w="28" w:type="dxa"/>
            </w:tcMar>
            <w:vAlign w:val="center"/>
          </w:tcPr>
          <w:p w14:paraId="79E4CF8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分值构成及权重</w:t>
            </w:r>
          </w:p>
          <w:p w14:paraId="5896A6C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(总分100分)</w:t>
            </w:r>
          </w:p>
        </w:tc>
        <w:tc>
          <w:tcPr>
            <w:tcW w:w="3156" w:type="pct"/>
            <w:tcBorders>
              <w:tl2br w:val="nil"/>
              <w:tr2bl w:val="nil"/>
            </w:tcBorders>
            <w:tcMar>
              <w:top w:w="0" w:type="dxa"/>
              <w:left w:w="28" w:type="dxa"/>
              <w:bottom w:w="0" w:type="dxa"/>
              <w:right w:w="28" w:type="dxa"/>
            </w:tcMar>
            <w:vAlign w:val="center"/>
          </w:tcPr>
          <w:p w14:paraId="5678709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1.详细评审部分</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分</w:t>
            </w:r>
          </w:p>
          <w:p w14:paraId="7C683B0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r>
      <w:tr w14:paraId="15FA1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 w:hRule="atLeast"/>
          <w:jc w:val="center"/>
        </w:trPr>
        <w:tc>
          <w:tcPr>
            <w:tcW w:w="331" w:type="pct"/>
            <w:tcBorders>
              <w:tl2br w:val="nil"/>
              <w:tr2bl w:val="nil"/>
            </w:tcBorders>
            <w:tcMar>
              <w:top w:w="0" w:type="dxa"/>
              <w:left w:w="28" w:type="dxa"/>
              <w:bottom w:w="0" w:type="dxa"/>
              <w:right w:w="28" w:type="dxa"/>
            </w:tcMar>
            <w:vAlign w:val="center"/>
          </w:tcPr>
          <w:p w14:paraId="05F8A9A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11" w:type="pct"/>
            <w:tcBorders>
              <w:tl2br w:val="nil"/>
              <w:tr2bl w:val="nil"/>
            </w:tcBorders>
            <w:tcMar>
              <w:top w:w="0" w:type="dxa"/>
              <w:left w:w="28" w:type="dxa"/>
              <w:bottom w:w="0" w:type="dxa"/>
              <w:right w:w="28" w:type="dxa"/>
            </w:tcMar>
            <w:vAlign w:val="center"/>
          </w:tcPr>
          <w:p w14:paraId="50717FC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w:t>
            </w:r>
          </w:p>
        </w:tc>
        <w:tc>
          <w:tcPr>
            <w:tcW w:w="3156" w:type="pct"/>
            <w:tcBorders>
              <w:tl2br w:val="nil"/>
              <w:tr2bl w:val="nil"/>
            </w:tcBorders>
            <w:tcMar>
              <w:top w:w="0" w:type="dxa"/>
              <w:left w:w="28" w:type="dxa"/>
              <w:bottom w:w="0" w:type="dxa"/>
              <w:right w:w="28" w:type="dxa"/>
            </w:tcMar>
            <w:vAlign w:val="center"/>
          </w:tcPr>
          <w:p w14:paraId="4470C01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详见《资格审查标准》</w:t>
            </w:r>
          </w:p>
        </w:tc>
      </w:tr>
      <w:tr w14:paraId="4F5A8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1" w:type="pct"/>
            <w:tcBorders>
              <w:tl2br w:val="nil"/>
              <w:tr2bl w:val="nil"/>
            </w:tcBorders>
            <w:tcMar>
              <w:top w:w="0" w:type="dxa"/>
              <w:left w:w="28" w:type="dxa"/>
              <w:bottom w:w="0" w:type="dxa"/>
              <w:right w:w="28" w:type="dxa"/>
            </w:tcMar>
            <w:vAlign w:val="center"/>
          </w:tcPr>
          <w:p w14:paraId="4EC8A04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11" w:type="pct"/>
            <w:tcBorders>
              <w:tl2br w:val="nil"/>
              <w:tr2bl w:val="nil"/>
            </w:tcBorders>
            <w:tcMar>
              <w:top w:w="0" w:type="dxa"/>
              <w:left w:w="28" w:type="dxa"/>
              <w:bottom w:w="0" w:type="dxa"/>
              <w:right w:w="28" w:type="dxa"/>
            </w:tcMar>
            <w:vAlign w:val="center"/>
          </w:tcPr>
          <w:p w14:paraId="43A353C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3156" w:type="pct"/>
            <w:tcBorders>
              <w:tl2br w:val="nil"/>
              <w:tr2bl w:val="nil"/>
            </w:tcBorders>
            <w:tcMar>
              <w:top w:w="0" w:type="dxa"/>
              <w:left w:w="28" w:type="dxa"/>
              <w:bottom w:w="0" w:type="dxa"/>
              <w:right w:w="28" w:type="dxa"/>
            </w:tcMar>
            <w:vAlign w:val="center"/>
          </w:tcPr>
          <w:p w14:paraId="1ED6F7C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详见《符合性审查标准》</w:t>
            </w:r>
          </w:p>
        </w:tc>
      </w:tr>
      <w:tr w14:paraId="5F4C1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1" w:type="pct"/>
            <w:tcBorders>
              <w:tl2br w:val="nil"/>
              <w:tr2bl w:val="nil"/>
            </w:tcBorders>
            <w:tcMar>
              <w:top w:w="0" w:type="dxa"/>
              <w:left w:w="28" w:type="dxa"/>
              <w:bottom w:w="0" w:type="dxa"/>
              <w:right w:w="28" w:type="dxa"/>
            </w:tcMar>
            <w:vAlign w:val="center"/>
          </w:tcPr>
          <w:p w14:paraId="2CF65CB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511" w:type="pct"/>
            <w:tcBorders>
              <w:tl2br w:val="nil"/>
              <w:tr2bl w:val="nil"/>
            </w:tcBorders>
            <w:tcMar>
              <w:top w:w="0" w:type="dxa"/>
              <w:left w:w="28" w:type="dxa"/>
              <w:bottom w:w="0" w:type="dxa"/>
              <w:right w:w="28" w:type="dxa"/>
            </w:tcMar>
            <w:vAlign w:val="center"/>
          </w:tcPr>
          <w:p w14:paraId="309548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详细评审</w:t>
            </w:r>
          </w:p>
        </w:tc>
        <w:tc>
          <w:tcPr>
            <w:tcW w:w="3156" w:type="pct"/>
            <w:tcBorders>
              <w:tl2br w:val="nil"/>
              <w:tr2bl w:val="nil"/>
            </w:tcBorders>
            <w:tcMar>
              <w:top w:w="0" w:type="dxa"/>
              <w:left w:w="28" w:type="dxa"/>
              <w:bottom w:w="0" w:type="dxa"/>
              <w:right w:w="28" w:type="dxa"/>
            </w:tcMar>
            <w:vAlign w:val="center"/>
          </w:tcPr>
          <w:p w14:paraId="4106408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详见《详细评审标准》及本节第3.5款</w:t>
            </w:r>
          </w:p>
        </w:tc>
      </w:tr>
    </w:tbl>
    <w:p w14:paraId="047E2425">
      <w:pPr>
        <w:widowControl/>
        <w:shd w:val="clear" w:color="auto" w:fill="FFFFFF"/>
        <w:snapToGrid w:val="0"/>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《资格审查标准》</w:t>
      </w:r>
      <w:bookmarkEnd w:id="31"/>
    </w:p>
    <w:tbl>
      <w:tblPr>
        <w:tblStyle w:val="41"/>
        <w:tblW w:w="50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34"/>
        <w:gridCol w:w="3780"/>
        <w:gridCol w:w="4002"/>
      </w:tblGrid>
      <w:tr w14:paraId="799A3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1DA8D5A8">
            <w:pPr>
              <w:spacing w:line="360" w:lineRule="auto"/>
              <w:jc w:val="center"/>
              <w:rPr>
                <w:rFonts w:hint="eastAsia" w:ascii="仿宋" w:hAnsi="仿宋" w:eastAsia="仿宋" w:cs="仿宋"/>
                <w:b/>
                <w:bCs/>
                <w:color w:val="auto"/>
                <w:sz w:val="24"/>
                <w:szCs w:val="24"/>
                <w:highlight w:val="none"/>
                <w:shd w:val="clear" w:color="auto" w:fill="FFFFFF" w:themeFill="background1"/>
              </w:rPr>
            </w:pPr>
            <w:bookmarkStart w:id="32" w:name="_Toc501719167"/>
            <w:r>
              <w:rPr>
                <w:rFonts w:hint="eastAsia" w:ascii="仿宋" w:hAnsi="仿宋" w:eastAsia="仿宋" w:cs="仿宋"/>
                <w:b/>
                <w:bCs/>
                <w:color w:val="auto"/>
                <w:sz w:val="24"/>
                <w:szCs w:val="24"/>
                <w:highlight w:val="none"/>
                <w:shd w:val="clear" w:color="auto" w:fill="FFFFFF" w:themeFill="background1"/>
              </w:rPr>
              <w:t>序号</w:t>
            </w:r>
          </w:p>
        </w:tc>
        <w:tc>
          <w:tcPr>
            <w:tcW w:w="2273" w:type="pct"/>
            <w:tcBorders>
              <w:tl2br w:val="nil"/>
              <w:tr2bl w:val="nil"/>
            </w:tcBorders>
            <w:vAlign w:val="center"/>
          </w:tcPr>
          <w:p w14:paraId="545C04EC">
            <w:pPr>
              <w:spacing w:line="360"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审查要求</w:t>
            </w:r>
          </w:p>
        </w:tc>
        <w:tc>
          <w:tcPr>
            <w:tcW w:w="2405" w:type="pct"/>
            <w:tcBorders>
              <w:tl2br w:val="nil"/>
              <w:tr2bl w:val="nil"/>
            </w:tcBorders>
            <w:vAlign w:val="center"/>
          </w:tcPr>
          <w:p w14:paraId="68C9609D">
            <w:pPr>
              <w:spacing w:line="360"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要求说明</w:t>
            </w:r>
          </w:p>
        </w:tc>
      </w:tr>
      <w:tr w14:paraId="1262B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0478CB3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w:t>
            </w:r>
          </w:p>
        </w:tc>
        <w:tc>
          <w:tcPr>
            <w:tcW w:w="2273" w:type="pct"/>
            <w:tcBorders>
              <w:tl2br w:val="nil"/>
              <w:tr2bl w:val="nil"/>
            </w:tcBorders>
            <w:vAlign w:val="center"/>
          </w:tcPr>
          <w:p w14:paraId="6D1F81E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满足《中华人民共和国政府采购法》第二十二条规定。</w:t>
            </w:r>
          </w:p>
        </w:tc>
        <w:tc>
          <w:tcPr>
            <w:tcW w:w="2405" w:type="pct"/>
            <w:tcBorders>
              <w:tl2br w:val="nil"/>
              <w:tr2bl w:val="nil"/>
            </w:tcBorders>
            <w:vAlign w:val="center"/>
          </w:tcPr>
          <w:p w14:paraId="3EAE12E3">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08B63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14C716DE">
            <w:pPr>
              <w:spacing w:line="360" w:lineRule="auto"/>
              <w:jc w:val="center"/>
              <w:rPr>
                <w:rFonts w:hint="default"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2</w:t>
            </w:r>
          </w:p>
        </w:tc>
        <w:tc>
          <w:tcPr>
            <w:tcW w:w="2273" w:type="pct"/>
            <w:tcBorders>
              <w:tl2br w:val="nil"/>
              <w:tr2bl w:val="nil"/>
            </w:tcBorders>
            <w:vAlign w:val="center"/>
          </w:tcPr>
          <w:p w14:paraId="37CA06FA">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w:t>
            </w:r>
            <w:r>
              <w:rPr>
                <w:rFonts w:hint="eastAsia" w:ascii="仿宋" w:hAnsi="仿宋" w:eastAsia="仿宋" w:cs="仿宋"/>
                <w:color w:val="auto"/>
                <w:sz w:val="24"/>
                <w:szCs w:val="24"/>
                <w:highlight w:val="none"/>
                <w:shd w:val="clear" w:color="auto" w:fill="FFFFFF" w:themeFill="background1"/>
                <w:lang w:eastAsia="zh-CN"/>
              </w:rPr>
              <w:t>招标</w:t>
            </w:r>
            <w:r>
              <w:rPr>
                <w:rFonts w:hint="eastAsia" w:ascii="仿宋" w:hAnsi="仿宋" w:eastAsia="仿宋" w:cs="仿宋"/>
                <w:color w:val="auto"/>
                <w:sz w:val="24"/>
                <w:szCs w:val="24"/>
                <w:highlight w:val="none"/>
                <w:shd w:val="clear" w:color="auto" w:fill="FFFFFF" w:themeFill="background1"/>
              </w:rPr>
              <w:t>活动。</w:t>
            </w:r>
          </w:p>
        </w:tc>
        <w:tc>
          <w:tcPr>
            <w:tcW w:w="2405" w:type="pct"/>
            <w:tcBorders>
              <w:tl2br w:val="nil"/>
              <w:tr2bl w:val="nil"/>
            </w:tcBorders>
            <w:vAlign w:val="center"/>
          </w:tcPr>
          <w:p w14:paraId="255204DD">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以采购人或者采购代理机构查询记录为准。</w:t>
            </w:r>
          </w:p>
        </w:tc>
      </w:tr>
      <w:tr w14:paraId="7A433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433A49E5">
            <w:pPr>
              <w:spacing w:line="360" w:lineRule="auto"/>
              <w:jc w:val="center"/>
              <w:rPr>
                <w:rFonts w:hint="default"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3</w:t>
            </w:r>
          </w:p>
        </w:tc>
        <w:tc>
          <w:tcPr>
            <w:tcW w:w="2273" w:type="pct"/>
            <w:tcBorders>
              <w:tl2br w:val="nil"/>
              <w:tr2bl w:val="nil"/>
            </w:tcBorders>
            <w:vAlign w:val="center"/>
          </w:tcPr>
          <w:p w14:paraId="511D483D">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投标保证金必须按照招标文件要求缴纳。</w:t>
            </w:r>
          </w:p>
        </w:tc>
        <w:tc>
          <w:tcPr>
            <w:tcW w:w="2405" w:type="pct"/>
            <w:tcBorders>
              <w:tl2br w:val="nil"/>
              <w:tr2bl w:val="nil"/>
            </w:tcBorders>
            <w:vAlign w:val="center"/>
          </w:tcPr>
          <w:p w14:paraId="2EA0F2F4">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保证金缴纳凭证：投标人可将本项目保证金支付的汇款凭证、支票、汇票</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保函</w:t>
            </w:r>
            <w:r>
              <w:rPr>
                <w:rFonts w:hint="eastAsia" w:ascii="仿宋" w:hAnsi="仿宋" w:eastAsia="仿宋" w:cs="仿宋"/>
                <w:color w:val="auto"/>
                <w:sz w:val="24"/>
                <w:szCs w:val="24"/>
                <w:highlight w:val="none"/>
                <w:shd w:val="clear" w:color="auto" w:fill="FFFFFF" w:themeFill="background1"/>
              </w:rPr>
              <w:t>或保证金收据的扫描件作为缴纳凭证制作在投标文件中。</w:t>
            </w:r>
          </w:p>
        </w:tc>
      </w:tr>
      <w:tr w14:paraId="60442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0" w:hRule="atLeast"/>
          <w:jc w:val="center"/>
        </w:trPr>
        <w:tc>
          <w:tcPr>
            <w:tcW w:w="5000" w:type="pct"/>
            <w:gridSpan w:val="3"/>
            <w:tcBorders>
              <w:tl2br w:val="nil"/>
              <w:tr2bl w:val="nil"/>
            </w:tcBorders>
            <w:vAlign w:val="center"/>
          </w:tcPr>
          <w:p w14:paraId="2BCCE95E">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28A9CE73">
      <w:pPr>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《符合性审查标准》</w:t>
      </w:r>
      <w:bookmarkEnd w:id="32"/>
    </w:p>
    <w:tbl>
      <w:tblPr>
        <w:tblStyle w:val="41"/>
        <w:tblW w:w="502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65"/>
        <w:gridCol w:w="6714"/>
        <w:gridCol w:w="1057"/>
      </w:tblGrid>
      <w:tr w14:paraId="1A755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5" w:hRule="atLeast"/>
          <w:jc w:val="center"/>
        </w:trPr>
        <w:tc>
          <w:tcPr>
            <w:tcW w:w="339" w:type="pct"/>
            <w:tcBorders>
              <w:tl2br w:val="nil"/>
              <w:tr2bl w:val="nil"/>
            </w:tcBorders>
            <w:vAlign w:val="center"/>
          </w:tcPr>
          <w:p w14:paraId="347FB060">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序号</w:t>
            </w:r>
          </w:p>
        </w:tc>
        <w:tc>
          <w:tcPr>
            <w:tcW w:w="4027" w:type="pct"/>
            <w:tcBorders>
              <w:tl2br w:val="nil"/>
              <w:tr2bl w:val="nil"/>
            </w:tcBorders>
            <w:vAlign w:val="center"/>
          </w:tcPr>
          <w:p w14:paraId="11D627D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审查要求</w:t>
            </w:r>
          </w:p>
        </w:tc>
        <w:tc>
          <w:tcPr>
            <w:tcW w:w="633" w:type="pct"/>
            <w:tcBorders>
              <w:tl2br w:val="nil"/>
              <w:tr2bl w:val="nil"/>
            </w:tcBorders>
            <w:vAlign w:val="center"/>
          </w:tcPr>
          <w:p w14:paraId="65B9E50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要求说明</w:t>
            </w:r>
          </w:p>
        </w:tc>
      </w:tr>
      <w:tr w14:paraId="1E6ED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7C62D2B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w:t>
            </w:r>
          </w:p>
        </w:tc>
        <w:tc>
          <w:tcPr>
            <w:tcW w:w="4027" w:type="pct"/>
            <w:tcBorders>
              <w:tl2br w:val="nil"/>
              <w:tr2bl w:val="nil"/>
            </w:tcBorders>
            <w:vAlign w:val="center"/>
          </w:tcPr>
          <w:p w14:paraId="36C2371C">
            <w:pPr>
              <w:widowControl/>
              <w:shd w:val="clear" w:color="auto" w:fill="FFFFFF"/>
              <w:snapToGrid w:val="0"/>
              <w:spacing w:line="360" w:lineRule="auto"/>
              <w:rPr>
                <w:rFonts w:hint="eastAsia" w:ascii="仿宋" w:hAnsi="仿宋" w:eastAsia="仿宋" w:cs="仿宋"/>
                <w:color w:val="auto"/>
                <w:sz w:val="24"/>
                <w:szCs w:val="24"/>
                <w:highlight w:val="none"/>
                <w:shd w:val="clear" w:color="auto" w:fill="FFFFFF" w:themeFill="background1"/>
                <w:lang w:eastAsia="zh-CN"/>
              </w:rPr>
            </w:pPr>
            <w:r>
              <w:rPr>
                <w:rFonts w:hint="eastAsia" w:ascii="仿宋" w:hAnsi="仿宋" w:eastAsia="仿宋" w:cs="仿宋"/>
                <w:color w:val="auto"/>
                <w:sz w:val="24"/>
                <w:szCs w:val="24"/>
                <w:highlight w:val="none"/>
                <w:shd w:val="clear" w:color="auto" w:fill="FFFFFF" w:themeFill="background1"/>
                <w:lang w:val="en-US" w:eastAsia="zh-CN"/>
              </w:rPr>
              <w:t>投标文件</w:t>
            </w:r>
            <w:r>
              <w:rPr>
                <w:rFonts w:hint="eastAsia" w:ascii="仿宋" w:hAnsi="仿宋" w:eastAsia="仿宋" w:cs="仿宋"/>
                <w:color w:val="auto"/>
                <w:sz w:val="24"/>
                <w:szCs w:val="24"/>
                <w:highlight w:val="none"/>
                <w:shd w:val="clear" w:color="auto" w:fill="FFFFFF" w:themeFill="background1"/>
              </w:rPr>
              <w:t>必须按照</w:t>
            </w:r>
            <w:r>
              <w:rPr>
                <w:rFonts w:hint="eastAsia" w:ascii="仿宋" w:hAnsi="仿宋" w:eastAsia="仿宋" w:cs="仿宋"/>
                <w:color w:val="auto"/>
                <w:sz w:val="24"/>
                <w:szCs w:val="24"/>
                <w:highlight w:val="none"/>
                <w:shd w:val="clear" w:color="auto" w:fill="FFFFFF" w:themeFill="background1"/>
                <w:lang w:val="en-US" w:eastAsia="zh-CN"/>
              </w:rPr>
              <w:t>招标</w:t>
            </w:r>
            <w:r>
              <w:rPr>
                <w:rFonts w:hint="eastAsia" w:ascii="仿宋" w:hAnsi="仿宋" w:eastAsia="仿宋" w:cs="仿宋"/>
                <w:color w:val="auto"/>
                <w:sz w:val="24"/>
                <w:szCs w:val="24"/>
                <w:highlight w:val="none"/>
                <w:shd w:val="clear" w:color="auto" w:fill="FFFFFF" w:themeFill="background1"/>
              </w:rPr>
              <w:t>文件规定要求加盖</w:t>
            </w:r>
            <w:r>
              <w:rPr>
                <w:rFonts w:hint="eastAsia" w:ascii="仿宋" w:hAnsi="仿宋" w:eastAsia="仿宋" w:cs="仿宋"/>
                <w:color w:val="auto"/>
                <w:sz w:val="24"/>
                <w:szCs w:val="24"/>
                <w:highlight w:val="none"/>
                <w:shd w:val="clear" w:color="auto" w:fill="FFFFFF" w:themeFill="background1"/>
                <w:lang w:val="en-US" w:eastAsia="zh-CN"/>
              </w:rPr>
              <w:t>投标人</w:t>
            </w:r>
            <w:r>
              <w:rPr>
                <w:rFonts w:hint="eastAsia" w:ascii="仿宋" w:hAnsi="仿宋" w:eastAsia="仿宋" w:cs="仿宋"/>
                <w:color w:val="auto"/>
                <w:sz w:val="24"/>
                <w:szCs w:val="24"/>
                <w:highlight w:val="none"/>
                <w:shd w:val="clear" w:color="auto" w:fill="FFFFFF" w:themeFill="background1"/>
              </w:rPr>
              <w:t>、法定代表人电子印章</w:t>
            </w:r>
            <w:r>
              <w:rPr>
                <w:rFonts w:hint="eastAsia" w:ascii="仿宋" w:hAnsi="仿宋" w:eastAsia="仿宋" w:cs="仿宋"/>
                <w:color w:val="auto"/>
                <w:sz w:val="24"/>
                <w:szCs w:val="24"/>
                <w:highlight w:val="none"/>
                <w:shd w:val="clear" w:color="auto" w:fill="FFFFFF" w:themeFill="background1"/>
                <w:lang w:eastAsia="zh-CN"/>
              </w:rPr>
              <w:t>；</w:t>
            </w:r>
          </w:p>
        </w:tc>
        <w:tc>
          <w:tcPr>
            <w:tcW w:w="633" w:type="pct"/>
            <w:tcBorders>
              <w:tl2br w:val="nil"/>
              <w:tr2bl w:val="nil"/>
            </w:tcBorders>
            <w:vAlign w:val="center"/>
          </w:tcPr>
          <w:p w14:paraId="3C97912B">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w:t>
            </w:r>
          </w:p>
        </w:tc>
      </w:tr>
      <w:tr w14:paraId="06D660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57F01AA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w:t>
            </w:r>
          </w:p>
        </w:tc>
        <w:tc>
          <w:tcPr>
            <w:tcW w:w="4027" w:type="pct"/>
            <w:tcBorders>
              <w:tl2br w:val="nil"/>
              <w:tr2bl w:val="nil"/>
            </w:tcBorders>
            <w:vAlign w:val="center"/>
          </w:tcPr>
          <w:p w14:paraId="35CD709E">
            <w:pPr>
              <w:widowControl/>
              <w:shd w:val="clear" w:color="auto" w:fill="FFFFFF"/>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项目负责人简历表必须提供；</w:t>
            </w:r>
          </w:p>
        </w:tc>
        <w:tc>
          <w:tcPr>
            <w:tcW w:w="633" w:type="pct"/>
            <w:tcBorders>
              <w:tl2br w:val="nil"/>
              <w:tr2bl w:val="nil"/>
            </w:tcBorders>
            <w:vAlign w:val="center"/>
          </w:tcPr>
          <w:p w14:paraId="1136486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w:t>
            </w:r>
          </w:p>
        </w:tc>
      </w:tr>
      <w:tr w14:paraId="26E7D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6D35CF74">
            <w:pPr>
              <w:spacing w:line="360" w:lineRule="auto"/>
              <w:jc w:val="center"/>
              <w:rPr>
                <w:rFonts w:hint="eastAsia" w:ascii="仿宋" w:hAnsi="仿宋" w:eastAsia="仿宋" w:cs="仿宋"/>
                <w:color w:val="auto"/>
                <w:sz w:val="24"/>
                <w:szCs w:val="24"/>
                <w:highlight w:val="none"/>
                <w:shd w:val="clear" w:color="auto" w:fill="FFFFFF" w:themeFill="background1"/>
                <w:lang w:eastAsia="zh-CN"/>
              </w:rPr>
            </w:pPr>
            <w:r>
              <w:rPr>
                <w:rFonts w:hint="eastAsia" w:ascii="仿宋" w:hAnsi="仿宋" w:eastAsia="仿宋" w:cs="仿宋"/>
                <w:color w:val="auto"/>
                <w:sz w:val="24"/>
                <w:szCs w:val="24"/>
                <w:highlight w:val="none"/>
                <w:shd w:val="clear" w:color="auto" w:fill="FFFFFF" w:themeFill="background1"/>
                <w:lang w:val="en-US" w:eastAsia="zh-CN"/>
              </w:rPr>
              <w:t>3</w:t>
            </w:r>
          </w:p>
        </w:tc>
        <w:tc>
          <w:tcPr>
            <w:tcW w:w="4027" w:type="pct"/>
            <w:tcBorders>
              <w:tl2br w:val="nil"/>
              <w:tr2bl w:val="nil"/>
            </w:tcBorders>
            <w:vAlign w:val="center"/>
          </w:tcPr>
          <w:p w14:paraId="492FAF88">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供货及安装工期</w:t>
            </w:r>
            <w:r>
              <w:rPr>
                <w:rFonts w:hint="eastAsia" w:ascii="仿宋" w:hAnsi="仿宋" w:eastAsia="仿宋" w:cs="仿宋"/>
                <w:color w:val="auto"/>
                <w:kern w:val="0"/>
                <w:sz w:val="24"/>
                <w:szCs w:val="24"/>
                <w:highlight w:val="none"/>
              </w:rPr>
              <w:t>必须满足</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文件要求；</w:t>
            </w:r>
          </w:p>
        </w:tc>
        <w:tc>
          <w:tcPr>
            <w:tcW w:w="633" w:type="pct"/>
            <w:tcBorders>
              <w:tl2br w:val="nil"/>
              <w:tr2bl w:val="nil"/>
            </w:tcBorders>
            <w:vAlign w:val="center"/>
          </w:tcPr>
          <w:p w14:paraId="69E3360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w:t>
            </w:r>
          </w:p>
        </w:tc>
      </w:tr>
      <w:tr w14:paraId="01AF8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19593D88">
            <w:pPr>
              <w:spacing w:line="360" w:lineRule="auto"/>
              <w:jc w:val="center"/>
              <w:rPr>
                <w:rFonts w:hint="eastAsia"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4</w:t>
            </w:r>
          </w:p>
        </w:tc>
        <w:tc>
          <w:tcPr>
            <w:tcW w:w="4027" w:type="pct"/>
            <w:tcBorders>
              <w:tl2br w:val="nil"/>
              <w:tr2bl w:val="nil"/>
            </w:tcBorders>
            <w:vAlign w:val="center"/>
          </w:tcPr>
          <w:p w14:paraId="41F04586">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价格不得超过</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须知前附表中的采购预算金额；</w:t>
            </w:r>
          </w:p>
        </w:tc>
        <w:tc>
          <w:tcPr>
            <w:tcW w:w="633" w:type="pct"/>
            <w:tcBorders>
              <w:tl2br w:val="nil"/>
              <w:tr2bl w:val="nil"/>
            </w:tcBorders>
            <w:vAlign w:val="center"/>
          </w:tcPr>
          <w:p w14:paraId="4DA150C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w:t>
            </w:r>
          </w:p>
        </w:tc>
      </w:tr>
      <w:tr w14:paraId="65E6CD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137F1673">
            <w:pPr>
              <w:spacing w:line="360" w:lineRule="auto"/>
              <w:jc w:val="center"/>
              <w:rPr>
                <w:rFonts w:hint="default"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6</w:t>
            </w:r>
          </w:p>
        </w:tc>
        <w:tc>
          <w:tcPr>
            <w:tcW w:w="4027" w:type="pct"/>
            <w:tcBorders>
              <w:tl2br w:val="nil"/>
              <w:tr2bl w:val="nil"/>
            </w:tcBorders>
          </w:tcPr>
          <w:p w14:paraId="646B4C6C">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文件没有不符合</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文件实质性要求的。</w:t>
            </w:r>
          </w:p>
        </w:tc>
        <w:tc>
          <w:tcPr>
            <w:tcW w:w="633" w:type="pct"/>
            <w:tcBorders>
              <w:tl2br w:val="nil"/>
              <w:tr2bl w:val="nil"/>
            </w:tcBorders>
            <w:vAlign w:val="center"/>
          </w:tcPr>
          <w:p w14:paraId="3825679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w:t>
            </w:r>
          </w:p>
        </w:tc>
      </w:tr>
      <w:tr w14:paraId="26B9A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 w:hRule="atLeast"/>
          <w:jc w:val="center"/>
        </w:trPr>
        <w:tc>
          <w:tcPr>
            <w:tcW w:w="5000" w:type="pct"/>
            <w:gridSpan w:val="3"/>
            <w:tcBorders>
              <w:tl2br w:val="nil"/>
              <w:tr2bl w:val="nil"/>
            </w:tcBorders>
            <w:vAlign w:val="center"/>
          </w:tcPr>
          <w:p w14:paraId="3C97FB1E">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符合性审查中有一项不满足评审标准的，评标委员会将认定该投标人不通过符合性审查，不得进入下一阶段评审。并且不允许投标人通过修改或撤销其不符合要求的差异或保留，使之成为具有响应性的投标。</w:t>
            </w:r>
          </w:p>
        </w:tc>
      </w:tr>
    </w:tbl>
    <w:p w14:paraId="0DC93468">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81BE18B">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《详细评审标准》</w:t>
      </w:r>
    </w:p>
    <w:tbl>
      <w:tblPr>
        <w:tblStyle w:val="41"/>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635"/>
        <w:gridCol w:w="894"/>
        <w:gridCol w:w="7212"/>
        <w:gridCol w:w="837"/>
      </w:tblGrid>
      <w:tr w14:paraId="25EE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38" w:type="dxa"/>
            <w:tcBorders>
              <w:tl2br w:val="nil"/>
              <w:tr2bl w:val="nil"/>
            </w:tcBorders>
            <w:noWrap w:val="0"/>
            <w:vAlign w:val="center"/>
          </w:tcPr>
          <w:p w14:paraId="0FCFE6C9">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评审因素</w:t>
            </w:r>
          </w:p>
        </w:tc>
        <w:tc>
          <w:tcPr>
            <w:tcW w:w="635" w:type="dxa"/>
            <w:tcBorders>
              <w:tl2br w:val="nil"/>
              <w:tr2bl w:val="nil"/>
            </w:tcBorders>
            <w:noWrap w:val="0"/>
            <w:vAlign w:val="center"/>
          </w:tcPr>
          <w:p w14:paraId="2B71305E">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894" w:type="dxa"/>
            <w:tcBorders>
              <w:tl2br w:val="nil"/>
              <w:tr2bl w:val="nil"/>
            </w:tcBorders>
            <w:noWrap w:val="0"/>
            <w:vAlign w:val="center"/>
          </w:tcPr>
          <w:p w14:paraId="4FC5F31A">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评审点名称</w:t>
            </w:r>
          </w:p>
        </w:tc>
        <w:tc>
          <w:tcPr>
            <w:tcW w:w="7212" w:type="dxa"/>
            <w:tcBorders>
              <w:tl2br w:val="nil"/>
              <w:tr2bl w:val="nil"/>
            </w:tcBorders>
            <w:noWrap w:val="0"/>
            <w:vAlign w:val="center"/>
          </w:tcPr>
          <w:p w14:paraId="2B430A99">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评审标准</w:t>
            </w:r>
          </w:p>
        </w:tc>
        <w:tc>
          <w:tcPr>
            <w:tcW w:w="837" w:type="dxa"/>
            <w:tcBorders>
              <w:tl2br w:val="nil"/>
              <w:tr2bl w:val="nil"/>
            </w:tcBorders>
            <w:noWrap w:val="0"/>
            <w:vAlign w:val="center"/>
          </w:tcPr>
          <w:p w14:paraId="12EC536B">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分值</w:t>
            </w:r>
          </w:p>
        </w:tc>
      </w:tr>
      <w:tr w14:paraId="574C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tcBorders>
              <w:tl2br w:val="nil"/>
              <w:tr2bl w:val="nil"/>
            </w:tcBorders>
            <w:noWrap w:val="0"/>
            <w:vAlign w:val="center"/>
          </w:tcPr>
          <w:p w14:paraId="732D6A8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经济部分</w:t>
            </w:r>
          </w:p>
        </w:tc>
        <w:tc>
          <w:tcPr>
            <w:tcW w:w="635" w:type="dxa"/>
            <w:tcBorders>
              <w:tl2br w:val="nil"/>
              <w:tr2bl w:val="nil"/>
            </w:tcBorders>
            <w:noWrap w:val="0"/>
            <w:vAlign w:val="center"/>
          </w:tcPr>
          <w:p w14:paraId="6BC5856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94" w:type="dxa"/>
            <w:tcBorders>
              <w:tl2br w:val="nil"/>
              <w:tr2bl w:val="nil"/>
            </w:tcBorders>
            <w:noWrap w:val="0"/>
            <w:vAlign w:val="center"/>
          </w:tcPr>
          <w:p w14:paraId="7CB185E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价格评审</w:t>
            </w:r>
          </w:p>
        </w:tc>
        <w:tc>
          <w:tcPr>
            <w:tcW w:w="7212" w:type="dxa"/>
            <w:tcBorders>
              <w:tl2br w:val="nil"/>
              <w:tr2bl w:val="nil"/>
            </w:tcBorders>
            <w:noWrap w:val="0"/>
            <w:vAlign w:val="center"/>
          </w:tcPr>
          <w:p w14:paraId="295C4704">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价格分采用低价优先法计算，即满足招标文件要求且</w:t>
            </w:r>
            <w:r>
              <w:rPr>
                <w:rFonts w:hint="eastAsia" w:ascii="仿宋" w:hAnsi="仿宋" w:eastAsia="仿宋" w:cs="仿宋"/>
                <w:sz w:val="24"/>
                <w:szCs w:val="24"/>
              </w:rPr>
              <w:t>投标</w:t>
            </w:r>
            <w:r>
              <w:rPr>
                <w:rFonts w:hint="eastAsia" w:ascii="仿宋" w:hAnsi="仿宋" w:eastAsia="仿宋" w:cs="仿宋"/>
                <w:kern w:val="0"/>
                <w:sz w:val="24"/>
                <w:szCs w:val="24"/>
              </w:rPr>
              <w:t>价格最低的报价为评审基准价，其经济得分为满分，其他有效</w:t>
            </w:r>
            <w:r>
              <w:rPr>
                <w:rFonts w:hint="eastAsia" w:ascii="仿宋" w:hAnsi="仿宋" w:eastAsia="仿宋" w:cs="仿宋"/>
                <w:sz w:val="24"/>
                <w:szCs w:val="24"/>
              </w:rPr>
              <w:t>投标人</w:t>
            </w:r>
            <w:r>
              <w:rPr>
                <w:rFonts w:hint="eastAsia" w:ascii="仿宋" w:hAnsi="仿宋" w:eastAsia="仿宋" w:cs="仿宋"/>
                <w:kern w:val="0"/>
                <w:sz w:val="24"/>
                <w:szCs w:val="24"/>
              </w:rPr>
              <w:t>的经济得分统一按照下列公式计算：投标报价得分=（评审基准价／</w:t>
            </w:r>
            <w:r>
              <w:rPr>
                <w:rFonts w:hint="eastAsia" w:ascii="仿宋" w:hAnsi="仿宋" w:eastAsia="仿宋" w:cs="仿宋"/>
                <w:sz w:val="24"/>
                <w:szCs w:val="24"/>
              </w:rPr>
              <w:t>投标</w:t>
            </w:r>
            <w:r>
              <w:rPr>
                <w:rFonts w:hint="eastAsia" w:ascii="仿宋" w:hAnsi="仿宋" w:eastAsia="仿宋" w:cs="仿宋"/>
                <w:kern w:val="0"/>
                <w:sz w:val="24"/>
                <w:szCs w:val="24"/>
              </w:rPr>
              <w:t>报价）×价格权值×100评审过程中，不得去掉报价中的最高报价和最低报价。</w:t>
            </w:r>
          </w:p>
        </w:tc>
        <w:tc>
          <w:tcPr>
            <w:tcW w:w="837" w:type="dxa"/>
            <w:tcBorders>
              <w:tl2br w:val="nil"/>
              <w:tr2bl w:val="nil"/>
            </w:tcBorders>
            <w:noWrap w:val="0"/>
            <w:vAlign w:val="center"/>
          </w:tcPr>
          <w:p w14:paraId="7AD4755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30</w:t>
            </w:r>
          </w:p>
        </w:tc>
      </w:tr>
      <w:tr w14:paraId="752A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38" w:type="dxa"/>
            <w:tcBorders>
              <w:tl2br w:val="nil"/>
              <w:tr2bl w:val="nil"/>
            </w:tcBorders>
            <w:noWrap w:val="0"/>
            <w:vAlign w:val="center"/>
          </w:tcPr>
          <w:p w14:paraId="52355DF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商务部分</w:t>
            </w:r>
          </w:p>
        </w:tc>
        <w:tc>
          <w:tcPr>
            <w:tcW w:w="635" w:type="dxa"/>
            <w:tcBorders>
              <w:tl2br w:val="nil"/>
              <w:tr2bl w:val="nil"/>
            </w:tcBorders>
            <w:noWrap w:val="0"/>
            <w:vAlign w:val="center"/>
          </w:tcPr>
          <w:p w14:paraId="5E0E8E6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94" w:type="dxa"/>
            <w:tcBorders>
              <w:tl2br w:val="nil"/>
              <w:tr2bl w:val="nil"/>
            </w:tcBorders>
            <w:noWrap w:val="0"/>
            <w:vAlign w:val="center"/>
          </w:tcPr>
          <w:p w14:paraId="45BE374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类似业绩</w:t>
            </w:r>
          </w:p>
        </w:tc>
        <w:tc>
          <w:tcPr>
            <w:tcW w:w="7212" w:type="dxa"/>
            <w:tcBorders>
              <w:tl2br w:val="nil"/>
              <w:tr2bl w:val="nil"/>
            </w:tcBorders>
            <w:noWrap w:val="0"/>
            <w:vAlign w:val="center"/>
          </w:tcPr>
          <w:p w14:paraId="34BAEDF5">
            <w:pPr>
              <w:widowControl/>
              <w:jc w:val="left"/>
              <w:rPr>
                <w:rFonts w:hint="eastAsia" w:ascii="仿宋" w:hAnsi="仿宋" w:eastAsia="仿宋" w:cs="仿宋"/>
                <w:kern w:val="0"/>
                <w:sz w:val="24"/>
                <w:szCs w:val="24"/>
              </w:rPr>
            </w:pPr>
            <w:bookmarkStart w:id="33" w:name="OLE_LINK8"/>
            <w:bookmarkStart w:id="34" w:name="OLE_LINK9"/>
            <w:r>
              <w:rPr>
                <w:rFonts w:hint="eastAsia" w:ascii="仿宋" w:hAnsi="仿宋" w:eastAsia="仿宋" w:cs="仿宋"/>
                <w:kern w:val="0"/>
                <w:sz w:val="24"/>
                <w:szCs w:val="24"/>
              </w:rPr>
              <w:t>在投标文件中提供投标供应商202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月1日（以合同签订时间为准）以来的类似合同原件扫描件及验收报告扫描件，每提供一份有效业绩得1分，此项满分</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分，最低得0分。</w:t>
            </w:r>
          </w:p>
          <w:p w14:paraId="63E7D95D">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注：若合同页数过多，则可只上传主要页（包括采购具体内容、签约日期、双方盖章等内容）。业绩证明材料需清晰可辨认，否则视为无效业绩。</w:t>
            </w:r>
            <w:bookmarkEnd w:id="33"/>
            <w:bookmarkEnd w:id="34"/>
          </w:p>
        </w:tc>
        <w:tc>
          <w:tcPr>
            <w:tcW w:w="837" w:type="dxa"/>
            <w:tcBorders>
              <w:tl2br w:val="nil"/>
              <w:tr2bl w:val="nil"/>
            </w:tcBorders>
            <w:noWrap w:val="0"/>
            <w:vAlign w:val="center"/>
          </w:tcPr>
          <w:p w14:paraId="69C8060C">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w:t>
            </w:r>
          </w:p>
        </w:tc>
      </w:tr>
      <w:tr w14:paraId="20DA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3" w:hRule="atLeast"/>
          <w:jc w:val="center"/>
        </w:trPr>
        <w:tc>
          <w:tcPr>
            <w:tcW w:w="838" w:type="dxa"/>
            <w:vMerge w:val="restart"/>
            <w:tcBorders>
              <w:tl2br w:val="nil"/>
              <w:tr2bl w:val="nil"/>
            </w:tcBorders>
            <w:noWrap w:val="0"/>
            <w:vAlign w:val="center"/>
          </w:tcPr>
          <w:p w14:paraId="71703DB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技术部分</w:t>
            </w:r>
          </w:p>
        </w:tc>
        <w:tc>
          <w:tcPr>
            <w:tcW w:w="635" w:type="dxa"/>
            <w:tcBorders>
              <w:tl2br w:val="nil"/>
              <w:tr2bl w:val="nil"/>
            </w:tcBorders>
            <w:noWrap w:val="0"/>
            <w:vAlign w:val="center"/>
          </w:tcPr>
          <w:p w14:paraId="437EEC4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94" w:type="dxa"/>
            <w:tcBorders>
              <w:tl2br w:val="nil"/>
              <w:tr2bl w:val="nil"/>
            </w:tcBorders>
            <w:noWrap w:val="0"/>
            <w:vAlign w:val="center"/>
          </w:tcPr>
          <w:p w14:paraId="4EC7069D">
            <w:pPr>
              <w:widowControl/>
              <w:jc w:val="center"/>
              <w:rPr>
                <w:rFonts w:hint="eastAsia" w:ascii="仿宋" w:hAnsi="仿宋" w:eastAsia="仿宋" w:cs="仿宋"/>
                <w:kern w:val="0"/>
                <w:sz w:val="24"/>
                <w:szCs w:val="24"/>
              </w:rPr>
            </w:pPr>
            <w:r>
              <w:rPr>
                <w:rFonts w:hint="eastAsia" w:ascii="仿宋" w:hAnsi="仿宋" w:eastAsia="仿宋" w:cs="仿宋"/>
                <w:sz w:val="24"/>
                <w:szCs w:val="24"/>
              </w:rPr>
              <w:t>配置及性能指标</w:t>
            </w:r>
          </w:p>
        </w:tc>
        <w:tc>
          <w:tcPr>
            <w:tcW w:w="7212" w:type="dxa"/>
            <w:tcBorders>
              <w:tl2br w:val="nil"/>
              <w:tr2bl w:val="nil"/>
            </w:tcBorders>
            <w:noWrap w:val="0"/>
            <w:vAlign w:val="center"/>
          </w:tcPr>
          <w:p w14:paraId="218ADE67">
            <w:pPr>
              <w:widowControl/>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投标人须如实详细描述所投产品的具体参数，对招标文件所有技术参数条款逐条列出是否响应，需对技术偏离表逐条对比撰写，不得简单填写为“均响应”、“完全响应”等同等含义的文字表述，评标专家根据各投标人的投标文件中所描述的详细参数及相关证明资料进行综合评审。技术规格部分得分需根据所投产品的配置与性能指标的响应程度打分，全部满足的得34分。其中标注“★”号的技术参数为重要技术指标，低于招标文件规定的相应技术指标、参数的，每项扣2分；其它未标注“★”号的技术参数为一般技术指标，每有一项指标低于要求的扣0.5分，扣完为止。</w:t>
            </w:r>
          </w:p>
          <w:p w14:paraId="27D503F4">
            <w:pPr>
              <w:widowControl/>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注：标注“★”号的关键技术参数须提供技术支持资料作为评审依据，包括但不限于有效内所投产品认证证书、技术白皮书、详细参数彩页、检测报告、产品官网截图、产品注册证等佐证材料，未按要求提供佐证材料的或佐证材料不能证明其满足参数技术指标的，将被视为负偏离。</w:t>
            </w:r>
          </w:p>
        </w:tc>
        <w:tc>
          <w:tcPr>
            <w:tcW w:w="837" w:type="dxa"/>
            <w:tcBorders>
              <w:tl2br w:val="nil"/>
              <w:tr2bl w:val="nil"/>
            </w:tcBorders>
            <w:noWrap w:val="0"/>
            <w:vAlign w:val="center"/>
          </w:tcPr>
          <w:p w14:paraId="43A624A5">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34</w:t>
            </w:r>
          </w:p>
        </w:tc>
      </w:tr>
      <w:tr w14:paraId="348C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tcBorders>
              <w:tl2br w:val="nil"/>
              <w:tr2bl w:val="nil"/>
            </w:tcBorders>
            <w:noWrap w:val="0"/>
            <w:vAlign w:val="center"/>
          </w:tcPr>
          <w:p w14:paraId="613B7E5A">
            <w:pPr>
              <w:widowControl/>
              <w:jc w:val="center"/>
              <w:rPr>
                <w:rFonts w:hint="eastAsia" w:ascii="仿宋" w:hAnsi="仿宋" w:eastAsia="仿宋" w:cs="仿宋"/>
                <w:kern w:val="0"/>
                <w:sz w:val="24"/>
                <w:szCs w:val="24"/>
              </w:rPr>
            </w:pPr>
          </w:p>
        </w:tc>
        <w:tc>
          <w:tcPr>
            <w:tcW w:w="635" w:type="dxa"/>
            <w:tcBorders>
              <w:tl2br w:val="nil"/>
              <w:tr2bl w:val="nil"/>
            </w:tcBorders>
            <w:noWrap w:val="0"/>
            <w:vAlign w:val="center"/>
          </w:tcPr>
          <w:p w14:paraId="75256AB7">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894" w:type="dxa"/>
            <w:tcBorders>
              <w:tl2br w:val="nil"/>
              <w:tr2bl w:val="nil"/>
            </w:tcBorders>
            <w:noWrap w:val="0"/>
            <w:vAlign w:val="center"/>
          </w:tcPr>
          <w:p w14:paraId="6489CB33">
            <w:pPr>
              <w:widowControl/>
              <w:jc w:val="center"/>
              <w:rPr>
                <w:rFonts w:hint="eastAsia" w:ascii="仿宋" w:hAnsi="仿宋" w:eastAsia="仿宋" w:cs="仿宋"/>
                <w:sz w:val="24"/>
                <w:szCs w:val="24"/>
                <w:lang w:val="en-US" w:eastAsia="zh-CN"/>
              </w:rPr>
            </w:pPr>
            <w:r>
              <w:rPr>
                <w:rFonts w:hint="eastAsia" w:ascii="仿宋" w:hAnsi="仿宋" w:eastAsia="仿宋" w:cs="仿宋"/>
                <w:lang w:val="en-US" w:eastAsia="zh-CN"/>
              </w:rPr>
              <w:t>重要技术方案功能设计满足响应</w:t>
            </w:r>
          </w:p>
        </w:tc>
        <w:tc>
          <w:tcPr>
            <w:tcW w:w="7212" w:type="dxa"/>
            <w:tcBorders>
              <w:tl2br w:val="nil"/>
              <w:tr2bl w:val="nil"/>
            </w:tcBorders>
            <w:noWrap w:val="0"/>
            <w:vAlign w:val="center"/>
          </w:tcPr>
          <w:p w14:paraId="4B1B8CA3">
            <w:pPr>
              <w:widowControl/>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1.信创桌面管理平台要和现有云桌面平台无缝对接。</w:t>
            </w:r>
          </w:p>
          <w:p w14:paraId="650D6E58">
            <w:pPr>
              <w:widowControl/>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2.集中控制管理平台要和现有的集控管理平台无缝对接。</w:t>
            </w:r>
          </w:p>
          <w:p w14:paraId="5275B815">
            <w:pPr>
              <w:widowControl/>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r>
              <w:rPr>
                <w:rFonts w:hint="default" w:ascii="仿宋" w:hAnsi="仿宋" w:eastAsia="仿宋" w:cs="仿宋"/>
                <w:kern w:val="0"/>
                <w:sz w:val="24"/>
                <w:szCs w:val="24"/>
                <w:lang w:val="en-US" w:eastAsia="zh-CN" w:bidi="ar-SA"/>
              </w:rPr>
              <w:t>数字班牌</w:t>
            </w:r>
            <w:r>
              <w:rPr>
                <w:rFonts w:hint="eastAsia" w:ascii="仿宋" w:hAnsi="仿宋" w:eastAsia="仿宋" w:cs="仿宋"/>
                <w:kern w:val="0"/>
                <w:sz w:val="24"/>
                <w:szCs w:val="24"/>
                <w:lang w:val="en-US" w:eastAsia="zh-CN" w:bidi="ar-SA"/>
              </w:rPr>
              <w:t>中信息发布系统要和学校现有的智慧化校园平台对接。</w:t>
            </w:r>
          </w:p>
          <w:p w14:paraId="7EC767E1">
            <w:pPr>
              <w:widowControl/>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以上平台对接内容用户单位出具确认可实现无缝对接盖章的证明材料。</w:t>
            </w:r>
          </w:p>
        </w:tc>
        <w:tc>
          <w:tcPr>
            <w:tcW w:w="837" w:type="dxa"/>
            <w:tcBorders>
              <w:tl2br w:val="nil"/>
              <w:tr2bl w:val="nil"/>
            </w:tcBorders>
            <w:noWrap w:val="0"/>
            <w:vAlign w:val="center"/>
          </w:tcPr>
          <w:p w14:paraId="0A642B7D">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w:t>
            </w:r>
          </w:p>
        </w:tc>
      </w:tr>
      <w:tr w14:paraId="617A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tcBorders>
              <w:tl2br w:val="nil"/>
              <w:tr2bl w:val="nil"/>
            </w:tcBorders>
            <w:noWrap w:val="0"/>
            <w:vAlign w:val="center"/>
          </w:tcPr>
          <w:p w14:paraId="05A8907C">
            <w:pPr>
              <w:widowControl/>
              <w:jc w:val="center"/>
              <w:rPr>
                <w:rFonts w:hint="eastAsia" w:ascii="仿宋" w:hAnsi="仿宋" w:eastAsia="仿宋" w:cs="仿宋"/>
                <w:kern w:val="0"/>
                <w:sz w:val="24"/>
                <w:szCs w:val="24"/>
              </w:rPr>
            </w:pPr>
          </w:p>
        </w:tc>
        <w:tc>
          <w:tcPr>
            <w:tcW w:w="635" w:type="dxa"/>
            <w:tcBorders>
              <w:tl2br w:val="nil"/>
              <w:tr2bl w:val="nil"/>
            </w:tcBorders>
            <w:noWrap w:val="0"/>
            <w:vAlign w:val="center"/>
          </w:tcPr>
          <w:p w14:paraId="48F47C8F">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894" w:type="dxa"/>
            <w:tcBorders>
              <w:tl2br w:val="nil"/>
              <w:tr2bl w:val="nil"/>
            </w:tcBorders>
            <w:noWrap w:val="0"/>
            <w:vAlign w:val="center"/>
          </w:tcPr>
          <w:p w14:paraId="18743067">
            <w:pPr>
              <w:widowControl/>
              <w:jc w:val="center"/>
              <w:rPr>
                <w:rFonts w:hint="eastAsia" w:ascii="仿宋" w:hAnsi="仿宋" w:eastAsia="仿宋" w:cs="仿宋"/>
                <w:lang w:val="en-US" w:eastAsia="zh-CN"/>
              </w:rPr>
            </w:pPr>
            <w:r>
              <w:rPr>
                <w:rFonts w:hint="eastAsia" w:ascii="宋体" w:hAnsi="宋体" w:eastAsia="宋体" w:cs="宋体"/>
                <w:color w:val="auto"/>
                <w:kern w:val="2"/>
                <w:sz w:val="21"/>
                <w:szCs w:val="21"/>
                <w:lang w:val="zh-CN" w:eastAsia="zh-CN" w:bidi="ar-SA"/>
              </w:rPr>
              <w:t>实施方案</w:t>
            </w:r>
          </w:p>
        </w:tc>
        <w:tc>
          <w:tcPr>
            <w:tcW w:w="7212" w:type="dxa"/>
            <w:tcBorders>
              <w:tl2br w:val="nil"/>
              <w:tr2bl w:val="nil"/>
            </w:tcBorders>
            <w:noWrap w:val="0"/>
            <w:vAlign w:val="center"/>
          </w:tcPr>
          <w:p w14:paraId="3AE4AD5B">
            <w:pPr>
              <w:widowControl/>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投标人对招标文件中实施要求，提供项目实施方案内容至少包含但不限于①项目实施前准备工作、工期进度计划；②项目实施 团队、人员分工安排；③项目实施策略、管控措施及总体实施流程；④系统部署、安装、测试及试运行方案措施。</w:t>
            </w:r>
          </w:p>
          <w:p w14:paraId="74E65D49">
            <w:pPr>
              <w:widowControl/>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方案提供完整且符合项目实际情况的得8分，其中每有 1 项未提供扣 2分，扣完为止。</w:t>
            </w:r>
          </w:p>
        </w:tc>
        <w:tc>
          <w:tcPr>
            <w:tcW w:w="837" w:type="dxa"/>
            <w:tcBorders>
              <w:tl2br w:val="nil"/>
              <w:tr2bl w:val="nil"/>
            </w:tcBorders>
            <w:noWrap w:val="0"/>
            <w:vAlign w:val="center"/>
          </w:tcPr>
          <w:p w14:paraId="2029DA81">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r>
      <w:tr w14:paraId="6975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838" w:type="dxa"/>
            <w:vMerge w:val="continue"/>
            <w:tcBorders>
              <w:tl2br w:val="nil"/>
              <w:tr2bl w:val="nil"/>
            </w:tcBorders>
            <w:noWrap w:val="0"/>
            <w:vAlign w:val="center"/>
          </w:tcPr>
          <w:p w14:paraId="0BAFFC95">
            <w:pPr>
              <w:widowControl/>
              <w:jc w:val="left"/>
              <w:rPr>
                <w:rFonts w:hint="eastAsia" w:ascii="仿宋" w:hAnsi="仿宋" w:eastAsia="仿宋" w:cs="仿宋"/>
                <w:kern w:val="0"/>
                <w:sz w:val="24"/>
                <w:szCs w:val="24"/>
              </w:rPr>
            </w:pPr>
          </w:p>
        </w:tc>
        <w:tc>
          <w:tcPr>
            <w:tcW w:w="635" w:type="dxa"/>
            <w:tcBorders>
              <w:tl2br w:val="nil"/>
              <w:tr2bl w:val="nil"/>
            </w:tcBorders>
            <w:noWrap w:val="0"/>
            <w:vAlign w:val="center"/>
          </w:tcPr>
          <w:p w14:paraId="093CBB41">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894" w:type="dxa"/>
            <w:tcBorders>
              <w:tl2br w:val="nil"/>
              <w:tr2bl w:val="nil"/>
            </w:tcBorders>
            <w:noWrap w:val="0"/>
            <w:vAlign w:val="center"/>
          </w:tcPr>
          <w:p w14:paraId="17F39B65">
            <w:pPr>
              <w:widowControl/>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售后服务</w:t>
            </w:r>
          </w:p>
        </w:tc>
        <w:tc>
          <w:tcPr>
            <w:tcW w:w="7212" w:type="dxa"/>
            <w:tcBorders>
              <w:tl2br w:val="nil"/>
              <w:tr2bl w:val="nil"/>
            </w:tcBorders>
            <w:noWrap w:val="0"/>
            <w:vAlign w:val="center"/>
          </w:tcPr>
          <w:p w14:paraId="04037E36">
            <w:pPr>
              <w:widowControl/>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根据投标人提供的售后服务方案内容进行综合评审。售后服务方案内容充分，详细具体，内容包括：①服务方案承诺②响应时间③服务流程（包括故障处理、上门维护、紧急维护、重要服务、电话回访维护等）④售后服务记录（包括服务报告、质量考核评估、满意度调查、电话回访记录）。经评标委员会评审，以上内容均能满足采购需求且进行详细说明的得满分8分，每有一条方案内容未进行详细说明或者内容不适用本项目的扣2分，扣至0分为止。未提供上述方案的本项不得分。</w:t>
            </w:r>
          </w:p>
        </w:tc>
        <w:tc>
          <w:tcPr>
            <w:tcW w:w="837" w:type="dxa"/>
            <w:tcBorders>
              <w:tl2br w:val="nil"/>
              <w:tr2bl w:val="nil"/>
            </w:tcBorders>
            <w:noWrap w:val="0"/>
            <w:vAlign w:val="center"/>
          </w:tcPr>
          <w:p w14:paraId="700BECFA">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r>
      <w:tr w14:paraId="09E3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38" w:type="dxa"/>
            <w:vMerge w:val="continue"/>
            <w:tcBorders>
              <w:tl2br w:val="nil"/>
              <w:tr2bl w:val="nil"/>
            </w:tcBorders>
            <w:noWrap w:val="0"/>
            <w:vAlign w:val="center"/>
          </w:tcPr>
          <w:p w14:paraId="19FBB95C">
            <w:pPr>
              <w:widowControl/>
              <w:jc w:val="left"/>
              <w:rPr>
                <w:rFonts w:hint="eastAsia" w:ascii="仿宋" w:hAnsi="仿宋" w:eastAsia="仿宋" w:cs="仿宋"/>
                <w:kern w:val="0"/>
                <w:sz w:val="24"/>
                <w:szCs w:val="24"/>
              </w:rPr>
            </w:pPr>
          </w:p>
        </w:tc>
        <w:tc>
          <w:tcPr>
            <w:tcW w:w="635" w:type="dxa"/>
            <w:tcBorders>
              <w:tl2br w:val="nil"/>
              <w:tr2bl w:val="nil"/>
            </w:tcBorders>
            <w:noWrap w:val="0"/>
            <w:vAlign w:val="center"/>
          </w:tcPr>
          <w:p w14:paraId="593B45E6">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w:t>
            </w:r>
          </w:p>
        </w:tc>
        <w:tc>
          <w:tcPr>
            <w:tcW w:w="894" w:type="dxa"/>
            <w:tcBorders>
              <w:tl2br w:val="nil"/>
              <w:tr2bl w:val="nil"/>
            </w:tcBorders>
            <w:noWrap w:val="0"/>
            <w:vAlign w:val="center"/>
          </w:tcPr>
          <w:p w14:paraId="4218755D">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培训方案</w:t>
            </w:r>
          </w:p>
        </w:tc>
        <w:tc>
          <w:tcPr>
            <w:tcW w:w="7212" w:type="dxa"/>
            <w:tcBorders>
              <w:tl2br w:val="nil"/>
              <w:tr2bl w:val="nil"/>
            </w:tcBorders>
            <w:noWrap w:val="0"/>
            <w:vAlign w:val="center"/>
          </w:tcPr>
          <w:p w14:paraId="66BED130">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根据投标人提供的项目培训方案进行评分：</w:t>
            </w:r>
          </w:p>
          <w:p w14:paraId="3375491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项目培训方案包括但不限于</w:t>
            </w:r>
            <w:r>
              <w:rPr>
                <w:rFonts w:hint="eastAsia" w:ascii="仿宋" w:hAnsi="仿宋" w:eastAsia="仿宋" w:cs="仿宋"/>
                <w:kern w:val="0"/>
                <w:sz w:val="24"/>
                <w:szCs w:val="24"/>
                <w:lang w:val="en-US" w:eastAsia="zh-CN"/>
              </w:rPr>
              <w:t>①</w:t>
            </w:r>
            <w:r>
              <w:rPr>
                <w:rFonts w:hint="eastAsia" w:ascii="仿宋" w:hAnsi="仿宋" w:eastAsia="仿宋" w:cs="仿宋"/>
                <w:kern w:val="0"/>
                <w:sz w:val="24"/>
                <w:szCs w:val="24"/>
              </w:rPr>
              <w:t>培训内容、</w:t>
            </w:r>
            <w:r>
              <w:rPr>
                <w:rFonts w:hint="eastAsia" w:ascii="仿宋" w:hAnsi="仿宋" w:eastAsia="仿宋" w:cs="仿宋"/>
                <w:kern w:val="0"/>
                <w:sz w:val="24"/>
                <w:szCs w:val="24"/>
                <w:lang w:val="en-US" w:eastAsia="zh-CN"/>
              </w:rPr>
              <w:t>计划②</w:t>
            </w:r>
            <w:r>
              <w:rPr>
                <w:rFonts w:hint="eastAsia" w:ascii="仿宋" w:hAnsi="仿宋" w:eastAsia="仿宋" w:cs="仿宋"/>
                <w:kern w:val="0"/>
                <w:sz w:val="24"/>
                <w:szCs w:val="24"/>
              </w:rPr>
              <w:t>培训方式、</w:t>
            </w:r>
            <w:r>
              <w:rPr>
                <w:rFonts w:hint="eastAsia" w:ascii="仿宋" w:hAnsi="仿宋" w:eastAsia="仿宋" w:cs="仿宋"/>
                <w:kern w:val="0"/>
                <w:sz w:val="24"/>
                <w:szCs w:val="24"/>
                <w:lang w:val="en-US" w:eastAsia="zh-CN"/>
              </w:rPr>
              <w:t>③</w:t>
            </w:r>
            <w:r>
              <w:rPr>
                <w:rFonts w:hint="eastAsia" w:ascii="仿宋" w:hAnsi="仿宋" w:eastAsia="仿宋" w:cs="仿宋"/>
                <w:kern w:val="0"/>
                <w:sz w:val="24"/>
                <w:szCs w:val="24"/>
              </w:rPr>
              <w:t>培训团队人员配置等</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项内容，方案</w:t>
            </w:r>
            <w:r>
              <w:rPr>
                <w:rFonts w:hint="eastAsia" w:ascii="仿宋" w:hAnsi="仿宋" w:eastAsia="仿宋" w:cs="仿宋"/>
                <w:kern w:val="0"/>
                <w:sz w:val="24"/>
                <w:szCs w:val="24"/>
                <w:lang w:val="en-US" w:eastAsia="zh-CN"/>
              </w:rPr>
              <w:t>内容阐述合理，可实施性强，涵盖内容全面，符合项目实际的</w:t>
            </w:r>
            <w:r>
              <w:rPr>
                <w:rFonts w:hint="eastAsia" w:ascii="仿宋" w:hAnsi="仿宋" w:eastAsia="仿宋" w:cs="仿宋"/>
                <w:kern w:val="0"/>
                <w:sz w:val="24"/>
                <w:szCs w:val="24"/>
              </w:rPr>
              <w:t>，得</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分；每缺一项内容减</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分，每有一项内容存在缺陷（缺陷指内容阐述不清晰，存在偏差或过于简略）的减0.5分，专家遵循公平、公正、科学、择优的原则进行综合评审，减完为止。未提供方案得0分。此项满分</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w:t>
            </w:r>
          </w:p>
        </w:tc>
        <w:tc>
          <w:tcPr>
            <w:tcW w:w="837" w:type="dxa"/>
            <w:tcBorders>
              <w:tl2br w:val="nil"/>
              <w:tr2bl w:val="nil"/>
            </w:tcBorders>
            <w:noWrap w:val="0"/>
            <w:vAlign w:val="center"/>
          </w:tcPr>
          <w:p w14:paraId="396E0CFF">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6</w:t>
            </w:r>
          </w:p>
        </w:tc>
      </w:tr>
      <w:tr w14:paraId="0D06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0416" w:type="dxa"/>
            <w:gridSpan w:val="5"/>
            <w:tcBorders>
              <w:tl2br w:val="nil"/>
              <w:tr2bl w:val="nil"/>
            </w:tcBorders>
            <w:noWrap w:val="0"/>
            <w:vAlign w:val="center"/>
          </w:tcPr>
          <w:p w14:paraId="6F371B08">
            <w:pPr>
              <w:widowControl/>
              <w:jc w:val="left"/>
              <w:rPr>
                <w:rFonts w:hint="eastAsia" w:ascii="仿宋" w:hAnsi="仿宋" w:eastAsia="仿宋" w:cs="仿宋"/>
                <w:kern w:val="0"/>
                <w:sz w:val="24"/>
                <w:szCs w:val="24"/>
                <w:lang w:val="en-US" w:eastAsia="zh-CN"/>
              </w:rPr>
            </w:pPr>
            <w:r>
              <w:rPr>
                <w:rFonts w:hint="eastAsia" w:ascii="仿宋" w:hAnsi="仿宋" w:eastAsia="仿宋" w:cs="仿宋"/>
                <w:color w:val="auto"/>
                <w:kern w:val="0"/>
                <w:sz w:val="24"/>
                <w:szCs w:val="24"/>
                <w:highlight w:val="none"/>
                <w:lang w:val="en-US" w:eastAsia="zh-CN"/>
              </w:rPr>
              <w:t>说明：本评审内容中“内容缺陷”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bl>
    <w:p w14:paraId="0F8AD9B2">
      <w:pPr>
        <w:spacing w:line="360" w:lineRule="auto"/>
        <w:rPr>
          <w:rFonts w:hint="eastAsia" w:ascii="仿宋" w:hAnsi="仿宋" w:eastAsia="仿宋" w:cs="仿宋"/>
          <w:color w:val="auto"/>
          <w:kern w:val="0"/>
          <w:sz w:val="24"/>
          <w:szCs w:val="24"/>
          <w:highlight w:val="none"/>
          <w:lang w:val="en-US" w:eastAsia="zh-CN"/>
        </w:rPr>
      </w:pPr>
    </w:p>
    <w:p w14:paraId="1ADE3567">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rPr>
      </w:pPr>
      <w:bookmarkStart w:id="35" w:name="_Toc9150"/>
      <w:r>
        <w:rPr>
          <w:rFonts w:hint="eastAsia" w:ascii="仿宋" w:hAnsi="仿宋" w:eastAsia="仿宋" w:cs="仿宋"/>
          <w:b/>
          <w:color w:val="auto"/>
          <w:sz w:val="24"/>
          <w:szCs w:val="24"/>
          <w:highlight w:val="none"/>
        </w:rPr>
        <w:t>1. 评标方法</w:t>
      </w:r>
      <w:bookmarkEnd w:id="35"/>
    </w:p>
    <w:p w14:paraId="57F9B6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14:paraId="137EF545">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rPr>
      </w:pPr>
      <w:bookmarkStart w:id="36" w:name="_Toc9620"/>
      <w:r>
        <w:rPr>
          <w:rFonts w:hint="eastAsia" w:ascii="仿宋" w:hAnsi="仿宋" w:eastAsia="仿宋" w:cs="仿宋"/>
          <w:b/>
          <w:color w:val="auto"/>
          <w:sz w:val="24"/>
          <w:szCs w:val="24"/>
          <w:highlight w:val="none"/>
        </w:rPr>
        <w:t>2. 评标标准</w:t>
      </w:r>
      <w:bookmarkEnd w:id="36"/>
    </w:p>
    <w:p w14:paraId="297BF5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资格审查：评标因素和评标标准见《资格审查标准》。</w:t>
      </w:r>
    </w:p>
    <w:p w14:paraId="6224CB67">
      <w:pPr>
        <w:widowControl/>
        <w:shd w:val="clear" w:color="auto" w:fill="FFFFFF"/>
        <w:snapToGrid w:val="0"/>
        <w:spacing w:line="360" w:lineRule="auto"/>
        <w:ind w:left="479" w:leftChars="22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 符合性审查：评标因素和评标标准见《符合性审查标准》。</w:t>
      </w:r>
    </w:p>
    <w:p w14:paraId="55D41529">
      <w:pPr>
        <w:widowControl/>
        <w:shd w:val="clear" w:color="auto" w:fill="FFFFFF"/>
        <w:snapToGrid w:val="0"/>
        <w:spacing w:line="360" w:lineRule="auto"/>
        <w:ind w:left="479" w:leftChars="22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2.3详细评审：</w:t>
      </w:r>
    </w:p>
    <w:p w14:paraId="422E0D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2.3.1详细评审：评标因素和评标标准见《详细评审标准》及本节第3.5款。</w:t>
      </w:r>
    </w:p>
    <w:p w14:paraId="1AEBDD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投标报价评分标准：</w:t>
      </w:r>
    </w:p>
    <w:p w14:paraId="2FEBE8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（1）分值构成及权重：见评标办法前附表。</w:t>
      </w:r>
    </w:p>
    <w:p w14:paraId="44D136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（2）评标基准价计算：见评标办法前附表。</w:t>
      </w:r>
    </w:p>
    <w:p w14:paraId="4C3FB7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0305845A">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rPr>
      </w:pPr>
      <w:bookmarkStart w:id="37" w:name="_Toc13856"/>
      <w:r>
        <w:rPr>
          <w:rFonts w:hint="eastAsia" w:ascii="仿宋" w:hAnsi="仿宋" w:eastAsia="仿宋" w:cs="仿宋"/>
          <w:b/>
          <w:color w:val="auto"/>
          <w:sz w:val="24"/>
          <w:szCs w:val="24"/>
          <w:highlight w:val="none"/>
        </w:rPr>
        <w:t>3. 评标程序</w:t>
      </w:r>
      <w:bookmarkEnd w:id="37"/>
    </w:p>
    <w:p w14:paraId="4ACFE1DA">
      <w:pPr>
        <w:tabs>
          <w:tab w:val="center" w:pos="4832"/>
          <w:tab w:val="left" w:pos="7140"/>
        </w:tabs>
        <w:spacing w:line="360" w:lineRule="auto"/>
        <w:ind w:firstLine="470" w:firstLineChars="19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3.1基本程序</w:t>
      </w:r>
    </w:p>
    <w:p w14:paraId="313A4A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FE492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（1）评标准备</w:t>
      </w:r>
    </w:p>
    <w:p w14:paraId="24BB97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（2）资格审查</w:t>
      </w:r>
    </w:p>
    <w:p w14:paraId="3B2322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（3）符合性审查</w:t>
      </w:r>
    </w:p>
    <w:p w14:paraId="4C2AE7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（4）详细评审</w:t>
      </w:r>
    </w:p>
    <w:p w14:paraId="0820FDD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（5）澄清、说明或补正</w:t>
      </w:r>
    </w:p>
    <w:p w14:paraId="1AF403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（6）推荐中标候选人及提交评标报告</w:t>
      </w:r>
    </w:p>
    <w:p w14:paraId="67D7276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1D28B3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3.2.1评标小组成员签到</w:t>
      </w:r>
    </w:p>
    <w:p w14:paraId="326793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评标小组成员到达评标现场时应当在签到表上签到以证明其出席。</w:t>
      </w:r>
    </w:p>
    <w:p w14:paraId="078B79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评标小组的分工</w:t>
      </w:r>
    </w:p>
    <w:p w14:paraId="4D0E28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3.2.2.1评标小组首先推选一名评标小组主任。评标小组主任负责评标活动的组织领导工作。评标小组主任与评标小组其他成员具有同等的评标权力。</w:t>
      </w:r>
    </w:p>
    <w:p w14:paraId="6DAF495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评标小组主任除履行自己作为评标小组成员独立评标的职责外，主要负责以下工作：</w:t>
      </w:r>
    </w:p>
    <w:p w14:paraId="5EE842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（1）组织评标小组成员学习招标文件；</w:t>
      </w:r>
    </w:p>
    <w:p w14:paraId="5EB328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（2）汇总各评标小组成员认为需要投标人澄清、说明或者补正的问题；</w:t>
      </w:r>
    </w:p>
    <w:p w14:paraId="7FB7E4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（3）组织评标小组对投标人质询并对投标人的答复进行评标；</w:t>
      </w:r>
    </w:p>
    <w:p w14:paraId="35F4A2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3298E0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（5）组织收回评标过程中使用的文件、表格和评标记录以及其他资料，并查验评标记录的完整性及有效性；</w:t>
      </w:r>
    </w:p>
    <w:p w14:paraId="78FDA1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6308FA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33918D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5DCCBE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评标小组主任应当组织评标小组成员认真研究招标文件，了解和熟悉招标目的、采购范围、主要合同条件、</w:t>
      </w:r>
      <w:r>
        <w:rPr>
          <w:rFonts w:hint="eastAsia" w:ascii="仿宋" w:hAnsi="仿宋" w:eastAsia="仿宋" w:cs="仿宋"/>
          <w:color w:val="auto"/>
          <w:kern w:val="0"/>
          <w:sz w:val="24"/>
          <w:szCs w:val="24"/>
          <w:highlight w:val="none"/>
          <w:lang w:val="en-US" w:eastAsia="zh-CN"/>
        </w:rPr>
        <w:t>供货</w:t>
      </w:r>
      <w:r>
        <w:rPr>
          <w:rFonts w:hint="eastAsia" w:ascii="仿宋" w:hAnsi="仿宋" w:eastAsia="仿宋" w:cs="仿宋"/>
          <w:color w:val="auto"/>
          <w:kern w:val="0"/>
          <w:sz w:val="24"/>
          <w:szCs w:val="24"/>
          <w:highlight w:val="none"/>
        </w:rPr>
        <w:t>标准和要求，掌握评标标准和方法，熟悉本章及附件中包括的评标表格的使用，如果本章及附件所附的表格不能满足评标所需时，评标小组应当补充编制评标所需的表格。</w:t>
      </w:r>
    </w:p>
    <w:p w14:paraId="06A786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采购人或采购代理机构应当向评标小组提供评标所需的信息和数据，包括：</w:t>
      </w:r>
    </w:p>
    <w:p w14:paraId="371406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329516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60B949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1D8F33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6FE3BCB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（5）其他信息和数据。</w:t>
      </w:r>
    </w:p>
    <w:p w14:paraId="3E18D7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3.3资格审查（适用于资格后审）</w:t>
      </w:r>
    </w:p>
    <w:p w14:paraId="60BFF8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8EF47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3.4符合性审查</w:t>
      </w:r>
    </w:p>
    <w:p w14:paraId="6F8F80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小组依据本章规定的评标因素和评标标准，对投标人的投标文件进行符合性审查。符合性审查有一项未通过评标标准，评标小组将认定整个投标文件不响应招标文件而否决其投标，并且不允许投标人通过修改或撤销其不符合要求的差异或保留，使之成为具有响应性的投标。</w:t>
      </w:r>
    </w:p>
    <w:p w14:paraId="357039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3.4.2符合性审查条款是指对本招标项目产生了重大影响的重大偏差，而且纠正此类偏差将会对响应本次招标的其他投标人的竞争地位产生不公正的影响。</w:t>
      </w:r>
    </w:p>
    <w:p w14:paraId="05E185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3D6985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3.5详细评审</w:t>
      </w:r>
    </w:p>
    <w:p w14:paraId="60854D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3.5.1.只有通过了资格审查、符合性审查且投标人不少于3个方可进入详细评审。</w:t>
      </w:r>
    </w:p>
    <w:p w14:paraId="0B06CB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 澄清、说明和补正</w:t>
      </w:r>
    </w:p>
    <w:p w14:paraId="0ED207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06F0A1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C9FC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3.5.3澄清、说明和补正内容不得改变投标文件的实质性内容（算术性错误修正的除外）。投标人的书面澄清、说明和补正属于投标文件的组成部分。</w:t>
      </w:r>
    </w:p>
    <w:p w14:paraId="250C18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401CD1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3.5.5评标小组对投标人提交的澄清、说明或补正有疑问的，可以要求投标人进一步澄清、说明或补正，直至满足评标小组的要求。</w:t>
      </w:r>
    </w:p>
    <w:p w14:paraId="5379CB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3.5.6评委评分：评委按照《详细评审标准》评分，投标人详细评审得分等于全部评委评分的算术平均值。</w:t>
      </w:r>
    </w:p>
    <w:p w14:paraId="0A46E9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3.5.7 算术错误修正：投标价格有算术错误的，评标小组按以下原则对投标价格进行修正，修正的价格经投标人书面确认后具有约束力。投标人不接受修正价格的，其投标将被否决。</w:t>
      </w:r>
    </w:p>
    <w:p w14:paraId="07D309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（1）投标文件中的大写金额与小写金额不一致的，以大写金额为准；</w:t>
      </w:r>
    </w:p>
    <w:p w14:paraId="032FEF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（2）总价金额与依据单价计算出的结果不一致的，以单价金额为准修正总价，但单价金额小数点有明显错误的除外。</w:t>
      </w:r>
    </w:p>
    <w:p w14:paraId="442366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1FD519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3.5.9投标报价评分：对投标报价进行投标报价得分计算，计算方法详见评标办法前附表。</w:t>
      </w:r>
    </w:p>
    <w:p w14:paraId="65678C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3.5.10 汇总评分结果，评分分值计算保留小数点后两位，小数点后第三位“四舍五入”。</w:t>
      </w:r>
    </w:p>
    <w:p w14:paraId="53B723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.11 详细评审工作全部结束后，投标人总得分排序按照以下原则进行。</w:t>
      </w:r>
    </w:p>
    <w:p w14:paraId="067DB1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.11.1按照总得分由高到低顺序对投标人进行排序；</w:t>
      </w:r>
    </w:p>
    <w:p w14:paraId="507EBE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.11.2总得分相同时报价低的投标人排序靠前；</w:t>
      </w:r>
    </w:p>
    <w:p w14:paraId="6F2A3A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.11.3总得分相同且报价相同的，采取随机抽取方式确定排序顺序。</w:t>
      </w:r>
    </w:p>
    <w:p w14:paraId="4242C7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推荐中标候选人及提交评标报告</w:t>
      </w:r>
    </w:p>
    <w:p w14:paraId="09F79E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.1评标小组推荐中标候选人，总得分排序第一的投标人将被确定为第一中标候选人，以此类推确定出规定数量的中标候选人。</w:t>
      </w:r>
    </w:p>
    <w:p w14:paraId="1F9C3D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.2当通过了资格审查、符合性审查后，投标人少于3个时，采购人应当依法重新招标。</w:t>
      </w:r>
    </w:p>
    <w:p w14:paraId="5AD894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.3 评标小组完成评标后，应当向采购人提交书面评标报告。</w:t>
      </w:r>
    </w:p>
    <w:p w14:paraId="2480EF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特殊情况的处置程序</w:t>
      </w:r>
    </w:p>
    <w:p w14:paraId="1244A3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 关于评标活动暂停</w:t>
      </w:r>
    </w:p>
    <w:p w14:paraId="1F8AA7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55E739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.2关于评标中途更换评委</w:t>
      </w:r>
    </w:p>
    <w:p w14:paraId="37B6F5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.2.1 除非发生下列情况之一，评标小组成员不得在评标中途更换：</w:t>
      </w:r>
    </w:p>
    <w:p w14:paraId="188385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70C98C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（2）根据法律法规规定，某个或某几个评标小组成员需要回避。</w:t>
      </w:r>
    </w:p>
    <w:p w14:paraId="2A3E27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.2.2 退出评标的评标小组成员，其已完成的评标行为无效，由更换的评委进行评标。</w:t>
      </w:r>
    </w:p>
    <w:p w14:paraId="697B1A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.3 在评标环节中，需评标小组就某项定性的评标结论做出表决的，由评标小组全体成员按照少数服从多数的原则确定。</w:t>
      </w:r>
    </w:p>
    <w:p w14:paraId="5FC21C0A">
      <w:pPr>
        <w:rPr>
          <w:rFonts w:hint="eastAsia" w:ascii="仿宋" w:hAnsi="仿宋" w:eastAsia="仿宋" w:cs="仿宋"/>
          <w:b/>
          <w:color w:val="auto"/>
          <w:sz w:val="24"/>
          <w:szCs w:val="24"/>
          <w:highlight w:val="none"/>
        </w:rPr>
      </w:pPr>
      <w:bookmarkStart w:id="38" w:name="_Toc485312286"/>
      <w:r>
        <w:rPr>
          <w:rFonts w:hint="eastAsia" w:ascii="仿宋" w:hAnsi="仿宋" w:eastAsia="仿宋" w:cs="仿宋"/>
          <w:b/>
          <w:color w:val="auto"/>
          <w:sz w:val="24"/>
          <w:szCs w:val="24"/>
          <w:highlight w:val="none"/>
        </w:rPr>
        <w:br w:type="page"/>
      </w:r>
    </w:p>
    <w:p w14:paraId="5795956A">
      <w:pPr>
        <w:widowControl/>
        <w:shd w:val="clear" w:color="auto" w:fill="FFFFFF"/>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问题澄清通知</w:t>
      </w:r>
    </w:p>
    <w:p w14:paraId="624F63CB">
      <w:pPr>
        <w:spacing w:line="360" w:lineRule="auto"/>
        <w:rPr>
          <w:rFonts w:hint="eastAsia" w:ascii="仿宋" w:hAnsi="仿宋" w:eastAsia="仿宋" w:cs="仿宋"/>
          <w:color w:val="auto"/>
          <w:sz w:val="24"/>
          <w:szCs w:val="24"/>
          <w:highlight w:val="none"/>
        </w:rPr>
      </w:pPr>
    </w:p>
    <w:p w14:paraId="5BEE92AA">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（投标人名称）：</w:t>
      </w:r>
    </w:p>
    <w:p w14:paraId="29DC64AC">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（招标项目名称）招标的评标小组，对你方的投标文件进行了仔细的审查，现需你方对本通知所附质疑问卷中的问题以书面形式予以澄清、说明或者补正。</w:t>
      </w:r>
    </w:p>
    <w:p w14:paraId="6E685AE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质疑问题：</w:t>
      </w:r>
    </w:p>
    <w:p w14:paraId="1C3AABCF">
      <w:pPr>
        <w:spacing w:line="360" w:lineRule="auto"/>
        <w:rPr>
          <w:rFonts w:hint="eastAsia" w:ascii="仿宋" w:hAnsi="仿宋" w:eastAsia="仿宋" w:cs="仿宋"/>
          <w:color w:val="auto"/>
          <w:kern w:val="0"/>
          <w:sz w:val="24"/>
          <w:szCs w:val="24"/>
          <w:highlight w:val="none"/>
        </w:rPr>
      </w:pPr>
    </w:p>
    <w:p w14:paraId="6B505FA7">
      <w:pPr>
        <w:spacing w:line="360" w:lineRule="auto"/>
        <w:rPr>
          <w:rFonts w:hint="eastAsia" w:ascii="仿宋" w:hAnsi="仿宋" w:eastAsia="仿宋" w:cs="仿宋"/>
          <w:color w:val="auto"/>
          <w:kern w:val="0"/>
          <w:sz w:val="24"/>
          <w:szCs w:val="24"/>
          <w:highlight w:val="none"/>
        </w:rPr>
      </w:pPr>
    </w:p>
    <w:p w14:paraId="1AA3E22B">
      <w:pPr>
        <w:spacing w:line="360" w:lineRule="auto"/>
        <w:rPr>
          <w:rFonts w:hint="eastAsia" w:ascii="仿宋" w:hAnsi="仿宋" w:eastAsia="仿宋" w:cs="仿宋"/>
          <w:color w:val="auto"/>
          <w:kern w:val="0"/>
          <w:sz w:val="24"/>
          <w:szCs w:val="24"/>
          <w:highlight w:val="none"/>
        </w:rPr>
      </w:pPr>
    </w:p>
    <w:p w14:paraId="31E32D63">
      <w:pPr>
        <w:spacing w:line="360" w:lineRule="auto"/>
        <w:rPr>
          <w:rFonts w:hint="eastAsia" w:ascii="仿宋" w:hAnsi="仿宋" w:eastAsia="仿宋" w:cs="仿宋"/>
          <w:color w:val="auto"/>
          <w:kern w:val="0"/>
          <w:sz w:val="24"/>
          <w:szCs w:val="24"/>
          <w:highlight w:val="none"/>
        </w:rPr>
      </w:pPr>
    </w:p>
    <w:p w14:paraId="3A0417D3">
      <w:pPr>
        <w:spacing w:line="360" w:lineRule="auto"/>
        <w:rPr>
          <w:rFonts w:hint="eastAsia" w:ascii="仿宋" w:hAnsi="仿宋" w:eastAsia="仿宋" w:cs="仿宋"/>
          <w:color w:val="auto"/>
          <w:kern w:val="0"/>
          <w:sz w:val="24"/>
          <w:szCs w:val="24"/>
          <w:highlight w:val="none"/>
        </w:rPr>
      </w:pPr>
    </w:p>
    <w:p w14:paraId="1CF8CC1C">
      <w:pPr>
        <w:spacing w:line="360" w:lineRule="auto"/>
        <w:rPr>
          <w:rFonts w:hint="eastAsia" w:ascii="仿宋" w:hAnsi="仿宋" w:eastAsia="仿宋" w:cs="仿宋"/>
          <w:color w:val="auto"/>
          <w:kern w:val="0"/>
          <w:sz w:val="24"/>
          <w:szCs w:val="24"/>
          <w:highlight w:val="none"/>
        </w:rPr>
      </w:pPr>
    </w:p>
    <w:p w14:paraId="56E87C31">
      <w:pPr>
        <w:spacing w:line="360" w:lineRule="auto"/>
        <w:rPr>
          <w:rFonts w:hint="eastAsia" w:ascii="仿宋" w:hAnsi="仿宋" w:eastAsia="仿宋" w:cs="仿宋"/>
          <w:color w:val="auto"/>
          <w:kern w:val="0"/>
          <w:sz w:val="24"/>
          <w:szCs w:val="24"/>
          <w:highlight w:val="none"/>
        </w:rPr>
      </w:pPr>
    </w:p>
    <w:p w14:paraId="393CAAC0">
      <w:pPr>
        <w:spacing w:line="360" w:lineRule="auto"/>
        <w:rPr>
          <w:rFonts w:hint="eastAsia" w:ascii="仿宋" w:hAnsi="仿宋" w:eastAsia="仿宋" w:cs="仿宋"/>
          <w:color w:val="auto"/>
          <w:kern w:val="0"/>
          <w:sz w:val="24"/>
          <w:szCs w:val="24"/>
          <w:highlight w:val="none"/>
        </w:rPr>
      </w:pPr>
    </w:p>
    <w:p w14:paraId="00D0E836">
      <w:pPr>
        <w:spacing w:line="360" w:lineRule="auto"/>
        <w:rPr>
          <w:rFonts w:hint="eastAsia" w:ascii="仿宋" w:hAnsi="仿宋" w:eastAsia="仿宋" w:cs="仿宋"/>
          <w:color w:val="auto"/>
          <w:kern w:val="0"/>
          <w:sz w:val="24"/>
          <w:szCs w:val="24"/>
          <w:highlight w:val="none"/>
        </w:rPr>
      </w:pPr>
    </w:p>
    <w:p w14:paraId="144B777F">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w:t>
      </w:r>
      <w:r>
        <w:rPr>
          <w:rFonts w:hint="eastAsia" w:ascii="仿宋" w:hAnsi="仿宋" w:eastAsia="仿宋" w:cs="仿宋"/>
          <w:color w:val="auto"/>
          <w:kern w:val="0"/>
          <w:sz w:val="24"/>
          <w:szCs w:val="24"/>
          <w:highlight w:val="none"/>
          <w:lang w:val="en-US" w:eastAsia="zh-CN"/>
        </w:rPr>
        <w:t>成</w:t>
      </w:r>
      <w:r>
        <w:rPr>
          <w:rFonts w:hint="eastAsia" w:ascii="仿宋" w:hAnsi="仿宋" w:eastAsia="仿宋" w:cs="仿宋"/>
          <w:color w:val="auto"/>
          <w:kern w:val="0"/>
          <w:sz w:val="24"/>
          <w:szCs w:val="24"/>
          <w:highlight w:val="none"/>
        </w:rPr>
        <w:t>员（签字）：</w:t>
      </w:r>
    </w:p>
    <w:p w14:paraId="18D0208F">
      <w:pPr>
        <w:spacing w:line="360" w:lineRule="auto"/>
        <w:rPr>
          <w:rFonts w:hint="eastAsia" w:ascii="仿宋" w:hAnsi="仿宋" w:eastAsia="仿宋" w:cs="仿宋"/>
          <w:color w:val="auto"/>
          <w:kern w:val="0"/>
          <w:sz w:val="24"/>
          <w:szCs w:val="24"/>
          <w:highlight w:val="none"/>
        </w:rPr>
      </w:pPr>
    </w:p>
    <w:p w14:paraId="164A685B">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日期：年月日</w:t>
      </w:r>
    </w:p>
    <w:p w14:paraId="1299A52B">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24"/>
          <w:szCs w:val="24"/>
          <w:highlight w:val="none"/>
        </w:rPr>
        <w:t>问题的澄清、说明或补正</w:t>
      </w:r>
    </w:p>
    <w:p w14:paraId="4E3DCA5A">
      <w:pPr>
        <w:rPr>
          <w:rFonts w:hint="eastAsia" w:ascii="仿宋" w:hAnsi="仿宋" w:eastAsia="仿宋" w:cs="仿宋"/>
          <w:color w:val="auto"/>
          <w:kern w:val="0"/>
          <w:sz w:val="24"/>
          <w:szCs w:val="24"/>
          <w:highlight w:val="none"/>
        </w:rPr>
      </w:pPr>
    </w:p>
    <w:p w14:paraId="7E2BE8EC">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w:t>
      </w:r>
    </w:p>
    <w:p w14:paraId="0C44CB78">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（招标项目名称）的问题澄清通知已收悉，现澄清、说明或者补正如下：</w:t>
      </w:r>
    </w:p>
    <w:p w14:paraId="3B69103A">
      <w:pPr>
        <w:spacing w:line="360" w:lineRule="auto"/>
        <w:rPr>
          <w:rFonts w:hint="eastAsia" w:ascii="仿宋" w:hAnsi="仿宋" w:eastAsia="仿宋" w:cs="仿宋"/>
          <w:color w:val="auto"/>
          <w:kern w:val="0"/>
          <w:sz w:val="24"/>
          <w:szCs w:val="24"/>
          <w:highlight w:val="none"/>
        </w:rPr>
      </w:pPr>
    </w:p>
    <w:p w14:paraId="24DEA8AC">
      <w:pPr>
        <w:spacing w:line="360" w:lineRule="auto"/>
        <w:rPr>
          <w:rFonts w:hint="eastAsia" w:ascii="仿宋" w:hAnsi="仿宋" w:eastAsia="仿宋" w:cs="仿宋"/>
          <w:color w:val="auto"/>
          <w:kern w:val="0"/>
          <w:sz w:val="24"/>
          <w:szCs w:val="24"/>
          <w:highlight w:val="none"/>
        </w:rPr>
      </w:pPr>
    </w:p>
    <w:p w14:paraId="5B4A4A7A">
      <w:pPr>
        <w:spacing w:line="360" w:lineRule="auto"/>
        <w:rPr>
          <w:rFonts w:hint="eastAsia" w:ascii="仿宋" w:hAnsi="仿宋" w:eastAsia="仿宋" w:cs="仿宋"/>
          <w:color w:val="auto"/>
          <w:kern w:val="0"/>
          <w:sz w:val="24"/>
          <w:szCs w:val="24"/>
          <w:highlight w:val="none"/>
        </w:rPr>
      </w:pPr>
    </w:p>
    <w:p w14:paraId="1CC62EE1">
      <w:pPr>
        <w:spacing w:line="360" w:lineRule="auto"/>
        <w:rPr>
          <w:rFonts w:hint="eastAsia" w:ascii="仿宋" w:hAnsi="仿宋" w:eastAsia="仿宋" w:cs="仿宋"/>
          <w:color w:val="auto"/>
          <w:kern w:val="0"/>
          <w:sz w:val="24"/>
          <w:szCs w:val="24"/>
          <w:highlight w:val="none"/>
        </w:rPr>
      </w:pPr>
    </w:p>
    <w:p w14:paraId="392C195B">
      <w:pPr>
        <w:spacing w:line="360" w:lineRule="auto"/>
        <w:rPr>
          <w:rFonts w:hint="eastAsia" w:ascii="仿宋" w:hAnsi="仿宋" w:eastAsia="仿宋" w:cs="仿宋"/>
          <w:color w:val="auto"/>
          <w:kern w:val="0"/>
          <w:sz w:val="24"/>
          <w:szCs w:val="24"/>
          <w:highlight w:val="none"/>
        </w:rPr>
      </w:pPr>
    </w:p>
    <w:p w14:paraId="7E9BB402">
      <w:pPr>
        <w:spacing w:line="360" w:lineRule="auto"/>
        <w:rPr>
          <w:rFonts w:hint="eastAsia" w:ascii="仿宋" w:hAnsi="仿宋" w:eastAsia="仿宋" w:cs="仿宋"/>
          <w:color w:val="auto"/>
          <w:kern w:val="0"/>
          <w:sz w:val="24"/>
          <w:szCs w:val="24"/>
          <w:highlight w:val="none"/>
        </w:rPr>
      </w:pPr>
    </w:p>
    <w:p w14:paraId="6FB09DBB">
      <w:pPr>
        <w:spacing w:line="360" w:lineRule="auto"/>
        <w:rPr>
          <w:rFonts w:hint="eastAsia" w:ascii="仿宋" w:hAnsi="仿宋" w:eastAsia="仿宋" w:cs="仿宋"/>
          <w:color w:val="auto"/>
          <w:kern w:val="0"/>
          <w:sz w:val="24"/>
          <w:szCs w:val="24"/>
          <w:highlight w:val="none"/>
        </w:rPr>
      </w:pPr>
    </w:p>
    <w:p w14:paraId="3E4C47B6">
      <w:pPr>
        <w:spacing w:line="360" w:lineRule="auto"/>
        <w:rPr>
          <w:rFonts w:hint="eastAsia" w:ascii="仿宋" w:hAnsi="仿宋" w:eastAsia="仿宋" w:cs="仿宋"/>
          <w:color w:val="auto"/>
          <w:kern w:val="0"/>
          <w:sz w:val="24"/>
          <w:szCs w:val="24"/>
          <w:highlight w:val="none"/>
        </w:rPr>
      </w:pPr>
    </w:p>
    <w:p w14:paraId="5A4002A8">
      <w:pPr>
        <w:spacing w:line="360" w:lineRule="auto"/>
        <w:rPr>
          <w:rFonts w:hint="eastAsia" w:ascii="仿宋" w:hAnsi="仿宋" w:eastAsia="仿宋" w:cs="仿宋"/>
          <w:color w:val="auto"/>
          <w:kern w:val="0"/>
          <w:sz w:val="24"/>
          <w:szCs w:val="24"/>
          <w:highlight w:val="none"/>
        </w:rPr>
      </w:pPr>
    </w:p>
    <w:p w14:paraId="24662435">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法定代表人或其授权委托人（签字）：</w:t>
      </w:r>
    </w:p>
    <w:p w14:paraId="74E408E2">
      <w:pPr>
        <w:spacing w:line="360" w:lineRule="auto"/>
        <w:rPr>
          <w:rFonts w:hint="eastAsia" w:ascii="仿宋" w:hAnsi="仿宋" w:eastAsia="仿宋" w:cs="仿宋"/>
          <w:color w:val="auto"/>
          <w:kern w:val="0"/>
          <w:sz w:val="24"/>
          <w:szCs w:val="24"/>
          <w:highlight w:val="none"/>
        </w:rPr>
      </w:pPr>
    </w:p>
    <w:p w14:paraId="4E78125B">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日期：年月日</w:t>
      </w:r>
    </w:p>
    <w:p w14:paraId="287F6492">
      <w:pPr>
        <w:pStyle w:val="224"/>
        <w:ind w:firstLine="0"/>
        <w:jc w:val="center"/>
        <w:outlineLvl w:val="0"/>
        <w:rPr>
          <w:rFonts w:hint="default" w:hAnsi="宋体" w:eastAsia="宋体"/>
          <w:b/>
          <w:color w:val="auto"/>
          <w:sz w:val="28"/>
          <w:szCs w:val="28"/>
          <w:highlight w:val="none"/>
          <w:lang w:val="en-US" w:eastAsia="zh-CN"/>
        </w:rPr>
      </w:pPr>
      <w:r>
        <w:rPr>
          <w:rFonts w:hint="eastAsia" w:ascii="仿宋" w:hAnsi="仿宋" w:eastAsia="仿宋" w:cs="仿宋"/>
          <w:color w:val="auto"/>
          <w:kern w:val="0"/>
          <w:sz w:val="24"/>
          <w:szCs w:val="24"/>
          <w:highlight w:val="none"/>
        </w:rPr>
        <w:br w:type="page"/>
      </w:r>
      <w:bookmarkEnd w:id="38"/>
      <w:bookmarkStart w:id="39" w:name="_Toc17281"/>
      <w:bookmarkStart w:id="40" w:name="第五部分第一章"/>
      <w:r>
        <w:rPr>
          <w:rFonts w:hint="eastAsia" w:ascii="仿宋" w:hAnsi="仿宋" w:eastAsia="仿宋" w:cs="仿宋"/>
          <w:b/>
          <w:color w:val="auto"/>
          <w:kern w:val="0"/>
          <w:sz w:val="24"/>
          <w:szCs w:val="24"/>
          <w:highlight w:val="none"/>
          <w:lang w:val="en-US" w:eastAsia="zh-CN" w:bidi="ar-SA"/>
        </w:rPr>
        <w:t>第三章 合同条款</w:t>
      </w:r>
      <w:bookmarkEnd w:id="39"/>
    </w:p>
    <w:p w14:paraId="2B031B4B">
      <w:pPr>
        <w:pStyle w:val="224"/>
        <w:ind w:firstLine="0"/>
        <w:jc w:val="center"/>
        <w:rPr>
          <w:rFonts w:hint="eastAsia" w:ascii="仿宋" w:hAnsi="仿宋" w:eastAsia="仿宋" w:cs="仿宋"/>
          <w:b/>
          <w:color w:val="auto"/>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Cs w:val="24"/>
          <w:highlight w:val="none"/>
        </w:rPr>
        <w:t>第一部分 合同书</w:t>
      </w:r>
    </w:p>
    <w:p w14:paraId="2A6B7D4C">
      <w:pPr>
        <w:pStyle w:val="224"/>
        <w:ind w:firstLine="0"/>
        <w:rPr>
          <w:rFonts w:hint="eastAsia" w:ascii="仿宋" w:hAnsi="仿宋" w:eastAsia="仿宋" w:cs="仿宋"/>
          <w:color w:val="auto"/>
          <w:szCs w:val="24"/>
          <w:highlight w:val="none"/>
        </w:rPr>
      </w:pPr>
    </w:p>
    <w:p w14:paraId="6C71829C">
      <w:pPr>
        <w:pStyle w:val="224"/>
        <w:ind w:firstLine="0"/>
        <w:rPr>
          <w:rFonts w:hint="eastAsia" w:ascii="仿宋" w:hAnsi="仿宋" w:eastAsia="仿宋" w:cs="仿宋"/>
          <w:color w:val="auto"/>
          <w:szCs w:val="24"/>
          <w:highlight w:val="none"/>
        </w:rPr>
      </w:pPr>
    </w:p>
    <w:p w14:paraId="5EC021AD">
      <w:pPr>
        <w:spacing w:before="120" w:line="22" w:lineRule="atLeast"/>
        <w:rPr>
          <w:rFonts w:hint="eastAsia" w:ascii="仿宋" w:hAnsi="仿宋" w:eastAsia="仿宋" w:cs="仿宋"/>
          <w:color w:val="auto"/>
          <w:sz w:val="24"/>
          <w:highlight w:val="none"/>
        </w:rPr>
      </w:pPr>
    </w:p>
    <w:p w14:paraId="3622108D">
      <w:pPr>
        <w:spacing w:before="120" w:line="22" w:lineRule="atLeast"/>
        <w:rPr>
          <w:rFonts w:hint="eastAsia" w:ascii="仿宋" w:hAnsi="仿宋" w:eastAsia="仿宋" w:cs="仿宋"/>
          <w:color w:val="auto"/>
          <w:sz w:val="24"/>
          <w:highlight w:val="none"/>
        </w:rPr>
      </w:pPr>
    </w:p>
    <w:p w14:paraId="14FADC2F">
      <w:pPr>
        <w:spacing w:before="120" w:line="22" w:lineRule="atLeast"/>
        <w:rPr>
          <w:rFonts w:hint="eastAsia" w:ascii="仿宋" w:hAnsi="仿宋" w:eastAsia="仿宋" w:cs="仿宋"/>
          <w:color w:val="auto"/>
          <w:sz w:val="24"/>
          <w:highlight w:val="none"/>
        </w:rPr>
      </w:pPr>
    </w:p>
    <w:p w14:paraId="06269ADC">
      <w:pPr>
        <w:spacing w:before="120" w:line="22" w:lineRule="atLeast"/>
        <w:rPr>
          <w:rFonts w:hint="eastAsia" w:ascii="仿宋" w:hAnsi="仿宋" w:eastAsia="仿宋" w:cs="仿宋"/>
          <w:color w:val="auto"/>
          <w:sz w:val="24"/>
          <w:highlight w:val="none"/>
        </w:rPr>
      </w:pPr>
    </w:p>
    <w:p w14:paraId="74CCA829">
      <w:pPr>
        <w:pStyle w:val="225"/>
        <w:spacing w:before="120" w:line="22" w:lineRule="atLeast"/>
        <w:ind w:left="2158" w:leftChars="456" w:hanging="1200" w:hangingChars="500"/>
        <w:rPr>
          <w:rFonts w:hint="eastAsia" w:ascii="仿宋" w:hAnsi="仿宋" w:eastAsia="仿宋" w:cs="仿宋"/>
          <w:color w:val="auto"/>
          <w:szCs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eastAsia="zh-CN"/>
        </w:rPr>
        <w:t>乌鲁木齐市职业中等专业学校智慧校园三期设备采购项目</w:t>
      </w:r>
    </w:p>
    <w:p w14:paraId="2099BF5D">
      <w:pPr>
        <w:rPr>
          <w:rFonts w:hint="eastAsia" w:ascii="仿宋" w:hAnsi="仿宋" w:eastAsia="仿宋" w:cs="仿宋"/>
          <w:color w:val="auto"/>
          <w:highlight w:val="none"/>
        </w:rPr>
      </w:pPr>
    </w:p>
    <w:p w14:paraId="512FB58C">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乌鲁木齐市职业中等专业学校</w:t>
      </w:r>
      <w:r>
        <w:rPr>
          <w:rFonts w:hint="eastAsia" w:ascii="仿宋" w:hAnsi="仿宋" w:eastAsia="仿宋" w:cs="仿宋"/>
          <w:color w:val="auto"/>
          <w:sz w:val="24"/>
          <w:highlight w:val="none"/>
          <w:u w:val="single"/>
        </w:rPr>
        <w:t xml:space="preserve">   </w:t>
      </w:r>
    </w:p>
    <w:p w14:paraId="24C24916">
      <w:pPr>
        <w:spacing w:before="120" w:line="22" w:lineRule="atLeast"/>
        <w:ind w:left="960"/>
        <w:rPr>
          <w:rFonts w:hint="eastAsia" w:ascii="仿宋" w:hAnsi="仿宋" w:eastAsia="仿宋" w:cs="仿宋"/>
          <w:color w:val="auto"/>
          <w:sz w:val="24"/>
          <w:highlight w:val="none"/>
        </w:rPr>
      </w:pPr>
    </w:p>
    <w:p w14:paraId="5BFA478C">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404AF099">
      <w:pPr>
        <w:spacing w:before="120" w:line="22" w:lineRule="atLeast"/>
        <w:rPr>
          <w:rFonts w:hint="eastAsia" w:ascii="仿宋" w:hAnsi="仿宋" w:eastAsia="仿宋" w:cs="仿宋"/>
          <w:color w:val="auto"/>
          <w:sz w:val="24"/>
          <w:highlight w:val="none"/>
        </w:rPr>
      </w:pPr>
    </w:p>
    <w:p w14:paraId="101AB4EA">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4E299FDB">
      <w:pPr>
        <w:spacing w:before="120" w:line="22" w:lineRule="atLeast"/>
        <w:rPr>
          <w:rFonts w:hint="eastAsia" w:ascii="仿宋" w:hAnsi="仿宋" w:eastAsia="仿宋" w:cs="仿宋"/>
          <w:color w:val="auto"/>
          <w:sz w:val="24"/>
          <w:highlight w:val="none"/>
        </w:rPr>
      </w:pPr>
    </w:p>
    <w:p w14:paraId="0DFC6497">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B95B8FC">
      <w:pPr>
        <w:autoSpaceDE w:val="0"/>
        <w:autoSpaceDN w:val="0"/>
        <w:adjustRightInd w:val="0"/>
        <w:spacing w:line="600" w:lineRule="exact"/>
        <w:ind w:firstLine="640"/>
        <w:jc w:val="center"/>
        <w:rPr>
          <w:rFonts w:hint="eastAsia" w:ascii="仿宋" w:hAnsi="仿宋" w:eastAsia="仿宋" w:cs="仿宋"/>
          <w:color w:val="auto"/>
          <w:sz w:val="24"/>
          <w:highlight w:val="none"/>
        </w:rPr>
        <w:sectPr>
          <w:footerReference r:id="rId9" w:type="first"/>
          <w:headerReference r:id="rId7" w:type="default"/>
          <w:footerReference r:id="rId8" w:type="default"/>
          <w:pgSz w:w="11907" w:h="16840"/>
          <w:pgMar w:top="1474" w:right="1814" w:bottom="1474" w:left="1814" w:header="851" w:footer="851" w:gutter="0"/>
          <w:pgNumType w:fmt="decimal" w:start="1"/>
          <w:cols w:space="720" w:num="1"/>
          <w:titlePg/>
          <w:docGrid w:linePitch="462" w:charSpace="0"/>
        </w:sectPr>
      </w:pPr>
    </w:p>
    <w:p w14:paraId="496CABA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乌鲁木齐市职业中等专业学校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公开招标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乌鲁木齐市职业中等专业学校智慧校园三期设备采购项目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评标</w:t>
      </w:r>
      <w:r>
        <w:rPr>
          <w:rFonts w:hint="eastAsia" w:ascii="仿宋" w:hAnsi="仿宋" w:eastAsia="仿宋" w:cs="仿宋"/>
          <w:color w:val="auto"/>
          <w:sz w:val="24"/>
          <w:highlight w:val="none"/>
          <w:u w:val="single"/>
        </w:rPr>
        <w:t xml:space="preserve">小组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rPr>
        <w:t>为该项目中标供应商。现于中标通知书发出之日起三十日内，按照采购文件确定的事项签订本合同。</w:t>
      </w:r>
    </w:p>
    <w:p w14:paraId="5A9453B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乌鲁木齐市职业中等专业学校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6C37255B">
      <w:pPr>
        <w:spacing w:line="560" w:lineRule="exact"/>
        <w:ind w:firstLine="482" w:firstLineChars="200"/>
        <w:rPr>
          <w:rFonts w:hint="eastAsia" w:ascii="仿宋" w:hAnsi="仿宋" w:eastAsia="仿宋" w:cs="仿宋"/>
          <w:color w:val="auto"/>
          <w:sz w:val="24"/>
          <w:highlight w:val="none"/>
        </w:rPr>
      </w:pPr>
      <w:bookmarkStart w:id="41" w:name="_Toc37868828"/>
      <w:bookmarkStart w:id="42" w:name="_Toc82617970"/>
      <w:bookmarkStart w:id="43" w:name="_Toc28855"/>
      <w:bookmarkStart w:id="44" w:name="_Toc22967"/>
      <w:bookmarkStart w:id="45" w:name="_Toc19273"/>
      <w:bookmarkStart w:id="46" w:name="_Toc20421"/>
      <w:bookmarkStart w:id="47" w:name="_Toc15367"/>
      <w:bookmarkStart w:id="48" w:name="_Toc2591674"/>
      <w:r>
        <w:rPr>
          <w:rFonts w:hint="eastAsia" w:ascii="仿宋" w:hAnsi="仿宋" w:eastAsia="仿宋" w:cs="仿宋"/>
          <w:b/>
          <w:color w:val="auto"/>
          <w:sz w:val="24"/>
          <w:highlight w:val="none"/>
        </w:rPr>
        <w:t>1.1 合同组成部分</w:t>
      </w:r>
      <w:bookmarkEnd w:id="41"/>
      <w:bookmarkEnd w:id="42"/>
      <w:bookmarkEnd w:id="43"/>
      <w:bookmarkEnd w:id="44"/>
      <w:bookmarkEnd w:id="45"/>
      <w:bookmarkEnd w:id="46"/>
      <w:bookmarkEnd w:id="47"/>
      <w:bookmarkEnd w:id="48"/>
    </w:p>
    <w:p w14:paraId="11D0B8B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E84500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79D4FF4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中标通知书；</w:t>
      </w:r>
    </w:p>
    <w:p w14:paraId="498C92A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投标文件（含澄清或者说明文件）；</w:t>
      </w:r>
    </w:p>
    <w:p w14:paraId="71BC78F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招标文件（含澄清或者修改文件）；</w:t>
      </w:r>
    </w:p>
    <w:p w14:paraId="12BE1B2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0B8E8158">
      <w:pPr>
        <w:spacing w:line="560" w:lineRule="exact"/>
        <w:ind w:firstLine="482" w:firstLineChars="200"/>
        <w:rPr>
          <w:rFonts w:hint="eastAsia" w:ascii="仿宋" w:hAnsi="仿宋" w:eastAsia="仿宋" w:cs="仿宋"/>
          <w:b/>
          <w:color w:val="auto"/>
          <w:sz w:val="24"/>
          <w:highlight w:val="none"/>
        </w:rPr>
      </w:pPr>
      <w:bookmarkStart w:id="49" w:name="_Toc22185"/>
      <w:bookmarkStart w:id="50" w:name="_Toc6773"/>
      <w:bookmarkStart w:id="51" w:name="_Toc18585"/>
      <w:bookmarkStart w:id="52" w:name="_Toc82617971"/>
      <w:bookmarkStart w:id="53" w:name="_Toc6311"/>
      <w:bookmarkStart w:id="54" w:name="_Toc37868829"/>
      <w:bookmarkStart w:id="55" w:name="_Toc2591675"/>
      <w:bookmarkStart w:id="56" w:name="_Toc2918"/>
      <w:r>
        <w:rPr>
          <w:rFonts w:hint="eastAsia" w:ascii="仿宋" w:hAnsi="仿宋" w:eastAsia="仿宋" w:cs="仿宋"/>
          <w:b/>
          <w:color w:val="auto"/>
          <w:sz w:val="24"/>
          <w:highlight w:val="none"/>
        </w:rPr>
        <w:t>1.2 标的</w:t>
      </w:r>
      <w:bookmarkEnd w:id="49"/>
      <w:bookmarkEnd w:id="50"/>
      <w:bookmarkEnd w:id="51"/>
      <w:bookmarkEnd w:id="52"/>
      <w:bookmarkEnd w:id="53"/>
      <w:bookmarkEnd w:id="54"/>
      <w:bookmarkEnd w:id="55"/>
      <w:bookmarkEnd w:id="56"/>
    </w:p>
    <w:p w14:paraId="6EAF84A9">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标的名称：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C1F6C5B">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标的数量：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753EA0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 标的质量：</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10FD898">
      <w:pPr>
        <w:spacing w:line="560" w:lineRule="exact"/>
        <w:ind w:firstLine="482" w:firstLineChars="200"/>
        <w:rPr>
          <w:rFonts w:hint="eastAsia" w:ascii="仿宋" w:hAnsi="仿宋" w:eastAsia="仿宋" w:cs="仿宋"/>
          <w:b/>
          <w:color w:val="auto"/>
          <w:sz w:val="24"/>
          <w:highlight w:val="none"/>
        </w:rPr>
      </w:pPr>
      <w:bookmarkStart w:id="57" w:name="_Toc5635"/>
      <w:bookmarkStart w:id="58" w:name="_Toc4929"/>
      <w:bookmarkStart w:id="59" w:name="_Toc37868830"/>
      <w:bookmarkStart w:id="60" w:name="_Toc21124"/>
      <w:bookmarkStart w:id="61" w:name="_Toc13918"/>
      <w:bookmarkStart w:id="62" w:name="_Toc82617972"/>
      <w:bookmarkStart w:id="63" w:name="_Toc2591676"/>
      <w:bookmarkStart w:id="64" w:name="_Toc1386"/>
      <w:r>
        <w:rPr>
          <w:rFonts w:hint="eastAsia" w:ascii="仿宋" w:hAnsi="仿宋" w:eastAsia="仿宋" w:cs="仿宋"/>
          <w:b/>
          <w:color w:val="auto"/>
          <w:sz w:val="24"/>
          <w:highlight w:val="none"/>
        </w:rPr>
        <w:t>1.3 价款</w:t>
      </w:r>
      <w:bookmarkEnd w:id="57"/>
      <w:bookmarkEnd w:id="58"/>
      <w:bookmarkEnd w:id="59"/>
      <w:bookmarkEnd w:id="60"/>
      <w:bookmarkEnd w:id="61"/>
      <w:bookmarkEnd w:id="62"/>
      <w:bookmarkEnd w:id="63"/>
      <w:bookmarkEnd w:id="64"/>
    </w:p>
    <w:p w14:paraId="785AF47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3E7A36A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w:t>
      </w:r>
    </w:p>
    <w:p w14:paraId="1BC2D6F8">
      <w:pPr>
        <w:spacing w:line="560" w:lineRule="exact"/>
        <w:ind w:firstLine="480" w:firstLineChars="200"/>
        <w:rPr>
          <w:rFonts w:hint="eastAsia" w:ascii="仿宋" w:hAnsi="仿宋" w:eastAsia="仿宋" w:cs="仿宋"/>
          <w:color w:val="auto"/>
          <w:sz w:val="24"/>
          <w:highlight w:val="none"/>
        </w:rPr>
      </w:pP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4053"/>
        <w:gridCol w:w="3039"/>
      </w:tblGrid>
      <w:tr w14:paraId="4868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29C7A772">
            <w:pPr>
              <w:pStyle w:val="226"/>
              <w:spacing w:line="56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2377" w:type="pct"/>
            <w:vAlign w:val="center"/>
          </w:tcPr>
          <w:p w14:paraId="4053019F">
            <w:pPr>
              <w:pStyle w:val="226"/>
              <w:spacing w:line="56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分项名称</w:t>
            </w:r>
          </w:p>
        </w:tc>
        <w:tc>
          <w:tcPr>
            <w:tcW w:w="1783" w:type="pct"/>
            <w:vAlign w:val="center"/>
          </w:tcPr>
          <w:p w14:paraId="4330A9CF">
            <w:pPr>
              <w:pStyle w:val="226"/>
              <w:spacing w:line="56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分项价格</w:t>
            </w:r>
          </w:p>
        </w:tc>
      </w:tr>
      <w:tr w14:paraId="6C17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6D280B1">
            <w:pPr>
              <w:pStyle w:val="226"/>
              <w:spacing w:line="560" w:lineRule="exact"/>
              <w:jc w:val="center"/>
              <w:rPr>
                <w:rFonts w:hint="eastAsia" w:ascii="仿宋" w:hAnsi="仿宋" w:eastAsia="仿宋" w:cs="仿宋"/>
                <w:color w:val="auto"/>
                <w:kern w:val="2"/>
                <w:sz w:val="24"/>
                <w:szCs w:val="24"/>
                <w:highlight w:val="none"/>
              </w:rPr>
            </w:pPr>
          </w:p>
        </w:tc>
        <w:tc>
          <w:tcPr>
            <w:tcW w:w="2377" w:type="pct"/>
            <w:vAlign w:val="center"/>
          </w:tcPr>
          <w:p w14:paraId="7068BA1C">
            <w:pPr>
              <w:pStyle w:val="226"/>
              <w:spacing w:line="560" w:lineRule="exact"/>
              <w:jc w:val="center"/>
              <w:rPr>
                <w:rFonts w:hint="eastAsia" w:ascii="仿宋" w:hAnsi="仿宋" w:eastAsia="仿宋" w:cs="仿宋"/>
                <w:color w:val="auto"/>
                <w:kern w:val="2"/>
                <w:sz w:val="24"/>
                <w:szCs w:val="24"/>
                <w:highlight w:val="none"/>
              </w:rPr>
            </w:pPr>
          </w:p>
        </w:tc>
        <w:tc>
          <w:tcPr>
            <w:tcW w:w="1783" w:type="pct"/>
            <w:vAlign w:val="center"/>
          </w:tcPr>
          <w:p w14:paraId="7AE12F49">
            <w:pPr>
              <w:pStyle w:val="226"/>
              <w:spacing w:line="560" w:lineRule="exact"/>
              <w:jc w:val="center"/>
              <w:rPr>
                <w:rFonts w:hint="eastAsia" w:ascii="仿宋" w:hAnsi="仿宋" w:eastAsia="仿宋" w:cs="仿宋"/>
                <w:color w:val="auto"/>
                <w:kern w:val="2"/>
                <w:sz w:val="24"/>
                <w:szCs w:val="24"/>
                <w:highlight w:val="none"/>
              </w:rPr>
            </w:pPr>
          </w:p>
        </w:tc>
      </w:tr>
      <w:tr w14:paraId="07DC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7BEE311E">
            <w:pPr>
              <w:pStyle w:val="226"/>
              <w:spacing w:line="560" w:lineRule="exact"/>
              <w:jc w:val="center"/>
              <w:rPr>
                <w:rFonts w:hint="eastAsia" w:ascii="仿宋" w:hAnsi="仿宋" w:eastAsia="仿宋" w:cs="仿宋"/>
                <w:color w:val="auto"/>
                <w:kern w:val="2"/>
                <w:sz w:val="24"/>
                <w:szCs w:val="24"/>
                <w:highlight w:val="none"/>
              </w:rPr>
            </w:pPr>
          </w:p>
        </w:tc>
        <w:tc>
          <w:tcPr>
            <w:tcW w:w="2377" w:type="pct"/>
            <w:vAlign w:val="center"/>
          </w:tcPr>
          <w:p w14:paraId="6856321E">
            <w:pPr>
              <w:pStyle w:val="226"/>
              <w:spacing w:line="560" w:lineRule="exact"/>
              <w:jc w:val="center"/>
              <w:rPr>
                <w:rFonts w:hint="eastAsia" w:ascii="仿宋" w:hAnsi="仿宋" w:eastAsia="仿宋" w:cs="仿宋"/>
                <w:color w:val="auto"/>
                <w:kern w:val="2"/>
                <w:sz w:val="24"/>
                <w:szCs w:val="24"/>
                <w:highlight w:val="none"/>
              </w:rPr>
            </w:pPr>
          </w:p>
        </w:tc>
        <w:tc>
          <w:tcPr>
            <w:tcW w:w="1783" w:type="pct"/>
            <w:vAlign w:val="center"/>
          </w:tcPr>
          <w:p w14:paraId="5D7B4626">
            <w:pPr>
              <w:pStyle w:val="226"/>
              <w:spacing w:line="560" w:lineRule="exact"/>
              <w:jc w:val="center"/>
              <w:rPr>
                <w:rFonts w:hint="eastAsia" w:ascii="仿宋" w:hAnsi="仿宋" w:eastAsia="仿宋" w:cs="仿宋"/>
                <w:color w:val="auto"/>
                <w:kern w:val="2"/>
                <w:sz w:val="24"/>
                <w:szCs w:val="24"/>
                <w:highlight w:val="none"/>
              </w:rPr>
            </w:pPr>
          </w:p>
        </w:tc>
      </w:tr>
      <w:tr w14:paraId="4CE2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58CC42FB">
            <w:pPr>
              <w:pStyle w:val="226"/>
              <w:spacing w:line="560" w:lineRule="exact"/>
              <w:jc w:val="center"/>
              <w:rPr>
                <w:rFonts w:hint="eastAsia" w:ascii="仿宋" w:hAnsi="仿宋" w:eastAsia="仿宋" w:cs="仿宋"/>
                <w:color w:val="auto"/>
                <w:kern w:val="2"/>
                <w:sz w:val="24"/>
                <w:szCs w:val="24"/>
                <w:highlight w:val="none"/>
              </w:rPr>
            </w:pPr>
          </w:p>
        </w:tc>
        <w:tc>
          <w:tcPr>
            <w:tcW w:w="2377" w:type="pct"/>
            <w:vAlign w:val="center"/>
          </w:tcPr>
          <w:p w14:paraId="274717C7">
            <w:pPr>
              <w:pStyle w:val="226"/>
              <w:spacing w:line="560" w:lineRule="exact"/>
              <w:jc w:val="center"/>
              <w:rPr>
                <w:rFonts w:hint="eastAsia" w:ascii="仿宋" w:hAnsi="仿宋" w:eastAsia="仿宋" w:cs="仿宋"/>
                <w:color w:val="auto"/>
                <w:kern w:val="2"/>
                <w:sz w:val="24"/>
                <w:szCs w:val="24"/>
                <w:highlight w:val="none"/>
              </w:rPr>
            </w:pPr>
          </w:p>
        </w:tc>
        <w:tc>
          <w:tcPr>
            <w:tcW w:w="1783" w:type="pct"/>
            <w:vAlign w:val="center"/>
          </w:tcPr>
          <w:p w14:paraId="69FA82DC">
            <w:pPr>
              <w:pStyle w:val="226"/>
              <w:spacing w:line="560" w:lineRule="exact"/>
              <w:jc w:val="center"/>
              <w:rPr>
                <w:rFonts w:hint="eastAsia" w:ascii="仿宋" w:hAnsi="仿宋" w:eastAsia="仿宋" w:cs="仿宋"/>
                <w:color w:val="auto"/>
                <w:kern w:val="2"/>
                <w:sz w:val="24"/>
                <w:szCs w:val="24"/>
                <w:highlight w:val="none"/>
              </w:rPr>
            </w:pPr>
          </w:p>
        </w:tc>
      </w:tr>
      <w:tr w14:paraId="6790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170C32FA">
            <w:pPr>
              <w:pStyle w:val="226"/>
              <w:spacing w:line="560" w:lineRule="exact"/>
              <w:jc w:val="center"/>
              <w:rPr>
                <w:rFonts w:hint="eastAsia" w:ascii="仿宋" w:hAnsi="仿宋" w:eastAsia="仿宋" w:cs="仿宋"/>
                <w:color w:val="auto"/>
                <w:kern w:val="2"/>
                <w:sz w:val="24"/>
                <w:szCs w:val="24"/>
                <w:highlight w:val="none"/>
              </w:rPr>
            </w:pPr>
          </w:p>
        </w:tc>
        <w:tc>
          <w:tcPr>
            <w:tcW w:w="2377" w:type="pct"/>
            <w:vAlign w:val="center"/>
          </w:tcPr>
          <w:p w14:paraId="041E42A2">
            <w:pPr>
              <w:pStyle w:val="226"/>
              <w:spacing w:line="560" w:lineRule="exact"/>
              <w:jc w:val="center"/>
              <w:rPr>
                <w:rFonts w:hint="eastAsia" w:ascii="仿宋" w:hAnsi="仿宋" w:eastAsia="仿宋" w:cs="仿宋"/>
                <w:color w:val="auto"/>
                <w:kern w:val="2"/>
                <w:sz w:val="24"/>
                <w:szCs w:val="24"/>
                <w:highlight w:val="none"/>
              </w:rPr>
            </w:pPr>
          </w:p>
        </w:tc>
        <w:tc>
          <w:tcPr>
            <w:tcW w:w="1783" w:type="pct"/>
            <w:vAlign w:val="center"/>
          </w:tcPr>
          <w:p w14:paraId="11C7C8A3">
            <w:pPr>
              <w:pStyle w:val="226"/>
              <w:spacing w:line="560" w:lineRule="exact"/>
              <w:jc w:val="center"/>
              <w:rPr>
                <w:rFonts w:hint="eastAsia" w:ascii="仿宋" w:hAnsi="仿宋" w:eastAsia="仿宋" w:cs="仿宋"/>
                <w:color w:val="auto"/>
                <w:kern w:val="2"/>
                <w:sz w:val="24"/>
                <w:szCs w:val="24"/>
                <w:highlight w:val="none"/>
              </w:rPr>
            </w:pPr>
          </w:p>
        </w:tc>
      </w:tr>
      <w:tr w14:paraId="4F43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1CAFA658">
            <w:pPr>
              <w:pStyle w:val="226"/>
              <w:spacing w:line="560" w:lineRule="exact"/>
              <w:ind w:firstLine="48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总价</w:t>
            </w:r>
          </w:p>
        </w:tc>
        <w:tc>
          <w:tcPr>
            <w:tcW w:w="1783" w:type="pct"/>
            <w:vAlign w:val="center"/>
          </w:tcPr>
          <w:p w14:paraId="25A55F2F">
            <w:pPr>
              <w:pStyle w:val="226"/>
              <w:spacing w:line="560" w:lineRule="exact"/>
              <w:rPr>
                <w:rFonts w:hint="eastAsia" w:ascii="仿宋" w:hAnsi="仿宋" w:eastAsia="仿宋" w:cs="仿宋"/>
                <w:color w:val="auto"/>
                <w:kern w:val="2"/>
                <w:sz w:val="24"/>
                <w:szCs w:val="24"/>
                <w:highlight w:val="none"/>
              </w:rPr>
            </w:pPr>
          </w:p>
        </w:tc>
      </w:tr>
    </w:tbl>
    <w:p w14:paraId="71DE55F5">
      <w:pPr>
        <w:spacing w:line="560" w:lineRule="exact"/>
        <w:ind w:firstLine="482" w:firstLineChars="200"/>
        <w:rPr>
          <w:rFonts w:hint="eastAsia" w:ascii="仿宋" w:hAnsi="仿宋" w:eastAsia="仿宋" w:cs="仿宋"/>
          <w:b/>
          <w:color w:val="auto"/>
          <w:sz w:val="24"/>
          <w:highlight w:val="none"/>
        </w:rPr>
      </w:pPr>
      <w:bookmarkStart w:id="65" w:name="_Toc2591677"/>
      <w:bookmarkStart w:id="66" w:name="_Toc26916"/>
      <w:bookmarkStart w:id="67" w:name="_Toc37868831"/>
      <w:bookmarkStart w:id="68" w:name="_Toc14993"/>
      <w:bookmarkStart w:id="69" w:name="_Toc82617973"/>
      <w:bookmarkStart w:id="70" w:name="_Toc30158"/>
      <w:bookmarkStart w:id="71" w:name="_Toc3654"/>
      <w:bookmarkStart w:id="72" w:name="_Toc30506"/>
      <w:r>
        <w:rPr>
          <w:rFonts w:hint="eastAsia" w:ascii="仿宋" w:hAnsi="仿宋" w:eastAsia="仿宋" w:cs="仿宋"/>
          <w:b/>
          <w:color w:val="auto"/>
          <w:sz w:val="24"/>
          <w:highlight w:val="none"/>
        </w:rPr>
        <w:t>1.4 付款方式和发票开具方式</w:t>
      </w:r>
      <w:bookmarkEnd w:id="65"/>
      <w:bookmarkEnd w:id="66"/>
      <w:bookmarkEnd w:id="67"/>
      <w:bookmarkEnd w:id="68"/>
      <w:bookmarkEnd w:id="69"/>
      <w:bookmarkEnd w:id="70"/>
      <w:bookmarkEnd w:id="71"/>
      <w:bookmarkEnd w:id="72"/>
    </w:p>
    <w:p w14:paraId="251C8A1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1.4.1付款方式：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D3E5A9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1.4.2 发票开具方式：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E8D3704">
      <w:pPr>
        <w:spacing w:line="560" w:lineRule="exact"/>
        <w:ind w:firstLine="482" w:firstLineChars="200"/>
        <w:rPr>
          <w:rFonts w:hint="eastAsia" w:ascii="仿宋" w:hAnsi="仿宋" w:eastAsia="仿宋" w:cs="仿宋"/>
          <w:b/>
          <w:color w:val="auto"/>
          <w:sz w:val="24"/>
          <w:highlight w:val="none"/>
        </w:rPr>
      </w:pPr>
      <w:bookmarkStart w:id="73" w:name="_Toc8772"/>
      <w:bookmarkStart w:id="74" w:name="_Toc37868832"/>
      <w:bookmarkStart w:id="75" w:name="_Toc4760"/>
      <w:bookmarkStart w:id="76" w:name="_Toc31421"/>
      <w:bookmarkStart w:id="77" w:name="_Toc3625"/>
      <w:bookmarkStart w:id="78" w:name="_Toc82617974"/>
      <w:bookmarkStart w:id="79" w:name="_Toc11108"/>
      <w:bookmarkStart w:id="80" w:name="_Toc2591678"/>
      <w:r>
        <w:rPr>
          <w:rFonts w:hint="eastAsia" w:ascii="仿宋" w:hAnsi="仿宋" w:eastAsia="仿宋" w:cs="仿宋"/>
          <w:b/>
          <w:color w:val="auto"/>
          <w:sz w:val="24"/>
          <w:highlight w:val="none"/>
        </w:rPr>
        <w:t>1.5 履行期限、地点和方式</w:t>
      </w:r>
      <w:bookmarkEnd w:id="73"/>
      <w:bookmarkEnd w:id="74"/>
      <w:bookmarkEnd w:id="75"/>
      <w:bookmarkEnd w:id="76"/>
      <w:bookmarkEnd w:id="77"/>
      <w:bookmarkEnd w:id="78"/>
      <w:bookmarkEnd w:id="79"/>
      <w:bookmarkEnd w:id="80"/>
    </w:p>
    <w:p w14:paraId="4F5CBFEF">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履行期限：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0E1CF7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履行地点：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C061C3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 履行方式：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4D52A2D">
      <w:pPr>
        <w:spacing w:line="560" w:lineRule="exact"/>
        <w:ind w:firstLine="482" w:firstLineChars="200"/>
        <w:rPr>
          <w:rFonts w:hint="eastAsia" w:ascii="仿宋" w:hAnsi="仿宋" w:eastAsia="仿宋" w:cs="仿宋"/>
          <w:color w:val="auto"/>
          <w:sz w:val="24"/>
          <w:highlight w:val="none"/>
          <w:u w:val="single"/>
        </w:rPr>
      </w:pPr>
      <w:bookmarkStart w:id="81" w:name="_Toc5698"/>
      <w:bookmarkStart w:id="82" w:name="_Toc24662"/>
      <w:bookmarkStart w:id="83" w:name="_Toc2375"/>
      <w:bookmarkStart w:id="84" w:name="_Toc3079"/>
      <w:bookmarkStart w:id="85" w:name="_Toc8586"/>
      <w:bookmarkStart w:id="86" w:name="_Toc82617975"/>
      <w:bookmarkStart w:id="87" w:name="_Toc37868833"/>
      <w:bookmarkStart w:id="88" w:name="_Toc2591679"/>
      <w:r>
        <w:rPr>
          <w:rFonts w:hint="eastAsia" w:ascii="仿宋" w:hAnsi="仿宋" w:eastAsia="仿宋" w:cs="仿宋"/>
          <w:b/>
          <w:color w:val="auto"/>
          <w:sz w:val="24"/>
          <w:highlight w:val="none"/>
        </w:rPr>
        <w:t>1.6 违约责任</w:t>
      </w:r>
      <w:bookmarkEnd w:id="81"/>
      <w:bookmarkEnd w:id="82"/>
      <w:bookmarkEnd w:id="83"/>
      <w:bookmarkEnd w:id="84"/>
      <w:bookmarkEnd w:id="85"/>
      <w:bookmarkEnd w:id="86"/>
      <w:bookmarkEnd w:id="87"/>
      <w:bookmarkEnd w:id="88"/>
    </w:p>
    <w:p w14:paraId="225CE6E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15E913F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344544E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C3AF14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1900BC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56B3B5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4DE2DFE">
      <w:pPr>
        <w:spacing w:line="560" w:lineRule="exact"/>
        <w:ind w:firstLine="482" w:firstLineChars="200"/>
        <w:rPr>
          <w:rFonts w:hint="eastAsia" w:ascii="仿宋" w:hAnsi="仿宋" w:eastAsia="仿宋" w:cs="仿宋"/>
          <w:b/>
          <w:color w:val="auto"/>
          <w:sz w:val="24"/>
          <w:highlight w:val="none"/>
        </w:rPr>
      </w:pPr>
      <w:bookmarkStart w:id="89" w:name="_Toc26807"/>
      <w:bookmarkStart w:id="90" w:name="_Toc32454"/>
      <w:bookmarkStart w:id="91" w:name="_Toc2591680"/>
      <w:bookmarkStart w:id="92" w:name="_Toc82617976"/>
      <w:bookmarkStart w:id="93" w:name="_Toc30329"/>
      <w:bookmarkStart w:id="94" w:name="_Toc37868834"/>
      <w:bookmarkStart w:id="95" w:name="_Toc18683"/>
      <w:bookmarkStart w:id="96" w:name="_Toc9497"/>
      <w:r>
        <w:rPr>
          <w:rFonts w:hint="eastAsia" w:ascii="仿宋" w:hAnsi="仿宋" w:eastAsia="仿宋" w:cs="仿宋"/>
          <w:b/>
          <w:color w:val="auto"/>
          <w:sz w:val="24"/>
          <w:highlight w:val="none"/>
        </w:rPr>
        <w:t>1.7 合同争议的解决</w:t>
      </w:r>
      <w:bookmarkEnd w:id="89"/>
      <w:bookmarkEnd w:id="90"/>
      <w:bookmarkEnd w:id="91"/>
      <w:bookmarkEnd w:id="92"/>
      <w:bookmarkEnd w:id="93"/>
      <w:bookmarkEnd w:id="94"/>
      <w:bookmarkEnd w:id="95"/>
      <w:bookmarkEnd w:id="96"/>
    </w:p>
    <w:p w14:paraId="27ED0D3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种方式解决：</w:t>
      </w:r>
    </w:p>
    <w:p w14:paraId="4523B8F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仲裁委员会依申请仲裁时其现行有效的仲裁规则裁决；</w:t>
      </w:r>
    </w:p>
    <w:p w14:paraId="6D87A51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highlight w:val="none"/>
        </w:rPr>
        <w:t>人民法院起诉。</w:t>
      </w:r>
    </w:p>
    <w:p w14:paraId="272BD178">
      <w:pPr>
        <w:spacing w:line="560" w:lineRule="exact"/>
        <w:ind w:firstLine="482" w:firstLineChars="200"/>
        <w:rPr>
          <w:rFonts w:hint="eastAsia" w:ascii="仿宋" w:hAnsi="仿宋" w:eastAsia="仿宋" w:cs="仿宋"/>
          <w:b/>
          <w:color w:val="auto"/>
          <w:sz w:val="24"/>
          <w:highlight w:val="none"/>
        </w:rPr>
      </w:pPr>
      <w:bookmarkStart w:id="97" w:name="_Toc82617977"/>
      <w:bookmarkStart w:id="98" w:name="_Toc16417"/>
      <w:bookmarkStart w:id="99" w:name="_Toc23784"/>
      <w:bookmarkStart w:id="100" w:name="_Toc15827"/>
      <w:bookmarkStart w:id="101" w:name="_Toc37868835"/>
      <w:bookmarkStart w:id="102" w:name="_Toc12273"/>
      <w:bookmarkStart w:id="103" w:name="_Toc2591681"/>
      <w:bookmarkStart w:id="104" w:name="_Toc26227"/>
      <w:r>
        <w:rPr>
          <w:rFonts w:hint="eastAsia" w:ascii="仿宋" w:hAnsi="仿宋" w:eastAsia="仿宋" w:cs="仿宋"/>
          <w:b/>
          <w:color w:val="auto"/>
          <w:sz w:val="24"/>
          <w:highlight w:val="none"/>
        </w:rPr>
        <w:t>1.8 合同生效</w:t>
      </w:r>
      <w:bookmarkEnd w:id="97"/>
      <w:bookmarkEnd w:id="98"/>
      <w:bookmarkEnd w:id="99"/>
      <w:bookmarkEnd w:id="100"/>
      <w:bookmarkEnd w:id="101"/>
      <w:bookmarkEnd w:id="102"/>
      <w:bookmarkEnd w:id="103"/>
      <w:bookmarkEnd w:id="104"/>
    </w:p>
    <w:p w14:paraId="4588F4E4">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本合同自双方当事人盖章或者签字时生效。</w:t>
      </w:r>
    </w:p>
    <w:p w14:paraId="365A6646">
      <w:pPr>
        <w:autoSpaceDE w:val="0"/>
        <w:autoSpaceDN w:val="0"/>
        <w:adjustRightInd w:val="0"/>
        <w:spacing w:line="560" w:lineRule="exact"/>
        <w:rPr>
          <w:rFonts w:hint="eastAsia" w:ascii="仿宋" w:hAnsi="仿宋" w:eastAsia="仿宋" w:cs="仿宋"/>
          <w:color w:val="auto"/>
          <w:sz w:val="24"/>
          <w:highlight w:val="none"/>
          <w:lang w:val="zh-CN"/>
        </w:rPr>
      </w:pPr>
    </w:p>
    <w:p w14:paraId="57929D01">
      <w:pPr>
        <w:autoSpaceDE w:val="0"/>
        <w:autoSpaceDN w:val="0"/>
        <w:adjustRightInd w:val="0"/>
        <w:spacing w:line="560" w:lineRule="exact"/>
        <w:rPr>
          <w:rFonts w:hint="eastAsia" w:ascii="仿宋" w:hAnsi="仿宋" w:eastAsia="仿宋" w:cs="仿宋"/>
          <w:b/>
          <w:color w:val="auto"/>
          <w:sz w:val="24"/>
          <w:highlight w:val="none"/>
          <w:lang w:val="zh-CN"/>
        </w:rPr>
      </w:pPr>
    </w:p>
    <w:p w14:paraId="2728207B">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0AE3D3C5">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0795F344">
      <w:pPr>
        <w:autoSpaceDE w:val="0"/>
        <w:autoSpaceDN w:val="0"/>
        <w:adjustRightInd w:val="0"/>
        <w:spacing w:line="560" w:lineRule="exact"/>
        <w:rPr>
          <w:rFonts w:hint="eastAsia" w:ascii="仿宋" w:hAnsi="仿宋" w:eastAsia="仿宋" w:cs="仿宋"/>
          <w:color w:val="auto"/>
          <w:sz w:val="24"/>
          <w:highlight w:val="none"/>
          <w:lang w:val="zh-CN"/>
        </w:rPr>
      </w:pPr>
    </w:p>
    <w:p w14:paraId="053A3C3D">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4CCE27AA">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w:t>
      </w:r>
    </w:p>
    <w:p w14:paraId="2FE0FF07">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或授权代表（签字）: </w:t>
      </w:r>
    </w:p>
    <w:p w14:paraId="1DD23AAC">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1CA67850">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1A0C8A1F">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07125CCA">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6DB7B321">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63FAC6C7">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46E4566F">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4B0C497E">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202AE7B5">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2AEF9932">
      <w:pPr>
        <w:widowControl/>
        <w:spacing w:line="560" w:lineRule="exact"/>
        <w:jc w:val="left"/>
        <w:rPr>
          <w:rFonts w:hint="eastAsia" w:ascii="仿宋" w:hAnsi="仿宋" w:eastAsia="仿宋" w:cs="仿宋"/>
          <w:b/>
          <w:color w:val="auto"/>
          <w:highlight w:val="none"/>
        </w:rPr>
      </w:pPr>
      <w:bookmarkStart w:id="105" w:name="_Toc331685783"/>
    </w:p>
    <w:p w14:paraId="4C72AD39">
      <w:pPr>
        <w:widowControl/>
        <w:spacing w:line="560" w:lineRule="exact"/>
        <w:jc w:val="left"/>
        <w:rPr>
          <w:rFonts w:hint="eastAsia" w:ascii="仿宋" w:hAnsi="仿宋" w:eastAsia="仿宋" w:cs="仿宋"/>
          <w:b/>
          <w:color w:val="auto"/>
          <w:highlight w:val="none"/>
        </w:rPr>
      </w:pPr>
    </w:p>
    <w:p w14:paraId="1246743A">
      <w:pPr>
        <w:pStyle w:val="224"/>
        <w:spacing w:line="560" w:lineRule="exact"/>
        <w:ind w:firstLine="2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br w:type="page"/>
      </w:r>
      <w:r>
        <w:rPr>
          <w:rFonts w:hint="eastAsia" w:ascii="仿宋" w:hAnsi="仿宋" w:eastAsia="仿宋" w:cs="仿宋"/>
          <w:b/>
          <w:color w:val="auto"/>
          <w:szCs w:val="24"/>
          <w:highlight w:val="none"/>
        </w:rPr>
        <w:t>第二部分 合同一般条款</w:t>
      </w:r>
      <w:bookmarkEnd w:id="105"/>
    </w:p>
    <w:p w14:paraId="373F7A74">
      <w:pPr>
        <w:spacing w:line="560" w:lineRule="exact"/>
        <w:ind w:firstLine="482" w:firstLineChars="200"/>
        <w:rPr>
          <w:rFonts w:hint="eastAsia" w:ascii="仿宋" w:hAnsi="仿宋" w:eastAsia="仿宋" w:cs="仿宋"/>
          <w:b/>
          <w:color w:val="auto"/>
          <w:sz w:val="24"/>
          <w:highlight w:val="none"/>
        </w:rPr>
      </w:pPr>
      <w:bookmarkStart w:id="106" w:name="_Ref467379225"/>
      <w:bookmarkStart w:id="107" w:name="_Toc487900349"/>
      <w:bookmarkStart w:id="108" w:name="_Toc25079"/>
      <w:bookmarkStart w:id="109" w:name="_Toc5228"/>
      <w:bookmarkStart w:id="110" w:name="_Toc31297"/>
      <w:bookmarkStart w:id="111" w:name="_Ref467379109"/>
      <w:bookmarkStart w:id="112" w:name="_Ref467378499"/>
      <w:bookmarkStart w:id="113" w:name="_Ref467379195"/>
      <w:bookmarkStart w:id="114" w:name="_Ref467379094"/>
      <w:bookmarkStart w:id="115" w:name="_Toc259093669"/>
      <w:bookmarkStart w:id="116" w:name="_Ref467379101"/>
      <w:bookmarkStart w:id="117" w:name="_Toc82617978"/>
      <w:bookmarkStart w:id="118" w:name="_Ref467379205"/>
      <w:bookmarkStart w:id="119" w:name="_Ref467379214"/>
      <w:bookmarkStart w:id="120" w:name="_Toc37868836"/>
      <w:bookmarkStart w:id="121" w:name="_Ref467378404"/>
      <w:bookmarkStart w:id="122" w:name="_Ref467378463"/>
      <w:bookmarkStart w:id="123" w:name="_Toc14021"/>
      <w:bookmarkStart w:id="124" w:name="_Toc2591682"/>
      <w:bookmarkStart w:id="125" w:name="_Toc19680"/>
      <w:bookmarkStart w:id="126" w:name="_Toc279701240"/>
      <w:r>
        <w:rPr>
          <w:rFonts w:hint="eastAsia" w:ascii="仿宋" w:hAnsi="仿宋" w:eastAsia="仿宋" w:cs="仿宋"/>
          <w:b/>
          <w:color w:val="auto"/>
          <w:sz w:val="24"/>
          <w:highlight w:val="none"/>
        </w:rPr>
        <w:t>2.1 定义</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611CEB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07CFB79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“合同”系指采购人和中标供应商签订的载明双方当事人所达成的协议，并包括所有的附件、附录和构成合同的其他文件。</w:t>
      </w:r>
    </w:p>
    <w:p w14:paraId="08E5957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“合同价”系指根据合同约定，中标供应商在完全履行合同义务后，采购人应支付给中标供应商的价格。</w:t>
      </w:r>
    </w:p>
    <w:p w14:paraId="5A24F99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“服务”系指中标供应商根据合同约定应向采购人履行的除货物和工程以外的其他政府采购对象，包括采购人自身需要的服务和向社会公众提供的公共服务。</w:t>
      </w:r>
    </w:p>
    <w:p w14:paraId="23DC7DE6">
      <w:pPr>
        <w:spacing w:line="560" w:lineRule="exact"/>
        <w:ind w:firstLine="480" w:firstLineChars="200"/>
        <w:rPr>
          <w:rFonts w:hint="eastAsia" w:ascii="仿宋" w:hAnsi="仿宋" w:eastAsia="仿宋" w:cs="仿宋"/>
          <w:color w:val="auto"/>
          <w:sz w:val="24"/>
          <w:highlight w:val="none"/>
        </w:rPr>
      </w:pPr>
      <w:bookmarkStart w:id="127" w:name="_Ref467378840"/>
      <w:r>
        <w:rPr>
          <w:rFonts w:hint="eastAsia" w:ascii="仿宋" w:hAnsi="仿宋" w:eastAsia="仿宋" w:cs="仿宋"/>
          <w:color w:val="auto"/>
          <w:sz w:val="24"/>
          <w:highlight w:val="none"/>
        </w:rPr>
        <w:t>2.1.4 “甲方”系指与中标供应商签署合同的采购人</w:t>
      </w:r>
      <w:bookmarkEnd w:id="127"/>
      <w:r>
        <w:rPr>
          <w:rFonts w:hint="eastAsia" w:ascii="仿宋" w:hAnsi="仿宋" w:eastAsia="仿宋" w:cs="仿宋"/>
          <w:color w:val="auto"/>
          <w:sz w:val="24"/>
          <w:highlight w:val="none"/>
        </w:rPr>
        <w:t>；采购人委托采购代理机构代表其与乙方签订合同的，采购人的授权委托书作为合同附件。</w:t>
      </w:r>
    </w:p>
    <w:p w14:paraId="23A70E77">
      <w:pPr>
        <w:spacing w:line="560" w:lineRule="exact"/>
        <w:ind w:firstLine="480" w:firstLineChars="200"/>
        <w:rPr>
          <w:rFonts w:hint="eastAsia" w:ascii="仿宋" w:hAnsi="仿宋" w:eastAsia="仿宋" w:cs="仿宋"/>
          <w:color w:val="auto"/>
          <w:sz w:val="24"/>
          <w:highlight w:val="none"/>
        </w:rPr>
      </w:pPr>
      <w:bookmarkStart w:id="128" w:name="_Ref467379400"/>
      <w:r>
        <w:rPr>
          <w:rFonts w:hint="eastAsia" w:ascii="仿宋" w:hAnsi="仿宋" w:eastAsia="仿宋" w:cs="仿宋"/>
          <w:color w:val="auto"/>
          <w:sz w:val="24"/>
          <w:highlight w:val="none"/>
        </w:rPr>
        <w:t>2.1.5 “乙方”系指根据合同约定提供服务的中标供应商</w:t>
      </w:r>
      <w:bookmarkEnd w:id="128"/>
      <w:r>
        <w:rPr>
          <w:rFonts w:hint="eastAsia" w:ascii="仿宋" w:hAnsi="仿宋" w:eastAsia="仿宋" w:cs="仿宋"/>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63D7C25">
      <w:pPr>
        <w:spacing w:line="560" w:lineRule="exact"/>
        <w:ind w:firstLine="480" w:firstLineChars="200"/>
        <w:rPr>
          <w:rFonts w:hint="eastAsia" w:ascii="仿宋" w:hAnsi="仿宋" w:eastAsia="仿宋" w:cs="仿宋"/>
          <w:color w:val="auto"/>
          <w:sz w:val="24"/>
          <w:highlight w:val="none"/>
        </w:rPr>
      </w:pPr>
      <w:bookmarkStart w:id="129" w:name="_Ref467379436"/>
      <w:r>
        <w:rPr>
          <w:rFonts w:hint="eastAsia" w:ascii="仿宋" w:hAnsi="仿宋" w:eastAsia="仿宋" w:cs="仿宋"/>
          <w:color w:val="auto"/>
          <w:sz w:val="24"/>
          <w:highlight w:val="none"/>
        </w:rPr>
        <w:t>2.1.6 “现场”系指合同约定提供服务的地点。</w:t>
      </w:r>
      <w:bookmarkEnd w:id="129"/>
    </w:p>
    <w:p w14:paraId="46BBE6B4">
      <w:pPr>
        <w:spacing w:line="560" w:lineRule="exact"/>
        <w:ind w:firstLine="482" w:firstLineChars="200"/>
        <w:rPr>
          <w:rFonts w:hint="eastAsia" w:ascii="仿宋" w:hAnsi="仿宋" w:eastAsia="仿宋" w:cs="仿宋"/>
          <w:b/>
          <w:color w:val="auto"/>
          <w:sz w:val="24"/>
          <w:highlight w:val="none"/>
        </w:rPr>
      </w:pPr>
      <w:bookmarkStart w:id="130" w:name="_Toc82617979"/>
      <w:bookmarkStart w:id="131" w:name="_Toc31402"/>
      <w:bookmarkStart w:id="132" w:name="_Toc487900350"/>
      <w:bookmarkStart w:id="133" w:name="_Toc259093670"/>
      <w:bookmarkStart w:id="134" w:name="_Toc37868837"/>
      <w:bookmarkStart w:id="135" w:name="_Toc23289"/>
      <w:bookmarkStart w:id="136" w:name="_Toc279701241"/>
      <w:bookmarkStart w:id="137" w:name="_Toc19539"/>
      <w:bookmarkStart w:id="138" w:name="_Toc3769"/>
      <w:bookmarkStart w:id="139" w:name="_Toc2591683"/>
      <w:bookmarkStart w:id="140" w:name="_Toc16752"/>
      <w:r>
        <w:rPr>
          <w:rFonts w:hint="eastAsia" w:ascii="仿宋" w:hAnsi="仿宋" w:eastAsia="仿宋" w:cs="仿宋"/>
          <w:b/>
          <w:color w:val="auto"/>
          <w:sz w:val="24"/>
          <w:highlight w:val="none"/>
        </w:rPr>
        <w:t>2.2 技术规范</w:t>
      </w:r>
      <w:bookmarkEnd w:id="130"/>
      <w:bookmarkEnd w:id="131"/>
      <w:bookmarkEnd w:id="132"/>
      <w:bookmarkEnd w:id="133"/>
      <w:bookmarkEnd w:id="134"/>
      <w:bookmarkEnd w:id="135"/>
      <w:bookmarkEnd w:id="136"/>
      <w:bookmarkEnd w:id="137"/>
      <w:bookmarkEnd w:id="138"/>
      <w:bookmarkEnd w:id="139"/>
      <w:bookmarkEnd w:id="140"/>
    </w:p>
    <w:p w14:paraId="78B1148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9F9D494">
      <w:pPr>
        <w:spacing w:line="560" w:lineRule="exact"/>
        <w:ind w:firstLine="482" w:firstLineChars="200"/>
        <w:rPr>
          <w:rFonts w:hint="eastAsia" w:ascii="仿宋" w:hAnsi="仿宋" w:eastAsia="仿宋" w:cs="仿宋"/>
          <w:b/>
          <w:color w:val="auto"/>
          <w:sz w:val="24"/>
          <w:highlight w:val="none"/>
        </w:rPr>
      </w:pPr>
      <w:bookmarkStart w:id="141" w:name="_Toc487900351"/>
      <w:bookmarkStart w:id="142" w:name="_Toc37868838"/>
      <w:bookmarkStart w:id="143" w:name="_Toc2591684"/>
      <w:bookmarkStart w:id="144" w:name="_Toc9161"/>
      <w:bookmarkStart w:id="145" w:name="_Toc259093671"/>
      <w:bookmarkStart w:id="146" w:name="_Toc279701242"/>
      <w:bookmarkStart w:id="147" w:name="_Toc12412"/>
      <w:bookmarkStart w:id="148" w:name="_Toc13673"/>
      <w:bookmarkStart w:id="149" w:name="_Toc27945"/>
      <w:bookmarkStart w:id="150" w:name="_Toc4133"/>
      <w:bookmarkStart w:id="151" w:name="_Toc82617980"/>
      <w:r>
        <w:rPr>
          <w:rFonts w:hint="eastAsia" w:ascii="仿宋" w:hAnsi="仿宋" w:eastAsia="仿宋" w:cs="仿宋"/>
          <w:b/>
          <w:color w:val="auto"/>
          <w:sz w:val="24"/>
          <w:highlight w:val="none"/>
        </w:rPr>
        <w:t>2.3 知识产权</w:t>
      </w:r>
      <w:bookmarkEnd w:id="141"/>
      <w:bookmarkEnd w:id="142"/>
      <w:bookmarkEnd w:id="143"/>
      <w:bookmarkEnd w:id="144"/>
      <w:bookmarkEnd w:id="145"/>
      <w:bookmarkEnd w:id="146"/>
      <w:bookmarkEnd w:id="147"/>
      <w:bookmarkEnd w:id="148"/>
      <w:bookmarkEnd w:id="149"/>
      <w:bookmarkEnd w:id="150"/>
      <w:bookmarkEnd w:id="151"/>
    </w:p>
    <w:p w14:paraId="382C7DF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D3C8B6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0FD99ED">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0429A83D">
      <w:pPr>
        <w:spacing w:line="560" w:lineRule="exact"/>
        <w:ind w:firstLine="480" w:firstLineChars="200"/>
        <w:rPr>
          <w:rFonts w:hint="eastAsia" w:ascii="仿宋" w:hAnsi="仿宋" w:eastAsia="仿宋" w:cs="仿宋"/>
          <w:color w:val="auto"/>
          <w:sz w:val="24"/>
          <w:highlight w:val="none"/>
        </w:rPr>
      </w:pPr>
      <w:bookmarkStart w:id="152" w:name="_Ref467379657"/>
      <w:r>
        <w:rPr>
          <w:rFonts w:hint="eastAsia" w:ascii="仿宋" w:hAnsi="仿宋" w:eastAsia="仿宋" w:cs="仿宋"/>
          <w:color w:val="auto"/>
          <w:sz w:val="24"/>
          <w:highlight w:val="none"/>
        </w:rPr>
        <w:t>2.4.1</w:t>
      </w:r>
      <w:bookmarkEnd w:id="152"/>
      <w:bookmarkStart w:id="153" w:name="_Toc186431854"/>
      <w:bookmarkStart w:id="154" w:name="_Toc259093676"/>
      <w:bookmarkStart w:id="155" w:name="_Toc487900357"/>
      <w:bookmarkStart w:id="156" w:name="_Ref467379793"/>
      <w:bookmarkStart w:id="157" w:name="_Ref467379807"/>
      <w:bookmarkStart w:id="158" w:name="_Toc279701247"/>
      <w:r>
        <w:rPr>
          <w:rFonts w:hint="eastAsia" w:ascii="仿宋" w:hAnsi="仿宋" w:eastAsia="仿宋" w:cs="仿宋"/>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1A669CA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bookmarkEnd w:id="153"/>
      <w:bookmarkStart w:id="159" w:name="_Toc186431855"/>
      <w:r>
        <w:rPr>
          <w:rFonts w:hint="eastAsia" w:ascii="仿宋" w:hAnsi="仿宋" w:eastAsia="仿宋" w:cs="仿宋"/>
          <w:color w:val="auto"/>
          <w:sz w:val="24"/>
          <w:highlight w:val="none"/>
        </w:rPr>
        <w:t>。</w:t>
      </w:r>
    </w:p>
    <w:bookmarkEnd w:id="159"/>
    <w:p w14:paraId="42070E7F">
      <w:pPr>
        <w:spacing w:line="560" w:lineRule="exact"/>
        <w:ind w:firstLine="482" w:firstLineChars="200"/>
        <w:rPr>
          <w:rFonts w:hint="eastAsia" w:ascii="仿宋" w:hAnsi="仿宋" w:eastAsia="仿宋" w:cs="仿宋"/>
          <w:b/>
          <w:color w:val="auto"/>
          <w:sz w:val="24"/>
          <w:highlight w:val="none"/>
        </w:rPr>
      </w:pPr>
      <w:bookmarkStart w:id="160" w:name="_Toc2591685"/>
      <w:bookmarkStart w:id="161" w:name="_Toc31233"/>
      <w:bookmarkStart w:id="162" w:name="_Toc37868839"/>
      <w:bookmarkStart w:id="163" w:name="_Toc15447"/>
      <w:bookmarkStart w:id="164" w:name="_Toc22011"/>
      <w:bookmarkStart w:id="165" w:name="_Toc26555"/>
      <w:bookmarkStart w:id="166" w:name="_Toc32670"/>
      <w:bookmarkStart w:id="167" w:name="_Toc82617981"/>
      <w:r>
        <w:rPr>
          <w:rFonts w:hint="eastAsia" w:ascii="仿宋" w:hAnsi="仿宋" w:eastAsia="仿宋" w:cs="仿宋"/>
          <w:b/>
          <w:color w:val="auto"/>
          <w:sz w:val="24"/>
          <w:highlight w:val="none"/>
        </w:rPr>
        <w:t>2.5 结算方式和付款条件</w:t>
      </w:r>
      <w:bookmarkEnd w:id="154"/>
      <w:bookmarkEnd w:id="155"/>
      <w:bookmarkEnd w:id="156"/>
      <w:bookmarkEnd w:id="157"/>
      <w:bookmarkEnd w:id="158"/>
      <w:bookmarkEnd w:id="160"/>
      <w:bookmarkEnd w:id="161"/>
      <w:bookmarkEnd w:id="162"/>
      <w:bookmarkEnd w:id="163"/>
      <w:bookmarkEnd w:id="164"/>
      <w:bookmarkEnd w:id="165"/>
      <w:bookmarkEnd w:id="166"/>
      <w:bookmarkEnd w:id="167"/>
    </w:p>
    <w:p w14:paraId="4680300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F9E64A3">
      <w:pPr>
        <w:spacing w:line="560" w:lineRule="exact"/>
        <w:ind w:firstLine="482" w:firstLineChars="200"/>
        <w:rPr>
          <w:rFonts w:hint="eastAsia" w:ascii="仿宋" w:hAnsi="仿宋" w:eastAsia="仿宋" w:cs="仿宋"/>
          <w:b/>
          <w:color w:val="auto"/>
          <w:sz w:val="24"/>
          <w:highlight w:val="none"/>
        </w:rPr>
      </w:pPr>
      <w:bookmarkStart w:id="168" w:name="_Toc279701248"/>
      <w:bookmarkStart w:id="169" w:name="_Toc487900358"/>
      <w:bookmarkStart w:id="170" w:name="_Ref467379852"/>
      <w:bookmarkStart w:id="171" w:name="_Ref467379863"/>
      <w:bookmarkStart w:id="172" w:name="_Toc259093677"/>
      <w:bookmarkStart w:id="173" w:name="_Ref467379923"/>
      <w:bookmarkStart w:id="174" w:name="_Toc2591686"/>
      <w:bookmarkStart w:id="175" w:name="_Toc16163"/>
      <w:bookmarkStart w:id="176" w:name="_Toc82617982"/>
      <w:bookmarkStart w:id="177" w:name="_Toc13467"/>
      <w:bookmarkStart w:id="178" w:name="_Toc18990"/>
      <w:bookmarkStart w:id="179" w:name="_Toc13154"/>
      <w:bookmarkStart w:id="180" w:name="_Toc30507"/>
      <w:bookmarkStart w:id="181" w:name="_Toc37868840"/>
      <w:r>
        <w:rPr>
          <w:rFonts w:hint="eastAsia" w:ascii="仿宋" w:hAnsi="仿宋" w:eastAsia="仿宋" w:cs="仿宋"/>
          <w:b/>
          <w:color w:val="auto"/>
          <w:sz w:val="24"/>
          <w:highlight w:val="none"/>
        </w:rPr>
        <w:t>2.6 技术资料</w:t>
      </w:r>
      <w:bookmarkEnd w:id="168"/>
      <w:bookmarkEnd w:id="169"/>
      <w:bookmarkEnd w:id="170"/>
      <w:bookmarkEnd w:id="171"/>
      <w:bookmarkEnd w:id="172"/>
      <w:bookmarkEnd w:id="173"/>
      <w:r>
        <w:rPr>
          <w:rFonts w:hint="eastAsia" w:ascii="仿宋" w:hAnsi="仿宋" w:eastAsia="仿宋" w:cs="仿宋"/>
          <w:b/>
          <w:color w:val="auto"/>
          <w:sz w:val="24"/>
          <w:highlight w:val="none"/>
        </w:rPr>
        <w:t>和保密义务</w:t>
      </w:r>
      <w:bookmarkEnd w:id="174"/>
      <w:bookmarkEnd w:id="175"/>
      <w:bookmarkEnd w:id="176"/>
      <w:bookmarkEnd w:id="177"/>
      <w:bookmarkEnd w:id="178"/>
      <w:bookmarkEnd w:id="179"/>
      <w:bookmarkEnd w:id="180"/>
      <w:bookmarkEnd w:id="181"/>
    </w:p>
    <w:p w14:paraId="66C409D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3D08206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2F480C1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F73760A">
      <w:pPr>
        <w:spacing w:line="560" w:lineRule="exact"/>
        <w:ind w:firstLine="482" w:firstLineChars="200"/>
        <w:rPr>
          <w:rFonts w:hint="eastAsia" w:ascii="仿宋" w:hAnsi="仿宋" w:eastAsia="仿宋" w:cs="仿宋"/>
          <w:b/>
          <w:color w:val="auto"/>
          <w:sz w:val="24"/>
          <w:highlight w:val="none"/>
        </w:rPr>
      </w:pPr>
      <w:bookmarkStart w:id="182" w:name="_Toc2591687"/>
      <w:bookmarkStart w:id="183" w:name="_Toc19069"/>
      <w:bookmarkStart w:id="184" w:name="_Toc37868841"/>
      <w:bookmarkStart w:id="185" w:name="_Toc82617983"/>
      <w:bookmarkStart w:id="186" w:name="_Toc279701252"/>
      <w:bookmarkStart w:id="187" w:name="_Toc259093681"/>
      <w:bookmarkStart w:id="188" w:name="_Toc487900362"/>
      <w:r>
        <w:rPr>
          <w:rFonts w:hint="eastAsia" w:ascii="仿宋" w:hAnsi="仿宋" w:eastAsia="仿宋" w:cs="仿宋"/>
          <w:b/>
          <w:color w:val="auto"/>
          <w:sz w:val="24"/>
          <w:highlight w:val="none"/>
        </w:rPr>
        <w:t>2.7 质量保证</w:t>
      </w:r>
      <w:bookmarkEnd w:id="182"/>
      <w:bookmarkEnd w:id="183"/>
      <w:bookmarkEnd w:id="184"/>
      <w:bookmarkEnd w:id="185"/>
    </w:p>
    <w:p w14:paraId="0202EA2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084E960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62807153">
      <w:pPr>
        <w:spacing w:line="560" w:lineRule="exact"/>
        <w:ind w:firstLine="482" w:firstLineChars="200"/>
        <w:rPr>
          <w:rFonts w:hint="eastAsia" w:ascii="仿宋" w:hAnsi="仿宋" w:eastAsia="仿宋" w:cs="仿宋"/>
          <w:b/>
          <w:color w:val="auto"/>
          <w:sz w:val="24"/>
          <w:highlight w:val="none"/>
        </w:rPr>
      </w:pPr>
      <w:bookmarkStart w:id="189" w:name="_Toc22267"/>
      <w:bookmarkStart w:id="190" w:name="_Toc82617984"/>
      <w:bookmarkStart w:id="191" w:name="_Toc37868842"/>
      <w:bookmarkStart w:id="192" w:name="_Toc2591688"/>
      <w:r>
        <w:rPr>
          <w:rFonts w:hint="eastAsia" w:ascii="仿宋" w:hAnsi="仿宋" w:eastAsia="仿宋" w:cs="仿宋"/>
          <w:b/>
          <w:color w:val="auto"/>
          <w:sz w:val="24"/>
          <w:highlight w:val="none"/>
        </w:rPr>
        <w:t>2.8 延迟</w:t>
      </w:r>
      <w:bookmarkEnd w:id="186"/>
      <w:bookmarkEnd w:id="187"/>
      <w:bookmarkEnd w:id="188"/>
      <w:r>
        <w:rPr>
          <w:rFonts w:hint="eastAsia" w:ascii="仿宋" w:hAnsi="仿宋" w:eastAsia="仿宋" w:cs="仿宋"/>
          <w:b/>
          <w:color w:val="auto"/>
          <w:sz w:val="24"/>
          <w:highlight w:val="none"/>
        </w:rPr>
        <w:t>履行</w:t>
      </w:r>
      <w:bookmarkEnd w:id="189"/>
      <w:bookmarkEnd w:id="190"/>
      <w:bookmarkEnd w:id="191"/>
      <w:bookmarkEnd w:id="192"/>
    </w:p>
    <w:p w14:paraId="35B1ED8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7E12BB6">
      <w:pPr>
        <w:spacing w:line="560" w:lineRule="exact"/>
        <w:ind w:firstLine="482" w:firstLineChars="200"/>
        <w:rPr>
          <w:rFonts w:hint="eastAsia" w:ascii="仿宋" w:hAnsi="仿宋" w:eastAsia="仿宋" w:cs="仿宋"/>
          <w:b/>
          <w:color w:val="auto"/>
          <w:sz w:val="24"/>
          <w:highlight w:val="none"/>
        </w:rPr>
      </w:pPr>
      <w:bookmarkStart w:id="193" w:name="_Toc10611"/>
      <w:bookmarkStart w:id="194" w:name="_Toc2591689"/>
      <w:bookmarkStart w:id="195" w:name="_Toc37868843"/>
      <w:bookmarkStart w:id="196" w:name="_Toc82617985"/>
      <w:bookmarkStart w:id="197" w:name="_Toc259093683"/>
      <w:bookmarkStart w:id="198" w:name="_Toc487900364"/>
      <w:bookmarkStart w:id="199" w:name="_Ref467378121"/>
      <w:bookmarkStart w:id="200" w:name="_Toc279701254"/>
      <w:r>
        <w:rPr>
          <w:rFonts w:hint="eastAsia" w:ascii="仿宋" w:hAnsi="仿宋" w:eastAsia="仿宋" w:cs="仿宋"/>
          <w:b/>
          <w:color w:val="auto"/>
          <w:sz w:val="24"/>
          <w:highlight w:val="none"/>
        </w:rPr>
        <w:t>2.9 合同变更</w:t>
      </w:r>
      <w:bookmarkEnd w:id="193"/>
      <w:bookmarkEnd w:id="194"/>
      <w:bookmarkEnd w:id="195"/>
      <w:bookmarkEnd w:id="196"/>
    </w:p>
    <w:p w14:paraId="7C5994A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471017B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201" w:name="_Toc259093688"/>
      <w:bookmarkStart w:id="202" w:name="_Toc279701259"/>
      <w:bookmarkStart w:id="203" w:name="_Toc487900369"/>
    </w:p>
    <w:p w14:paraId="60BBF48E">
      <w:pPr>
        <w:spacing w:line="560" w:lineRule="exact"/>
        <w:ind w:firstLine="482" w:firstLineChars="200"/>
        <w:rPr>
          <w:rFonts w:hint="eastAsia" w:ascii="仿宋" w:hAnsi="仿宋" w:eastAsia="仿宋" w:cs="仿宋"/>
          <w:b/>
          <w:color w:val="auto"/>
          <w:sz w:val="24"/>
          <w:highlight w:val="none"/>
        </w:rPr>
      </w:pPr>
      <w:bookmarkStart w:id="204" w:name="_Toc26689"/>
      <w:bookmarkStart w:id="205" w:name="_Toc82617986"/>
      <w:bookmarkStart w:id="206" w:name="_Toc42"/>
      <w:bookmarkStart w:id="207" w:name="_Toc21830"/>
      <w:bookmarkStart w:id="208" w:name="_Toc2591690"/>
      <w:bookmarkStart w:id="209" w:name="_Toc10663"/>
      <w:bookmarkStart w:id="210" w:name="_Toc37868844"/>
      <w:bookmarkStart w:id="211" w:name="_Toc23368"/>
      <w:r>
        <w:rPr>
          <w:rFonts w:hint="eastAsia" w:ascii="仿宋" w:hAnsi="仿宋" w:eastAsia="仿宋" w:cs="仿宋"/>
          <w:b/>
          <w:color w:val="auto"/>
          <w:sz w:val="24"/>
          <w:highlight w:val="none"/>
        </w:rPr>
        <w:t>2.10 合同转让</w:t>
      </w:r>
      <w:bookmarkEnd w:id="201"/>
      <w:bookmarkEnd w:id="202"/>
      <w:bookmarkEnd w:id="203"/>
      <w:r>
        <w:rPr>
          <w:rFonts w:hint="eastAsia" w:ascii="仿宋" w:hAnsi="仿宋" w:eastAsia="仿宋" w:cs="仿宋"/>
          <w:b/>
          <w:color w:val="auto"/>
          <w:sz w:val="24"/>
          <w:highlight w:val="none"/>
        </w:rPr>
        <w:t>和分包</w:t>
      </w:r>
      <w:bookmarkEnd w:id="204"/>
      <w:bookmarkEnd w:id="205"/>
      <w:bookmarkEnd w:id="206"/>
      <w:bookmarkEnd w:id="207"/>
      <w:bookmarkEnd w:id="208"/>
      <w:bookmarkEnd w:id="209"/>
      <w:bookmarkEnd w:id="210"/>
      <w:bookmarkEnd w:id="211"/>
    </w:p>
    <w:p w14:paraId="1952704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E439681">
      <w:pPr>
        <w:spacing w:line="560" w:lineRule="exact"/>
        <w:ind w:firstLine="482" w:firstLineChars="200"/>
        <w:rPr>
          <w:rFonts w:hint="eastAsia" w:ascii="仿宋" w:hAnsi="仿宋" w:eastAsia="仿宋" w:cs="仿宋"/>
          <w:b/>
          <w:color w:val="auto"/>
          <w:sz w:val="24"/>
          <w:highlight w:val="none"/>
        </w:rPr>
      </w:pPr>
      <w:bookmarkStart w:id="212" w:name="_Toc37868845"/>
      <w:bookmarkStart w:id="213" w:name="_Toc25571"/>
      <w:bookmarkStart w:id="214" w:name="_Toc2591691"/>
      <w:bookmarkStart w:id="215" w:name="_Toc4720"/>
      <w:bookmarkStart w:id="216" w:name="_Toc14371"/>
      <w:bookmarkStart w:id="217" w:name="_Toc32494"/>
      <w:bookmarkStart w:id="218" w:name="_Toc26633"/>
      <w:bookmarkStart w:id="219" w:name="_Toc82617987"/>
      <w:r>
        <w:rPr>
          <w:rFonts w:hint="eastAsia" w:ascii="仿宋" w:hAnsi="仿宋" w:eastAsia="仿宋" w:cs="仿宋"/>
          <w:b/>
          <w:color w:val="auto"/>
          <w:sz w:val="24"/>
          <w:highlight w:val="none"/>
        </w:rPr>
        <w:t>2.11 不可抗力</w:t>
      </w:r>
      <w:bookmarkEnd w:id="212"/>
      <w:bookmarkEnd w:id="213"/>
      <w:bookmarkEnd w:id="214"/>
      <w:bookmarkEnd w:id="215"/>
      <w:bookmarkEnd w:id="216"/>
      <w:bookmarkEnd w:id="217"/>
      <w:bookmarkEnd w:id="218"/>
      <w:bookmarkEnd w:id="219"/>
    </w:p>
    <w:p w14:paraId="55BB41C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789FA9E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25E2CC0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2227A0F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55E9890F">
      <w:pPr>
        <w:spacing w:line="560" w:lineRule="exact"/>
        <w:ind w:firstLine="482" w:firstLineChars="200"/>
        <w:rPr>
          <w:rFonts w:hint="eastAsia" w:ascii="仿宋" w:hAnsi="仿宋" w:eastAsia="仿宋" w:cs="仿宋"/>
          <w:b/>
          <w:color w:val="auto"/>
          <w:sz w:val="24"/>
          <w:highlight w:val="none"/>
        </w:rPr>
      </w:pPr>
      <w:bookmarkStart w:id="220" w:name="_Toc24465"/>
      <w:bookmarkStart w:id="221" w:name="_Toc3638"/>
      <w:bookmarkStart w:id="222" w:name="_Toc37868846"/>
      <w:bookmarkStart w:id="223" w:name="_Toc25783"/>
      <w:bookmarkStart w:id="224" w:name="_Toc23854"/>
      <w:bookmarkStart w:id="225" w:name="_Toc487900365"/>
      <w:bookmarkStart w:id="226" w:name="_Toc259093684"/>
      <w:bookmarkStart w:id="227" w:name="_Toc14115"/>
      <w:bookmarkStart w:id="228" w:name="_Toc2591692"/>
      <w:bookmarkStart w:id="229" w:name="_Toc279701255"/>
      <w:bookmarkStart w:id="230" w:name="_Toc82617988"/>
      <w:r>
        <w:rPr>
          <w:rFonts w:hint="eastAsia" w:ascii="仿宋" w:hAnsi="仿宋" w:eastAsia="仿宋" w:cs="仿宋"/>
          <w:b/>
          <w:color w:val="auto"/>
          <w:sz w:val="24"/>
          <w:highlight w:val="none"/>
        </w:rPr>
        <w:t>2.12 税费</w:t>
      </w:r>
      <w:bookmarkEnd w:id="220"/>
      <w:bookmarkEnd w:id="221"/>
      <w:bookmarkEnd w:id="222"/>
      <w:bookmarkEnd w:id="223"/>
      <w:bookmarkEnd w:id="224"/>
      <w:bookmarkEnd w:id="225"/>
      <w:bookmarkEnd w:id="226"/>
      <w:bookmarkEnd w:id="227"/>
      <w:bookmarkEnd w:id="228"/>
      <w:bookmarkEnd w:id="229"/>
      <w:bookmarkEnd w:id="230"/>
    </w:p>
    <w:p w14:paraId="4591453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3FF9BF00">
      <w:pPr>
        <w:spacing w:line="560" w:lineRule="exact"/>
        <w:ind w:firstLine="482" w:firstLineChars="200"/>
        <w:rPr>
          <w:rFonts w:hint="eastAsia" w:ascii="仿宋" w:hAnsi="仿宋" w:eastAsia="仿宋" w:cs="仿宋"/>
          <w:b/>
          <w:color w:val="auto"/>
          <w:sz w:val="24"/>
          <w:highlight w:val="none"/>
        </w:rPr>
      </w:pPr>
      <w:bookmarkStart w:id="231" w:name="_Toc2591693"/>
      <w:bookmarkStart w:id="232" w:name="_Toc26883"/>
      <w:bookmarkStart w:id="233" w:name="_Toc14814"/>
      <w:bookmarkStart w:id="234" w:name="_Toc259093687"/>
      <w:bookmarkStart w:id="235" w:name="_Toc30105"/>
      <w:bookmarkStart w:id="236" w:name="_Toc7315"/>
      <w:bookmarkStart w:id="237" w:name="_Toc25525"/>
      <w:bookmarkStart w:id="238" w:name="_Toc279701258"/>
      <w:bookmarkStart w:id="239" w:name="_Toc487900368"/>
      <w:bookmarkStart w:id="240" w:name="_Toc82617989"/>
      <w:bookmarkStart w:id="241" w:name="_Toc37868847"/>
      <w:r>
        <w:rPr>
          <w:rFonts w:hint="eastAsia" w:ascii="仿宋" w:hAnsi="仿宋" w:eastAsia="仿宋" w:cs="仿宋"/>
          <w:b/>
          <w:color w:val="auto"/>
          <w:sz w:val="24"/>
          <w:highlight w:val="none"/>
        </w:rPr>
        <w:t>2.13 乙方破产</w:t>
      </w:r>
      <w:bookmarkEnd w:id="231"/>
      <w:bookmarkEnd w:id="232"/>
      <w:bookmarkEnd w:id="233"/>
      <w:bookmarkEnd w:id="234"/>
      <w:bookmarkEnd w:id="235"/>
      <w:bookmarkEnd w:id="236"/>
      <w:bookmarkEnd w:id="237"/>
      <w:bookmarkEnd w:id="238"/>
      <w:bookmarkEnd w:id="239"/>
      <w:bookmarkEnd w:id="240"/>
      <w:bookmarkEnd w:id="241"/>
    </w:p>
    <w:p w14:paraId="0B61656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0A39DC5">
      <w:pPr>
        <w:spacing w:line="560" w:lineRule="exact"/>
        <w:ind w:firstLine="482" w:firstLineChars="200"/>
        <w:rPr>
          <w:rFonts w:hint="eastAsia" w:ascii="仿宋" w:hAnsi="仿宋" w:eastAsia="仿宋" w:cs="仿宋"/>
          <w:b/>
          <w:color w:val="auto"/>
          <w:sz w:val="24"/>
          <w:highlight w:val="none"/>
        </w:rPr>
      </w:pPr>
      <w:bookmarkStart w:id="242" w:name="_Toc82617990"/>
      <w:bookmarkStart w:id="243" w:name="_Toc2591694"/>
      <w:bookmarkStart w:id="244" w:name="_Toc1123"/>
      <w:bookmarkStart w:id="245" w:name="_Toc23323"/>
      <w:bookmarkStart w:id="246" w:name="_Toc37868848"/>
      <w:bookmarkStart w:id="247" w:name="_Toc2016"/>
      <w:r>
        <w:rPr>
          <w:rFonts w:hint="eastAsia" w:ascii="仿宋" w:hAnsi="仿宋" w:eastAsia="仿宋" w:cs="仿宋"/>
          <w:b/>
          <w:color w:val="auto"/>
          <w:sz w:val="24"/>
          <w:highlight w:val="none"/>
        </w:rPr>
        <w:t>2.14 合同中止、终止</w:t>
      </w:r>
      <w:bookmarkEnd w:id="242"/>
      <w:bookmarkEnd w:id="243"/>
      <w:bookmarkEnd w:id="244"/>
      <w:bookmarkEnd w:id="245"/>
      <w:bookmarkEnd w:id="246"/>
      <w:bookmarkEnd w:id="247"/>
    </w:p>
    <w:p w14:paraId="67F4EAA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6888510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73770E74">
      <w:pPr>
        <w:spacing w:line="560" w:lineRule="exact"/>
        <w:ind w:firstLine="482" w:firstLineChars="200"/>
        <w:rPr>
          <w:rFonts w:hint="eastAsia" w:ascii="仿宋" w:hAnsi="仿宋" w:eastAsia="仿宋" w:cs="仿宋"/>
          <w:b/>
          <w:color w:val="auto"/>
          <w:sz w:val="24"/>
          <w:highlight w:val="none"/>
        </w:rPr>
      </w:pPr>
      <w:bookmarkStart w:id="248" w:name="_Toc17363"/>
      <w:bookmarkStart w:id="249" w:name="_Toc2591695"/>
      <w:bookmarkStart w:id="250" w:name="_Toc14525"/>
      <w:bookmarkStart w:id="251" w:name="_Toc82617991"/>
      <w:bookmarkStart w:id="252" w:name="_Toc1969"/>
      <w:bookmarkStart w:id="253" w:name="_Toc37868849"/>
      <w:r>
        <w:rPr>
          <w:rFonts w:hint="eastAsia" w:ascii="仿宋" w:hAnsi="仿宋" w:eastAsia="仿宋" w:cs="仿宋"/>
          <w:b/>
          <w:color w:val="auto"/>
          <w:sz w:val="24"/>
          <w:highlight w:val="none"/>
        </w:rPr>
        <w:t>2.15 检验和验收</w:t>
      </w:r>
      <w:bookmarkEnd w:id="248"/>
      <w:bookmarkEnd w:id="249"/>
      <w:bookmarkEnd w:id="250"/>
      <w:bookmarkEnd w:id="251"/>
      <w:bookmarkEnd w:id="252"/>
      <w:bookmarkEnd w:id="253"/>
    </w:p>
    <w:p w14:paraId="1ED3D920">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469981B3">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w:t>
      </w: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对象参与并出具意见，验收结果应当向社会公告；</w:t>
      </w:r>
    </w:p>
    <w:p w14:paraId="01A28FFA">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197"/>
    <w:bookmarkEnd w:id="198"/>
    <w:bookmarkEnd w:id="199"/>
    <w:bookmarkEnd w:id="200"/>
    <w:p w14:paraId="0E22CDAD">
      <w:pPr>
        <w:spacing w:line="560" w:lineRule="exact"/>
        <w:ind w:firstLine="482" w:firstLineChars="200"/>
        <w:rPr>
          <w:rFonts w:hint="eastAsia" w:ascii="仿宋" w:hAnsi="仿宋" w:eastAsia="仿宋" w:cs="仿宋"/>
          <w:b/>
          <w:color w:val="auto"/>
          <w:sz w:val="24"/>
          <w:highlight w:val="none"/>
        </w:rPr>
      </w:pPr>
      <w:bookmarkStart w:id="254" w:name="_Toc279701261"/>
      <w:bookmarkStart w:id="255" w:name="_Toc487900371"/>
      <w:bookmarkStart w:id="256" w:name="_Toc259093690"/>
      <w:bookmarkStart w:id="257" w:name="_Toc2308"/>
      <w:bookmarkStart w:id="258" w:name="_Toc37868850"/>
      <w:bookmarkStart w:id="259" w:name="_Toc25198"/>
      <w:bookmarkStart w:id="260" w:name="_Toc82617992"/>
      <w:bookmarkStart w:id="261" w:name="_Toc9808"/>
      <w:bookmarkStart w:id="262" w:name="_Toc12666"/>
      <w:bookmarkStart w:id="263" w:name="_Toc2591696"/>
      <w:bookmarkStart w:id="264" w:name="_Toc31892"/>
      <w:r>
        <w:rPr>
          <w:rFonts w:hint="eastAsia" w:ascii="仿宋" w:hAnsi="仿宋" w:eastAsia="仿宋" w:cs="仿宋"/>
          <w:b/>
          <w:color w:val="auto"/>
          <w:sz w:val="24"/>
          <w:highlight w:val="none"/>
        </w:rPr>
        <w:t>2.16 通知</w:t>
      </w:r>
      <w:bookmarkEnd w:id="254"/>
      <w:bookmarkEnd w:id="255"/>
      <w:bookmarkEnd w:id="256"/>
      <w:r>
        <w:rPr>
          <w:rFonts w:hint="eastAsia" w:ascii="仿宋" w:hAnsi="仿宋" w:eastAsia="仿宋" w:cs="仿宋"/>
          <w:b/>
          <w:color w:val="auto"/>
          <w:sz w:val="24"/>
          <w:highlight w:val="none"/>
        </w:rPr>
        <w:t>和送达</w:t>
      </w:r>
      <w:bookmarkEnd w:id="257"/>
      <w:bookmarkEnd w:id="258"/>
      <w:bookmarkEnd w:id="259"/>
      <w:bookmarkEnd w:id="260"/>
      <w:bookmarkEnd w:id="261"/>
      <w:bookmarkEnd w:id="262"/>
      <w:bookmarkEnd w:id="263"/>
      <w:bookmarkEnd w:id="264"/>
    </w:p>
    <w:p w14:paraId="6E730F43">
      <w:pPr>
        <w:spacing w:line="560" w:lineRule="exact"/>
        <w:ind w:firstLine="480" w:firstLineChars="200"/>
        <w:rPr>
          <w:rFonts w:hint="eastAsia" w:ascii="仿宋" w:hAnsi="仿宋" w:eastAsia="仿宋" w:cs="仿宋"/>
          <w:color w:val="auto"/>
          <w:sz w:val="24"/>
          <w:highlight w:val="none"/>
        </w:rPr>
      </w:pPr>
      <w:bookmarkStart w:id="265" w:name="_Toc7073"/>
      <w:bookmarkStart w:id="266" w:name="_Toc29220"/>
      <w:bookmarkStart w:id="267" w:name="_Toc279701262"/>
      <w:bookmarkStart w:id="268" w:name="_Toc259093691"/>
      <w:bookmarkStart w:id="269" w:name="_Toc487900372"/>
      <w:r>
        <w:rPr>
          <w:rFonts w:hint="eastAsia" w:ascii="仿宋" w:hAnsi="仿宋" w:eastAsia="仿宋" w:cs="仿宋"/>
          <w:color w:val="auto"/>
          <w:sz w:val="24"/>
          <w:highlight w:val="none"/>
        </w:rPr>
        <w:t>2.16.1 任何一方因履行合同而以合同第一部分尾部所列明的发出的所有通知、文件、材料，均视为已向对方当事人送达；任何一方变更上述送达方式或者地址的，应于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265"/>
      <w:bookmarkEnd w:id="266"/>
    </w:p>
    <w:p w14:paraId="4ADEDC1C">
      <w:pPr>
        <w:spacing w:line="560" w:lineRule="exact"/>
        <w:ind w:firstLine="480" w:firstLineChars="200"/>
        <w:rPr>
          <w:rFonts w:hint="eastAsia" w:ascii="仿宋" w:hAnsi="仿宋" w:eastAsia="仿宋" w:cs="仿宋"/>
          <w:color w:val="auto"/>
          <w:sz w:val="24"/>
          <w:highlight w:val="none"/>
        </w:rPr>
      </w:pPr>
      <w:bookmarkStart w:id="270" w:name="_Toc27674"/>
      <w:bookmarkStart w:id="271" w:name="_Toc18401"/>
      <w:r>
        <w:rPr>
          <w:rFonts w:hint="eastAsia" w:ascii="仿宋" w:hAnsi="仿宋" w:eastAsia="仿宋" w:cs="仿宋"/>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0"/>
      <w:bookmarkEnd w:id="271"/>
    </w:p>
    <w:bookmarkEnd w:id="267"/>
    <w:bookmarkEnd w:id="268"/>
    <w:bookmarkEnd w:id="269"/>
    <w:p w14:paraId="2E3D151E">
      <w:pPr>
        <w:spacing w:line="560" w:lineRule="exact"/>
        <w:ind w:firstLine="482" w:firstLineChars="200"/>
        <w:rPr>
          <w:rFonts w:hint="eastAsia" w:ascii="仿宋" w:hAnsi="仿宋" w:eastAsia="仿宋" w:cs="仿宋"/>
          <w:b/>
          <w:color w:val="auto"/>
          <w:sz w:val="24"/>
          <w:highlight w:val="none"/>
        </w:rPr>
      </w:pPr>
      <w:bookmarkStart w:id="272" w:name="_Toc2591697"/>
      <w:bookmarkStart w:id="273" w:name="_Toc27644"/>
      <w:bookmarkStart w:id="274" w:name="_Toc259093692"/>
      <w:bookmarkStart w:id="275" w:name="_Toc279701263"/>
      <w:bookmarkStart w:id="276" w:name="_Toc487900373"/>
      <w:bookmarkStart w:id="277" w:name="_Toc20808"/>
      <w:bookmarkStart w:id="278" w:name="_Toc28906"/>
      <w:bookmarkStart w:id="279" w:name="_Toc37868851"/>
      <w:bookmarkStart w:id="280" w:name="_Toc12254"/>
      <w:bookmarkStart w:id="281" w:name="_Toc5063"/>
      <w:bookmarkStart w:id="282" w:name="_Toc82617993"/>
      <w:r>
        <w:rPr>
          <w:rFonts w:hint="eastAsia" w:ascii="仿宋" w:hAnsi="仿宋" w:eastAsia="仿宋" w:cs="仿宋"/>
          <w:b/>
          <w:color w:val="auto"/>
          <w:sz w:val="24"/>
          <w:highlight w:val="none"/>
        </w:rPr>
        <w:t>2.17 合同使用的文字和适用的法律</w:t>
      </w:r>
      <w:bookmarkEnd w:id="272"/>
      <w:bookmarkEnd w:id="273"/>
      <w:bookmarkEnd w:id="274"/>
      <w:bookmarkEnd w:id="275"/>
      <w:bookmarkEnd w:id="276"/>
      <w:bookmarkEnd w:id="277"/>
      <w:bookmarkEnd w:id="278"/>
      <w:bookmarkEnd w:id="279"/>
      <w:bookmarkEnd w:id="280"/>
      <w:bookmarkEnd w:id="281"/>
      <w:bookmarkEnd w:id="282"/>
    </w:p>
    <w:p w14:paraId="6E8DB6B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w:t>
      </w:r>
      <w:r>
        <w:rPr>
          <w:rFonts w:hint="eastAsia" w:ascii="仿宋" w:hAnsi="仿宋" w:eastAsia="仿宋" w:cs="仿宋"/>
          <w:color w:val="auto"/>
          <w:sz w:val="24"/>
          <w:highlight w:val="none"/>
          <w:lang w:val="en-US" w:eastAsia="zh-CN"/>
        </w:rPr>
        <w:t>写</w:t>
      </w:r>
      <w:r>
        <w:rPr>
          <w:rFonts w:hint="eastAsia" w:ascii="仿宋" w:hAnsi="仿宋" w:eastAsia="仿宋" w:cs="仿宋"/>
          <w:color w:val="auto"/>
          <w:sz w:val="24"/>
          <w:highlight w:val="none"/>
        </w:rPr>
        <w:t>、变更和解释；</w:t>
      </w:r>
    </w:p>
    <w:p w14:paraId="6F46509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5C7F4C3B">
      <w:pPr>
        <w:spacing w:line="560" w:lineRule="exact"/>
        <w:ind w:firstLine="482" w:firstLineChars="200"/>
        <w:rPr>
          <w:rFonts w:hint="eastAsia" w:ascii="仿宋" w:hAnsi="仿宋" w:eastAsia="仿宋" w:cs="仿宋"/>
          <w:b/>
          <w:color w:val="auto"/>
          <w:sz w:val="24"/>
          <w:highlight w:val="none"/>
        </w:rPr>
      </w:pPr>
      <w:bookmarkStart w:id="283" w:name="_Toc259093693"/>
      <w:bookmarkStart w:id="284" w:name="_Toc37868852"/>
      <w:bookmarkStart w:id="285" w:name="_Toc22266"/>
      <w:bookmarkStart w:id="286" w:name="_Toc1492"/>
      <w:bookmarkStart w:id="287" w:name="_Toc27403"/>
      <w:bookmarkStart w:id="288" w:name="_Toc2591698"/>
      <w:bookmarkStart w:id="289" w:name="_Toc279701264"/>
      <w:bookmarkStart w:id="290" w:name="_Toc30096"/>
      <w:bookmarkStart w:id="291" w:name="_Toc82617994"/>
      <w:bookmarkStart w:id="292" w:name="_Toc27127"/>
      <w:bookmarkStart w:id="293" w:name="_Toc487900374"/>
      <w:r>
        <w:rPr>
          <w:rFonts w:hint="eastAsia" w:ascii="仿宋" w:hAnsi="仿宋" w:eastAsia="仿宋" w:cs="仿宋"/>
          <w:b/>
          <w:color w:val="auto"/>
          <w:sz w:val="24"/>
          <w:highlight w:val="none"/>
        </w:rPr>
        <w:t>2.18 履约保证金</w:t>
      </w:r>
      <w:bookmarkEnd w:id="283"/>
      <w:bookmarkEnd w:id="284"/>
      <w:bookmarkEnd w:id="285"/>
      <w:bookmarkEnd w:id="286"/>
      <w:bookmarkEnd w:id="287"/>
      <w:bookmarkEnd w:id="288"/>
      <w:bookmarkEnd w:id="289"/>
      <w:bookmarkEnd w:id="290"/>
      <w:bookmarkEnd w:id="291"/>
      <w:bookmarkEnd w:id="292"/>
    </w:p>
    <w:p w14:paraId="7960EF1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2.18.1 采购文件要求乙方提交履约保证金的，乙方应按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约定的方式，以支票、汇票、本票或者金融机构、担保机构出具的保函等非现金形式，提交不超过合同价10%的履约保证金；</w:t>
      </w:r>
    </w:p>
    <w:p w14:paraId="1EC796A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2.18.2 履约保证金在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约定期间内不予退还或者应完全有效，前述约定期间届满之日起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个工作日内，甲方应将履约保证金退还乙方；</w:t>
      </w:r>
    </w:p>
    <w:p w14:paraId="424F531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3"/>
    <w:p w14:paraId="5FE581C7">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 合同份数</w:t>
      </w:r>
    </w:p>
    <w:p w14:paraId="0F75AEF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77FE6074">
      <w:pPr>
        <w:pStyle w:val="224"/>
        <w:spacing w:line="560" w:lineRule="exact"/>
        <w:ind w:firstLine="0"/>
        <w:jc w:val="center"/>
        <w:rPr>
          <w:rFonts w:hint="eastAsia" w:ascii="仿宋" w:hAnsi="仿宋" w:eastAsia="仿宋" w:cs="仿宋"/>
          <w:b/>
          <w:color w:val="auto"/>
          <w:szCs w:val="24"/>
          <w:highlight w:val="none"/>
        </w:rPr>
      </w:pPr>
      <w:r>
        <w:rPr>
          <w:rFonts w:hint="eastAsia" w:ascii="仿宋" w:hAnsi="仿宋" w:eastAsia="仿宋" w:cs="仿宋"/>
          <w:color w:val="auto"/>
          <w:szCs w:val="24"/>
          <w:highlight w:val="none"/>
        </w:rPr>
        <w:br w:type="page"/>
      </w:r>
      <w:bookmarkStart w:id="294" w:name="_Toc331685784"/>
      <w:r>
        <w:rPr>
          <w:rFonts w:hint="eastAsia" w:ascii="仿宋" w:hAnsi="仿宋" w:eastAsia="仿宋" w:cs="仿宋"/>
          <w:b/>
          <w:color w:val="auto"/>
          <w:szCs w:val="24"/>
          <w:highlight w:val="none"/>
        </w:rPr>
        <w:t>第三部分  合同专用条款</w:t>
      </w:r>
      <w:bookmarkEnd w:id="294"/>
    </w:p>
    <w:p w14:paraId="1949B988">
      <w:pPr>
        <w:spacing w:line="560" w:lineRule="exact"/>
        <w:ind w:firstLine="480" w:firstLineChars="200"/>
        <w:rPr>
          <w:rFonts w:hint="eastAsia" w:ascii="仿宋" w:hAnsi="仿宋" w:eastAsia="仿宋" w:cs="仿宋"/>
          <w:color w:val="auto"/>
          <w:sz w:val="24"/>
          <w:highlight w:val="none"/>
        </w:rPr>
      </w:pPr>
    </w:p>
    <w:tbl>
      <w:tblPr>
        <w:tblStyle w:val="4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4EA9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vAlign w:val="center"/>
          </w:tcPr>
          <w:p w14:paraId="3C7653D5">
            <w:pPr>
              <w:pStyle w:val="19"/>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7232" w:type="dxa"/>
            <w:vAlign w:val="center"/>
          </w:tcPr>
          <w:p w14:paraId="3CEC1FB4">
            <w:pPr>
              <w:pStyle w:val="19"/>
              <w:jc w:val="center"/>
              <w:rPr>
                <w:rFonts w:hint="eastAsia" w:ascii="仿宋" w:hAnsi="仿宋" w:eastAsia="仿宋" w:cs="仿宋"/>
                <w:b/>
                <w:color w:val="auto"/>
                <w:highlight w:val="none"/>
              </w:rPr>
            </w:pPr>
            <w:r>
              <w:rPr>
                <w:rFonts w:hint="eastAsia" w:ascii="仿宋" w:hAnsi="仿宋" w:eastAsia="仿宋" w:cs="仿宋"/>
                <w:b/>
                <w:color w:val="auto"/>
                <w:highlight w:val="none"/>
              </w:rPr>
              <w:t>内　　容</w:t>
            </w:r>
          </w:p>
        </w:tc>
      </w:tr>
      <w:tr w14:paraId="368F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14:paraId="783E12B9">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7232" w:type="dxa"/>
            <w:vAlign w:val="center"/>
          </w:tcPr>
          <w:p w14:paraId="45812955">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合同名称：</w:t>
            </w:r>
          </w:p>
          <w:p w14:paraId="63FF4286">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合同编号：</w:t>
            </w:r>
          </w:p>
        </w:tc>
      </w:tr>
      <w:tr w14:paraId="650C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14:paraId="055754B5">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7232" w:type="dxa"/>
            <w:vAlign w:val="center"/>
          </w:tcPr>
          <w:p w14:paraId="49036821">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甲方名称：</w:t>
            </w:r>
          </w:p>
        </w:tc>
      </w:tr>
      <w:tr w14:paraId="164B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14:paraId="518F150A">
            <w:pPr>
              <w:pStyle w:val="19"/>
              <w:jc w:val="center"/>
              <w:rPr>
                <w:rFonts w:hint="eastAsia" w:ascii="仿宋" w:hAnsi="仿宋" w:eastAsia="仿宋" w:cs="仿宋"/>
                <w:color w:val="auto"/>
                <w:highlight w:val="none"/>
              </w:rPr>
            </w:pPr>
          </w:p>
        </w:tc>
        <w:tc>
          <w:tcPr>
            <w:tcW w:w="7232" w:type="dxa"/>
            <w:vAlign w:val="center"/>
          </w:tcPr>
          <w:p w14:paraId="069C1B86">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甲方地址：</w:t>
            </w:r>
          </w:p>
        </w:tc>
      </w:tr>
      <w:tr w14:paraId="15CD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14:paraId="4E600052">
            <w:pPr>
              <w:pStyle w:val="19"/>
              <w:jc w:val="center"/>
              <w:rPr>
                <w:rFonts w:hint="eastAsia" w:ascii="仿宋" w:hAnsi="仿宋" w:eastAsia="仿宋" w:cs="仿宋"/>
                <w:color w:val="auto"/>
                <w:highlight w:val="none"/>
              </w:rPr>
            </w:pPr>
          </w:p>
        </w:tc>
        <w:tc>
          <w:tcPr>
            <w:tcW w:w="7232" w:type="dxa"/>
            <w:vAlign w:val="center"/>
          </w:tcPr>
          <w:p w14:paraId="2F0C1038">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甲方联系人：　　　电话：</w:t>
            </w:r>
          </w:p>
        </w:tc>
      </w:tr>
      <w:tr w14:paraId="1A76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14:paraId="5AEABA84">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7232" w:type="dxa"/>
            <w:vAlign w:val="center"/>
          </w:tcPr>
          <w:p w14:paraId="767F4FFE">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乙方名称：</w:t>
            </w:r>
          </w:p>
        </w:tc>
      </w:tr>
      <w:tr w14:paraId="3180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14:paraId="58BA7FE3">
            <w:pPr>
              <w:pStyle w:val="19"/>
              <w:jc w:val="center"/>
              <w:rPr>
                <w:rFonts w:hint="eastAsia" w:ascii="仿宋" w:hAnsi="仿宋" w:eastAsia="仿宋" w:cs="仿宋"/>
                <w:color w:val="auto"/>
                <w:highlight w:val="none"/>
              </w:rPr>
            </w:pPr>
          </w:p>
        </w:tc>
        <w:tc>
          <w:tcPr>
            <w:tcW w:w="7232" w:type="dxa"/>
            <w:vAlign w:val="center"/>
          </w:tcPr>
          <w:p w14:paraId="7545DD74">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乙方地址：</w:t>
            </w:r>
          </w:p>
        </w:tc>
      </w:tr>
      <w:tr w14:paraId="4568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14:paraId="726024E8">
            <w:pPr>
              <w:pStyle w:val="19"/>
              <w:jc w:val="center"/>
              <w:rPr>
                <w:rFonts w:hint="eastAsia" w:ascii="仿宋" w:hAnsi="仿宋" w:eastAsia="仿宋" w:cs="仿宋"/>
                <w:color w:val="auto"/>
                <w:highlight w:val="none"/>
              </w:rPr>
            </w:pPr>
          </w:p>
        </w:tc>
        <w:tc>
          <w:tcPr>
            <w:tcW w:w="7232" w:type="dxa"/>
            <w:vAlign w:val="center"/>
          </w:tcPr>
          <w:p w14:paraId="493D713D">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乙方联系人：　　　电话：</w:t>
            </w:r>
          </w:p>
        </w:tc>
      </w:tr>
      <w:tr w14:paraId="34CA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14:paraId="75D96D9B">
            <w:pPr>
              <w:pStyle w:val="19"/>
              <w:jc w:val="center"/>
              <w:rPr>
                <w:rFonts w:hint="eastAsia" w:ascii="仿宋" w:hAnsi="仿宋" w:eastAsia="仿宋" w:cs="仿宋"/>
                <w:color w:val="auto"/>
                <w:highlight w:val="none"/>
              </w:rPr>
            </w:pPr>
          </w:p>
        </w:tc>
        <w:tc>
          <w:tcPr>
            <w:tcW w:w="7232" w:type="dxa"/>
            <w:vAlign w:val="center"/>
          </w:tcPr>
          <w:p w14:paraId="59B22231">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乙方开户银行名称：</w:t>
            </w:r>
          </w:p>
          <w:p w14:paraId="4533E1E3">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账号：</w:t>
            </w:r>
          </w:p>
        </w:tc>
      </w:tr>
      <w:tr w14:paraId="3D07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14:paraId="7198B7F0">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7232" w:type="dxa"/>
            <w:vAlign w:val="center"/>
          </w:tcPr>
          <w:p w14:paraId="1AD01A34">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合同金额：</w:t>
            </w:r>
          </w:p>
        </w:tc>
      </w:tr>
      <w:tr w14:paraId="4775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7FA0886C">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7232" w:type="dxa"/>
            <w:vAlign w:val="center"/>
          </w:tcPr>
          <w:p w14:paraId="3BD1D766">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合同履行期限：</w:t>
            </w:r>
          </w:p>
        </w:tc>
      </w:tr>
      <w:tr w14:paraId="1EFD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14:paraId="172784C0">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7232" w:type="dxa"/>
            <w:vAlign w:val="center"/>
          </w:tcPr>
          <w:p w14:paraId="72D888DC">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服务履行期：</w:t>
            </w:r>
          </w:p>
        </w:tc>
      </w:tr>
      <w:tr w14:paraId="57CD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14:paraId="3A695C77">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7232" w:type="dxa"/>
            <w:vAlign w:val="center"/>
          </w:tcPr>
          <w:p w14:paraId="6EDA8C09">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验收方式及标准：</w:t>
            </w:r>
          </w:p>
        </w:tc>
      </w:tr>
      <w:tr w14:paraId="3F6D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vAlign w:val="center"/>
          </w:tcPr>
          <w:p w14:paraId="53FD9EDC">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7232" w:type="dxa"/>
            <w:vAlign w:val="center"/>
          </w:tcPr>
          <w:p w14:paraId="340E8F07">
            <w:pPr>
              <w:pStyle w:val="19"/>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付款方式：</w:t>
            </w:r>
          </w:p>
          <w:p w14:paraId="4BEEECC1">
            <w:pPr>
              <w:pStyle w:val="19"/>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1.本合同以人民币付款。</w:t>
            </w:r>
          </w:p>
          <w:p w14:paraId="0C419F22">
            <w:pPr>
              <w:pStyle w:val="19"/>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2.付款计划安排：</w:t>
            </w:r>
          </w:p>
        </w:tc>
      </w:tr>
      <w:tr w14:paraId="493E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14:paraId="05B44440">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7232" w:type="dxa"/>
            <w:vAlign w:val="center"/>
          </w:tcPr>
          <w:p w14:paraId="3E2CED07">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履约保证金及其返还：</w:t>
            </w:r>
          </w:p>
        </w:tc>
      </w:tr>
    </w:tbl>
    <w:p w14:paraId="7CE98CC5">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b/>
          <w:color w:val="auto"/>
          <w:sz w:val="24"/>
          <w:szCs w:val="24"/>
          <w:highlight w:val="none"/>
        </w:rPr>
      </w:pPr>
    </w:p>
    <w:p w14:paraId="173AD637">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b/>
          <w:color w:val="auto"/>
          <w:sz w:val="24"/>
          <w:szCs w:val="24"/>
          <w:highlight w:val="none"/>
        </w:rPr>
      </w:pPr>
    </w:p>
    <w:p w14:paraId="69E387A8">
      <w:pPr>
        <w:keepNext w:val="0"/>
        <w:keepLines w:val="0"/>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color w:val="auto"/>
          <w:sz w:val="24"/>
          <w:szCs w:val="24"/>
          <w:highlight w:val="none"/>
        </w:rPr>
      </w:pPr>
    </w:p>
    <w:p w14:paraId="725A0AEA">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（仅供参考，具体以实际签订的内容为准）</w:t>
      </w:r>
      <w:bookmarkEnd w:id="40"/>
    </w:p>
    <w:p w14:paraId="51F62649">
      <w:pPr>
        <w:pStyle w:val="14"/>
        <w:keepNext w:val="0"/>
        <w:keepLines w:val="0"/>
        <w:pageBreakBefore w:val="0"/>
        <w:kinsoku/>
        <w:wordWrap/>
        <w:overflowPunct/>
        <w:topLinePunct w:val="0"/>
        <w:bidi w:val="0"/>
        <w:textAlignment w:val="auto"/>
        <w:outlineLvl w:val="9"/>
        <w:rPr>
          <w:rFonts w:hint="eastAsia" w:ascii="仿宋" w:hAnsi="仿宋" w:eastAsia="仿宋" w:cs="仿宋"/>
          <w:color w:val="auto"/>
          <w:highlight w:val="none"/>
          <w:shd w:val="clear" w:color="auto" w:fill="FFFFFF" w:themeFill="background1"/>
        </w:rPr>
      </w:pPr>
    </w:p>
    <w:p w14:paraId="486995C4">
      <w:pPr>
        <w:keepNext w:val="0"/>
        <w:keepLines w:val="0"/>
        <w:pageBreakBefore w:val="0"/>
        <w:widowControl/>
        <w:kinsoku/>
        <w:wordWrap/>
        <w:overflowPunct/>
        <w:topLinePunct w:val="0"/>
        <w:bidi w:val="0"/>
        <w:jc w:val="left"/>
        <w:textAlignment w:val="auto"/>
        <w:outlineLvl w:val="9"/>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50502A7">
      <w:pPr>
        <w:pStyle w:val="14"/>
        <w:numPr>
          <w:ilvl w:val="0"/>
          <w:numId w:val="0"/>
        </w:numPr>
        <w:jc w:val="center"/>
        <w:outlineLvl w:val="0"/>
        <w:rPr>
          <w:rFonts w:hint="default" w:ascii="仿宋" w:hAnsi="仿宋" w:eastAsia="仿宋" w:cs="仿宋"/>
          <w:b/>
          <w:color w:val="auto"/>
          <w:szCs w:val="24"/>
          <w:highlight w:val="none"/>
          <w:lang w:val="en-US" w:eastAsia="zh-CN"/>
        </w:rPr>
      </w:pPr>
      <w:bookmarkStart w:id="295" w:name="_Toc6849"/>
      <w:r>
        <w:rPr>
          <w:rFonts w:hint="eastAsia" w:ascii="仿宋" w:hAnsi="仿宋" w:eastAsia="仿宋" w:cs="仿宋"/>
          <w:b/>
          <w:color w:val="auto"/>
          <w:kern w:val="0"/>
          <w:sz w:val="24"/>
          <w:szCs w:val="24"/>
          <w:highlight w:val="none"/>
          <w:lang w:val="en-US" w:eastAsia="zh-CN" w:bidi="ar-SA"/>
        </w:rPr>
        <w:t xml:space="preserve">第四章 </w:t>
      </w:r>
      <w:r>
        <w:rPr>
          <w:rFonts w:hint="eastAsia" w:ascii="仿宋" w:hAnsi="仿宋" w:eastAsia="仿宋" w:cs="仿宋"/>
          <w:b/>
          <w:color w:val="auto"/>
          <w:szCs w:val="24"/>
          <w:highlight w:val="none"/>
          <w:lang w:val="en-US" w:eastAsia="zh-CN"/>
        </w:rPr>
        <w:t>供货</w:t>
      </w:r>
      <w:r>
        <w:rPr>
          <w:rFonts w:hint="eastAsia" w:ascii="仿宋" w:hAnsi="仿宋" w:eastAsia="仿宋" w:cs="仿宋"/>
          <w:b/>
          <w:color w:val="auto"/>
          <w:szCs w:val="24"/>
          <w:highlight w:val="none"/>
        </w:rPr>
        <w:t>要求</w:t>
      </w:r>
      <w:bookmarkEnd w:id="295"/>
      <w:bookmarkStart w:id="296" w:name="_Toc138638773"/>
      <w:bookmarkEnd w:id="296"/>
      <w:bookmarkStart w:id="297" w:name="_Toc138638910"/>
      <w:bookmarkEnd w:id="297"/>
      <w:bookmarkStart w:id="298" w:name="_Toc138638719"/>
      <w:bookmarkEnd w:id="298"/>
      <w:bookmarkStart w:id="299" w:name="_Toc138638510"/>
      <w:bookmarkEnd w:id="299"/>
      <w:bookmarkStart w:id="300" w:name="_Toc138638535"/>
      <w:bookmarkEnd w:id="300"/>
      <w:bookmarkStart w:id="301" w:name="_Toc138639145"/>
      <w:bookmarkEnd w:id="301"/>
      <w:bookmarkStart w:id="302" w:name="_Toc138639090"/>
      <w:bookmarkEnd w:id="302"/>
      <w:bookmarkStart w:id="303" w:name="_Toc138638883"/>
      <w:bookmarkEnd w:id="303"/>
      <w:bookmarkStart w:id="304" w:name="_Toc138638509"/>
      <w:bookmarkEnd w:id="304"/>
      <w:bookmarkStart w:id="305" w:name="_Toc138638538"/>
      <w:bookmarkEnd w:id="305"/>
      <w:bookmarkStart w:id="306" w:name="_Toc138638702"/>
      <w:bookmarkEnd w:id="306"/>
      <w:bookmarkStart w:id="307" w:name="_Toc138639074"/>
      <w:bookmarkEnd w:id="307"/>
      <w:bookmarkStart w:id="308" w:name="_Toc138638906"/>
      <w:bookmarkEnd w:id="308"/>
      <w:bookmarkStart w:id="309" w:name="_Toc138638907"/>
      <w:bookmarkEnd w:id="309"/>
      <w:bookmarkStart w:id="310" w:name="_Toc138638884"/>
      <w:bookmarkEnd w:id="310"/>
      <w:bookmarkStart w:id="311" w:name="_Toc138638534"/>
      <w:bookmarkEnd w:id="311"/>
      <w:bookmarkStart w:id="312" w:name="_Toc138638718"/>
      <w:bookmarkEnd w:id="312"/>
      <w:bookmarkStart w:id="313" w:name="_合同文件的组成及解释顺序"/>
      <w:bookmarkEnd w:id="313"/>
      <w:bookmarkStart w:id="314" w:name="_Toc138639091"/>
      <w:bookmarkEnd w:id="314"/>
      <w:r>
        <w:rPr>
          <w:rFonts w:hint="eastAsia" w:ascii="仿宋" w:hAnsi="仿宋" w:eastAsia="仿宋" w:cs="仿宋"/>
          <w:b/>
          <w:color w:val="auto"/>
          <w:szCs w:val="24"/>
          <w:highlight w:val="none"/>
          <w:lang w:val="en-US" w:eastAsia="zh-CN"/>
        </w:rPr>
        <w:t>及参数</w:t>
      </w:r>
    </w:p>
    <w:p w14:paraId="449B8065">
      <w:pPr>
        <w:spacing w:line="360" w:lineRule="auto"/>
        <w:ind w:firstLine="482" w:firstLineChars="200"/>
        <w:jc w:val="center"/>
        <w:rPr>
          <w:rFonts w:hint="default" w:ascii="仿宋" w:hAnsi="仿宋" w:eastAsia="仿宋" w:cs="仿宋"/>
          <w:b/>
          <w:color w:val="auto"/>
          <w:sz w:val="24"/>
          <w:szCs w:val="24"/>
          <w:highlight w:val="none"/>
          <w:lang w:val="en-US" w:eastAsia="zh-CN"/>
        </w:rPr>
      </w:pPr>
      <w:bookmarkStart w:id="315" w:name="_Toc531016893"/>
      <w:r>
        <w:rPr>
          <w:rFonts w:hint="eastAsia" w:ascii="仿宋" w:hAnsi="仿宋" w:eastAsia="仿宋" w:cs="仿宋"/>
          <w:b/>
          <w:color w:val="auto"/>
          <w:sz w:val="24"/>
          <w:szCs w:val="24"/>
          <w:highlight w:val="none"/>
          <w:lang w:val="en-US" w:eastAsia="zh-CN"/>
        </w:rPr>
        <w:t>一、智慧校园三期设备技术参数</w:t>
      </w:r>
    </w:p>
    <w:tbl>
      <w:tblPr>
        <w:tblStyle w:val="41"/>
        <w:tblW w:w="5562" w:type="pct"/>
        <w:tblInd w:w="-5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775"/>
        <w:gridCol w:w="7464"/>
        <w:gridCol w:w="696"/>
      </w:tblGrid>
      <w:tr w14:paraId="200B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9ADB">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89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建设内容</w:t>
            </w:r>
          </w:p>
        </w:tc>
        <w:tc>
          <w:tcPr>
            <w:tcW w:w="3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F9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主要参数（规格型号）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C0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数量（台套）</w:t>
            </w:r>
          </w:p>
        </w:tc>
      </w:tr>
      <w:tr w14:paraId="61D5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99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F3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信创桌面管理平台</w:t>
            </w:r>
          </w:p>
        </w:tc>
        <w:tc>
          <w:tcPr>
            <w:tcW w:w="3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46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1、要求采用超融合基础架构，在同一管理平台内至少包含计算资源、存储资源、网络资源等功能管理模块。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2、管理平台采用B/S（Broswer/Server）架构，支持中文图形化操作界面，同一管理界面中可实现对计算、存储、网络等功能的配置和操作。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3、软件平台支持添加、移除服务器主机节点。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4、为降低部署难度缩短业务上线时间，支持向导式添加主机节点，为降低部署难度，支持精简纳管主机节点，仅需输入主机节点名称、主机IP地址即可完成主机节点添加。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5、支持主机性能状态监控，能以小时、天、周、月、季度、半年、一年或自定义时间维度，对主机CPU使用率、内存使用率、磁盘速率、磁盘IOPS、网卡错误数、丢包率、网卡带宽等性能进行监控记录。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6、为提供强大的横向扩展能力，需支持在集群中添加、移除服务器主机节点。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7、支持将服务器主机节点添加为计算集群，为上层业务平台提供统一的计算、存储、网络资源调度，形成基础计算平台支撑。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8、支持虚拟机性能状态监控，能以小时、天、周、月、季度、半年、一年或自定义时间维度，对主机CPU使用率、内存使用率、磁盘IOPS等性能进行监控记录。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9、为提供更高的得盘率及更优的访问速度，需采用分布式存储架构，可以将服务器集群中多个节点的本地磁盘融合为统一存储资源空间；具备在线横向扩展能力，任一节点故障，都不会影响数据的正常访问。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 支持按需创建多个存储池，支持配置每个存储池所需使用的冗余策略，每个存储池的容量盘可从服务器集群中任意几个节点中的一块或多块磁盘中选择，要求提供实际界面截图证明。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11、★存储池可以设置的冗余策略至少包括：单副本、2副本、3副本、纠删码等冗余策略，纠删码可以按照2数据1校验的方案部署并实际使用，磁盘空间的利用率≥66%，提供实际界面截图证明。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12、支持数据均衡负载策略，当存储池扩容或者节点/容量盘出现故障时可以触发数据重分布，数据均衡的过程不会导致业务中断、也无需人工干预。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13、★为保证硬盘故障后，数据可以快速重构，要求所投产品在分布式存储的方案下，1T数据重构时间≤15分钟，提供佐证材料证明。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14、在硬盘故障维修等需要交出硬盘的场景，为避免用户数据外泄，要求分布式存储采用块虚拟化技术。需要提供产品功能截图。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15、支持创建虚拟交换机，支持FLAT虚拟机交换机，支持VLAN虚拟交换机。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16、要求提供对应型号的软件著作权证书复印件。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69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21F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287" w:type="pct"/>
            <w:tcBorders>
              <w:top w:val="single" w:color="000000" w:sz="4" w:space="0"/>
              <w:left w:val="single" w:color="000000" w:sz="4" w:space="0"/>
              <w:bottom w:val="single" w:color="auto" w:sz="4" w:space="0"/>
              <w:right w:val="single" w:color="000000" w:sz="4" w:space="0"/>
            </w:tcBorders>
            <w:shd w:val="clear" w:color="auto" w:fill="auto"/>
            <w:vAlign w:val="center"/>
          </w:tcPr>
          <w:p w14:paraId="6566B7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CA21A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信创云终端机</w:t>
            </w:r>
          </w:p>
        </w:tc>
        <w:tc>
          <w:tcPr>
            <w:tcW w:w="3936" w:type="pct"/>
            <w:tcBorders>
              <w:top w:val="single" w:color="000000" w:sz="4" w:space="0"/>
              <w:left w:val="single" w:color="000000" w:sz="4" w:space="0"/>
              <w:bottom w:val="single" w:color="auto" w:sz="4" w:space="0"/>
              <w:right w:val="single" w:color="000000" w:sz="4" w:space="0"/>
            </w:tcBorders>
            <w:shd w:val="clear" w:color="auto" w:fill="auto"/>
            <w:vAlign w:val="center"/>
          </w:tcPr>
          <w:p w14:paraId="3EA447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1、终端需采用C86架构，国内自主品牌。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2、★配置国产高性能CPU，8核心16线程处理器（X86架构，处理器主频≥3.0GHz）或更优配置，提供佐证材料证明。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3、配置内存容量≥16GB；本地存储容量≥1TB SSD硬盘。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4、为减少桌面空间的占用，终端主体体积≤12L，提供作证材料证明。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5、要求提供USB3.0接口≥8个，USB2.0接口≥2个，TypeC接口≥1，千兆网口≥1个，VGA接口≥1个，HDMI接口≥1个，配置DVD刻录光驱1个，无线网卡≥1个。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6、为了外设扩展要求，除占用接口外，需配置PCIEx8插槽≥1个、PCIEx4插槽≥1个，针对此参数需提供清晰的产品图片证明。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7、支持硬盘扩展接口≥2个，支持内存扩展槽位≥2个。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8、★配置独立显卡，显存≥2GB，提供作证材料证明。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9、★为保障所投设备质量优异、可靠性高，要求所投设备平均故障间隔时间（MTBF）≥30万小时，针对此功能提供第三方测试机构出具的测试报告。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10、为避免设备运行时产生噪声污染，干扰办公、学习人员，要求设备满载噪声指标≤33dB，针对以上要求需提供国家级权威测试机构出具的证书复印件。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11、需具备3C证书及节能证书，提供证书复印件。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12、配置23.8寸显示器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13、配置键盘鼠标。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14、含国产操作系统</w:t>
            </w:r>
          </w:p>
        </w:tc>
        <w:tc>
          <w:tcPr>
            <w:tcW w:w="367" w:type="pct"/>
            <w:tcBorders>
              <w:top w:val="single" w:color="000000" w:sz="4" w:space="0"/>
              <w:left w:val="single" w:color="000000" w:sz="4" w:space="0"/>
              <w:bottom w:val="single" w:color="auto" w:sz="4" w:space="0"/>
              <w:right w:val="single" w:color="000000" w:sz="4" w:space="0"/>
            </w:tcBorders>
            <w:shd w:val="clear" w:color="auto" w:fill="auto"/>
            <w:vAlign w:val="center"/>
          </w:tcPr>
          <w:p w14:paraId="5473BF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tr w14:paraId="0E94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0D9BBF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E5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信创终端授权</w:t>
            </w:r>
          </w:p>
        </w:tc>
        <w:tc>
          <w:tcPr>
            <w:tcW w:w="3936" w:type="pct"/>
            <w:tcBorders>
              <w:top w:val="single" w:color="auto" w:sz="4" w:space="0"/>
              <w:left w:val="single" w:color="auto" w:sz="4" w:space="0"/>
              <w:bottom w:val="single" w:color="auto" w:sz="4" w:space="0"/>
              <w:right w:val="single" w:color="auto" w:sz="4" w:space="0"/>
            </w:tcBorders>
            <w:shd w:val="clear" w:color="auto" w:fill="auto"/>
            <w:vAlign w:val="center"/>
          </w:tcPr>
          <w:p w14:paraId="06552A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1、云桌面控制平台软件，采用B/S架构，提供云桌面管理、镜像管理、用户管理、终端管理、策略管理等功能模块。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以下三种类型云桌面：1、关闭云桌面后用户的个性化配置与数据不会丢失；2、每次关闭云桌面后自动还原系统盘到初始状态；3、用户桌面统一升级安装应用软件，但用户的个性数据不受影响。提供产品功能界面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3、支持采用远程方式对云桌面进行远程协助。远程协助基于WEB页面，无需额外安装客户端。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4、可以根据用户名、云桌面IP、云桌面名称等信息分页查询云桌面信息。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5、支持通过上传操作系统ISO文件、QCOW2格式文件来制作生成镜像。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6、支持应用程序安装包和共享文件的管理，包括：上传、删除、查询与制作镜像时加载到虚拟机内部。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7、支持对接LDAP、AD域导入用户，支持通过导入Excel文件的方式批量新建用户信息。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8、★为满足在桌面故障后能快速恢复桌面环境，并确保原C盘（系统盘）文件不被删除，便于用户恢复数据。 支持在桌面还原后，保留历史系统盘的能力。能够在还原桌面后，自动将故障系统盘作为数据盘挂载到新桌面内，便于用户拷贝数据。提供产品功能界面截图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9、★支持镜像静默下载功能，镜像下载过程中可中断下载，进入桌面，无需等待镜像下载完毕后才能启动桌面，以免对使用者使用终端造成影响。提供产品功能界面截图或其他证明材料。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10、支持云桌面种类策略配置，包含IDV、TCI类型。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11、支持外设控制策略，包括禁用启用设备、以及读写权限控制，外设设备包括：输入设备、存储设备、摄像设备、办公设备、手机、其他已归类设备，可以控制USB存储设备的只读或者读写。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12、可配置全局屏幕水印功能。水印显示信息包括：用户名，云桌面名，IP，MAC地址，自定义显示。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13、支持管理员分级分权，通过精细化为管理员配置功能权限，提升桌面运维的安全性。支持配置管理员角色，包括但不限于超级管理员，审计管理员、安全管理员及系统管理员、自定义角色等。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14、支持为管理员自定义精细化配置功能权限，功能权限颗粒度细化到页面的具体功能，提供产品功能截图证明。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15、提供桌面管理软件，桌面管理软件可显示“云主机IP”、“本机IP”、“本机MAC”、“硬盘”、“CPU”、“内存”、“操作系统”等信息，提供产品功能截图证明。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16、支持云盘功能，提供个人存储空间，实现个人云盘文件的存储、分享等功能。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17、提供软件著作权证书复印件。</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19F0F1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tr w14:paraId="5DB6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0" w:hRule="atLeast"/>
        </w:trPr>
        <w:tc>
          <w:tcPr>
            <w:tcW w:w="287" w:type="pct"/>
            <w:tcBorders>
              <w:top w:val="single" w:color="auto" w:sz="4" w:space="0"/>
              <w:left w:val="single" w:color="000000" w:sz="4" w:space="0"/>
              <w:bottom w:val="single" w:color="000000" w:sz="4" w:space="0"/>
              <w:right w:val="single" w:color="000000" w:sz="4" w:space="0"/>
            </w:tcBorders>
            <w:shd w:val="clear" w:color="auto" w:fill="auto"/>
            <w:vAlign w:val="center"/>
          </w:tcPr>
          <w:p w14:paraId="0B7024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08" w:type="pct"/>
            <w:tcBorders>
              <w:top w:val="single" w:color="auto" w:sz="4" w:space="0"/>
              <w:left w:val="single" w:color="000000" w:sz="4" w:space="0"/>
              <w:bottom w:val="single" w:color="000000" w:sz="4" w:space="0"/>
              <w:right w:val="single" w:color="000000" w:sz="4" w:space="0"/>
            </w:tcBorders>
            <w:shd w:val="clear" w:color="auto" w:fill="auto"/>
            <w:vAlign w:val="center"/>
          </w:tcPr>
          <w:p w14:paraId="75C37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集中控制管理</w:t>
            </w:r>
          </w:p>
        </w:tc>
        <w:tc>
          <w:tcPr>
            <w:tcW w:w="3936" w:type="pct"/>
            <w:tcBorders>
              <w:top w:val="single" w:color="auto" w:sz="4" w:space="0"/>
              <w:left w:val="single" w:color="000000" w:sz="4" w:space="0"/>
              <w:bottom w:val="single" w:color="000000" w:sz="4" w:space="0"/>
              <w:right w:val="single" w:color="000000" w:sz="4" w:space="0"/>
            </w:tcBorders>
            <w:shd w:val="clear" w:color="auto" w:fill="auto"/>
            <w:vAlign w:val="center"/>
          </w:tcPr>
          <w:p w14:paraId="499EC9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管理中心（接入现有的管理平台）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 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提供权威检测报告并加盖厂家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设备巡视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 设备巡视：支持同时查看不少于20个教室的实时摄像头画面、设备屏幕画面；支持在一个显示界面同时查看单个教室内所有屏幕、所有摄像头的实时画面，以及所有麦克风的声音，其中摄像头画面可直接使用班班通自带摄像头；支持批量将学校已有网络摄像头导入系统内，同场地下的班班通设备会主动和网络摄像头建立连接，巡视时可调用网络摄像头查看教室实时画面；单台设备巡视时，支持远程发送文本消息、语音消息，支持记录备注、听课评价；支持巡视日志功能，可以回溯管理员的巡视历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掌上看班：拥有掌上看班权限的老师可在移动端或PC客户端实时巡班，并进行基础远程管控。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点播巡视：支持根据班级课程表，自动获取正在上课或者即将上课的科目、老师列表，快速定位老师所在教室，实时远程听课；支持听课过程中针对本节课的教学过程进行评价，支持创建和使用多个评课表，并将评价记录于巡视记录。（提供权威检测报告并加盖厂家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设备安全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 批量磁盘清理：支持远程批量清理设备磁盘；支持清理指定磁盘的指定文件夹；支持清理系统盘备份、缓存、日志等文件；支持迁移系统盘视频、图片、音乐、文档文件；支持格式化非系统盘磁盘。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冰点还原及穿透：支持远程向已冰冻的设备发送指令、安装软件，在设备正常关机时触发穿透动作，穿透完成后，设备即可使用已安装软件、执行已接收指令，且穿透过程中无需人为解冻。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弹窗拦截：支持一键开启拦截能力；支持查看已上报的所有疑似风险窗口和上报次数，并支持拦截某个应用所有窗口、某个具体窗口；支持将某个应用、某个具体窗口加入白名单，不对软件进行拦截。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流量监管：支持查看校内当日班班通设备流量使用的具体情况、带宽利用率；支持对设备进行限速设置。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网址过滤：支持设置网址访问黑名单、白名单，限制所有设备的网址访问。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设备管控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软件静默安装：支持用户自主上传官方正版软件，支持批量将软件发送至班班通设备安装，软件自动静默安装，无需人工操作。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音视频直播：支持多位老师同时向不同设备发起直播，直播方式包含纯桌面直播、视频直播、音频直播、桌面+视频直播方式；直播过程中支持增、删接收直播观看的班班通设备；支持实时查看收看端教室画面；支持切换直播画质清晰度；支持实时查看直播源码率、FPS数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多维管理：支持实时展示不少于20台设备的运行画面，并支持切换画面模式/列表模式；支持根据设备类型、设备所属年级/场地/自定义分组、设备开关机状态进行分组管理；支持文字检索设备名称。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设备治理：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设备概览：支持通过不少于五大维度，科学合理监测评估基建设备的稳定性；支持通过网络达标情况了解设备是否常态化联网；支持通过硬件达标情况了解设备使用年限、CPU/内存/磁盘等硬件的配置，通过流畅度情况了解设备CPU占用/温度、内存占用、系统盘容量占用的情况；支持通过安全达标情况了解设备启用安全防护服务的情况；支持通过设备应用情况来了解设备、教师在教学中的使用情况，包含：使用率、软件使用情况、网址访问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设备盘点：支持快速筛选全校所有设备各项指标的达标率，快速定位和识别问题设备；支持单设备查看详情，掌握设备的基础参数，以及各项指标的明细数据；支持快速导出全校所有设备的网络状态、硬件参数、流畅度、安全防护服务开启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校园宣传：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 海量资源：系统内置图片宣传资源、视频宣传资源、海报模板，可直接选择进行发布，宣传内容包含但不限于劳动教育、卫生健康、心理健康教育、安全教育、理想信念教育、生态文明教育、名校介绍、党建文化主题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节目自定义：节目单支持添加自定义页面，自定义页面支持设置页面播放时长，支持颜色填充、背景图库、图片填充三种方式设置页面背景，支持添加文本、网页、倒计日、时间等通用组件，支持添加课表、值日生、评比等业务组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多终端播放：支持面向班班通设备、班牌设备、校园屏显设备发送节目单指令；支持实时预览内容，支持设置按照每周循环播放、指定日期播放、自定义日期播放3种节目播放机制；支持播完即结束、指定时间循环播两种循环模式；支持同时添加不少于5个不同的播放周期，进行定时播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节目单管理：支持通过后台进行所有节目的统一管理，可以查看节目发布设备及其在设备上的发布状态，可以对节目进行一键播放与暂停；支持草稿箱功能，未发布的节目可以保存至草稿箱。</w:t>
            </w:r>
          </w:p>
        </w:tc>
        <w:tc>
          <w:tcPr>
            <w:tcW w:w="367" w:type="pct"/>
            <w:tcBorders>
              <w:top w:val="single" w:color="auto" w:sz="4" w:space="0"/>
              <w:left w:val="single" w:color="000000" w:sz="4" w:space="0"/>
              <w:bottom w:val="single" w:color="000000" w:sz="4" w:space="0"/>
              <w:right w:val="single" w:color="000000" w:sz="4" w:space="0"/>
            </w:tcBorders>
            <w:shd w:val="clear" w:color="auto" w:fill="auto"/>
            <w:vAlign w:val="center"/>
          </w:tcPr>
          <w:p w14:paraId="107D28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r>
      <w:tr w14:paraId="29CC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B9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6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触摸互动终端</w:t>
            </w:r>
          </w:p>
        </w:tc>
        <w:tc>
          <w:tcPr>
            <w:tcW w:w="3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DB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1.至少21.5英寸电容触摸屏幕，支持10点同时触摸。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2.屏幕采用防眩光全钢化防爆玻璃面板，厚度3mm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3.触控屏幕稳定固定在讲台中，无突出边角，屏幕无法在没有工具的情况下拆除。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4.支持通过触控屏幕对一体机的画面进行控制，同时支持同步显示一体机画面，老师讲课无需转身背对学生，提高授课效率。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5.设置物理实体快捷按键，两侧按键共5个。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6.具备独立的快捷按键，用户可通过快捷按键对一体机进行进行一键熄屏、音量加控制、音量减控制。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7.支持对自身智能讲台触控屏幕的一键息屏、一键开/关机的快捷控制。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至少具备1个可自定义功能按键，可通过软件设置选择按键功能，包括一键启动白板、一键启动视频展台，一键关闭当前应用程序选项功能。11.智能讲台设置至少四个USB充电口，对接入设备进行充电，方便学校对教学用品的管理及维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9.设置的USB口，可供老师接入键盘、鼠标、U盘等设备，可被一体机识别通讯。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10.支持蓝牙BLE功能，可以无线控制支持蓝牙功能的一体机产品开机，减少额外连线或二次装修部署。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11.智能一体机具有国家认可的CCC证书，符合国家安全规定。</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3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r>
      <w:tr w14:paraId="2808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23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FE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视频展台</w:t>
            </w:r>
          </w:p>
        </w:tc>
        <w:tc>
          <w:tcPr>
            <w:tcW w:w="3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24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一、视频展台：一、硬件参数：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A4大小拍摄幅面，1080P动态视频预览达到30帧/秒；托板及挂墙部分采用金属加强，托板可承重3kg，整机壁挂式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2.2.支持展台成像画面实时批注，预设多种笔划粗细及颜色供选择，且支持对展台成像画面联同批注内容进行同步缩放、移动。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整机采用圆弧式设计，无锐角；同时托板采用磁吸吸附式机构，防止托板打落，方便打开及固定，避免机械式锁具故障率高的问题。展示托板正上方具备LED补光灯，保证展示区域的亮度及展示效果，补光灯开关采用触摸按键设计，同时可通过交互智能平板中的软件直接控制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带自动对焦摄像头；外壳在摄像头部分带保护镜片密封，防止灰尘沾染摄像头，防护等级达到IP4X级别。具有故障自动检测功能：在调用展台却无法出现镜头采集画面信号时，可自动出现检测链接，并给出导致性原因（如硬件连接、摄像头占用、配套软件版本等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二、软件参数：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1.支持对展台画面进行放大、缩小、旋转、自适应、冻结画面等操作。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2.支持展台画面实时批注，预设多种笔划粗细及颜色供选择，且支持对展台画面联同批注内容进行同步缩放、移动。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3.支持展台画面拍照截图并进行多图预览，可对任一图片进行全屏显示。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4.老师可在一体机或电脑上选择延时拍照功能，支持5秒或10秒延时模式，预留充足时间以便调整拍摄内容。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5.具备图像增强功能，可自动裁剪背景并增强文字显示，使文档画面更清晰。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6.可选择图像、文本或动态等多种情景模式，适应不同展示内容。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7.支持故障自动检测，在软件无法出现展台拍摄画面时，自动出现检测链接，帮助用户检测“无画面”的原因，并给出引导性解决方案。可判断硬件连接、显卡驱动、摄像头占用、软件版本等问题。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8.支持二维码扫码功能：打开扫一扫功能后，将书本上的二维码放入扫描框内即可自动扫描，并进入系统浏览器获取二维码的链接内容，帮助老师快速获取电子教学资源。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1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r>
      <w:tr w14:paraId="1EFA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B5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38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数字班牌</w:t>
            </w:r>
          </w:p>
        </w:tc>
        <w:tc>
          <w:tcPr>
            <w:tcW w:w="3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66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1.采用21.5英寸横屏式电容显示屏，支持10点触控，屏幕分辨率≥1920*1080，显示比例16:9；屏幕亮度≥250cd/㎡。</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2.整机采用防水防尘结构设计，适用于学校教室半户外环境，防护等级不低于IP65。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3.整机背部与墙面微距全贴合，背面与平整墙面间隙最大处≤2.5mm，保障教学环境的安全性。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4.可拍摄不低于600W像素的照片，支持不少于5人同时进行人脸识别。可支持学生无卡考勤签到、查看个人课程表、家长留言等个人信息。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5.内置高灵敏度的全向麦克风，拾音半径不小于0.5m，支持学生语音留言，留言内容同步发送至家长微信。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6.内置2.0立体声道功放，支持视频及家长留言的音频播放。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7.刷卡器：具有内置IC卡刷卡器，支持14443协议。学生可佩带相应的终端设备完成刷卡签到、查看个人信息等操作。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8.整机具备至少一路RJ45网络接口；具备不少于2路USB 2.0接口。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9.整机采用内置天线设计，无任何天线外露。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10.整机支持外接门禁及串口接口。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11.系统运行内存不低于2GB，存储容量不低于8GB；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12.整机CPU≥4核，最高主频≥1.9G，操作系统版本不低于Android 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13.整机电源采用插墙式电源适配器，适配器无需悬挂，线材上出。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14.支持远程开关机功能，远程唤醒待机功耗≤2W。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信息发布系统</w:t>
            </w:r>
            <w:r>
              <w:rPr>
                <w:rFonts w:hint="eastAsia" w:ascii="仿宋" w:hAnsi="仿宋" w:eastAsia="仿宋" w:cs="仿宋"/>
                <w:b/>
                <w:bCs/>
                <w:i w:val="0"/>
                <w:iCs w:val="0"/>
                <w:color w:val="000000"/>
                <w:kern w:val="0"/>
                <w:sz w:val="24"/>
                <w:szCs w:val="24"/>
                <w:u w:val="none"/>
                <w:lang w:val="en-US" w:eastAsia="zh-CN" w:bidi="ar"/>
              </w:rPr>
              <w:t>（接入现有的智慧化校园平台）</w:t>
            </w:r>
            <w:r>
              <w:rPr>
                <w:rStyle w:val="167"/>
                <w:lang w:val="en-US" w:eastAsia="zh-CN" w:bidi="ar"/>
              </w:rPr>
              <w:br w:type="textWrapping"/>
            </w:r>
            <w:r>
              <w:rPr>
                <w:rStyle w:val="167"/>
                <w:lang w:val="en-US" w:eastAsia="zh-CN" w:bidi="ar"/>
              </w:rPr>
              <w:t>1.系统可在后台发布班牌展示信息内容，支持照片、视频、新闻、公告、电子欢迎横幅等类型，内容支持图文混合排版；信息发布具备定向发布功能，可按照全校、班级等层级进行定向信息推送；系统预置不少于10个电子欢迎横幅主题模板。</w:t>
            </w:r>
            <w:r>
              <w:rPr>
                <w:rStyle w:val="167"/>
                <w:lang w:val="en-US" w:eastAsia="zh-CN" w:bidi="ar"/>
              </w:rPr>
              <w:br w:type="textWrapping"/>
            </w:r>
            <w:r>
              <w:rPr>
                <w:rStyle w:val="167"/>
                <w:lang w:val="en-US" w:eastAsia="zh-CN" w:bidi="ar"/>
              </w:rPr>
              <w:t>2.信息发布具备定向发布功能，可按照全校、班级层级进行定向信息推送。</w:t>
            </w:r>
            <w:r>
              <w:rPr>
                <w:rStyle w:val="167"/>
                <w:lang w:val="en-US" w:eastAsia="zh-CN" w:bidi="ar"/>
              </w:rPr>
              <w:br w:type="textWrapping"/>
            </w:r>
            <w:r>
              <w:rPr>
                <w:rStyle w:val="167"/>
                <w:lang w:val="en-US" w:eastAsia="zh-CN" w:bidi="ar"/>
              </w:rPr>
              <w:t>3.支持以校级或班级为单位发布事件倒计时，可编辑事件名称和倒计时截止时间，事件剩余时间在班牌实时显示，可同时发布不少于3个事件倒计时。</w:t>
            </w:r>
            <w:r>
              <w:rPr>
                <w:rStyle w:val="167"/>
                <w:lang w:val="en-US" w:eastAsia="zh-CN" w:bidi="ar"/>
              </w:rPr>
              <w:br w:type="textWrapping"/>
            </w:r>
            <w:r>
              <w:rPr>
                <w:rStyle w:val="167"/>
                <w:lang w:val="en-US" w:eastAsia="zh-CN" w:bidi="ar"/>
              </w:rPr>
              <w:t>4.支持展示学校所在区域今日及明后两天的天气状况和今日空气质量指数，可详细查看当日PM10、PM2.5、NO2、SO2等常见污染物数据，并根据当前天气状态自动切换对应的主题插图。</w:t>
            </w:r>
            <w:r>
              <w:rPr>
                <w:rStyle w:val="167"/>
                <w:lang w:val="en-US" w:eastAsia="zh-CN" w:bidi="ar"/>
              </w:rPr>
              <w:br w:type="textWrapping"/>
            </w:r>
            <w:r>
              <w:rPr>
                <w:rStyle w:val="167"/>
                <w:lang w:val="en-US" w:eastAsia="zh-CN" w:bidi="ar"/>
              </w:rPr>
              <w:t>5.设置屏保模式后，班牌长时间处于无人操作状态下将自动切换至屏幕保护模式，屏保模式下可选择全校、班级相册轮播、置顶已发布公告等多种内容展示。</w:t>
            </w:r>
            <w:r>
              <w:rPr>
                <w:rStyle w:val="167"/>
                <w:lang w:val="en-US" w:eastAsia="zh-CN" w:bidi="ar"/>
              </w:rPr>
              <w:br w:type="textWrapping"/>
            </w:r>
            <w:r>
              <w:rPr>
                <w:rStyle w:val="167"/>
                <w:lang w:val="en-US" w:eastAsia="zh-CN" w:bidi="ar"/>
              </w:rPr>
              <w:t>6.内置不少于20套公告模板（如：家长会通知、寒暑假通知等），可供用户发布公告时套用。</w:t>
            </w:r>
            <w:r>
              <w:rPr>
                <w:rStyle w:val="167"/>
                <w:lang w:val="en-US" w:eastAsia="zh-CN" w:bidi="ar"/>
              </w:rPr>
              <w:br w:type="textWrapping"/>
            </w:r>
            <w:r>
              <w:rPr>
                <w:rStyle w:val="167"/>
                <w:lang w:val="en-US" w:eastAsia="zh-CN" w:bidi="ar"/>
              </w:rPr>
              <w:t>★7.内置不少于50份海报模板，支持用户自定义修改背景及文案。同时可以自定义管理海报分类。</w:t>
            </w:r>
            <w:r>
              <w:rPr>
                <w:rStyle w:val="167"/>
                <w:lang w:val="en-US" w:eastAsia="zh-CN" w:bidi="ar"/>
              </w:rPr>
              <w:br w:type="textWrapping"/>
            </w:r>
            <w:r>
              <w:rPr>
                <w:rStyle w:val="167"/>
                <w:lang w:val="en-US" w:eastAsia="zh-CN" w:bidi="ar"/>
              </w:rPr>
              <w:t>8.支持对信息发布进行审核权限管理，可同时设置不同审核人，用户进行信息发布时，需由指定用户审核后才可在设备上展示。</w:t>
            </w:r>
            <w:r>
              <w:rPr>
                <w:rStyle w:val="167"/>
                <w:lang w:val="en-US" w:eastAsia="zh-CN" w:bidi="ar"/>
              </w:rPr>
              <w:br w:type="textWrapping"/>
            </w:r>
            <w:r>
              <w:rPr>
                <w:rStyle w:val="167"/>
                <w:lang w:val="en-US" w:eastAsia="zh-CN" w:bidi="ar"/>
              </w:rPr>
              <w:t>三、课程管理</w:t>
            </w:r>
            <w:r>
              <w:rPr>
                <w:rStyle w:val="167"/>
                <w:lang w:val="en-US" w:eastAsia="zh-CN" w:bidi="ar"/>
              </w:rPr>
              <w:br w:type="textWrapping"/>
            </w:r>
            <w:r>
              <w:rPr>
                <w:rStyle w:val="167"/>
                <w:lang w:val="en-US" w:eastAsia="zh-CN" w:bidi="ar"/>
              </w:rPr>
              <w:t>1.系统提供科目数据库，内置常见学科科目名称，且支持自定义增添科目。</w:t>
            </w:r>
            <w:r>
              <w:rPr>
                <w:rStyle w:val="167"/>
                <w:lang w:val="en-US" w:eastAsia="zh-CN" w:bidi="ar"/>
              </w:rPr>
              <w:br w:type="textWrapping"/>
            </w:r>
            <w:r>
              <w:rPr>
                <w:rStyle w:val="167"/>
                <w:lang w:val="en-US" w:eastAsia="zh-CN" w:bidi="ar"/>
              </w:rPr>
              <w:t>2.系统支持发布课程作息时间表，可按全校、年级等层级进行分层执行。每天可执行不同的课程作息时间表，便于灵活管理教学作息时间。</w:t>
            </w:r>
            <w:r>
              <w:rPr>
                <w:rStyle w:val="167"/>
                <w:lang w:val="en-US" w:eastAsia="zh-CN" w:bidi="ar"/>
              </w:rPr>
              <w:br w:type="textWrapping"/>
            </w:r>
            <w:r>
              <w:rPr>
                <w:rStyle w:val="167"/>
                <w:lang w:val="en-US" w:eastAsia="zh-CN" w:bidi="ar"/>
              </w:rPr>
              <w:t>3.学生、教师可在班牌查看对应课程表；班牌支持显示今日课程及当前进行的课程，便于学生教师查看。</w:t>
            </w:r>
            <w:r>
              <w:rPr>
                <w:rStyle w:val="167"/>
                <w:lang w:val="en-US" w:eastAsia="zh-CN" w:bidi="ar"/>
              </w:rPr>
              <w:br w:type="textWrapping"/>
            </w:r>
            <w:r>
              <w:rPr>
                <w:rStyle w:val="167"/>
                <w:lang w:val="en-US" w:eastAsia="zh-CN" w:bidi="ar"/>
              </w:rPr>
              <w:t>4.支持以电子表格形式快速导入全校课表或人工创建课程表，具备单科目快速排课功能，可将某科目在课程表中跨日跨时段快速复制，提高录入效率。</w:t>
            </w:r>
            <w:r>
              <w:rPr>
                <w:rStyle w:val="167"/>
                <w:lang w:val="en-US" w:eastAsia="zh-CN" w:bidi="ar"/>
              </w:rPr>
              <w:br w:type="textWrapping"/>
            </w:r>
            <w:r>
              <w:rPr>
                <w:rStyle w:val="167"/>
                <w:lang w:val="en-US" w:eastAsia="zh-CN" w:bidi="ar"/>
              </w:rPr>
              <w:t>四、考勤管理</w:t>
            </w:r>
            <w:r>
              <w:rPr>
                <w:rStyle w:val="167"/>
                <w:lang w:val="en-US" w:eastAsia="zh-CN" w:bidi="ar"/>
              </w:rPr>
              <w:br w:type="textWrapping"/>
            </w:r>
            <w:r>
              <w:rPr>
                <w:rStyle w:val="167"/>
                <w:lang w:val="en-US" w:eastAsia="zh-CN" w:bidi="ar"/>
              </w:rPr>
              <w:t>1.系统提供学生日循环考勤、单次事件考勤、课程考勤等考勤规则模式，可设置考勤事件的名称、起始时间、考勤人员范围。</w:t>
            </w:r>
            <w:r>
              <w:rPr>
                <w:rStyle w:val="167"/>
                <w:lang w:val="en-US" w:eastAsia="zh-CN" w:bidi="ar"/>
              </w:rPr>
              <w:br w:type="textWrapping"/>
            </w:r>
            <w:r>
              <w:rPr>
                <w:rStyle w:val="167"/>
                <w:lang w:val="en-US" w:eastAsia="zh-CN" w:bidi="ar"/>
              </w:rPr>
              <w:t>2.考勤时间段内班牌显示内容自动切换为考勤模式，实时显示应到学生、已到学生的数量及名单。</w:t>
            </w:r>
            <w:r>
              <w:rPr>
                <w:rStyle w:val="167"/>
                <w:lang w:val="en-US" w:eastAsia="zh-CN" w:bidi="ar"/>
              </w:rPr>
              <w:br w:type="textWrapping"/>
            </w:r>
            <w:r>
              <w:rPr>
                <w:rStyle w:val="167"/>
                <w:lang w:val="en-US" w:eastAsia="zh-CN" w:bidi="ar"/>
              </w:rPr>
              <w:t>3.人脸识别考勤功能支持离线识别，无网络环境下班牌仍可以进行人脸识别考勤。</w:t>
            </w:r>
            <w:r>
              <w:rPr>
                <w:rStyle w:val="167"/>
                <w:lang w:val="en-US" w:eastAsia="zh-CN" w:bidi="ar"/>
              </w:rPr>
              <w:br w:type="textWrapping"/>
            </w:r>
            <w:r>
              <w:rPr>
                <w:rStyle w:val="167"/>
                <w:lang w:val="en-US" w:eastAsia="zh-CN" w:bidi="ar"/>
              </w:rPr>
              <w:t>4.学生考勤结果可自动推送至家长手机端，以便家长了解学生的实际考勤行为/状态。</w:t>
            </w:r>
            <w:r>
              <w:rPr>
                <w:rStyle w:val="167"/>
                <w:lang w:val="en-US" w:eastAsia="zh-CN" w:bidi="ar"/>
              </w:rPr>
              <w:br w:type="textWrapping"/>
            </w:r>
            <w:r>
              <w:rPr>
                <w:rStyle w:val="167"/>
                <w:lang w:val="en-US" w:eastAsia="zh-CN" w:bidi="ar"/>
              </w:rPr>
              <w:t>5.支持教师授课考勤，教师通过人脸识别或手机扫描所在班级班牌的二维码完成授课考勤。考勤结果支持按日查询，可查看每名教师的打卡时间及考勤状态，总览教师授课出勤准点率等情况。针对指定课程，可设置教师与学生同时进行考勤，也可只对学生或教师单独进行考勤。</w:t>
            </w:r>
            <w:r>
              <w:rPr>
                <w:rStyle w:val="167"/>
                <w:lang w:val="en-US" w:eastAsia="zh-CN" w:bidi="ar"/>
              </w:rPr>
              <w:br w:type="textWrapping"/>
            </w:r>
            <w:r>
              <w:rPr>
                <w:rStyle w:val="167"/>
                <w:lang w:val="en-US" w:eastAsia="zh-CN" w:bidi="ar"/>
              </w:rPr>
              <w:t>五、校园管理&amp;班级管理</w:t>
            </w:r>
            <w:r>
              <w:rPr>
                <w:rStyle w:val="167"/>
                <w:lang w:val="en-US" w:eastAsia="zh-CN" w:bidi="ar"/>
              </w:rPr>
              <w:br w:type="textWrapping"/>
            </w:r>
            <w:r>
              <w:rPr>
                <w:rStyle w:val="167"/>
                <w:lang w:val="en-US" w:eastAsia="zh-CN" w:bidi="ar"/>
              </w:rPr>
              <w:t>★1.考场模式：班牌显示在进入考试时间段前1小时自动切换至考试预告模式；到达考试时间自动切换至考试模式，展示考场号、场地、考试时间段、科目等信息，考场模式下，学生无法操控班牌，需进行二维码扫描身份验证后才可进行操作。</w:t>
            </w:r>
            <w:r>
              <w:rPr>
                <w:rStyle w:val="167"/>
                <w:lang w:val="en-US" w:eastAsia="zh-CN" w:bidi="ar"/>
              </w:rPr>
              <w:br w:type="textWrapping"/>
            </w:r>
            <w:r>
              <w:rPr>
                <w:rStyle w:val="167"/>
                <w:lang w:val="en-US" w:eastAsia="zh-CN" w:bidi="ar"/>
              </w:rPr>
              <w:t>2.支持自定义德育督导班级评分标准，设定全校评价维度，督导教师可通过扫描班牌显示的班级专属二维码对班级进行评分，可按日、周、月查看班级总分，可以柱状图查看各评价维度的分数。</w:t>
            </w:r>
            <w:r>
              <w:rPr>
                <w:rStyle w:val="167"/>
                <w:lang w:val="en-US" w:eastAsia="zh-CN" w:bidi="ar"/>
              </w:rPr>
              <w:br w:type="textWrapping"/>
            </w:r>
            <w:r>
              <w:rPr>
                <w:rStyle w:val="167"/>
                <w:lang w:val="en-US" w:eastAsia="zh-CN" w:bidi="ar"/>
              </w:rPr>
              <w:t>3.班牌可展示过去一周、一月的本班评分名次，及全校前三名的光荣班级，激励学生自觉维护班级冗余，提升学生综合素质。</w:t>
            </w:r>
            <w:r>
              <w:rPr>
                <w:rStyle w:val="167"/>
                <w:lang w:val="en-US" w:eastAsia="zh-CN" w:bidi="ar"/>
              </w:rPr>
              <w:br w:type="textWrapping"/>
            </w:r>
            <w:r>
              <w:rPr>
                <w:rStyle w:val="167"/>
                <w:lang w:val="en-US" w:eastAsia="zh-CN" w:bidi="ar"/>
              </w:rPr>
              <w:t>4.可批量为班级颁发具备有效期限的流动红旗，获奖班级班牌界面使用荣誉班级专用主题风格，提升班级荣誉感，激励其他班级。</w:t>
            </w:r>
            <w:r>
              <w:rPr>
                <w:rStyle w:val="167"/>
                <w:lang w:val="en-US" w:eastAsia="zh-CN" w:bidi="ar"/>
              </w:rPr>
              <w:br w:type="textWrapping"/>
            </w:r>
            <w:r>
              <w:rPr>
                <w:rStyle w:val="167"/>
                <w:lang w:val="en-US" w:eastAsia="zh-CN" w:bidi="ar"/>
              </w:rPr>
              <w:t>5.管理系统与学生行为评价软件数据接口无缝对接，实现账号的单点登录、数据互通，教师对学生进行评价后，相应的评价分数会实时同步至班牌。</w:t>
            </w:r>
            <w:r>
              <w:rPr>
                <w:rStyle w:val="167"/>
                <w:lang w:val="en-US" w:eastAsia="zh-CN" w:bidi="ar"/>
              </w:rPr>
              <w:br w:type="textWrapping"/>
            </w:r>
            <w:r>
              <w:rPr>
                <w:rStyle w:val="167"/>
                <w:lang w:val="en-US" w:eastAsia="zh-CN" w:bidi="ar"/>
              </w:rPr>
              <w:t>六、家校互通</w:t>
            </w:r>
            <w:r>
              <w:rPr>
                <w:rStyle w:val="167"/>
                <w:lang w:val="en-US" w:eastAsia="zh-CN" w:bidi="ar"/>
              </w:rPr>
              <w:br w:type="textWrapping"/>
            </w:r>
            <w:r>
              <w:rPr>
                <w:rStyle w:val="167"/>
                <w:lang w:val="en-US" w:eastAsia="zh-CN" w:bidi="ar"/>
              </w:rPr>
              <w:t>1.家长可在手机端发送留言，家长可自定义不少于6个回复模板。</w:t>
            </w:r>
            <w:r>
              <w:rPr>
                <w:rStyle w:val="167"/>
                <w:lang w:val="en-US" w:eastAsia="zh-CN" w:bidi="ar"/>
              </w:rPr>
              <w:br w:type="textWrapping"/>
            </w:r>
            <w:r>
              <w:rPr>
                <w:rStyle w:val="167"/>
                <w:lang w:val="en-US" w:eastAsia="zh-CN" w:bidi="ar"/>
              </w:rPr>
              <w:t>2.家长可在手机端向学生发起投票，可自定义不少于6个的投票选项。</w:t>
            </w:r>
            <w:r>
              <w:rPr>
                <w:rStyle w:val="167"/>
                <w:lang w:val="en-US" w:eastAsia="zh-CN" w:bidi="ar"/>
              </w:rPr>
              <w:br w:type="textWrapping"/>
            </w:r>
            <w:r>
              <w:rPr>
                <w:rStyle w:val="167"/>
                <w:lang w:val="en-US" w:eastAsia="zh-CN" w:bidi="ar"/>
              </w:rPr>
              <w:t>3.家长发送留言或投票后，学生所在班级的班牌会显示该学生有新信息提醒，学生刷卡或人脸识别验证后方可查看信息，保护学生隐私。</w:t>
            </w:r>
            <w:r>
              <w:rPr>
                <w:rStyle w:val="167"/>
                <w:lang w:val="en-US" w:eastAsia="zh-CN" w:bidi="ar"/>
              </w:rPr>
              <w:br w:type="textWrapping"/>
            </w:r>
            <w:r>
              <w:rPr>
                <w:rStyle w:val="167"/>
                <w:lang w:val="en-US" w:eastAsia="zh-CN" w:bidi="ar"/>
              </w:rPr>
              <w:t>4.家长在微信端给学生发留言时，可以设置选项，学生在班牌上可以从中做出选择并回复。</w:t>
            </w:r>
            <w:r>
              <w:rPr>
                <w:rStyle w:val="167"/>
                <w:lang w:val="en-US" w:eastAsia="zh-CN" w:bidi="ar"/>
              </w:rPr>
              <w:br w:type="textWrapping"/>
            </w:r>
            <w:r>
              <w:rPr>
                <w:rStyle w:val="167"/>
                <w:lang w:val="en-US" w:eastAsia="zh-CN" w:bidi="ar"/>
              </w:rPr>
              <w:t>5.家长可在手机端发起学生请假请求，可添加照片作为请假凭证。班主任手机端即时收到提醒，班牌同步该学生的请假状态，取消该学生的考勤要求。支持导出电子表格的学生请假列表。</w:t>
            </w:r>
            <w:r>
              <w:rPr>
                <w:rStyle w:val="167"/>
                <w:lang w:val="en-US" w:eastAsia="zh-CN" w:bidi="ar"/>
              </w:rPr>
              <w:br w:type="textWrapping"/>
            </w:r>
            <w:r>
              <w:rPr>
                <w:rStyle w:val="167"/>
                <w:lang w:val="en-US" w:eastAsia="zh-CN" w:bidi="ar"/>
              </w:rPr>
              <w:t>七、设备管理</w:t>
            </w:r>
            <w:r>
              <w:rPr>
                <w:rStyle w:val="167"/>
                <w:lang w:val="en-US" w:eastAsia="zh-CN" w:bidi="ar"/>
              </w:rPr>
              <w:br w:type="textWrapping"/>
            </w:r>
            <w:r>
              <w:rPr>
                <w:rStyle w:val="167"/>
                <w:lang w:val="en-US" w:eastAsia="zh-CN" w:bidi="ar"/>
              </w:rPr>
              <w:t>1.支持自定义班牌界面，可在后台自由搭配显示组件，满足个性化的展示需求，预置班级信息、课程表、考勤、新闻、公告、相册、倒数日、天气、视频、学生量化评价排名等不少于20种显示组件。</w:t>
            </w:r>
            <w:r>
              <w:rPr>
                <w:rStyle w:val="167"/>
                <w:lang w:val="en-US" w:eastAsia="zh-CN" w:bidi="ar"/>
              </w:rPr>
              <w:br w:type="textWrapping"/>
            </w:r>
            <w:r>
              <w:rPr>
                <w:rStyle w:val="167"/>
                <w:lang w:val="en-US" w:eastAsia="zh-CN" w:bidi="ar"/>
              </w:rPr>
              <w:t>2.系统支持设定班牌定时开关机管理策略，支持对班牌批量设置多组自动开关机时间策略，可实现班牌每天执行不同的开关机时间策略，满足学校灵活管理设备的需求。</w:t>
            </w:r>
            <w:r>
              <w:rPr>
                <w:rStyle w:val="167"/>
                <w:lang w:val="en-US" w:eastAsia="zh-CN" w:bidi="ar"/>
              </w:rPr>
              <w:br w:type="textWrapping"/>
            </w:r>
            <w:r>
              <w:rPr>
                <w:rStyle w:val="167"/>
                <w:lang w:val="en-US" w:eastAsia="zh-CN" w:bidi="ar"/>
              </w:rPr>
              <w:t>3.班牌处于预设关机状态时，因特殊情况开机后，系统自动提示用户是否保持班牌的开机状态，缓冲时间截止前无人操作，班牌自动恢复关机状态。</w:t>
            </w:r>
            <w:r>
              <w:rPr>
                <w:rStyle w:val="167"/>
                <w:lang w:val="en-US" w:eastAsia="zh-CN" w:bidi="ar"/>
              </w:rPr>
              <w:br w:type="textWrapping"/>
            </w:r>
            <w:r>
              <w:rPr>
                <w:rStyle w:val="167"/>
                <w:lang w:val="en-US" w:eastAsia="zh-CN" w:bidi="ar"/>
              </w:rPr>
              <w:t>4.涉及解除触控锁定、绑定教室、解绑教室、网络设置、系统设置、退出软件、重启设备等有关班牌底层配置或安全性的操作，均需进行用户身份二维码扫描认证。</w:t>
            </w:r>
            <w:r>
              <w:rPr>
                <w:rStyle w:val="167"/>
                <w:lang w:val="en-US" w:eastAsia="zh-CN" w:bidi="ar"/>
              </w:rPr>
              <w:br w:type="textWrapping"/>
            </w:r>
            <w:r>
              <w:rPr>
                <w:rStyle w:val="167"/>
                <w:lang w:val="en-US" w:eastAsia="zh-CN" w:bidi="ar"/>
              </w:rPr>
              <w:t>5.移动端身份验证：班牌初始化时，管理员扫描界面中的二维码可以为该班牌绑定教室；已绑定的可扫码解绑。</w:t>
            </w:r>
            <w:r>
              <w:rPr>
                <w:rStyle w:val="167"/>
                <w:lang w:val="en-US" w:eastAsia="zh-CN" w:bidi="ar"/>
              </w:rPr>
              <w:br w:type="textWrapping"/>
            </w:r>
            <w:r>
              <w:rPr>
                <w:rStyle w:val="167"/>
                <w:lang w:val="en-US" w:eastAsia="zh-CN" w:bidi="ar"/>
              </w:rPr>
              <w:t>6.支持在后台查看班牌的开关机、联网情况等运行状态。</w:t>
            </w:r>
            <w:r>
              <w:rPr>
                <w:rStyle w:val="167"/>
                <w:lang w:val="en-US" w:eastAsia="zh-CN" w:bidi="ar"/>
              </w:rPr>
              <w:br w:type="textWrapping"/>
            </w:r>
            <w:r>
              <w:rPr>
                <w:rStyle w:val="167"/>
                <w:lang w:val="en-US" w:eastAsia="zh-CN" w:bidi="ar"/>
              </w:rPr>
              <w:t>7.支持远程对班牌进行场地解绑、场地更换、设备重启等操作。</w:t>
            </w:r>
            <w:r>
              <w:rPr>
                <w:rStyle w:val="167"/>
                <w:lang w:val="en-US" w:eastAsia="zh-CN" w:bidi="ar"/>
              </w:rPr>
              <w:br w:type="textWrapping"/>
            </w:r>
            <w:r>
              <w:rPr>
                <w:rStyle w:val="167"/>
                <w:lang w:val="en-US" w:eastAsia="zh-CN" w:bidi="ar"/>
              </w:rPr>
              <w:t>8.支持在班牌查看本机配置信息，如版本号、序列号、开关机时间、显示主题风格、屏保主题等。</w:t>
            </w:r>
            <w:r>
              <w:rPr>
                <w:rStyle w:val="167"/>
                <w:lang w:val="en-US" w:eastAsia="zh-CN" w:bidi="ar"/>
              </w:rPr>
              <w:br w:type="textWrapping"/>
            </w:r>
            <w:r>
              <w:rPr>
                <w:rStyle w:val="167"/>
                <w:lang w:val="en-US" w:eastAsia="zh-CN" w:bidi="ar"/>
              </w:rPr>
              <w:t>★9.班牌软件和系统支持远程OTA静默升级，无需任何人为操作。</w:t>
            </w:r>
            <w:r>
              <w:rPr>
                <w:rStyle w:val="167"/>
                <w:lang w:val="en-US" w:eastAsia="zh-CN" w:bidi="ar"/>
              </w:rPr>
              <w:br w:type="textWrapping"/>
            </w:r>
            <w:r>
              <w:rPr>
                <w:rStyle w:val="167"/>
                <w:lang w:val="en-US" w:eastAsia="zh-CN" w:bidi="ar"/>
              </w:rPr>
              <w:t>10.班牌内置电子动态二维码供用户提交反馈建议，提交反馈时会自动上报该设备的配置、运行状态等信息。</w:t>
            </w:r>
            <w:r>
              <w:rPr>
                <w:rStyle w:val="167"/>
                <w:lang w:val="en-US" w:eastAsia="zh-CN" w:bidi="ar"/>
              </w:rPr>
              <w:br w:type="textWrapping"/>
            </w:r>
            <w:r>
              <w:rPr>
                <w:rStyle w:val="167"/>
                <w:lang w:val="en-US" w:eastAsia="zh-CN" w:bidi="ar"/>
              </w:rPr>
              <w:t>八、综合管理平台：</w:t>
            </w:r>
            <w:r>
              <w:rPr>
                <w:rStyle w:val="167"/>
                <w:lang w:val="en-US" w:eastAsia="zh-CN" w:bidi="ar"/>
              </w:rPr>
              <w:br w:type="textWrapping"/>
            </w:r>
            <w:r>
              <w:rPr>
                <w:rStyle w:val="167"/>
                <w:lang w:val="en-US" w:eastAsia="zh-CN" w:bidi="ar"/>
              </w:rPr>
              <w:t>1.综合管理平台可进行班牌的管理，包括：课程管理、学生管理、教师管理、管理员权限管理、场地管理与分配、信息发布、设备远程关机设置等。</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6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r>
      <w:tr w14:paraId="075A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56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70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高清线</w:t>
            </w:r>
          </w:p>
        </w:tc>
        <w:tc>
          <w:tcPr>
            <w:tcW w:w="3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43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HDMI 高清线10米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EA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r>
      <w:tr w14:paraId="0AF1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73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0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触控线</w:t>
            </w:r>
          </w:p>
        </w:tc>
        <w:tc>
          <w:tcPr>
            <w:tcW w:w="3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CE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TOUCH 线缆10米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C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r>
      <w:tr w14:paraId="0D21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B3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2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w:t>
            </w:r>
          </w:p>
        </w:tc>
        <w:tc>
          <w:tcPr>
            <w:tcW w:w="3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DF0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拆除安装调试</w:t>
            </w:r>
          </w:p>
          <w:p w14:paraId="4BD8579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拆除搬运：1、拆除内容：41套旧的触控一体机、41套推拉黑板拆除、41套音箱、41间教室线槽更换、41间教室广播、网络线路整理。</w:t>
            </w:r>
          </w:p>
          <w:p w14:paraId="2BCE41D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2.搬运：拆除设备搬运到客户指定位置。</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41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r>
    </w:tbl>
    <w:p w14:paraId="62CAAA1B">
      <w:pPr>
        <w:spacing w:line="360" w:lineRule="auto"/>
        <w:ind w:firstLine="482" w:firstLineChars="200"/>
        <w:rPr>
          <w:rFonts w:hint="eastAsia" w:ascii="仿宋" w:hAnsi="仿宋" w:eastAsia="仿宋" w:cs="仿宋"/>
          <w:b/>
          <w:color w:val="auto"/>
          <w:sz w:val="24"/>
          <w:szCs w:val="24"/>
          <w:highlight w:val="none"/>
          <w:lang w:val="en-US" w:eastAsia="zh-CN"/>
        </w:rPr>
      </w:pPr>
    </w:p>
    <w:p w14:paraId="76826E14">
      <w:pPr>
        <w:spacing w:line="202" w:lineRule="exact"/>
      </w:pPr>
    </w:p>
    <w:p w14:paraId="7A645766">
      <w:pPr>
        <w:rPr>
          <w:rFonts w:ascii="Arial"/>
          <w:sz w:val="21"/>
        </w:rPr>
      </w:pPr>
    </w:p>
    <w:p w14:paraId="57C54191">
      <w:pPr>
        <w:spacing w:line="360" w:lineRule="auto"/>
        <w:ind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注：投标人“投标价格明细表”须针对所投标项相对的内容分别报价。</w:t>
      </w:r>
    </w:p>
    <w:p w14:paraId="3B82F2F0">
      <w:pPr>
        <w:bidi w:val="0"/>
        <w:spacing w:line="240" w:lineRule="auto"/>
        <w:outlineLvl w:val="9"/>
        <w:rPr>
          <w:rFonts w:hint="eastAsia" w:ascii="仿宋" w:hAnsi="仿宋" w:eastAsia="仿宋" w:cs="仿宋"/>
          <w:sz w:val="24"/>
          <w:szCs w:val="24"/>
          <w:lang w:val="en-US" w:eastAsia="zh-CN"/>
        </w:rPr>
      </w:pPr>
      <w:r>
        <w:rPr>
          <w:rFonts w:hint="eastAsia" w:ascii="仿宋" w:hAnsi="仿宋" w:eastAsia="仿宋" w:cs="仿宋"/>
          <w:b/>
          <w:bCs/>
          <w:sz w:val="32"/>
          <w:szCs w:val="32"/>
          <w:highlight w:val="none"/>
          <w:lang w:val="en-US" w:eastAsia="zh-CN"/>
        </w:rPr>
        <w:br w:type="page"/>
      </w:r>
      <w:r>
        <w:rPr>
          <w:rFonts w:hint="eastAsia" w:ascii="仿宋" w:hAnsi="仿宋" w:eastAsia="仿宋" w:cs="仿宋"/>
          <w:sz w:val="24"/>
          <w:szCs w:val="24"/>
          <w:lang w:val="en-US" w:eastAsia="zh-CN"/>
        </w:rPr>
        <w:t>二、招标货物及商务要求</w:t>
      </w:r>
    </w:p>
    <w:p w14:paraId="2EAFC6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i w:val="0"/>
          <w:iCs w:val="0"/>
          <w:caps w:val="0"/>
          <w:color w:val="2C2C2C"/>
          <w:spacing w:val="0"/>
          <w:sz w:val="24"/>
          <w:szCs w:val="24"/>
          <w:lang w:eastAsia="zh-CN"/>
        </w:rPr>
        <w:t>（</w:t>
      </w:r>
      <w:r>
        <w:rPr>
          <w:rFonts w:hint="eastAsia" w:ascii="仿宋" w:hAnsi="仿宋" w:eastAsia="仿宋" w:cs="仿宋"/>
          <w:b/>
          <w:bCs/>
          <w:i w:val="0"/>
          <w:iCs w:val="0"/>
          <w:caps w:val="0"/>
          <w:color w:val="2C2C2C"/>
          <w:spacing w:val="0"/>
          <w:sz w:val="24"/>
          <w:szCs w:val="24"/>
          <w:lang w:val="en-US" w:eastAsia="zh-CN"/>
        </w:rPr>
        <w:t>1</w:t>
      </w:r>
      <w:r>
        <w:rPr>
          <w:rFonts w:hint="eastAsia" w:ascii="仿宋" w:hAnsi="仿宋" w:eastAsia="仿宋" w:cs="仿宋"/>
          <w:b/>
          <w:bCs/>
          <w:i w:val="0"/>
          <w:iCs w:val="0"/>
          <w:caps w:val="0"/>
          <w:color w:val="2C2C2C"/>
          <w:spacing w:val="0"/>
          <w:sz w:val="24"/>
          <w:szCs w:val="24"/>
          <w:lang w:eastAsia="zh-CN"/>
        </w:rPr>
        <w:t>）</w:t>
      </w:r>
      <w:r>
        <w:rPr>
          <w:rFonts w:hint="eastAsia" w:ascii="仿宋" w:hAnsi="仿宋" w:eastAsia="仿宋" w:cs="仿宋"/>
          <w:b/>
          <w:bCs/>
          <w:i w:val="0"/>
          <w:iCs w:val="0"/>
          <w:caps w:val="0"/>
          <w:color w:val="2C2C2C"/>
          <w:spacing w:val="0"/>
          <w:sz w:val="24"/>
          <w:szCs w:val="24"/>
        </w:rPr>
        <w:t>强化政府采购异常低价审查</w:t>
      </w:r>
    </w:p>
    <w:p w14:paraId="79D34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根据</w:t>
      </w:r>
      <w:r>
        <w:rPr>
          <w:rFonts w:hint="eastAsia" w:ascii="仿宋" w:hAnsi="仿宋" w:eastAsia="仿宋" w:cs="仿宋"/>
          <w:sz w:val="24"/>
          <w:szCs w:val="24"/>
        </w:rPr>
        <w:t>财库〔2026〕2号</w:t>
      </w:r>
      <w:r>
        <w:rPr>
          <w:rFonts w:hint="eastAsia" w:ascii="仿宋" w:hAnsi="仿宋" w:eastAsia="仿宋" w:cs="仿宋"/>
          <w:sz w:val="24"/>
          <w:szCs w:val="24"/>
          <w:lang w:eastAsia="zh-CN"/>
        </w:rPr>
        <w:t>：</w:t>
      </w:r>
      <w:r>
        <w:rPr>
          <w:rFonts w:hint="eastAsia" w:ascii="仿宋" w:hAnsi="仿宋" w:eastAsia="仿宋" w:cs="仿宋"/>
          <w:sz w:val="24"/>
          <w:szCs w:val="24"/>
        </w:rPr>
        <w:t>为整治政府采购领域“内卷式”竞争，形成优质优价、良性竞争的市场秩序，现就推动解决政府采购异常低价问题有关事项通知如下：</w:t>
      </w:r>
    </w:p>
    <w:p w14:paraId="1DF34B5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采购人应当在采购文件中明确，政府采购评审中出现下列情形之一的，评审委员会应当启动异常低价投标（响应）审查程序：</w:t>
      </w:r>
    </w:p>
    <w:p w14:paraId="517455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1.投标（响应）报价低于全部通过符合性审查供应商投标（响应）报价平均值</w:t>
      </w:r>
      <w:r>
        <w:rPr>
          <w:rFonts w:hint="eastAsia" w:ascii="仿宋" w:hAnsi="仿宋" w:eastAsia="仿宋" w:cs="仿宋"/>
          <w:sz w:val="24"/>
          <w:szCs w:val="24"/>
          <w:lang w:val="en-US" w:eastAsia="zh-CN"/>
        </w:rPr>
        <w:t>60</w:t>
      </w:r>
      <w:r>
        <w:rPr>
          <w:rFonts w:hint="eastAsia" w:ascii="仿宋" w:hAnsi="仿宋" w:eastAsia="仿宋" w:cs="仿宋"/>
          <w:sz w:val="24"/>
          <w:szCs w:val="24"/>
        </w:rPr>
        <w:t>%的，即投标（响应）报价&lt;全部通过符合性审查供应商投标（响应）报价平均值×</w:t>
      </w:r>
      <w:r>
        <w:rPr>
          <w:rFonts w:hint="eastAsia" w:ascii="仿宋" w:hAnsi="仿宋" w:eastAsia="仿宋" w:cs="仿宋"/>
          <w:sz w:val="24"/>
          <w:szCs w:val="24"/>
          <w:lang w:val="en-US" w:eastAsia="zh-CN"/>
        </w:rPr>
        <w:t>60</w:t>
      </w:r>
      <w:r>
        <w:rPr>
          <w:rFonts w:hint="eastAsia" w:ascii="仿宋" w:hAnsi="仿宋" w:eastAsia="仿宋" w:cs="仿宋"/>
          <w:sz w:val="24"/>
          <w:szCs w:val="24"/>
        </w:rPr>
        <w:t>%；</w:t>
      </w:r>
    </w:p>
    <w:p w14:paraId="627F6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2.投标（响应）报价低于通过符合性审查的次低报价供应商投标（响应）报价</w:t>
      </w:r>
      <w:r>
        <w:rPr>
          <w:rFonts w:hint="eastAsia" w:ascii="仿宋" w:hAnsi="仿宋" w:eastAsia="仿宋" w:cs="仿宋"/>
          <w:sz w:val="24"/>
          <w:szCs w:val="24"/>
          <w:lang w:val="en-US" w:eastAsia="zh-CN"/>
        </w:rPr>
        <w:t>60</w:t>
      </w:r>
      <w:r>
        <w:rPr>
          <w:rFonts w:hint="eastAsia" w:ascii="仿宋" w:hAnsi="仿宋" w:eastAsia="仿宋" w:cs="仿宋"/>
          <w:sz w:val="24"/>
          <w:szCs w:val="24"/>
        </w:rPr>
        <w:t>%的，即投标（响应）报价&lt;通过符合性审查的次低报价供应商投标（响应）报价×</w:t>
      </w:r>
      <w:r>
        <w:rPr>
          <w:rFonts w:hint="eastAsia" w:ascii="仿宋" w:hAnsi="仿宋" w:eastAsia="仿宋" w:cs="仿宋"/>
          <w:sz w:val="24"/>
          <w:szCs w:val="24"/>
          <w:lang w:val="en-US" w:eastAsia="zh-CN"/>
        </w:rPr>
        <w:t>60</w:t>
      </w:r>
      <w:r>
        <w:rPr>
          <w:rFonts w:hint="eastAsia" w:ascii="仿宋" w:hAnsi="仿宋" w:eastAsia="仿宋" w:cs="仿宋"/>
          <w:sz w:val="24"/>
          <w:szCs w:val="24"/>
        </w:rPr>
        <w:t>%；</w:t>
      </w:r>
    </w:p>
    <w:p w14:paraId="4B3B20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3.投标（响应）报价低于采购项目最高限价</w:t>
      </w:r>
      <w:r>
        <w:rPr>
          <w:rFonts w:hint="eastAsia" w:ascii="仿宋" w:hAnsi="仿宋" w:eastAsia="仿宋" w:cs="仿宋"/>
          <w:sz w:val="24"/>
          <w:szCs w:val="24"/>
          <w:lang w:val="en-US" w:eastAsia="zh-CN"/>
        </w:rPr>
        <w:t>60</w:t>
      </w:r>
      <w:r>
        <w:rPr>
          <w:rFonts w:hint="eastAsia" w:ascii="仿宋" w:hAnsi="仿宋" w:eastAsia="仿宋" w:cs="仿宋"/>
          <w:sz w:val="24"/>
          <w:szCs w:val="24"/>
        </w:rPr>
        <w:t>%的，即投标（响应）报价&lt;采购项目最高限价×</w:t>
      </w:r>
      <w:r>
        <w:rPr>
          <w:rFonts w:hint="eastAsia" w:ascii="仿宋" w:hAnsi="仿宋" w:eastAsia="仿宋" w:cs="仿宋"/>
          <w:sz w:val="24"/>
          <w:szCs w:val="24"/>
          <w:lang w:val="en-US" w:eastAsia="zh-CN"/>
        </w:rPr>
        <w:t>60</w:t>
      </w:r>
      <w:r>
        <w:rPr>
          <w:rFonts w:hint="eastAsia" w:ascii="仿宋" w:hAnsi="仿宋" w:eastAsia="仿宋" w:cs="仿宋"/>
          <w:sz w:val="24"/>
          <w:szCs w:val="24"/>
        </w:rPr>
        <w:t>%；</w:t>
      </w:r>
    </w:p>
    <w:p w14:paraId="157AC7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4.评审委员会基于专业判断，认为供应商报价过低，有可能影响产品质量或者不能诚信履约的其他情形。</w:t>
      </w:r>
    </w:p>
    <w:p w14:paraId="1FAB6A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（2）采购及安装要求：</w:t>
      </w:r>
    </w:p>
    <w:p w14:paraId="0B828A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所投货物（服务）在“投标响应”栏必须明确填报所投货物（服务）详细的型号配置及技术指标。所投货物（服务）报价包括设备、辅助材料、人工、机械、运输、存储、安装、调试、保险、劳保、各种税费、专利技术及质保期间一切费用等。</w:t>
      </w:r>
    </w:p>
    <w:p w14:paraId="48448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2、所有投标货物（服务）的生产、制造、安装等各项技术标准应当符合国家（强制性）标准、各项规范要求；国家没有相应标准、规范的，可使用行业标准、规定；非标设备按约定的技术要求和规范。</w:t>
      </w:r>
    </w:p>
    <w:p w14:paraId="236E8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质量保证：所投货物（服务）必须是全新的、未使用过的、原包装未拆封的正品商品，完全符合采购设备规定的质量、规格和性能的要求，投标方应保证其提供的货物（服务）在正确安装、正常使用和保养条件下，在规定的使用寿命期内具有满意的性能。产品质量、技术性能等有误导、虚假行为给采购人造成损失的责任由投标人承担。</w:t>
      </w:r>
    </w:p>
    <w:p w14:paraId="66421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4、供应商负责提供质检报告等相关技术资料及日常使用、维护保养培训。</w:t>
      </w:r>
    </w:p>
    <w:p w14:paraId="7508B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5、供货及安装工期：15天。</w:t>
      </w:r>
    </w:p>
    <w:p w14:paraId="06F8A0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（3）质保及售后服务要求：</w:t>
      </w:r>
    </w:p>
    <w:p w14:paraId="3943B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1.质保标准</w:t>
      </w:r>
    </w:p>
    <w:p w14:paraId="3F8EF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对项目中所有提供的产品遵照厂家质保期限为3年（含系统软件升级），对系统提供终身技术支持及3年的免费上门服务。</w:t>
      </w:r>
    </w:p>
    <w:p w14:paraId="304428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对软件升级提供免费培训及技术支持。</w:t>
      </w:r>
    </w:p>
    <w:p w14:paraId="5BBF6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对所提供的配套设备按照相应的售后服务内容进行保修。对设备质量和安装质量涉及人身安全的，投标人应给出书面的安全保证。</w:t>
      </w:r>
    </w:p>
    <w:p w14:paraId="10E077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本项目所有设备、配件及安装辅材必须为正规生产厂家生产的合格产品，设备附表涉及产品3年质保。中标方需提供3年免费上门维护服务，故障响应时间小于1小时，故障解决时间小于12小时；定期进行巡检，每年不少于2次。</w:t>
      </w:r>
    </w:p>
    <w:p w14:paraId="55133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3.中标人在质保期内每学期开学前需到校对设备进行检查维护、维修，以保证师生在开学时能正常使用。在质保期内，中标供应商应负责对其提供的设备进行现场维修、损坏件更换，不收取额外费用。</w:t>
      </w:r>
    </w:p>
    <w:p w14:paraId="397B31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（4）培训服务及要求</w:t>
      </w:r>
    </w:p>
    <w:p w14:paraId="0114C8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1、对设备管理员及教师进行产品使用、维护、教学等方面的培训；</w:t>
      </w:r>
    </w:p>
    <w:p w14:paraId="31A4CE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2、如遇重大活动需驻场提供现场保障服务；</w:t>
      </w:r>
    </w:p>
    <w:p w14:paraId="098B7D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（5）安装调试及验收</w:t>
      </w:r>
    </w:p>
    <w:p w14:paraId="61F78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1.设备采购</w:t>
      </w:r>
    </w:p>
    <w:p w14:paraId="44AAD1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中标人在签订合同后，严格按照合同清单采购及供货。严禁擅自更改，若发现有设备品牌与投标文件中不符，并要求无条件更换，同时承担相关责任。无论何种原因，出现不合格材料、器材、设备用于工程的情况，后果均由中标方承担。</w:t>
      </w:r>
    </w:p>
    <w:p w14:paraId="65691D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2.安装调试</w:t>
      </w:r>
    </w:p>
    <w:p w14:paraId="41AFB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中标人应根据用户需要，在规定的时间内，配合相关单位，保质保量完成设备的安装、调试及投入运行。设备安装、调试所需的工具、仪表及安装材料由投标人自行解决。施工过程应严格执行相关的强弱电施工规范，并保证施工安全。</w:t>
      </w:r>
    </w:p>
    <w:p w14:paraId="0115B7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3.验收</w:t>
      </w:r>
    </w:p>
    <w:p w14:paraId="22DAC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中标人在确保系统稳定性的前提下，学校组织验收小组对系统进行验收，在完全达到设计要求、招标要求的前提下共同签字确认。</w:t>
      </w:r>
    </w:p>
    <w:p w14:paraId="608802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（6）其它要求</w:t>
      </w:r>
    </w:p>
    <w:p w14:paraId="44FAD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1、该项目中标供应商须负责送货、安装、调试，培训直至验收。</w:t>
      </w:r>
    </w:p>
    <w:p w14:paraId="33F1CD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2、为保证安装的产品能安全使用，建议供应商到现场勘察设计；对在安装中可能出现的问题，必须有详细的应对方案。</w:t>
      </w:r>
    </w:p>
    <w:p w14:paraId="2ED749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3、供应商负责提供质检报告等相关技术资料及日常使用、维护保养培训。</w:t>
      </w:r>
    </w:p>
    <w:p w14:paraId="3BCCD2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4、供应商承担项目中所需要的全部材料、配件和各类费用，负责办理与本项目相关的各类手续。</w:t>
      </w:r>
    </w:p>
    <w:p w14:paraId="085BB363">
      <w:pPr>
        <w:rPr>
          <w:rFonts w:hint="eastAsia" w:ascii="仿宋" w:hAnsi="仿宋" w:eastAsia="仿宋" w:cs="仿宋"/>
          <w:b/>
          <w:bCs/>
          <w:sz w:val="32"/>
          <w:szCs w:val="32"/>
          <w:highlight w:val="none"/>
          <w:lang w:val="en-US" w:eastAsia="zh-CN"/>
        </w:rPr>
        <w:sectPr>
          <w:headerReference r:id="rId10" w:type="default"/>
          <w:footerReference r:id="rId11" w:type="default"/>
          <w:pgSz w:w="11906" w:h="16838"/>
          <w:pgMar w:top="1440" w:right="1800" w:bottom="1440" w:left="1800" w:header="851" w:footer="992" w:gutter="0"/>
          <w:pgNumType w:fmt="decimal"/>
          <w:cols w:space="425" w:num="1"/>
          <w:docGrid w:linePitch="312" w:charSpace="0"/>
        </w:sectPr>
      </w:pPr>
    </w:p>
    <w:p w14:paraId="055B85D0">
      <w:pPr>
        <w:rPr>
          <w:rFonts w:hint="eastAsia" w:ascii="仿宋" w:hAnsi="仿宋" w:eastAsia="仿宋" w:cs="仿宋"/>
          <w:b/>
          <w:bCs/>
          <w:sz w:val="32"/>
          <w:szCs w:val="32"/>
          <w:highlight w:val="none"/>
          <w:lang w:val="en-US" w:eastAsia="zh-CN"/>
        </w:rPr>
      </w:pPr>
    </w:p>
    <w:p w14:paraId="4D9BB22F">
      <w:pPr>
        <w:spacing w:line="440" w:lineRule="exact"/>
        <w:jc w:val="center"/>
        <w:outlineLvl w:val="0"/>
        <w:rPr>
          <w:rFonts w:hint="eastAsia" w:ascii="仿宋" w:hAnsi="仿宋" w:eastAsia="仿宋" w:cs="仿宋"/>
          <w:b/>
          <w:color w:val="auto"/>
          <w:sz w:val="24"/>
          <w:szCs w:val="24"/>
          <w:highlight w:val="none"/>
        </w:rPr>
      </w:pPr>
      <w:bookmarkStart w:id="316" w:name="_Toc8583"/>
      <w:r>
        <w:rPr>
          <w:rFonts w:hint="eastAsia" w:ascii="仿宋" w:hAnsi="仿宋" w:eastAsia="仿宋" w:cs="仿宋"/>
          <w:b/>
          <w:color w:val="auto"/>
          <w:sz w:val="24"/>
          <w:szCs w:val="24"/>
          <w:highlight w:val="none"/>
        </w:rPr>
        <w:t>第五章 投标文件格式</w:t>
      </w:r>
      <w:bookmarkEnd w:id="315"/>
      <w:bookmarkEnd w:id="316"/>
    </w:p>
    <w:p w14:paraId="533C9DBC">
      <w:pPr>
        <w:rPr>
          <w:rFonts w:hint="eastAsia" w:ascii="仿宋" w:hAnsi="仿宋" w:eastAsia="仿宋" w:cs="仿宋"/>
          <w:b/>
          <w:color w:val="auto"/>
          <w:sz w:val="24"/>
          <w:szCs w:val="24"/>
          <w:highlight w:val="none"/>
        </w:rPr>
      </w:pPr>
    </w:p>
    <w:p w14:paraId="5EB6B1CB">
      <w:pPr>
        <w:rPr>
          <w:rFonts w:hint="eastAsia" w:ascii="仿宋" w:hAnsi="仿宋" w:eastAsia="仿宋" w:cs="仿宋"/>
          <w:b/>
          <w:color w:val="auto"/>
          <w:sz w:val="24"/>
          <w:szCs w:val="24"/>
          <w:highlight w:val="none"/>
        </w:rPr>
      </w:pPr>
    </w:p>
    <w:p w14:paraId="73DD11A3">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31985BD1">
      <w:pPr>
        <w:spacing w:line="480" w:lineRule="auto"/>
        <w:jc w:val="center"/>
        <w:rPr>
          <w:rFonts w:hint="eastAsia" w:ascii="仿宋" w:hAnsi="仿宋" w:eastAsia="仿宋" w:cs="仿宋"/>
          <w:b/>
          <w:color w:val="auto"/>
          <w:sz w:val="24"/>
          <w:szCs w:val="24"/>
          <w:highlight w:val="none"/>
          <w:bdr w:val="single" w:color="auto" w:sz="4" w:space="0"/>
        </w:rPr>
      </w:pPr>
    </w:p>
    <w:p w14:paraId="0A717214">
      <w:pPr>
        <w:spacing w:line="480" w:lineRule="auto"/>
        <w:jc w:val="center"/>
        <w:rPr>
          <w:rFonts w:hint="eastAsia" w:ascii="仿宋" w:hAnsi="仿宋" w:eastAsia="仿宋" w:cs="仿宋"/>
          <w:b/>
          <w:color w:val="auto"/>
          <w:sz w:val="24"/>
          <w:szCs w:val="24"/>
          <w:highlight w:val="none"/>
          <w:bdr w:val="single" w:color="auto" w:sz="4" w:space="0"/>
        </w:rPr>
      </w:pPr>
    </w:p>
    <w:p w14:paraId="5A6D865F">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（项目名称）</w:t>
      </w:r>
    </w:p>
    <w:p w14:paraId="592268B0">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（项目编号）</w:t>
      </w:r>
    </w:p>
    <w:p w14:paraId="5C076A1C">
      <w:pPr>
        <w:spacing w:line="48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single"/>
        </w:rPr>
        <w:br w:type="textWrapping"/>
      </w:r>
    </w:p>
    <w:p w14:paraId="4BF3801A">
      <w:pPr>
        <w:spacing w:line="300" w:lineRule="exact"/>
        <w:jc w:val="center"/>
        <w:rPr>
          <w:rFonts w:hint="eastAsia" w:ascii="仿宋" w:hAnsi="仿宋" w:eastAsia="仿宋" w:cs="仿宋"/>
          <w:b/>
          <w:bCs/>
          <w:color w:val="auto"/>
          <w:sz w:val="24"/>
          <w:szCs w:val="24"/>
          <w:highlight w:val="none"/>
        </w:rPr>
      </w:pPr>
    </w:p>
    <w:p w14:paraId="60FB9DFD">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5BA56F5">
      <w:pPr>
        <w:spacing w:line="720" w:lineRule="auto"/>
        <w:rPr>
          <w:rFonts w:hint="eastAsia" w:ascii="仿宋" w:hAnsi="仿宋" w:eastAsia="仿宋" w:cs="仿宋"/>
          <w:color w:val="auto"/>
          <w:sz w:val="24"/>
          <w:szCs w:val="24"/>
          <w:highlight w:val="none"/>
        </w:rPr>
      </w:pPr>
    </w:p>
    <w:p w14:paraId="2B5542D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283858D">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p>
    <w:p w14:paraId="6B56C806">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14D3D16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3CDDF5D1">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64C3C03">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0F4DEC96">
      <w:pPr>
        <w:spacing w:line="720" w:lineRule="auto"/>
        <w:rPr>
          <w:rFonts w:hint="eastAsia" w:ascii="仿宋" w:hAnsi="仿宋" w:eastAsia="仿宋" w:cs="仿宋"/>
          <w:color w:val="auto"/>
          <w:sz w:val="24"/>
          <w:szCs w:val="24"/>
          <w:highlight w:val="none"/>
        </w:rPr>
      </w:pPr>
    </w:p>
    <w:p w14:paraId="07859F30">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p w14:paraId="1D7C55D3">
      <w:pPr>
        <w:tabs>
          <w:tab w:val="center" w:pos="4832"/>
          <w:tab w:val="left" w:pos="7140"/>
        </w:tabs>
        <w:jc w:val="center"/>
        <w:outlineLvl w:val="9"/>
        <w:rPr>
          <w:rFonts w:hint="eastAsia" w:ascii="仿宋" w:hAnsi="仿宋" w:eastAsia="仿宋" w:cs="仿宋"/>
          <w:b/>
          <w:color w:val="auto"/>
          <w:sz w:val="24"/>
          <w:szCs w:val="24"/>
          <w:highlight w:val="none"/>
        </w:rPr>
      </w:pPr>
      <w:bookmarkStart w:id="317" w:name="_Toc1937"/>
      <w:bookmarkStart w:id="318" w:name="_Toc531016894"/>
      <w:r>
        <w:rPr>
          <w:rFonts w:hint="eastAsia" w:ascii="仿宋" w:hAnsi="仿宋" w:eastAsia="仿宋" w:cs="仿宋"/>
          <w:b/>
          <w:color w:val="auto"/>
          <w:sz w:val="24"/>
          <w:szCs w:val="24"/>
          <w:highlight w:val="none"/>
        </w:rPr>
        <w:t>目录</w:t>
      </w:r>
      <w:bookmarkEnd w:id="317"/>
      <w:bookmarkEnd w:id="318"/>
    </w:p>
    <w:p w14:paraId="0A69CF2E">
      <w:pPr>
        <w:spacing w:line="360" w:lineRule="auto"/>
        <w:rPr>
          <w:rFonts w:hint="eastAsia" w:ascii="仿宋" w:hAnsi="仿宋" w:eastAsia="仿宋" w:cs="仿宋"/>
          <w:bCs/>
          <w:color w:val="auto"/>
          <w:sz w:val="24"/>
          <w:szCs w:val="24"/>
          <w:highlight w:val="none"/>
          <w:shd w:val="clear" w:color="auto" w:fill="FFFFFF" w:themeFill="background1"/>
        </w:rPr>
      </w:pPr>
    </w:p>
    <w:p w14:paraId="68853A58">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一、投标函</w:t>
      </w:r>
    </w:p>
    <w:p w14:paraId="29FC6A5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二、开标一览表</w:t>
      </w:r>
    </w:p>
    <w:p w14:paraId="46874E0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三、投标价格明细表</w:t>
      </w:r>
    </w:p>
    <w:p w14:paraId="1F150F5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四、商务条款偏离表</w:t>
      </w:r>
    </w:p>
    <w:p w14:paraId="35080DF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五、技术条款偏离表</w:t>
      </w:r>
    </w:p>
    <w:p w14:paraId="0C165D5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六、法定代表人身份证明书</w:t>
      </w:r>
    </w:p>
    <w:p w14:paraId="671AB7D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七、法定代表人授权委托书</w:t>
      </w:r>
    </w:p>
    <w:p w14:paraId="71448FE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八、投标人基本情况</w:t>
      </w:r>
    </w:p>
    <w:p w14:paraId="62DE8B0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8.1法人或者其他组织的营业执照等证明文件，自然人的身份证明</w:t>
      </w:r>
    </w:p>
    <w:p w14:paraId="2338C8EF">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8.2财务状况报告，依法缴纳税收和社会保障资金的相关材料</w:t>
      </w:r>
    </w:p>
    <w:p w14:paraId="12A32F1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8.3具备履行合同所必需的设备和专业技术能力的证明材料</w:t>
      </w:r>
    </w:p>
    <w:p w14:paraId="67B3E74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8.4参加政府采购活动前3年内在经营活动中没有重大违法记录的书面声明</w:t>
      </w:r>
    </w:p>
    <w:p w14:paraId="36D81A5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8.5具备法律、行政法规规定的其他条件的证明材料</w:t>
      </w:r>
    </w:p>
    <w:p w14:paraId="281D507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九、投标人近三年类似项目业绩表</w:t>
      </w:r>
    </w:p>
    <w:p w14:paraId="68F4FA4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十、项目负责人简历表</w:t>
      </w:r>
    </w:p>
    <w:p w14:paraId="40E11A5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十一、拟派本项目服务人员情况表</w:t>
      </w:r>
    </w:p>
    <w:p w14:paraId="7AE6E98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十二、</w:t>
      </w:r>
      <w:r>
        <w:rPr>
          <w:rFonts w:hint="eastAsia" w:ascii="仿宋" w:hAnsi="仿宋" w:eastAsia="仿宋" w:cs="仿宋"/>
          <w:bCs/>
          <w:color w:val="auto"/>
          <w:sz w:val="24"/>
          <w:szCs w:val="24"/>
          <w:highlight w:val="none"/>
          <w:lang w:val="en-US" w:eastAsia="zh-CN"/>
        </w:rPr>
        <w:t>供货</w:t>
      </w:r>
      <w:r>
        <w:rPr>
          <w:rFonts w:hint="eastAsia" w:ascii="仿宋" w:hAnsi="仿宋" w:eastAsia="仿宋" w:cs="仿宋"/>
          <w:bCs/>
          <w:color w:val="auto"/>
          <w:sz w:val="24"/>
          <w:szCs w:val="24"/>
          <w:highlight w:val="none"/>
        </w:rPr>
        <w:t>方案</w:t>
      </w:r>
    </w:p>
    <w:p w14:paraId="192F4A0F">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十三、其他需要提交的资料</w:t>
      </w:r>
    </w:p>
    <w:p w14:paraId="057C09A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41ADDBF9">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rPr>
        <w:br w:type="page"/>
      </w:r>
      <w:bookmarkStart w:id="319" w:name="_Toc507586166"/>
      <w:bookmarkStart w:id="320" w:name="_Toc38446470"/>
      <w:bookmarkStart w:id="321" w:name="_Toc18067"/>
      <w:bookmarkStart w:id="322" w:name="_Toc11555"/>
      <w:bookmarkStart w:id="323" w:name="_Toc533503181"/>
      <w:r>
        <w:rPr>
          <w:rFonts w:hint="eastAsia" w:ascii="仿宋" w:hAnsi="仿宋" w:eastAsia="仿宋" w:cs="仿宋"/>
          <w:b/>
          <w:color w:val="auto"/>
          <w:sz w:val="24"/>
          <w:szCs w:val="24"/>
          <w:highlight w:val="none"/>
          <w:shd w:val="clear" w:color="auto" w:fill="FFFFFF" w:themeFill="background1"/>
        </w:rPr>
        <w:t>一、投标函</w:t>
      </w:r>
      <w:bookmarkEnd w:id="319"/>
      <w:bookmarkEnd w:id="320"/>
      <w:bookmarkEnd w:id="321"/>
      <w:bookmarkEnd w:id="322"/>
      <w:bookmarkEnd w:id="323"/>
    </w:p>
    <w:p w14:paraId="18CD0FA5">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p>
    <w:p w14:paraId="29372AC9">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25EAC3DA">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根据已收到的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项目的</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的全部内容后，我方郑重承诺如下：</w:t>
      </w:r>
    </w:p>
    <w:p w14:paraId="59CD34C3">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.如果我方中标，我方将在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规定的时间内签订合同。如果我方违约，除没收投标保证金外，贵方有权终止我方中标并选择其它成交投标人。</w:t>
      </w:r>
    </w:p>
    <w:p w14:paraId="15CE26A3">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0578BB20">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3</w:t>
      </w:r>
      <w:r>
        <w:rPr>
          <w:rFonts w:hint="eastAsia" w:ascii="仿宋" w:hAnsi="仿宋" w:eastAsia="仿宋" w:cs="仿宋"/>
          <w:color w:val="auto"/>
          <w:kern w:val="0"/>
          <w:sz w:val="24"/>
          <w:szCs w:val="24"/>
          <w:highlight w:val="none"/>
          <w:shd w:val="clear" w:color="auto" w:fill="FFFFFF" w:themeFill="background1"/>
        </w:rPr>
        <w:t>.我方已详细阅读</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全部内容且完全理解，同意放弃对这方面有不明及误解的权力。若有违反，同意被废除投标资格并接受处罚。</w:t>
      </w:r>
    </w:p>
    <w:p w14:paraId="2B7E69B0">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.我方保证</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内容无任何虚假、未侵犯他人知识产权。如有虚假，同意废除中标资格并被没收投标担保，承担因侵犯他人知识产权而由此引起的全部法律责任和经济责任。</w:t>
      </w:r>
    </w:p>
    <w:p w14:paraId="46D18ADF">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5</w:t>
      </w:r>
      <w:r>
        <w:rPr>
          <w:rFonts w:hint="eastAsia" w:ascii="仿宋" w:hAnsi="仿宋" w:eastAsia="仿宋" w:cs="仿宋"/>
          <w:color w:val="auto"/>
          <w:kern w:val="0"/>
          <w:sz w:val="24"/>
          <w:szCs w:val="24"/>
          <w:highlight w:val="none"/>
          <w:shd w:val="clear" w:color="auto" w:fill="FFFFFF" w:themeFill="background1"/>
        </w:rPr>
        <w:t>.我方愿意提供贵方可能要求的与投标有关的一切数据或资料，完全理解贵方不一定接受最低投标报价的投标或收到的任何投标。</w:t>
      </w:r>
    </w:p>
    <w:p w14:paraId="77A125C2">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.我方派法定代表人或其授权委托人作为我方代表，负责按时参加开标会并签署与投标有关的相关文件等。</w:t>
      </w:r>
    </w:p>
    <w:p w14:paraId="7D4028B6">
      <w:pPr>
        <w:widowControl/>
        <w:shd w:val="clear" w:color="auto" w:fill="FFFFFF"/>
        <w:snapToGrid w:val="0"/>
        <w:spacing w:line="336" w:lineRule="auto"/>
        <w:ind w:firstLine="42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7</w:t>
      </w:r>
      <w:r>
        <w:rPr>
          <w:rFonts w:hint="eastAsia" w:ascii="仿宋" w:hAnsi="仿宋" w:eastAsia="仿宋" w:cs="仿宋"/>
          <w:color w:val="auto"/>
          <w:kern w:val="0"/>
          <w:sz w:val="24"/>
          <w:szCs w:val="24"/>
          <w:highlight w:val="none"/>
          <w:shd w:val="clear" w:color="auto" w:fill="FFFFFF" w:themeFill="background1"/>
        </w:rPr>
        <w:t>.我方</w:t>
      </w:r>
      <w:r>
        <w:rPr>
          <w:rFonts w:hint="eastAsia" w:ascii="仿宋" w:hAnsi="仿宋" w:eastAsia="仿宋" w:cs="仿宋"/>
          <w:color w:val="auto"/>
          <w:sz w:val="24"/>
          <w:szCs w:val="24"/>
          <w:highlight w:val="none"/>
          <w:shd w:val="clear" w:color="auto" w:fill="FFFFFF" w:themeFill="background1"/>
        </w:rPr>
        <w:t>保证按招标文件及合同约定原则处理因采购人原因增加或调整的工作量及其他事宜。</w:t>
      </w:r>
    </w:p>
    <w:p w14:paraId="38E25BB7">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8</w:t>
      </w:r>
      <w:r>
        <w:rPr>
          <w:rFonts w:hint="eastAsia" w:ascii="仿宋" w:hAnsi="仿宋" w:eastAsia="仿宋" w:cs="仿宋"/>
          <w:color w:val="auto"/>
          <w:kern w:val="0"/>
          <w:sz w:val="24"/>
          <w:szCs w:val="24"/>
          <w:highlight w:val="none"/>
          <w:shd w:val="clear" w:color="auto" w:fill="FFFFFF" w:themeFill="background1"/>
        </w:rPr>
        <w:t>.如我方中标，我方自愿向采购代理机构支付咨询费，并在合同签订后3个工作日内向采购代理机构提供采购合同原件一份用于采购资料备案工作。</w:t>
      </w:r>
    </w:p>
    <w:p w14:paraId="44B45704">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p>
    <w:p w14:paraId="44FA9BDB">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C46D2D4">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p>
    <w:p w14:paraId="48E6341C">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（盖章）                       </w:t>
      </w:r>
    </w:p>
    <w:p w14:paraId="6ED98DE4">
      <w:pPr>
        <w:widowControl/>
        <w:shd w:val="clear" w:color="auto" w:fill="FFFFFF"/>
        <w:snapToGrid w:val="0"/>
        <w:spacing w:line="336"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5F2FFDD7">
      <w:pPr>
        <w:rPr>
          <w:rFonts w:hint="eastAsia" w:ascii="仿宋" w:hAnsi="仿宋" w:eastAsia="仿宋" w:cs="仿宋"/>
          <w:b/>
          <w:color w:val="auto"/>
          <w:sz w:val="24"/>
          <w:szCs w:val="24"/>
          <w:highlight w:val="none"/>
          <w:shd w:val="clear" w:color="auto" w:fill="FFFFFF" w:themeFill="background1"/>
        </w:rPr>
      </w:pPr>
      <w:bookmarkStart w:id="324" w:name="_Toc26164"/>
      <w:bookmarkStart w:id="325" w:name="_Toc533503184"/>
      <w:bookmarkStart w:id="326" w:name="_Toc38446474"/>
      <w:bookmarkStart w:id="327" w:name="_Toc507586169"/>
      <w:r>
        <w:rPr>
          <w:rFonts w:hint="eastAsia" w:ascii="仿宋" w:hAnsi="仿宋" w:eastAsia="仿宋" w:cs="仿宋"/>
          <w:b/>
          <w:color w:val="auto"/>
          <w:sz w:val="24"/>
          <w:szCs w:val="24"/>
          <w:highlight w:val="none"/>
          <w:shd w:val="clear" w:color="auto" w:fill="FFFFFF" w:themeFill="background1"/>
        </w:rPr>
        <w:br w:type="page"/>
      </w:r>
    </w:p>
    <w:p w14:paraId="168E9701">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28" w:name="_Toc21913"/>
      <w:r>
        <w:rPr>
          <w:rFonts w:hint="eastAsia" w:ascii="仿宋" w:hAnsi="仿宋" w:eastAsia="仿宋" w:cs="仿宋"/>
          <w:b/>
          <w:color w:val="auto"/>
          <w:sz w:val="24"/>
          <w:szCs w:val="24"/>
          <w:highlight w:val="none"/>
          <w:shd w:val="clear" w:color="auto" w:fill="FFFFFF" w:themeFill="background1"/>
        </w:rPr>
        <w:t>二、开标一览表</w:t>
      </w:r>
      <w:bookmarkEnd w:id="328"/>
    </w:p>
    <w:p w14:paraId="20650C28">
      <w:pPr>
        <w:pStyle w:val="40"/>
        <w:ind w:firstLine="234"/>
        <w:jc w:val="righ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报价单位：</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民</w:t>
      </w:r>
      <w:r>
        <w:rPr>
          <w:rFonts w:hint="eastAsia" w:ascii="仿宋" w:hAnsi="仿宋" w:eastAsia="仿宋" w:cs="仿宋"/>
          <w:color w:val="auto"/>
          <w:sz w:val="24"/>
          <w:szCs w:val="24"/>
          <w:highlight w:val="none"/>
        </w:rPr>
        <w:t>币元</w:t>
      </w:r>
    </w:p>
    <w:p w14:paraId="000CA0B7">
      <w:pPr>
        <w:pStyle w:val="40"/>
        <w:ind w:firstLine="240"/>
        <w:jc w:val="right"/>
        <w:rPr>
          <w:rFonts w:hint="eastAsia" w:ascii="仿宋" w:hAnsi="仿宋" w:eastAsia="仿宋" w:cs="仿宋"/>
          <w:color w:val="auto"/>
          <w:sz w:val="24"/>
          <w:szCs w:val="24"/>
          <w:highlight w:val="none"/>
        </w:rPr>
      </w:pPr>
    </w:p>
    <w:tbl>
      <w:tblPr>
        <w:tblStyle w:val="41"/>
        <w:tblW w:w="9220" w:type="dxa"/>
        <w:tblInd w:w="93" w:type="dxa"/>
        <w:tblLayout w:type="autofit"/>
        <w:tblCellMar>
          <w:top w:w="0" w:type="dxa"/>
          <w:left w:w="108" w:type="dxa"/>
          <w:bottom w:w="0" w:type="dxa"/>
          <w:right w:w="108" w:type="dxa"/>
        </w:tblCellMar>
      </w:tblPr>
      <w:tblGrid>
        <w:gridCol w:w="2384"/>
        <w:gridCol w:w="6836"/>
      </w:tblGrid>
      <w:tr w14:paraId="774F39F0">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274AAC8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836" w:type="dxa"/>
            <w:tcBorders>
              <w:top w:val="single" w:color="auto" w:sz="4" w:space="0"/>
              <w:left w:val="nil"/>
              <w:bottom w:val="single" w:color="auto" w:sz="4" w:space="0"/>
              <w:right w:val="single" w:color="auto" w:sz="4" w:space="0"/>
            </w:tcBorders>
            <w:vAlign w:val="center"/>
          </w:tcPr>
          <w:p w14:paraId="682085D7">
            <w:pPr>
              <w:widowControl/>
              <w:spacing w:line="360" w:lineRule="auto"/>
              <w:rPr>
                <w:rFonts w:hint="eastAsia" w:ascii="仿宋" w:hAnsi="仿宋" w:eastAsia="仿宋" w:cs="仿宋"/>
                <w:color w:val="auto"/>
                <w:sz w:val="24"/>
                <w:szCs w:val="24"/>
                <w:highlight w:val="none"/>
              </w:rPr>
            </w:pPr>
          </w:p>
        </w:tc>
      </w:tr>
      <w:tr w14:paraId="4691E484">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2640FA11">
            <w:pPr>
              <w:widowControl/>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p>
        </w:tc>
        <w:tc>
          <w:tcPr>
            <w:tcW w:w="6836" w:type="dxa"/>
            <w:tcBorders>
              <w:top w:val="single" w:color="auto" w:sz="4" w:space="0"/>
              <w:left w:val="nil"/>
              <w:bottom w:val="single" w:color="auto" w:sz="4" w:space="0"/>
              <w:right w:val="single" w:color="auto" w:sz="4" w:space="0"/>
            </w:tcBorders>
            <w:vAlign w:val="center"/>
          </w:tcPr>
          <w:p w14:paraId="7FB8EAA6">
            <w:pPr>
              <w:widowControl/>
              <w:spacing w:line="360" w:lineRule="auto"/>
              <w:rPr>
                <w:rFonts w:hint="eastAsia" w:ascii="仿宋" w:hAnsi="仿宋" w:eastAsia="仿宋" w:cs="仿宋"/>
                <w:color w:val="auto"/>
                <w:sz w:val="24"/>
                <w:szCs w:val="24"/>
                <w:highlight w:val="none"/>
              </w:rPr>
            </w:pPr>
          </w:p>
        </w:tc>
      </w:tr>
      <w:tr w14:paraId="383A4DFC">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793B5C5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6836" w:type="dxa"/>
            <w:tcBorders>
              <w:top w:val="single" w:color="auto" w:sz="4" w:space="0"/>
              <w:left w:val="nil"/>
              <w:bottom w:val="single" w:color="auto" w:sz="4" w:space="0"/>
              <w:right w:val="single" w:color="auto" w:sz="4" w:space="0"/>
            </w:tcBorders>
            <w:vAlign w:val="center"/>
          </w:tcPr>
          <w:p w14:paraId="0CDD2950">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大写：   </w:t>
            </w:r>
          </w:p>
          <w:p w14:paraId="59D35E03">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14:paraId="25404140">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50C6EFE0">
            <w:pPr>
              <w:widowControl/>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供货及安装工期</w:t>
            </w:r>
          </w:p>
        </w:tc>
        <w:tc>
          <w:tcPr>
            <w:tcW w:w="6836" w:type="dxa"/>
            <w:tcBorders>
              <w:top w:val="single" w:color="auto" w:sz="4" w:space="0"/>
              <w:left w:val="nil"/>
              <w:bottom w:val="single" w:color="auto" w:sz="4" w:space="0"/>
              <w:right w:val="single" w:color="auto" w:sz="4" w:space="0"/>
            </w:tcBorders>
            <w:vAlign w:val="center"/>
          </w:tcPr>
          <w:p w14:paraId="291D16F2">
            <w:pPr>
              <w:widowControl/>
              <w:spacing w:line="360" w:lineRule="auto"/>
              <w:rPr>
                <w:rFonts w:hint="eastAsia" w:ascii="仿宋" w:hAnsi="仿宋" w:eastAsia="仿宋" w:cs="仿宋"/>
                <w:color w:val="auto"/>
                <w:sz w:val="24"/>
                <w:szCs w:val="24"/>
                <w:highlight w:val="none"/>
              </w:rPr>
            </w:pPr>
          </w:p>
        </w:tc>
      </w:tr>
      <w:tr w14:paraId="1EDE8848">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E815BC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备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注</w:t>
            </w:r>
          </w:p>
        </w:tc>
        <w:tc>
          <w:tcPr>
            <w:tcW w:w="6836" w:type="dxa"/>
            <w:tcBorders>
              <w:top w:val="single" w:color="auto" w:sz="4" w:space="0"/>
              <w:left w:val="nil"/>
              <w:bottom w:val="single" w:color="auto" w:sz="4" w:space="0"/>
              <w:right w:val="single" w:color="auto" w:sz="4" w:space="0"/>
            </w:tcBorders>
            <w:vAlign w:val="center"/>
          </w:tcPr>
          <w:p w14:paraId="145334BE">
            <w:pPr>
              <w:widowControl/>
              <w:spacing w:line="360" w:lineRule="auto"/>
              <w:rPr>
                <w:rFonts w:hint="eastAsia" w:ascii="仿宋" w:hAnsi="仿宋" w:eastAsia="仿宋" w:cs="仿宋"/>
                <w:color w:val="auto"/>
                <w:sz w:val="24"/>
                <w:szCs w:val="24"/>
                <w:highlight w:val="none"/>
              </w:rPr>
            </w:pPr>
          </w:p>
        </w:tc>
      </w:tr>
    </w:tbl>
    <w:p w14:paraId="1B38516C">
      <w:pPr>
        <w:spacing w:line="360" w:lineRule="auto"/>
        <w:ind w:left="569" w:leftChars="-15" w:hanging="600" w:hanging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注：1、报价应是最终用户验收合格后的总价。 </w:t>
      </w:r>
    </w:p>
    <w:p w14:paraId="06F453AB">
      <w:pPr>
        <w:spacing w:line="360" w:lineRule="auto"/>
        <w:ind w:left="4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2、“开标一览表”为多页的，每页均需由法定代表人盖章并盖投标人印章。</w:t>
      </w:r>
    </w:p>
    <w:p w14:paraId="0A85BC1B">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D76A7E6">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66B336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6BCDEA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CAD13F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（盖章）                       </w:t>
      </w:r>
    </w:p>
    <w:p w14:paraId="39761259">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71B712A7">
      <w:pPr>
        <w:pStyle w:val="40"/>
        <w:ind w:firstLine="210"/>
        <w:rPr>
          <w:rFonts w:hint="eastAsia" w:ascii="仿宋" w:hAnsi="仿宋" w:eastAsia="仿宋" w:cs="仿宋"/>
          <w:color w:val="auto"/>
          <w:highlight w:val="none"/>
          <w:shd w:val="clear" w:color="auto" w:fill="FFFFFF" w:themeFill="background1"/>
        </w:rPr>
      </w:pPr>
    </w:p>
    <w:p w14:paraId="168EE4C1">
      <w:pPr>
        <w:widowControl/>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17FB9D70">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29" w:name="_Toc9746"/>
      <w:r>
        <w:rPr>
          <w:rFonts w:hint="eastAsia" w:ascii="仿宋" w:hAnsi="仿宋" w:eastAsia="仿宋" w:cs="仿宋"/>
          <w:b/>
          <w:color w:val="auto"/>
          <w:sz w:val="24"/>
          <w:szCs w:val="24"/>
          <w:highlight w:val="none"/>
          <w:shd w:val="clear" w:color="auto" w:fill="FFFFFF" w:themeFill="background1"/>
        </w:rPr>
        <w:t>三、投标价格明细表</w:t>
      </w:r>
      <w:bookmarkEnd w:id="324"/>
      <w:bookmarkEnd w:id="329"/>
    </w:p>
    <w:tbl>
      <w:tblPr>
        <w:tblStyle w:val="4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5"/>
        <w:gridCol w:w="1645"/>
        <w:gridCol w:w="1481"/>
        <w:gridCol w:w="1473"/>
        <w:gridCol w:w="1982"/>
        <w:gridCol w:w="973"/>
      </w:tblGrid>
      <w:tr w14:paraId="7B1C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6" w:type="pct"/>
            <w:vAlign w:val="center"/>
          </w:tcPr>
          <w:p w14:paraId="43EE2497">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965" w:type="pct"/>
            <w:tcBorders>
              <w:right w:val="single" w:color="auto" w:sz="4" w:space="0"/>
            </w:tcBorders>
            <w:vAlign w:val="center"/>
          </w:tcPr>
          <w:p w14:paraId="671C69DD">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设备名称</w:t>
            </w:r>
          </w:p>
        </w:tc>
        <w:tc>
          <w:tcPr>
            <w:tcW w:w="869" w:type="pct"/>
            <w:tcBorders>
              <w:left w:val="single" w:color="auto" w:sz="4" w:space="0"/>
            </w:tcBorders>
            <w:vAlign w:val="center"/>
          </w:tcPr>
          <w:p w14:paraId="07BF53DD">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bCs/>
                <w:sz w:val="24"/>
                <w:szCs w:val="24"/>
                <w:highlight w:val="none"/>
                <w:lang w:val="en-US" w:eastAsia="zh-CN"/>
              </w:rPr>
            </w:pPr>
            <w:r>
              <w:rPr>
                <w:rFonts w:hint="eastAsia" w:ascii="仿宋" w:hAnsi="仿宋" w:eastAsia="仿宋" w:cs="仿宋"/>
                <w:color w:val="000000"/>
                <w:sz w:val="24"/>
                <w:szCs w:val="24"/>
                <w:highlight w:val="none"/>
                <w:vertAlign w:val="baseline"/>
              </w:rPr>
              <w:t>规格型号</w:t>
            </w:r>
          </w:p>
        </w:tc>
        <w:tc>
          <w:tcPr>
            <w:tcW w:w="862" w:type="pct"/>
            <w:tcBorders>
              <w:right w:val="single" w:color="auto" w:sz="4" w:space="0"/>
            </w:tcBorders>
            <w:vAlign w:val="center"/>
          </w:tcPr>
          <w:p w14:paraId="5321614B">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台</w:t>
            </w:r>
            <w:r>
              <w:rPr>
                <w:rFonts w:hint="eastAsia" w:ascii="仿宋" w:hAnsi="仿宋" w:eastAsia="仿宋" w:cs="仿宋"/>
                <w:sz w:val="24"/>
                <w:szCs w:val="24"/>
                <w:highlight w:val="none"/>
                <w:lang w:eastAsia="zh-CN"/>
              </w:rPr>
              <w:t>）</w:t>
            </w:r>
          </w:p>
        </w:tc>
        <w:tc>
          <w:tcPr>
            <w:tcW w:w="1163" w:type="pct"/>
            <w:vAlign w:val="center"/>
          </w:tcPr>
          <w:p w14:paraId="5EE3A953">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报价（元）</w:t>
            </w:r>
          </w:p>
        </w:tc>
        <w:tc>
          <w:tcPr>
            <w:tcW w:w="571" w:type="pct"/>
            <w:vAlign w:val="center"/>
          </w:tcPr>
          <w:p w14:paraId="4783CBCC">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4BFF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66" w:type="pct"/>
            <w:vAlign w:val="center"/>
          </w:tcPr>
          <w:p w14:paraId="3F0CACD1">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7035B846">
            <w:pPr>
              <w:spacing w:line="360" w:lineRule="auto"/>
              <w:jc w:val="center"/>
              <w:rPr>
                <w:rFonts w:hint="eastAsia" w:ascii="仿宋" w:hAnsi="仿宋" w:eastAsia="仿宋" w:cs="仿宋"/>
                <w:bCs/>
                <w:sz w:val="24"/>
                <w:szCs w:val="24"/>
                <w:highlight w:val="none"/>
              </w:rPr>
            </w:pPr>
          </w:p>
        </w:tc>
        <w:tc>
          <w:tcPr>
            <w:tcW w:w="869" w:type="pct"/>
            <w:tcBorders>
              <w:left w:val="single" w:color="auto" w:sz="4" w:space="0"/>
            </w:tcBorders>
            <w:vAlign w:val="center"/>
          </w:tcPr>
          <w:p w14:paraId="777B3D55">
            <w:pPr>
              <w:spacing w:line="360" w:lineRule="auto"/>
              <w:jc w:val="center"/>
              <w:rPr>
                <w:rFonts w:hint="eastAsia" w:ascii="仿宋" w:hAnsi="仿宋" w:eastAsia="仿宋" w:cs="仿宋"/>
                <w:bCs/>
                <w:sz w:val="24"/>
                <w:szCs w:val="24"/>
                <w:highlight w:val="none"/>
              </w:rPr>
            </w:pPr>
          </w:p>
        </w:tc>
        <w:tc>
          <w:tcPr>
            <w:tcW w:w="862" w:type="pct"/>
            <w:tcBorders>
              <w:right w:val="single" w:color="auto" w:sz="4" w:space="0"/>
            </w:tcBorders>
            <w:vAlign w:val="center"/>
          </w:tcPr>
          <w:p w14:paraId="70DD8A9F">
            <w:pPr>
              <w:spacing w:line="360" w:lineRule="auto"/>
              <w:jc w:val="center"/>
              <w:rPr>
                <w:rFonts w:hint="eastAsia" w:ascii="仿宋" w:hAnsi="仿宋" w:eastAsia="仿宋" w:cs="仿宋"/>
                <w:kern w:val="0"/>
                <w:sz w:val="24"/>
                <w:szCs w:val="24"/>
                <w:highlight w:val="none"/>
              </w:rPr>
            </w:pPr>
          </w:p>
        </w:tc>
        <w:tc>
          <w:tcPr>
            <w:tcW w:w="1163" w:type="pct"/>
            <w:vAlign w:val="center"/>
          </w:tcPr>
          <w:p w14:paraId="06DDE8EB">
            <w:pPr>
              <w:spacing w:line="360" w:lineRule="auto"/>
              <w:jc w:val="center"/>
              <w:rPr>
                <w:rFonts w:hint="eastAsia" w:ascii="仿宋" w:hAnsi="仿宋" w:eastAsia="仿宋" w:cs="仿宋"/>
                <w:bCs/>
                <w:sz w:val="24"/>
                <w:szCs w:val="24"/>
                <w:highlight w:val="none"/>
              </w:rPr>
            </w:pPr>
          </w:p>
        </w:tc>
        <w:tc>
          <w:tcPr>
            <w:tcW w:w="571" w:type="pct"/>
            <w:vAlign w:val="center"/>
          </w:tcPr>
          <w:p w14:paraId="1FA8B9FC">
            <w:pPr>
              <w:spacing w:line="360" w:lineRule="auto"/>
              <w:jc w:val="center"/>
              <w:rPr>
                <w:rFonts w:hint="eastAsia" w:ascii="仿宋" w:hAnsi="仿宋" w:eastAsia="仿宋" w:cs="仿宋"/>
                <w:bCs/>
                <w:sz w:val="24"/>
                <w:szCs w:val="24"/>
                <w:highlight w:val="none"/>
              </w:rPr>
            </w:pPr>
          </w:p>
        </w:tc>
      </w:tr>
      <w:tr w14:paraId="5F2F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566" w:type="pct"/>
            <w:vAlign w:val="center"/>
          </w:tcPr>
          <w:p w14:paraId="73A09D33">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5068FF71">
            <w:pPr>
              <w:spacing w:line="360" w:lineRule="auto"/>
              <w:jc w:val="center"/>
              <w:rPr>
                <w:rFonts w:hint="eastAsia" w:ascii="仿宋" w:hAnsi="仿宋" w:eastAsia="仿宋" w:cs="仿宋"/>
                <w:bCs/>
                <w:sz w:val="24"/>
                <w:szCs w:val="24"/>
                <w:highlight w:val="none"/>
              </w:rPr>
            </w:pPr>
          </w:p>
        </w:tc>
        <w:tc>
          <w:tcPr>
            <w:tcW w:w="869" w:type="pct"/>
            <w:tcBorders>
              <w:left w:val="single" w:color="auto" w:sz="4" w:space="0"/>
            </w:tcBorders>
            <w:vAlign w:val="center"/>
          </w:tcPr>
          <w:p w14:paraId="7B28DE46">
            <w:pPr>
              <w:spacing w:line="360" w:lineRule="auto"/>
              <w:jc w:val="center"/>
              <w:rPr>
                <w:rFonts w:hint="eastAsia" w:ascii="仿宋" w:hAnsi="仿宋" w:eastAsia="仿宋" w:cs="仿宋"/>
                <w:bCs/>
                <w:sz w:val="24"/>
                <w:szCs w:val="24"/>
                <w:highlight w:val="none"/>
              </w:rPr>
            </w:pPr>
          </w:p>
        </w:tc>
        <w:tc>
          <w:tcPr>
            <w:tcW w:w="862" w:type="pct"/>
            <w:tcBorders>
              <w:right w:val="single" w:color="auto" w:sz="4" w:space="0"/>
            </w:tcBorders>
            <w:vAlign w:val="center"/>
          </w:tcPr>
          <w:p w14:paraId="482C3059">
            <w:pPr>
              <w:spacing w:line="360" w:lineRule="auto"/>
              <w:jc w:val="center"/>
              <w:rPr>
                <w:rFonts w:hint="eastAsia" w:ascii="仿宋" w:hAnsi="仿宋" w:eastAsia="仿宋" w:cs="仿宋"/>
                <w:kern w:val="0"/>
                <w:sz w:val="24"/>
                <w:szCs w:val="24"/>
                <w:highlight w:val="none"/>
              </w:rPr>
            </w:pPr>
          </w:p>
        </w:tc>
        <w:tc>
          <w:tcPr>
            <w:tcW w:w="1163" w:type="pct"/>
            <w:vAlign w:val="center"/>
          </w:tcPr>
          <w:p w14:paraId="6B4D8D55">
            <w:pPr>
              <w:spacing w:line="360" w:lineRule="auto"/>
              <w:jc w:val="center"/>
              <w:rPr>
                <w:rFonts w:hint="eastAsia" w:ascii="仿宋" w:hAnsi="仿宋" w:eastAsia="仿宋" w:cs="仿宋"/>
                <w:bCs/>
                <w:sz w:val="24"/>
                <w:szCs w:val="24"/>
                <w:highlight w:val="none"/>
              </w:rPr>
            </w:pPr>
          </w:p>
        </w:tc>
        <w:tc>
          <w:tcPr>
            <w:tcW w:w="571" w:type="pct"/>
            <w:vAlign w:val="center"/>
          </w:tcPr>
          <w:p w14:paraId="2829ADB8">
            <w:pPr>
              <w:spacing w:line="360" w:lineRule="auto"/>
              <w:jc w:val="center"/>
              <w:rPr>
                <w:rFonts w:hint="eastAsia" w:ascii="仿宋" w:hAnsi="仿宋" w:eastAsia="仿宋" w:cs="仿宋"/>
                <w:bCs/>
                <w:sz w:val="24"/>
                <w:szCs w:val="24"/>
                <w:highlight w:val="none"/>
              </w:rPr>
            </w:pPr>
          </w:p>
        </w:tc>
      </w:tr>
      <w:tr w14:paraId="78CA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66" w:type="pct"/>
            <w:vAlign w:val="center"/>
          </w:tcPr>
          <w:p w14:paraId="2E80D4CC">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21129D74">
            <w:pPr>
              <w:spacing w:line="360" w:lineRule="auto"/>
              <w:jc w:val="center"/>
              <w:rPr>
                <w:rFonts w:hint="eastAsia" w:ascii="仿宋" w:hAnsi="仿宋" w:eastAsia="仿宋" w:cs="仿宋"/>
                <w:bCs/>
                <w:sz w:val="24"/>
                <w:szCs w:val="24"/>
                <w:highlight w:val="none"/>
              </w:rPr>
            </w:pPr>
          </w:p>
        </w:tc>
        <w:tc>
          <w:tcPr>
            <w:tcW w:w="869" w:type="pct"/>
            <w:tcBorders>
              <w:left w:val="single" w:color="auto" w:sz="4" w:space="0"/>
            </w:tcBorders>
            <w:vAlign w:val="center"/>
          </w:tcPr>
          <w:p w14:paraId="66CBFD2E">
            <w:pPr>
              <w:spacing w:line="360" w:lineRule="auto"/>
              <w:jc w:val="center"/>
              <w:rPr>
                <w:rFonts w:hint="eastAsia" w:ascii="仿宋" w:hAnsi="仿宋" w:eastAsia="仿宋" w:cs="仿宋"/>
                <w:bCs/>
                <w:sz w:val="24"/>
                <w:szCs w:val="24"/>
                <w:highlight w:val="none"/>
              </w:rPr>
            </w:pPr>
          </w:p>
        </w:tc>
        <w:tc>
          <w:tcPr>
            <w:tcW w:w="862" w:type="pct"/>
            <w:tcBorders>
              <w:right w:val="single" w:color="auto" w:sz="4" w:space="0"/>
            </w:tcBorders>
            <w:vAlign w:val="center"/>
          </w:tcPr>
          <w:p w14:paraId="5871D1F1">
            <w:pPr>
              <w:spacing w:line="360" w:lineRule="auto"/>
              <w:jc w:val="center"/>
              <w:rPr>
                <w:rFonts w:hint="eastAsia" w:ascii="仿宋" w:hAnsi="仿宋" w:eastAsia="仿宋" w:cs="仿宋"/>
                <w:kern w:val="0"/>
                <w:sz w:val="24"/>
                <w:szCs w:val="24"/>
                <w:highlight w:val="none"/>
              </w:rPr>
            </w:pPr>
          </w:p>
        </w:tc>
        <w:tc>
          <w:tcPr>
            <w:tcW w:w="1163" w:type="pct"/>
            <w:vAlign w:val="center"/>
          </w:tcPr>
          <w:p w14:paraId="254D8A28">
            <w:pPr>
              <w:spacing w:line="360" w:lineRule="auto"/>
              <w:jc w:val="center"/>
              <w:rPr>
                <w:rFonts w:hint="eastAsia" w:ascii="仿宋" w:hAnsi="仿宋" w:eastAsia="仿宋" w:cs="仿宋"/>
                <w:bCs/>
                <w:sz w:val="24"/>
                <w:szCs w:val="24"/>
                <w:highlight w:val="none"/>
              </w:rPr>
            </w:pPr>
          </w:p>
        </w:tc>
        <w:tc>
          <w:tcPr>
            <w:tcW w:w="571" w:type="pct"/>
            <w:vAlign w:val="center"/>
          </w:tcPr>
          <w:p w14:paraId="23CCD34B">
            <w:pPr>
              <w:spacing w:line="360" w:lineRule="auto"/>
              <w:jc w:val="center"/>
              <w:rPr>
                <w:rFonts w:hint="eastAsia" w:ascii="仿宋" w:hAnsi="仿宋" w:eastAsia="仿宋" w:cs="仿宋"/>
                <w:bCs/>
                <w:sz w:val="24"/>
                <w:szCs w:val="24"/>
                <w:highlight w:val="none"/>
              </w:rPr>
            </w:pPr>
          </w:p>
        </w:tc>
      </w:tr>
      <w:tr w14:paraId="166E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66" w:type="pct"/>
            <w:vAlign w:val="center"/>
          </w:tcPr>
          <w:p w14:paraId="204BF385">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75C41003">
            <w:pPr>
              <w:spacing w:line="360" w:lineRule="auto"/>
              <w:jc w:val="center"/>
              <w:rPr>
                <w:rFonts w:hint="eastAsia" w:ascii="仿宋" w:hAnsi="仿宋" w:eastAsia="仿宋" w:cs="仿宋"/>
                <w:bCs/>
                <w:sz w:val="24"/>
                <w:szCs w:val="24"/>
                <w:highlight w:val="none"/>
              </w:rPr>
            </w:pPr>
          </w:p>
        </w:tc>
        <w:tc>
          <w:tcPr>
            <w:tcW w:w="869" w:type="pct"/>
            <w:tcBorders>
              <w:left w:val="single" w:color="auto" w:sz="4" w:space="0"/>
            </w:tcBorders>
            <w:vAlign w:val="center"/>
          </w:tcPr>
          <w:p w14:paraId="4EDAB86A">
            <w:pPr>
              <w:spacing w:line="360" w:lineRule="auto"/>
              <w:jc w:val="center"/>
              <w:rPr>
                <w:rFonts w:hint="eastAsia" w:ascii="仿宋" w:hAnsi="仿宋" w:eastAsia="仿宋" w:cs="仿宋"/>
                <w:bCs/>
                <w:sz w:val="24"/>
                <w:szCs w:val="24"/>
                <w:highlight w:val="none"/>
              </w:rPr>
            </w:pPr>
          </w:p>
        </w:tc>
        <w:tc>
          <w:tcPr>
            <w:tcW w:w="862" w:type="pct"/>
            <w:tcBorders>
              <w:right w:val="single" w:color="auto" w:sz="4" w:space="0"/>
            </w:tcBorders>
            <w:vAlign w:val="center"/>
          </w:tcPr>
          <w:p w14:paraId="2A854384">
            <w:pPr>
              <w:spacing w:line="360" w:lineRule="auto"/>
              <w:jc w:val="center"/>
              <w:rPr>
                <w:rFonts w:hint="eastAsia" w:ascii="仿宋" w:hAnsi="仿宋" w:eastAsia="仿宋" w:cs="仿宋"/>
                <w:kern w:val="0"/>
                <w:sz w:val="24"/>
                <w:szCs w:val="24"/>
                <w:highlight w:val="none"/>
              </w:rPr>
            </w:pPr>
          </w:p>
        </w:tc>
        <w:tc>
          <w:tcPr>
            <w:tcW w:w="1163" w:type="pct"/>
            <w:vAlign w:val="center"/>
          </w:tcPr>
          <w:p w14:paraId="4EA5BD88">
            <w:pPr>
              <w:spacing w:line="360" w:lineRule="auto"/>
              <w:jc w:val="center"/>
              <w:rPr>
                <w:rFonts w:hint="eastAsia" w:ascii="仿宋" w:hAnsi="仿宋" w:eastAsia="仿宋" w:cs="仿宋"/>
                <w:bCs/>
                <w:sz w:val="24"/>
                <w:szCs w:val="24"/>
                <w:highlight w:val="none"/>
              </w:rPr>
            </w:pPr>
          </w:p>
        </w:tc>
        <w:tc>
          <w:tcPr>
            <w:tcW w:w="571" w:type="pct"/>
            <w:vAlign w:val="center"/>
          </w:tcPr>
          <w:p w14:paraId="281906E3">
            <w:pPr>
              <w:spacing w:line="360" w:lineRule="auto"/>
              <w:jc w:val="center"/>
              <w:rPr>
                <w:rFonts w:hint="eastAsia" w:ascii="仿宋" w:hAnsi="仿宋" w:eastAsia="仿宋" w:cs="仿宋"/>
                <w:bCs/>
                <w:sz w:val="24"/>
                <w:szCs w:val="24"/>
                <w:highlight w:val="none"/>
              </w:rPr>
            </w:pPr>
          </w:p>
        </w:tc>
      </w:tr>
      <w:tr w14:paraId="79E3A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66" w:type="pct"/>
            <w:vAlign w:val="center"/>
          </w:tcPr>
          <w:p w14:paraId="36CF6677">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7178FB2B">
            <w:pPr>
              <w:spacing w:line="360" w:lineRule="auto"/>
              <w:jc w:val="center"/>
              <w:rPr>
                <w:rFonts w:hint="eastAsia" w:ascii="仿宋" w:hAnsi="仿宋" w:eastAsia="仿宋" w:cs="仿宋"/>
                <w:bCs/>
                <w:sz w:val="24"/>
                <w:szCs w:val="24"/>
                <w:highlight w:val="none"/>
              </w:rPr>
            </w:pPr>
          </w:p>
        </w:tc>
        <w:tc>
          <w:tcPr>
            <w:tcW w:w="869" w:type="pct"/>
            <w:tcBorders>
              <w:left w:val="single" w:color="auto" w:sz="4" w:space="0"/>
            </w:tcBorders>
            <w:vAlign w:val="center"/>
          </w:tcPr>
          <w:p w14:paraId="71E9BCA8">
            <w:pPr>
              <w:spacing w:line="360" w:lineRule="auto"/>
              <w:jc w:val="center"/>
              <w:rPr>
                <w:rFonts w:hint="eastAsia" w:ascii="仿宋" w:hAnsi="仿宋" w:eastAsia="仿宋" w:cs="仿宋"/>
                <w:bCs/>
                <w:sz w:val="24"/>
                <w:szCs w:val="24"/>
                <w:highlight w:val="none"/>
              </w:rPr>
            </w:pPr>
          </w:p>
        </w:tc>
        <w:tc>
          <w:tcPr>
            <w:tcW w:w="862" w:type="pct"/>
            <w:tcBorders>
              <w:right w:val="single" w:color="auto" w:sz="4" w:space="0"/>
            </w:tcBorders>
            <w:vAlign w:val="center"/>
          </w:tcPr>
          <w:p w14:paraId="68B76231">
            <w:pPr>
              <w:spacing w:line="360" w:lineRule="auto"/>
              <w:jc w:val="center"/>
              <w:rPr>
                <w:rFonts w:hint="eastAsia" w:ascii="仿宋" w:hAnsi="仿宋" w:eastAsia="仿宋" w:cs="仿宋"/>
                <w:kern w:val="0"/>
                <w:sz w:val="24"/>
                <w:szCs w:val="24"/>
                <w:highlight w:val="none"/>
              </w:rPr>
            </w:pPr>
          </w:p>
        </w:tc>
        <w:tc>
          <w:tcPr>
            <w:tcW w:w="1163" w:type="pct"/>
            <w:vAlign w:val="center"/>
          </w:tcPr>
          <w:p w14:paraId="3530CFA6">
            <w:pPr>
              <w:spacing w:line="360" w:lineRule="auto"/>
              <w:jc w:val="center"/>
              <w:rPr>
                <w:rFonts w:hint="eastAsia" w:ascii="仿宋" w:hAnsi="仿宋" w:eastAsia="仿宋" w:cs="仿宋"/>
                <w:bCs/>
                <w:sz w:val="24"/>
                <w:szCs w:val="24"/>
                <w:highlight w:val="none"/>
              </w:rPr>
            </w:pPr>
          </w:p>
        </w:tc>
        <w:tc>
          <w:tcPr>
            <w:tcW w:w="571" w:type="pct"/>
            <w:vAlign w:val="center"/>
          </w:tcPr>
          <w:p w14:paraId="60259F20">
            <w:pPr>
              <w:spacing w:line="360" w:lineRule="auto"/>
              <w:jc w:val="center"/>
              <w:rPr>
                <w:rFonts w:hint="eastAsia" w:ascii="仿宋" w:hAnsi="仿宋" w:eastAsia="仿宋" w:cs="仿宋"/>
                <w:bCs/>
                <w:sz w:val="24"/>
                <w:szCs w:val="24"/>
                <w:highlight w:val="none"/>
              </w:rPr>
            </w:pPr>
          </w:p>
        </w:tc>
      </w:tr>
      <w:tr w14:paraId="77A0A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66" w:type="pct"/>
            <w:vAlign w:val="center"/>
          </w:tcPr>
          <w:p w14:paraId="187E1D94">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0B49D90E">
            <w:pPr>
              <w:spacing w:line="360" w:lineRule="auto"/>
              <w:jc w:val="center"/>
              <w:rPr>
                <w:rFonts w:hint="eastAsia" w:ascii="仿宋" w:hAnsi="仿宋" w:eastAsia="仿宋" w:cs="仿宋"/>
                <w:kern w:val="0"/>
                <w:sz w:val="24"/>
                <w:szCs w:val="24"/>
                <w:highlight w:val="none"/>
              </w:rPr>
            </w:pPr>
          </w:p>
        </w:tc>
        <w:tc>
          <w:tcPr>
            <w:tcW w:w="869" w:type="pct"/>
            <w:tcBorders>
              <w:left w:val="single" w:color="auto" w:sz="4" w:space="0"/>
            </w:tcBorders>
            <w:vAlign w:val="center"/>
          </w:tcPr>
          <w:p w14:paraId="5A7FA9BF">
            <w:pPr>
              <w:spacing w:line="360" w:lineRule="auto"/>
              <w:jc w:val="center"/>
              <w:rPr>
                <w:rFonts w:hint="eastAsia" w:ascii="仿宋" w:hAnsi="仿宋" w:eastAsia="仿宋" w:cs="仿宋"/>
                <w:kern w:val="0"/>
                <w:sz w:val="24"/>
                <w:szCs w:val="24"/>
                <w:highlight w:val="none"/>
              </w:rPr>
            </w:pPr>
          </w:p>
        </w:tc>
        <w:tc>
          <w:tcPr>
            <w:tcW w:w="862" w:type="pct"/>
            <w:tcBorders>
              <w:right w:val="single" w:color="auto" w:sz="4" w:space="0"/>
            </w:tcBorders>
            <w:vAlign w:val="center"/>
          </w:tcPr>
          <w:p w14:paraId="5521D222">
            <w:pPr>
              <w:spacing w:line="360" w:lineRule="auto"/>
              <w:jc w:val="center"/>
              <w:rPr>
                <w:rFonts w:hint="eastAsia" w:ascii="仿宋" w:hAnsi="仿宋" w:eastAsia="仿宋" w:cs="仿宋"/>
                <w:kern w:val="0"/>
                <w:sz w:val="24"/>
                <w:szCs w:val="24"/>
                <w:highlight w:val="none"/>
              </w:rPr>
            </w:pPr>
          </w:p>
        </w:tc>
        <w:tc>
          <w:tcPr>
            <w:tcW w:w="1163" w:type="pct"/>
            <w:vAlign w:val="center"/>
          </w:tcPr>
          <w:p w14:paraId="7BA0041E">
            <w:pPr>
              <w:spacing w:line="360" w:lineRule="auto"/>
              <w:jc w:val="center"/>
              <w:rPr>
                <w:rFonts w:hint="eastAsia" w:ascii="仿宋" w:hAnsi="仿宋" w:eastAsia="仿宋" w:cs="仿宋"/>
                <w:bCs/>
                <w:sz w:val="24"/>
                <w:szCs w:val="24"/>
                <w:highlight w:val="none"/>
              </w:rPr>
            </w:pPr>
          </w:p>
        </w:tc>
        <w:tc>
          <w:tcPr>
            <w:tcW w:w="571" w:type="pct"/>
            <w:vAlign w:val="center"/>
          </w:tcPr>
          <w:p w14:paraId="5069BCEC">
            <w:pPr>
              <w:spacing w:line="360" w:lineRule="auto"/>
              <w:jc w:val="center"/>
              <w:rPr>
                <w:rFonts w:hint="eastAsia" w:ascii="仿宋" w:hAnsi="仿宋" w:eastAsia="仿宋" w:cs="仿宋"/>
                <w:bCs/>
                <w:sz w:val="24"/>
                <w:szCs w:val="24"/>
                <w:highlight w:val="none"/>
              </w:rPr>
            </w:pPr>
          </w:p>
        </w:tc>
      </w:tr>
      <w:tr w14:paraId="278E7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3264" w:type="pct"/>
            <w:gridSpan w:val="4"/>
            <w:tcBorders>
              <w:right w:val="single" w:color="auto" w:sz="4" w:space="0"/>
            </w:tcBorders>
            <w:vAlign w:val="center"/>
          </w:tcPr>
          <w:p w14:paraId="1A3B9E2C">
            <w:pPr>
              <w:spacing w:line="360" w:lineRule="auto"/>
              <w:jc w:val="center"/>
              <w:rPr>
                <w:rFonts w:hint="eastAsia" w:ascii="仿宋" w:hAnsi="仿宋" w:eastAsia="仿宋" w:cs="仿宋"/>
                <w:bCs/>
                <w:sz w:val="24"/>
                <w:szCs w:val="24"/>
                <w:highlight w:val="none"/>
              </w:rPr>
            </w:pPr>
            <w:r>
              <w:rPr>
                <w:rFonts w:hint="eastAsia" w:ascii="仿宋" w:hAnsi="仿宋" w:eastAsia="仿宋" w:cs="仿宋"/>
                <w:kern w:val="0"/>
                <w:sz w:val="24"/>
                <w:szCs w:val="24"/>
                <w:highlight w:val="none"/>
              </w:rPr>
              <w:t>合计</w:t>
            </w:r>
          </w:p>
        </w:tc>
        <w:tc>
          <w:tcPr>
            <w:tcW w:w="1163" w:type="pct"/>
            <w:vAlign w:val="center"/>
          </w:tcPr>
          <w:p w14:paraId="676771EA">
            <w:pPr>
              <w:spacing w:line="360" w:lineRule="auto"/>
              <w:jc w:val="center"/>
              <w:rPr>
                <w:rFonts w:hint="eastAsia" w:ascii="仿宋" w:hAnsi="仿宋" w:eastAsia="仿宋" w:cs="仿宋"/>
                <w:bCs/>
                <w:sz w:val="24"/>
                <w:szCs w:val="24"/>
                <w:highlight w:val="none"/>
              </w:rPr>
            </w:pPr>
          </w:p>
        </w:tc>
        <w:tc>
          <w:tcPr>
            <w:tcW w:w="571" w:type="pct"/>
            <w:vAlign w:val="center"/>
          </w:tcPr>
          <w:p w14:paraId="637288AF">
            <w:pPr>
              <w:spacing w:line="360" w:lineRule="auto"/>
              <w:jc w:val="center"/>
              <w:rPr>
                <w:rFonts w:hint="eastAsia" w:ascii="仿宋" w:hAnsi="仿宋" w:eastAsia="仿宋" w:cs="仿宋"/>
                <w:bCs/>
                <w:sz w:val="24"/>
                <w:szCs w:val="24"/>
                <w:highlight w:val="none"/>
              </w:rPr>
            </w:pPr>
          </w:p>
        </w:tc>
      </w:tr>
    </w:tbl>
    <w:p w14:paraId="00029E8B">
      <w:pPr>
        <w:spacing w:line="360" w:lineRule="auto"/>
        <w:rPr>
          <w:rFonts w:hint="eastAsia" w:ascii="仿宋" w:hAnsi="仿宋" w:eastAsia="仿宋" w:cs="仿宋"/>
          <w:color w:val="auto"/>
          <w:sz w:val="24"/>
          <w:szCs w:val="24"/>
          <w:highlight w:val="none"/>
          <w:shd w:val="clear" w:color="auto" w:fill="FFFFFF" w:themeFill="background1"/>
        </w:rPr>
      </w:pPr>
    </w:p>
    <w:p w14:paraId="220B9A67">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w:t>
      </w:r>
    </w:p>
    <w:p w14:paraId="0A5B2F8C">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1、投标人填报投标价格合计应与投标函载明价格一致，若不一致，应按照第二章评审办法修正原则进行修正。</w:t>
      </w:r>
    </w:p>
    <w:p w14:paraId="3B4D5718">
      <w:pPr>
        <w:spacing w:line="360" w:lineRule="auto"/>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2、投标人的</w:t>
      </w:r>
      <w:r>
        <w:rPr>
          <w:rFonts w:hint="eastAsia" w:ascii="仿宋" w:hAnsi="仿宋" w:eastAsia="仿宋" w:cs="仿宋"/>
          <w:color w:val="auto"/>
          <w:sz w:val="24"/>
          <w:szCs w:val="24"/>
          <w:highlight w:val="none"/>
          <w:shd w:val="clear" w:color="auto" w:fill="FFFFFF" w:themeFill="background1"/>
          <w:lang w:val="en-US" w:eastAsia="zh-CN"/>
        </w:rPr>
        <w:t>货物及服务</w:t>
      </w:r>
      <w:r>
        <w:rPr>
          <w:rFonts w:hint="eastAsia" w:ascii="仿宋" w:hAnsi="仿宋" w:eastAsia="仿宋" w:cs="仿宋"/>
          <w:color w:val="auto"/>
          <w:sz w:val="24"/>
          <w:szCs w:val="24"/>
          <w:highlight w:val="none"/>
          <w:shd w:val="clear" w:color="auto" w:fill="FFFFFF" w:themeFill="background1"/>
        </w:rPr>
        <w:t>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512494CD">
      <w:pPr>
        <w:spacing w:line="360" w:lineRule="auto"/>
        <w:jc w:val="left"/>
        <w:rPr>
          <w:rFonts w:hint="eastAsia" w:ascii="仿宋" w:hAnsi="仿宋" w:eastAsia="仿宋" w:cs="仿宋"/>
          <w:color w:val="auto"/>
          <w:sz w:val="24"/>
          <w:szCs w:val="24"/>
          <w:highlight w:val="none"/>
          <w:shd w:val="clear" w:color="auto" w:fill="FFFFFF" w:themeFill="background1"/>
        </w:rPr>
      </w:pPr>
    </w:p>
    <w:p w14:paraId="2426E921">
      <w:pPr>
        <w:spacing w:line="360" w:lineRule="auto"/>
        <w:jc w:val="left"/>
        <w:rPr>
          <w:rFonts w:hint="eastAsia" w:ascii="仿宋" w:hAnsi="仿宋" w:eastAsia="仿宋" w:cs="仿宋"/>
          <w:color w:val="auto"/>
          <w:sz w:val="24"/>
          <w:szCs w:val="24"/>
          <w:highlight w:val="none"/>
          <w:shd w:val="clear" w:color="auto" w:fill="FFFFFF" w:themeFill="background1"/>
        </w:rPr>
      </w:pPr>
    </w:p>
    <w:p w14:paraId="048A84B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919E20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45488C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5E93718">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1B76A8D">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5A96D184">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330" w:name="_Toc10230"/>
      <w:bookmarkStart w:id="331" w:name="_Toc22264"/>
      <w:r>
        <w:rPr>
          <w:rFonts w:hint="eastAsia" w:ascii="仿宋" w:hAnsi="仿宋" w:eastAsia="仿宋" w:cs="仿宋"/>
          <w:b/>
          <w:color w:val="auto"/>
          <w:sz w:val="24"/>
          <w:szCs w:val="24"/>
          <w:highlight w:val="none"/>
          <w:shd w:val="clear" w:color="auto" w:fill="FFFFFF" w:themeFill="background1"/>
        </w:rPr>
        <w:t>四、商务条款偏离表</w:t>
      </w:r>
      <w:bookmarkEnd w:id="325"/>
      <w:bookmarkEnd w:id="326"/>
      <w:bookmarkEnd w:id="327"/>
      <w:bookmarkEnd w:id="330"/>
      <w:bookmarkEnd w:id="331"/>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699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3AFDCB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8F65EE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招标文件条目号</w:t>
            </w:r>
          </w:p>
        </w:tc>
        <w:tc>
          <w:tcPr>
            <w:tcW w:w="2083" w:type="dxa"/>
            <w:vAlign w:val="center"/>
          </w:tcPr>
          <w:p w14:paraId="4A636E9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招标文件商务条款</w:t>
            </w:r>
          </w:p>
        </w:tc>
        <w:tc>
          <w:tcPr>
            <w:tcW w:w="2182" w:type="dxa"/>
            <w:vAlign w:val="center"/>
          </w:tcPr>
          <w:p w14:paraId="5AC4937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投标文件商务条款</w:t>
            </w:r>
          </w:p>
        </w:tc>
        <w:tc>
          <w:tcPr>
            <w:tcW w:w="1155" w:type="dxa"/>
            <w:vAlign w:val="center"/>
          </w:tcPr>
          <w:p w14:paraId="4153460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210C4EF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66EB5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532C97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5E763C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0D6FAD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3A77C0F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D52CF0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61DD0107">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1967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F86F99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024720A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2F7B4D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B8CE8E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4D02A6B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F64A24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6223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E7E1BC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CF19FC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0D913C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0B8B8D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1A6384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1979093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83E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028F70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FC7192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6FB17F3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1851233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6FF00B8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BD19121">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826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1040A1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0E0552F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B706A6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3DD1848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CF7465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372E905C">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220AD476">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备注：投标人对招标文件商务条款有偏离的，应在此表中列明实际响应的内容并加以说明，以便查对。请在此偏离表“偏离”中填写无偏离或正偏离或负偏离。商务条款是指投标人须知前附表中的实质性内容。</w:t>
      </w:r>
    </w:p>
    <w:p w14:paraId="609B0BD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5D587229">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50D247A">
      <w:pPr>
        <w:spacing w:line="360" w:lineRule="auto"/>
        <w:jc w:val="left"/>
        <w:rPr>
          <w:rFonts w:hint="eastAsia" w:ascii="仿宋" w:hAnsi="仿宋" w:eastAsia="仿宋" w:cs="仿宋"/>
          <w:color w:val="auto"/>
          <w:sz w:val="24"/>
          <w:szCs w:val="24"/>
          <w:highlight w:val="none"/>
          <w:shd w:val="clear" w:color="auto" w:fill="FFFFFF" w:themeFill="background1"/>
        </w:rPr>
      </w:pPr>
    </w:p>
    <w:p w14:paraId="2A41CD16">
      <w:pPr>
        <w:spacing w:line="360" w:lineRule="auto"/>
        <w:jc w:val="left"/>
        <w:rPr>
          <w:rFonts w:hint="eastAsia" w:ascii="仿宋" w:hAnsi="仿宋" w:eastAsia="仿宋" w:cs="仿宋"/>
          <w:color w:val="auto"/>
          <w:sz w:val="24"/>
          <w:szCs w:val="24"/>
          <w:highlight w:val="none"/>
          <w:shd w:val="clear" w:color="auto" w:fill="FFFFFF" w:themeFill="background1"/>
        </w:rPr>
      </w:pPr>
    </w:p>
    <w:p w14:paraId="0DC80D98">
      <w:pPr>
        <w:spacing w:line="360" w:lineRule="auto"/>
        <w:jc w:val="left"/>
        <w:rPr>
          <w:rFonts w:hint="eastAsia" w:ascii="仿宋" w:hAnsi="仿宋" w:eastAsia="仿宋" w:cs="仿宋"/>
          <w:color w:val="auto"/>
          <w:sz w:val="24"/>
          <w:szCs w:val="24"/>
          <w:highlight w:val="none"/>
          <w:shd w:val="clear" w:color="auto" w:fill="FFFFFF" w:themeFill="background1"/>
        </w:rPr>
      </w:pPr>
    </w:p>
    <w:p w14:paraId="442510A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65ED7B5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60EFF1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5ADDBAF">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431BC006">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4B8E192E">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332" w:name="_Toc4958"/>
      <w:bookmarkStart w:id="333" w:name="_Toc19585"/>
      <w:r>
        <w:rPr>
          <w:rFonts w:hint="eastAsia" w:ascii="仿宋" w:hAnsi="仿宋" w:eastAsia="仿宋" w:cs="仿宋"/>
          <w:b/>
          <w:color w:val="auto"/>
          <w:sz w:val="24"/>
          <w:szCs w:val="24"/>
          <w:highlight w:val="none"/>
          <w:shd w:val="clear" w:color="auto" w:fill="FFFFFF" w:themeFill="background1"/>
        </w:rPr>
        <w:t>五、技术条款偏离表</w:t>
      </w:r>
      <w:bookmarkEnd w:id="332"/>
      <w:bookmarkEnd w:id="333"/>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BFD0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35C3E44">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1076A5B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招标文件条目号</w:t>
            </w:r>
          </w:p>
        </w:tc>
        <w:tc>
          <w:tcPr>
            <w:tcW w:w="2083" w:type="dxa"/>
            <w:vAlign w:val="center"/>
          </w:tcPr>
          <w:p w14:paraId="75271D4B">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招标文件技术条款</w:t>
            </w:r>
          </w:p>
        </w:tc>
        <w:tc>
          <w:tcPr>
            <w:tcW w:w="2182" w:type="dxa"/>
            <w:vAlign w:val="center"/>
          </w:tcPr>
          <w:p w14:paraId="6996187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投标文件技术条款</w:t>
            </w:r>
          </w:p>
        </w:tc>
        <w:tc>
          <w:tcPr>
            <w:tcW w:w="1155" w:type="dxa"/>
            <w:vAlign w:val="center"/>
          </w:tcPr>
          <w:p w14:paraId="282D943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449CF985">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40A5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201EAA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363F989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E1B7CA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018553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838610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391BB04E">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BF2B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3347C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792B455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5808210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64E7633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30B01A2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2F5975C8">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7C3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186D1B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055E5C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6F03B5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6688725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68089BF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1DE722C">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A1DA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2BD62E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7AAFFA0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5EE0E8A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42A258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F52DD3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DB037AF">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562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DD3EFB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73C4206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B3D683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629E59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3A2C2F7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4EA7D9C9">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0E3AE8F3">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备注：投标人对招标文件</w:t>
      </w:r>
      <w:r>
        <w:rPr>
          <w:rFonts w:hint="eastAsia" w:ascii="仿宋" w:hAnsi="仿宋" w:eastAsia="仿宋" w:cs="仿宋"/>
          <w:bCs/>
          <w:color w:val="auto"/>
          <w:szCs w:val="21"/>
          <w:highlight w:val="none"/>
          <w:shd w:val="clear" w:color="auto" w:fill="FFFFFF" w:themeFill="background1"/>
        </w:rPr>
        <w:t>技术</w:t>
      </w:r>
      <w:r>
        <w:rPr>
          <w:rFonts w:hint="eastAsia" w:ascii="仿宋" w:hAnsi="仿宋" w:eastAsia="仿宋" w:cs="仿宋"/>
          <w:color w:val="auto"/>
          <w:szCs w:val="24"/>
          <w:highlight w:val="none"/>
          <w:shd w:val="clear" w:color="auto" w:fill="FFFFFF" w:themeFill="background1"/>
        </w:rPr>
        <w:t>条款有偏离的，应在此表中列明实际响应的内容并加以说明，以便查对。请在此偏离表“偏离”中填写无偏离或正偏离或负偏离。技术条款是指</w:t>
      </w:r>
      <w:r>
        <w:rPr>
          <w:rFonts w:hint="eastAsia" w:ascii="仿宋" w:hAnsi="仿宋" w:eastAsia="仿宋" w:cs="仿宋"/>
          <w:color w:val="auto"/>
          <w:szCs w:val="24"/>
          <w:highlight w:val="none"/>
          <w:shd w:val="clear" w:color="auto" w:fill="FFFFFF" w:themeFill="background1"/>
          <w:lang w:val="en-US" w:eastAsia="zh-CN"/>
        </w:rPr>
        <w:t>供货要求及参数</w:t>
      </w:r>
      <w:r>
        <w:rPr>
          <w:rFonts w:hint="eastAsia" w:ascii="仿宋" w:hAnsi="仿宋" w:eastAsia="仿宋" w:cs="仿宋"/>
          <w:color w:val="auto"/>
          <w:szCs w:val="24"/>
          <w:highlight w:val="none"/>
          <w:shd w:val="clear" w:color="auto" w:fill="FFFFFF" w:themeFill="background1"/>
        </w:rPr>
        <w:t>中的实质性内容。</w:t>
      </w:r>
    </w:p>
    <w:p w14:paraId="5E4B676E">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428A30F9">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3BD5B4B3">
      <w:pPr>
        <w:spacing w:line="360" w:lineRule="auto"/>
        <w:jc w:val="left"/>
        <w:rPr>
          <w:rFonts w:hint="eastAsia" w:ascii="仿宋" w:hAnsi="仿宋" w:eastAsia="仿宋" w:cs="仿宋"/>
          <w:color w:val="auto"/>
          <w:sz w:val="24"/>
          <w:szCs w:val="24"/>
          <w:highlight w:val="none"/>
          <w:shd w:val="clear" w:color="auto" w:fill="FFFFFF" w:themeFill="background1"/>
        </w:rPr>
      </w:pPr>
    </w:p>
    <w:p w14:paraId="1E154531">
      <w:pPr>
        <w:spacing w:line="360" w:lineRule="auto"/>
        <w:jc w:val="left"/>
        <w:rPr>
          <w:rFonts w:hint="eastAsia" w:ascii="仿宋" w:hAnsi="仿宋" w:eastAsia="仿宋" w:cs="仿宋"/>
          <w:color w:val="auto"/>
          <w:sz w:val="24"/>
          <w:szCs w:val="24"/>
          <w:highlight w:val="none"/>
          <w:shd w:val="clear" w:color="auto" w:fill="FFFFFF" w:themeFill="background1"/>
        </w:rPr>
      </w:pPr>
    </w:p>
    <w:p w14:paraId="067A2476">
      <w:pPr>
        <w:spacing w:line="360" w:lineRule="auto"/>
        <w:jc w:val="left"/>
        <w:rPr>
          <w:rFonts w:hint="eastAsia" w:ascii="仿宋" w:hAnsi="仿宋" w:eastAsia="仿宋" w:cs="仿宋"/>
          <w:color w:val="auto"/>
          <w:sz w:val="24"/>
          <w:szCs w:val="24"/>
          <w:highlight w:val="none"/>
          <w:shd w:val="clear" w:color="auto" w:fill="FFFFFF" w:themeFill="background1"/>
        </w:rPr>
      </w:pPr>
    </w:p>
    <w:p w14:paraId="58552C9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783F5F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7DD2A9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92807E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2BDB8EA7">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334" w:name="_Toc507586170"/>
      <w:bookmarkStart w:id="335" w:name="_Toc17833"/>
      <w:bookmarkStart w:id="336" w:name="_Toc31121"/>
      <w:bookmarkStart w:id="337" w:name="_Toc38446475"/>
      <w:bookmarkStart w:id="338" w:name="_Toc533503185"/>
      <w:r>
        <w:rPr>
          <w:rFonts w:hint="eastAsia" w:ascii="仿宋" w:hAnsi="仿宋" w:eastAsia="仿宋" w:cs="仿宋"/>
          <w:b/>
          <w:color w:val="auto"/>
          <w:sz w:val="24"/>
          <w:szCs w:val="24"/>
          <w:highlight w:val="none"/>
          <w:shd w:val="clear" w:color="auto" w:fill="FFFFFF" w:themeFill="background1"/>
        </w:rPr>
        <w:t>六、法定代表人身份证明书</w:t>
      </w:r>
      <w:bookmarkEnd w:id="334"/>
      <w:bookmarkEnd w:id="335"/>
      <w:bookmarkEnd w:id="336"/>
      <w:bookmarkEnd w:id="337"/>
      <w:bookmarkEnd w:id="338"/>
    </w:p>
    <w:p w14:paraId="0FBCD18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B8A082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008F553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4DD234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13BB97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6A3D4C6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07084ED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DF04908">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（投标人名称）的法定代表人。</w:t>
      </w:r>
    </w:p>
    <w:p w14:paraId="6B0C08CE">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4BC0C7F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B874677">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31A42BB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4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8A6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3124B0">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法定代表人身份证复印件（正面）</w:t>
            </w:r>
          </w:p>
        </w:tc>
      </w:tr>
    </w:tbl>
    <w:p w14:paraId="473474D7">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41"/>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536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2E0B4AAE">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法定代表人身份证复印件（反面）</w:t>
            </w:r>
          </w:p>
        </w:tc>
      </w:tr>
    </w:tbl>
    <w:p w14:paraId="3473E59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0E9071F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3C4904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3E76626">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1D0E18A1">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4BA8AD4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3A87C0B1">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339" w:name="_Toc38446476"/>
      <w:bookmarkStart w:id="340" w:name="_Toc533503186"/>
      <w:bookmarkStart w:id="341" w:name="_Toc24163"/>
      <w:bookmarkStart w:id="342" w:name="_Toc507586171"/>
      <w:bookmarkStart w:id="343" w:name="_Toc13722"/>
      <w:r>
        <w:rPr>
          <w:rFonts w:hint="eastAsia" w:ascii="仿宋" w:hAnsi="仿宋" w:eastAsia="仿宋" w:cs="仿宋"/>
          <w:b/>
          <w:color w:val="auto"/>
          <w:sz w:val="24"/>
          <w:szCs w:val="24"/>
          <w:highlight w:val="none"/>
          <w:shd w:val="clear" w:color="auto" w:fill="FFFFFF" w:themeFill="background1"/>
        </w:rPr>
        <w:t>七、法定代表人授权委托书</w:t>
      </w:r>
      <w:bookmarkEnd w:id="339"/>
      <w:bookmarkEnd w:id="340"/>
      <w:bookmarkEnd w:id="341"/>
      <w:bookmarkEnd w:id="342"/>
      <w:bookmarkEnd w:id="343"/>
    </w:p>
    <w:p w14:paraId="583612A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C2EB2D4">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（投标人名称）的法定代表人，现拟派我单位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项目</w:t>
      </w:r>
      <w:r>
        <w:rPr>
          <w:rFonts w:hint="eastAsia" w:ascii="仿宋" w:hAnsi="仿宋" w:eastAsia="仿宋" w:cs="仿宋"/>
          <w:color w:val="auto"/>
          <w:kern w:val="0"/>
          <w:sz w:val="24"/>
          <w:szCs w:val="24"/>
          <w:highlight w:val="none"/>
          <w:shd w:val="clear" w:color="auto" w:fill="FFFFFF" w:themeFill="background1"/>
        </w:rPr>
        <w:t>名称）的投标，以本公司名义处理一切与之有关的事务，其法律后果由我方承担。</w:t>
      </w:r>
    </w:p>
    <w:p w14:paraId="63D91008">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121C8B9">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88453D3">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3DFBFC4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28E356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p w14:paraId="1B85B8A2">
      <w:pPr>
        <w:pStyle w:val="14"/>
        <w:spacing w:before="6"/>
        <w:rPr>
          <w:rFonts w:hint="eastAsia" w:ascii="仿宋" w:hAnsi="仿宋" w:eastAsia="仿宋" w:cs="仿宋"/>
          <w:color w:val="auto"/>
          <w:sz w:val="21"/>
          <w:szCs w:val="21"/>
          <w:highlight w:val="none"/>
        </w:rPr>
      </w:pPr>
    </w:p>
    <w:p w14:paraId="7858600A">
      <w:pPr>
        <w:pStyle w:val="14"/>
        <w:rPr>
          <w:rFonts w:hint="eastAsia" w:ascii="仿宋" w:hAnsi="仿宋" w:eastAsia="仿宋" w:cs="仿宋"/>
          <w:color w:val="auto"/>
          <w:sz w:val="21"/>
          <w:szCs w:val="21"/>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10795" b="1397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10795" b="1397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10795" b="1397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10795" b="1397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p>
    <w:p w14:paraId="31A7D8D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D2E20E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E9AB91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0B8134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72641D5">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D08260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F128AD3">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38EC4311">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44" w:name="_Toc507586173"/>
      <w:r>
        <w:rPr>
          <w:rFonts w:hint="eastAsia" w:ascii="仿宋" w:hAnsi="仿宋" w:eastAsia="仿宋" w:cs="仿宋"/>
          <w:b/>
          <w:color w:val="auto"/>
          <w:sz w:val="24"/>
          <w:szCs w:val="24"/>
          <w:highlight w:val="none"/>
          <w:shd w:val="clear" w:color="auto" w:fill="FFFFFF" w:themeFill="background1"/>
        </w:rPr>
        <w:br w:type="page"/>
      </w:r>
      <w:bookmarkStart w:id="345" w:name="_Toc533503189"/>
      <w:bookmarkStart w:id="346" w:name="_Toc38446478"/>
      <w:bookmarkStart w:id="347" w:name="_Toc22909"/>
      <w:bookmarkStart w:id="348" w:name="_Toc30621"/>
      <w:r>
        <w:rPr>
          <w:rFonts w:hint="eastAsia" w:ascii="仿宋" w:hAnsi="仿宋" w:eastAsia="仿宋" w:cs="仿宋"/>
          <w:b/>
          <w:color w:val="auto"/>
          <w:sz w:val="24"/>
          <w:szCs w:val="24"/>
          <w:highlight w:val="none"/>
          <w:shd w:val="clear" w:color="auto" w:fill="FFFFFF" w:themeFill="background1"/>
        </w:rPr>
        <w:t>八、投标人基本情况</w:t>
      </w:r>
      <w:bookmarkEnd w:id="344"/>
      <w:bookmarkEnd w:id="345"/>
      <w:bookmarkEnd w:id="346"/>
      <w:bookmarkEnd w:id="347"/>
      <w:bookmarkEnd w:id="348"/>
    </w:p>
    <w:p w14:paraId="1414B865">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42C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33E78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投标人名称</w:t>
            </w:r>
          </w:p>
        </w:tc>
        <w:tc>
          <w:tcPr>
            <w:tcW w:w="7300" w:type="dxa"/>
            <w:gridSpan w:val="3"/>
            <w:vAlign w:val="center"/>
          </w:tcPr>
          <w:p w14:paraId="7E123F4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48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B59A43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注册地址</w:t>
            </w:r>
          </w:p>
        </w:tc>
        <w:tc>
          <w:tcPr>
            <w:tcW w:w="3165" w:type="dxa"/>
            <w:vAlign w:val="center"/>
          </w:tcPr>
          <w:p w14:paraId="36EFCC2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2F31451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邮政编码</w:t>
            </w:r>
          </w:p>
        </w:tc>
        <w:tc>
          <w:tcPr>
            <w:tcW w:w="2140" w:type="dxa"/>
            <w:vAlign w:val="center"/>
          </w:tcPr>
          <w:p w14:paraId="7CDF8A2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ED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521BB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p>
        </w:tc>
        <w:tc>
          <w:tcPr>
            <w:tcW w:w="3165" w:type="dxa"/>
            <w:vAlign w:val="center"/>
          </w:tcPr>
          <w:p w14:paraId="20C31BF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75C7BD6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企业性质</w:t>
            </w:r>
          </w:p>
        </w:tc>
        <w:tc>
          <w:tcPr>
            <w:tcW w:w="2140" w:type="dxa"/>
            <w:vAlign w:val="center"/>
          </w:tcPr>
          <w:p w14:paraId="6268DCA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AF2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F32806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营业执照号</w:t>
            </w:r>
          </w:p>
        </w:tc>
        <w:tc>
          <w:tcPr>
            <w:tcW w:w="3165" w:type="dxa"/>
            <w:vAlign w:val="center"/>
          </w:tcPr>
          <w:p w14:paraId="08D8370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63AA4C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注册资金</w:t>
            </w:r>
          </w:p>
        </w:tc>
        <w:tc>
          <w:tcPr>
            <w:tcW w:w="2140" w:type="dxa"/>
            <w:vAlign w:val="center"/>
          </w:tcPr>
          <w:p w14:paraId="2BFF329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980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C230AF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p>
        </w:tc>
        <w:tc>
          <w:tcPr>
            <w:tcW w:w="3165" w:type="dxa"/>
            <w:vAlign w:val="center"/>
          </w:tcPr>
          <w:p w14:paraId="4005D32A">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230B7108">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电话</w:t>
            </w:r>
          </w:p>
        </w:tc>
        <w:tc>
          <w:tcPr>
            <w:tcW w:w="2140" w:type="dxa"/>
            <w:vAlign w:val="center"/>
          </w:tcPr>
          <w:p w14:paraId="502FEC8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11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3F0B75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联系人</w:t>
            </w:r>
          </w:p>
        </w:tc>
        <w:tc>
          <w:tcPr>
            <w:tcW w:w="3165" w:type="dxa"/>
            <w:vAlign w:val="center"/>
          </w:tcPr>
          <w:p w14:paraId="4C34F908">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28A8CF1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电话</w:t>
            </w:r>
          </w:p>
        </w:tc>
        <w:tc>
          <w:tcPr>
            <w:tcW w:w="2140" w:type="dxa"/>
            <w:vAlign w:val="center"/>
          </w:tcPr>
          <w:p w14:paraId="74B969BA">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839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D24C31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传真</w:t>
            </w:r>
          </w:p>
        </w:tc>
        <w:tc>
          <w:tcPr>
            <w:tcW w:w="3165" w:type="dxa"/>
            <w:vAlign w:val="center"/>
          </w:tcPr>
          <w:p w14:paraId="45F6919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00E3FEE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网址</w:t>
            </w:r>
          </w:p>
        </w:tc>
        <w:tc>
          <w:tcPr>
            <w:tcW w:w="2140" w:type="dxa"/>
            <w:vAlign w:val="center"/>
          </w:tcPr>
          <w:p w14:paraId="48AB7F4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789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0C797D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开户银行</w:t>
            </w:r>
          </w:p>
        </w:tc>
        <w:tc>
          <w:tcPr>
            <w:tcW w:w="3165" w:type="dxa"/>
            <w:vAlign w:val="center"/>
          </w:tcPr>
          <w:p w14:paraId="502089C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23D3C15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银行</w:t>
            </w:r>
            <w:r>
              <w:rPr>
                <w:rFonts w:hint="eastAsia" w:ascii="仿宋" w:hAnsi="仿宋" w:eastAsia="仿宋" w:cs="仿宋"/>
                <w:color w:val="auto"/>
                <w:kern w:val="0"/>
                <w:sz w:val="24"/>
                <w:szCs w:val="24"/>
                <w:highlight w:val="none"/>
                <w:shd w:val="clear" w:color="auto" w:fill="FFFFFF" w:themeFill="background1"/>
                <w:lang w:eastAsia="zh-CN"/>
              </w:rPr>
              <w:t>账号</w:t>
            </w:r>
          </w:p>
        </w:tc>
        <w:tc>
          <w:tcPr>
            <w:tcW w:w="2140" w:type="dxa"/>
            <w:vAlign w:val="center"/>
          </w:tcPr>
          <w:p w14:paraId="236FF3D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B3D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79CDD2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职工概况</w:t>
            </w:r>
          </w:p>
        </w:tc>
        <w:tc>
          <w:tcPr>
            <w:tcW w:w="7300" w:type="dxa"/>
            <w:gridSpan w:val="3"/>
            <w:vAlign w:val="center"/>
          </w:tcPr>
          <w:p w14:paraId="0B5DB4D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6F4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82D219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经营范围</w:t>
            </w:r>
          </w:p>
        </w:tc>
        <w:tc>
          <w:tcPr>
            <w:tcW w:w="7300" w:type="dxa"/>
            <w:gridSpan w:val="3"/>
            <w:vAlign w:val="center"/>
          </w:tcPr>
          <w:p w14:paraId="7EE94BA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bl>
    <w:p w14:paraId="6E074D6D">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69BA6B4F">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0971CE7C">
      <w:pPr>
        <w:rPr>
          <w:rFonts w:hint="eastAsia" w:ascii="仿宋" w:hAnsi="仿宋" w:eastAsia="仿宋" w:cs="仿宋"/>
          <w:color w:val="auto"/>
          <w:highlight w:val="none"/>
          <w:shd w:val="clear" w:color="auto" w:fill="FFFFFF" w:themeFill="background1"/>
        </w:rPr>
      </w:pPr>
      <w:bookmarkStart w:id="349" w:name="_Toc109143671"/>
      <w:bookmarkStart w:id="350" w:name="_Toc32366"/>
      <w:bookmarkStart w:id="351" w:name="_Toc11207"/>
      <w:bookmarkStart w:id="352" w:name="_Toc107422184"/>
      <w:bookmarkStart w:id="353" w:name="_Toc111556487"/>
    </w:p>
    <w:p w14:paraId="18A357C7">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54" w:name="_Toc16611"/>
      <w:bookmarkStart w:id="355" w:name="_Toc128476878"/>
      <w:bookmarkStart w:id="356" w:name="_Toc20683"/>
      <w:bookmarkStart w:id="357" w:name="_Toc113901849"/>
      <w:bookmarkStart w:id="358" w:name="_Toc133453662"/>
      <w:r>
        <w:rPr>
          <w:rFonts w:hint="eastAsia" w:ascii="仿宋" w:hAnsi="仿宋" w:eastAsia="仿宋" w:cs="仿宋"/>
          <w:b/>
          <w:color w:val="auto"/>
          <w:sz w:val="24"/>
          <w:szCs w:val="24"/>
          <w:highlight w:val="none"/>
          <w:shd w:val="clear" w:color="auto" w:fill="FFFFFF" w:themeFill="background1"/>
        </w:rPr>
        <w:t>8.1</w:t>
      </w:r>
      <w:bookmarkEnd w:id="349"/>
      <w:bookmarkEnd w:id="350"/>
      <w:bookmarkEnd w:id="351"/>
      <w:bookmarkEnd w:id="352"/>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354"/>
      <w:bookmarkEnd w:id="355"/>
      <w:bookmarkEnd w:id="356"/>
      <w:bookmarkEnd w:id="357"/>
      <w:bookmarkEnd w:id="358"/>
    </w:p>
    <w:p w14:paraId="68AAA4D6">
      <w:pPr>
        <w:spacing w:line="360" w:lineRule="auto"/>
        <w:rPr>
          <w:rFonts w:hint="eastAsia" w:ascii="仿宋" w:hAnsi="仿宋" w:eastAsia="仿宋" w:cs="仿宋"/>
          <w:color w:val="auto"/>
          <w:sz w:val="24"/>
          <w:szCs w:val="24"/>
          <w:highlight w:val="none"/>
          <w:shd w:val="clear" w:color="auto" w:fill="FFFFFF" w:themeFill="background1"/>
        </w:rPr>
      </w:pPr>
    </w:p>
    <w:p w14:paraId="44AAAA2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1</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rPr>
        <w:t>如投标人是企业（包括合伙企业)，应提供在工商部门注册的有效“企业法人营业执照”或“营业执照”;</w:t>
      </w:r>
    </w:p>
    <w:p w14:paraId="5331273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2</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rPr>
        <w:t>如投标人是事业单位，应提供有效的“事业单位法人证书”;</w:t>
      </w:r>
    </w:p>
    <w:p w14:paraId="1F40C6F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3</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rPr>
        <w:t>投标人是非企业专业服务机构的，应提供执业许可证等证明文件;</w:t>
      </w:r>
    </w:p>
    <w:p w14:paraId="49F89BF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4</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rPr>
        <w:t>如投标人是个体工商户，应提供有效的“个体工商户营业执照”;</w:t>
      </w:r>
    </w:p>
    <w:p w14:paraId="6063B544">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5</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rPr>
        <w:t>如投标人是自然人，应提供有效的自然人身份证明。</w:t>
      </w:r>
    </w:p>
    <w:p w14:paraId="7615C9FE">
      <w:pPr>
        <w:spacing w:line="360" w:lineRule="auto"/>
        <w:rPr>
          <w:rFonts w:hint="eastAsia" w:ascii="仿宋" w:hAnsi="仿宋" w:eastAsia="仿宋" w:cs="仿宋"/>
          <w:color w:val="auto"/>
          <w:sz w:val="24"/>
          <w:szCs w:val="24"/>
          <w:highlight w:val="none"/>
          <w:shd w:val="clear" w:color="auto" w:fill="FFFFFF" w:themeFill="background1"/>
        </w:rPr>
      </w:pPr>
    </w:p>
    <w:p w14:paraId="56EC4867">
      <w:pPr>
        <w:spacing w:line="360" w:lineRule="auto"/>
        <w:rPr>
          <w:rFonts w:hint="eastAsia" w:ascii="仿宋" w:hAnsi="仿宋" w:eastAsia="仿宋" w:cs="仿宋"/>
          <w:color w:val="auto"/>
          <w:sz w:val="24"/>
          <w:szCs w:val="24"/>
          <w:highlight w:val="none"/>
          <w:shd w:val="clear" w:color="auto" w:fill="FFFFFF" w:themeFill="background1"/>
        </w:rPr>
      </w:pPr>
    </w:p>
    <w:p w14:paraId="592A6BAA">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7148B54">
      <w:pPr>
        <w:rPr>
          <w:rFonts w:hint="eastAsia" w:ascii="仿宋" w:hAnsi="仿宋" w:eastAsia="仿宋" w:cs="仿宋"/>
          <w:color w:val="auto"/>
          <w:highlight w:val="none"/>
          <w:shd w:val="clear" w:color="auto" w:fill="FFFFFF" w:themeFill="background1"/>
        </w:rPr>
      </w:pPr>
    </w:p>
    <w:p w14:paraId="3727347B">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59" w:name="_Toc128476879"/>
      <w:bookmarkStart w:id="360" w:name="_Toc133453663"/>
      <w:bookmarkStart w:id="361" w:name="_Toc10010"/>
      <w:bookmarkStart w:id="362" w:name="_Toc18165"/>
      <w:bookmarkStart w:id="363" w:name="_Toc113901850"/>
      <w:r>
        <w:rPr>
          <w:rFonts w:hint="eastAsia" w:ascii="仿宋" w:hAnsi="仿宋" w:eastAsia="仿宋" w:cs="仿宋"/>
          <w:b/>
          <w:color w:val="auto"/>
          <w:sz w:val="24"/>
          <w:szCs w:val="24"/>
          <w:highlight w:val="none"/>
          <w:shd w:val="clear" w:color="auto" w:fill="FFFFFF" w:themeFill="background1"/>
        </w:rPr>
        <w:t>8.2</w:t>
      </w:r>
      <w:bookmarkEnd w:id="353"/>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359"/>
      <w:bookmarkEnd w:id="360"/>
      <w:bookmarkEnd w:id="361"/>
      <w:bookmarkEnd w:id="362"/>
      <w:bookmarkEnd w:id="363"/>
    </w:p>
    <w:p w14:paraId="6B435AAF">
      <w:pPr>
        <w:pStyle w:val="14"/>
        <w:spacing w:line="360" w:lineRule="auto"/>
        <w:rPr>
          <w:rFonts w:hint="eastAsia" w:ascii="仿宋" w:hAnsi="仿宋" w:eastAsia="仿宋" w:cs="仿宋"/>
          <w:color w:val="auto"/>
          <w:spacing w:val="10"/>
          <w:szCs w:val="24"/>
          <w:highlight w:val="none"/>
          <w:shd w:val="clear" w:color="auto" w:fill="FFFFFF" w:themeFill="background1"/>
        </w:rPr>
      </w:pPr>
    </w:p>
    <w:p w14:paraId="26861CBF">
      <w:pPr>
        <w:spacing w:line="360" w:lineRule="auto"/>
        <w:ind w:firstLine="480" w:firstLineChars="200"/>
        <w:rPr>
          <w:rFonts w:hint="eastAsia" w:ascii="仿宋" w:hAnsi="仿宋" w:eastAsia="仿宋" w:cs="仿宋"/>
          <w:color w:val="auto"/>
          <w:sz w:val="24"/>
          <w:szCs w:val="24"/>
          <w:highlight w:val="none"/>
        </w:rPr>
      </w:pPr>
      <w:bookmarkStart w:id="364" w:name="_Toc30348"/>
      <w:bookmarkStart w:id="365" w:name="_Toc113901851"/>
      <w:bookmarkStart w:id="366" w:name="_Toc128476880"/>
      <w:bookmarkStart w:id="367" w:name="_Toc11155648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财务状况报告（满足下述一条要求即可）：</w:t>
      </w:r>
    </w:p>
    <w:p w14:paraId="3001E9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要求1、经审计的财务报告（202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年度</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年度，包括“四表-注”，即资产负债表、利润表、现金流量表、所有者权益变动表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及其附注）或银行出具的资信/金证明。</w:t>
      </w:r>
    </w:p>
    <w:p w14:paraId="480235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要求2、财政部门认可的政府采购专业担保机构出具的有效期内的投标担保函。</w:t>
      </w:r>
    </w:p>
    <w:p w14:paraId="2B03E3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要求3、</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rPr>
        <w:t>度成立的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无需提供。</w:t>
      </w:r>
    </w:p>
    <w:p w14:paraId="4E319B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依法缴纳税收和社会保障资金的相关材料</w:t>
      </w:r>
    </w:p>
    <w:p w14:paraId="3AF7EB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依法缴纳税收的证明材料：</w:t>
      </w:r>
    </w:p>
    <w:p w14:paraId="54C757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参加政府采购活动前一段时间（响应文件递交截止之日前六个月内任一个月）内缴纳税收的完税凭证（指各种完税证、缴款书、印花税票、扣（收）税凭证以及其他完税证明）。</w:t>
      </w:r>
    </w:p>
    <w:p w14:paraId="455D27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依法缴纳社会保障资金的证明材料：</w:t>
      </w:r>
    </w:p>
    <w:p w14:paraId="7D2214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参加政府采购活动前一段时间（响应文件递交截止之日前六个月内任一个月）内缴纳社会保险的凭据，其他组织和自然人也需要提供缴纳税收的凭据和缴纳社会保险的凭据。</w:t>
      </w:r>
    </w:p>
    <w:p w14:paraId="21E870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依法免税或不需要缴纳社会保障资金的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，应提供相应文件证明其依法免税或不需要缴纳社会保障资金。</w:t>
      </w:r>
    </w:p>
    <w:p w14:paraId="478C33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注：</w:t>
      </w:r>
    </w:p>
    <w:p w14:paraId="25EB32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如因有关主管部门政策调整，部分证明材料有所增减，以最新政策要求为准；</w:t>
      </w:r>
    </w:p>
    <w:p w14:paraId="041A96AD">
      <w:pPr>
        <w:spacing w:line="360" w:lineRule="auto"/>
        <w:ind w:firstLine="480" w:firstLineChars="20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所在地有关主管部门反馈的证明材料与本文中要求不一致时，以当地要求为准，但须</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提供文字说明。</w:t>
      </w:r>
      <w:r>
        <w:rPr>
          <w:rFonts w:hint="eastAsia" w:ascii="仿宋" w:hAnsi="仿宋" w:eastAsia="仿宋" w:cs="仿宋"/>
          <w:b/>
          <w:color w:val="auto"/>
          <w:sz w:val="24"/>
          <w:szCs w:val="24"/>
          <w:highlight w:val="none"/>
          <w:shd w:val="clear" w:color="auto" w:fill="FFFFFF" w:themeFill="background1"/>
        </w:rPr>
        <w:br w:type="page"/>
      </w:r>
    </w:p>
    <w:p w14:paraId="5968D9CF">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68" w:name="_Toc133453664"/>
      <w:bookmarkStart w:id="369" w:name="_Toc8098"/>
      <w:r>
        <w:rPr>
          <w:rFonts w:hint="eastAsia" w:ascii="仿宋" w:hAnsi="仿宋" w:eastAsia="仿宋" w:cs="仿宋"/>
          <w:b/>
          <w:color w:val="auto"/>
          <w:sz w:val="24"/>
          <w:szCs w:val="24"/>
          <w:highlight w:val="none"/>
          <w:shd w:val="clear" w:color="auto" w:fill="FFFFFF" w:themeFill="background1"/>
        </w:rPr>
        <w:t>8.3具备履行合同所必需的设备和专业技术能力的证明材料</w:t>
      </w:r>
      <w:bookmarkEnd w:id="364"/>
      <w:bookmarkEnd w:id="365"/>
      <w:bookmarkEnd w:id="366"/>
      <w:bookmarkEnd w:id="368"/>
      <w:bookmarkEnd w:id="369"/>
    </w:p>
    <w:p w14:paraId="29CE6D73">
      <w:pPr>
        <w:spacing w:line="360" w:lineRule="auto"/>
        <w:rPr>
          <w:rFonts w:hint="eastAsia" w:ascii="仿宋" w:hAnsi="仿宋" w:eastAsia="仿宋" w:cs="仿宋"/>
          <w:color w:val="auto"/>
          <w:sz w:val="24"/>
          <w:szCs w:val="24"/>
          <w:highlight w:val="none"/>
          <w:shd w:val="clear" w:color="auto" w:fill="FFFFFF" w:themeFill="background1"/>
        </w:rPr>
      </w:pPr>
    </w:p>
    <w:p w14:paraId="428FCDD4">
      <w:pPr>
        <w:spacing w:line="360" w:lineRule="auto"/>
        <w:rPr>
          <w:rFonts w:hint="eastAsia" w:ascii="仿宋" w:hAnsi="仿宋" w:eastAsia="仿宋" w:cs="仿宋"/>
          <w:color w:val="auto"/>
          <w:sz w:val="24"/>
          <w:szCs w:val="24"/>
          <w:highlight w:val="none"/>
          <w:shd w:val="clear" w:color="auto" w:fill="FFFFFF" w:themeFill="background1"/>
        </w:rPr>
      </w:pPr>
    </w:p>
    <w:p w14:paraId="3A1E5E36">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367"/>
      <w:r>
        <w:rPr>
          <w:rFonts w:hint="eastAsia" w:ascii="仿宋" w:hAnsi="仿宋" w:eastAsia="仿宋" w:cs="仿宋"/>
          <w:b/>
          <w:color w:val="auto"/>
          <w:sz w:val="24"/>
          <w:szCs w:val="24"/>
          <w:highlight w:val="none"/>
          <w:shd w:val="clear" w:color="auto" w:fill="FFFFFF" w:themeFill="background1"/>
        </w:rPr>
        <w:t>函</w:t>
      </w:r>
    </w:p>
    <w:p w14:paraId="236E50B9">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11918A3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8C77D2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21776272">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1E38CF2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项目</w:t>
      </w:r>
      <w:r>
        <w:rPr>
          <w:rFonts w:hint="eastAsia" w:ascii="仿宋" w:hAnsi="仿宋" w:eastAsia="仿宋" w:cs="仿宋"/>
          <w:color w:val="auto"/>
          <w:kern w:val="0"/>
          <w:sz w:val="24"/>
          <w:szCs w:val="24"/>
          <w:highlight w:val="none"/>
          <w:shd w:val="clear" w:color="auto" w:fill="FFFFFF" w:themeFill="background1"/>
        </w:rPr>
        <w:t>名称）合同所必需的设备和专业技术能力；</w:t>
      </w:r>
    </w:p>
    <w:p w14:paraId="74B4CB69">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75E8A92B">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BC5B0E6">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29D666F">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A0FA2C8">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C1C7C2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877C69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414C8D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12EC44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770C7ED">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66381B0D">
      <w:pPr>
        <w:spacing w:line="360" w:lineRule="auto"/>
        <w:rPr>
          <w:rFonts w:hint="eastAsia" w:ascii="仿宋" w:hAnsi="仿宋" w:eastAsia="仿宋" w:cs="仿宋"/>
          <w:color w:val="auto"/>
          <w:sz w:val="24"/>
          <w:szCs w:val="24"/>
          <w:highlight w:val="none"/>
          <w:shd w:val="clear" w:color="auto" w:fill="FFFFFF" w:themeFill="background1"/>
        </w:rPr>
      </w:pPr>
    </w:p>
    <w:p w14:paraId="37A7F0CC">
      <w:pPr>
        <w:spacing w:line="360" w:lineRule="auto"/>
        <w:rPr>
          <w:rFonts w:hint="eastAsia" w:ascii="仿宋" w:hAnsi="仿宋" w:eastAsia="仿宋" w:cs="仿宋"/>
          <w:color w:val="auto"/>
          <w:sz w:val="24"/>
          <w:szCs w:val="24"/>
          <w:highlight w:val="none"/>
          <w:shd w:val="clear" w:color="auto" w:fill="FFFFFF" w:themeFill="background1"/>
        </w:rPr>
      </w:pPr>
    </w:p>
    <w:p w14:paraId="160F2A7B">
      <w:pPr>
        <w:spacing w:line="360" w:lineRule="auto"/>
        <w:rPr>
          <w:rFonts w:hint="eastAsia" w:ascii="仿宋" w:hAnsi="仿宋" w:eastAsia="仿宋" w:cs="仿宋"/>
          <w:color w:val="auto"/>
          <w:sz w:val="24"/>
          <w:szCs w:val="24"/>
          <w:highlight w:val="none"/>
          <w:shd w:val="clear" w:color="auto" w:fill="FFFFFF" w:themeFill="background1"/>
        </w:rPr>
      </w:pPr>
    </w:p>
    <w:p w14:paraId="32015380">
      <w:pPr>
        <w:spacing w:line="360" w:lineRule="auto"/>
        <w:rPr>
          <w:rFonts w:hint="eastAsia" w:ascii="仿宋" w:hAnsi="仿宋" w:eastAsia="仿宋" w:cs="仿宋"/>
          <w:color w:val="auto"/>
          <w:sz w:val="24"/>
          <w:szCs w:val="24"/>
          <w:highlight w:val="none"/>
          <w:shd w:val="clear" w:color="auto" w:fill="FFFFFF" w:themeFill="background1"/>
        </w:rPr>
      </w:pPr>
    </w:p>
    <w:p w14:paraId="724FF1E5">
      <w:pPr>
        <w:spacing w:line="360" w:lineRule="auto"/>
        <w:rPr>
          <w:rFonts w:hint="eastAsia" w:ascii="仿宋" w:hAnsi="仿宋" w:eastAsia="仿宋" w:cs="仿宋"/>
          <w:color w:val="auto"/>
          <w:sz w:val="24"/>
          <w:szCs w:val="24"/>
          <w:highlight w:val="none"/>
          <w:shd w:val="clear" w:color="auto" w:fill="FFFFFF" w:themeFill="background1"/>
        </w:rPr>
      </w:pPr>
    </w:p>
    <w:p w14:paraId="142C93E5">
      <w:pPr>
        <w:spacing w:line="360" w:lineRule="auto"/>
        <w:rPr>
          <w:rFonts w:hint="eastAsia" w:ascii="仿宋" w:hAnsi="仿宋" w:eastAsia="仿宋" w:cs="仿宋"/>
          <w:color w:val="auto"/>
          <w:sz w:val="24"/>
          <w:szCs w:val="24"/>
          <w:highlight w:val="none"/>
          <w:shd w:val="clear" w:color="auto" w:fill="FFFFFF" w:themeFill="background1"/>
        </w:rPr>
      </w:pPr>
    </w:p>
    <w:p w14:paraId="57D0B5D9">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20CFC1BE">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70" w:name="_Toc133453665"/>
      <w:bookmarkStart w:id="371" w:name="_Toc5703"/>
      <w:bookmarkStart w:id="372" w:name="_Toc13792"/>
      <w:bookmarkStart w:id="373" w:name="_Toc113901852"/>
      <w:bookmarkStart w:id="374" w:name="_Toc128476881"/>
      <w:bookmarkStart w:id="375" w:name="_Toc111556490"/>
      <w:r>
        <w:rPr>
          <w:rFonts w:hint="eastAsia" w:ascii="仿宋" w:hAnsi="仿宋" w:eastAsia="仿宋" w:cs="仿宋"/>
          <w:b/>
          <w:color w:val="auto"/>
          <w:sz w:val="24"/>
          <w:szCs w:val="24"/>
          <w:highlight w:val="none"/>
          <w:shd w:val="clear" w:color="auto" w:fill="FFFFFF" w:themeFill="background1"/>
        </w:rPr>
        <w:t>8.4参加政府采购活动前3年内在经营活动中没有重大违法记录的书面声明</w:t>
      </w:r>
      <w:bookmarkEnd w:id="370"/>
      <w:bookmarkEnd w:id="371"/>
      <w:bookmarkEnd w:id="372"/>
      <w:bookmarkEnd w:id="373"/>
      <w:bookmarkEnd w:id="374"/>
    </w:p>
    <w:bookmarkEnd w:id="375"/>
    <w:p w14:paraId="2F63140E">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C8763B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6ADC5F87">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D08A78B">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项目</w:t>
      </w:r>
      <w:r>
        <w:rPr>
          <w:rFonts w:hint="eastAsia" w:ascii="仿宋" w:hAnsi="仿宋" w:eastAsia="仿宋" w:cs="仿宋"/>
          <w:color w:val="auto"/>
          <w:kern w:val="0"/>
          <w:sz w:val="24"/>
          <w:szCs w:val="24"/>
          <w:highlight w:val="none"/>
          <w:shd w:val="clear" w:color="auto" w:fill="FFFFFF" w:themeFill="background1"/>
        </w:rPr>
        <w:t>名称</w:t>
      </w:r>
      <w:r>
        <w:rPr>
          <w:rFonts w:hint="eastAsia" w:ascii="仿宋" w:hAnsi="仿宋" w:eastAsia="仿宋" w:cs="仿宋"/>
          <w:color w:val="auto"/>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投标文件递交截止之日为期限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5E4ED008">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将无条件退出本项目的投标，并承担因此引起的一切后果。我方对此声明负全部法律责任。</w:t>
      </w:r>
    </w:p>
    <w:p w14:paraId="59013C5F">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42FD44A8">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48C34D6">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48D46E3">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w:t>
      </w:r>
    </w:p>
    <w:p w14:paraId="5F47CA02">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若投标人在投标文件递交截止之日成立时间不足三年，以自成立以来的时间计取。</w:t>
      </w:r>
    </w:p>
    <w:p w14:paraId="2A45FB97">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433A5492">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7E59395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0886455">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63B1E7C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358DA0A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3144215">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07717102">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3A3A8B67">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76" w:name="_Toc128476882"/>
      <w:bookmarkStart w:id="377" w:name="_Toc113901853"/>
      <w:bookmarkStart w:id="378" w:name="_Toc15699"/>
      <w:bookmarkStart w:id="379" w:name="_Toc133453666"/>
      <w:bookmarkStart w:id="380" w:name="_Toc12167"/>
      <w:r>
        <w:rPr>
          <w:rFonts w:hint="eastAsia" w:ascii="仿宋" w:hAnsi="仿宋" w:eastAsia="仿宋" w:cs="仿宋"/>
          <w:b/>
          <w:color w:val="auto"/>
          <w:sz w:val="24"/>
          <w:szCs w:val="24"/>
          <w:highlight w:val="none"/>
          <w:shd w:val="clear" w:color="auto" w:fill="FFFFFF" w:themeFill="background1"/>
        </w:rPr>
        <w:t>8.5具备法律、行政法规规定的其他条件的证明材料</w:t>
      </w:r>
      <w:bookmarkEnd w:id="376"/>
      <w:bookmarkEnd w:id="377"/>
      <w:bookmarkEnd w:id="378"/>
      <w:bookmarkEnd w:id="379"/>
      <w:bookmarkEnd w:id="380"/>
    </w:p>
    <w:p w14:paraId="64068D36">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01E46E9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国家有关主管部门的行政许可（如有时）。</w:t>
      </w:r>
    </w:p>
    <w:p w14:paraId="7C29531F">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投标人如为</w:t>
      </w:r>
      <w:r>
        <w:rPr>
          <w:rFonts w:hint="eastAsia" w:ascii="仿宋" w:hAnsi="仿宋" w:eastAsia="仿宋" w:cs="仿宋"/>
          <w:color w:val="auto"/>
          <w:kern w:val="0"/>
          <w:sz w:val="24"/>
          <w:szCs w:val="24"/>
          <w:highlight w:val="none"/>
          <w:shd w:val="clear" w:color="auto" w:fill="FFFFFF" w:themeFill="background1"/>
          <w:lang w:val="en-US" w:eastAsia="zh-CN"/>
        </w:rPr>
        <w:t>中</w:t>
      </w:r>
      <w:r>
        <w:rPr>
          <w:rFonts w:hint="eastAsia" w:ascii="仿宋" w:hAnsi="仿宋" w:eastAsia="仿宋" w:cs="仿宋"/>
          <w:color w:val="auto"/>
          <w:kern w:val="0"/>
          <w:sz w:val="24"/>
          <w:szCs w:val="24"/>
          <w:highlight w:val="none"/>
          <w:shd w:val="clear" w:color="auto" w:fill="FFFFFF" w:themeFill="background1"/>
        </w:rPr>
        <w:t>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79AFBB8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2897C49A">
      <w:pPr>
        <w:pStyle w:val="36"/>
        <w:spacing w:line="360" w:lineRule="auto"/>
        <w:rPr>
          <w:rStyle w:val="44"/>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 xml:space="preserve"> </w:t>
      </w:r>
      <w:r>
        <w:rPr>
          <w:rStyle w:val="44"/>
          <w:rFonts w:hint="eastAsia" w:ascii="仿宋" w:hAnsi="仿宋" w:eastAsia="仿宋" w:cs="仿宋"/>
          <w:color w:val="auto"/>
          <w:highlight w:val="none"/>
          <w:shd w:val="clear" w:color="auto" w:fill="FFFFFF" w:themeFill="background1"/>
        </w:rPr>
        <w:t xml:space="preserve">附表一、           </w:t>
      </w:r>
    </w:p>
    <w:p w14:paraId="297417C2">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45AB7106">
      <w:pPr>
        <w:spacing w:line="588" w:lineRule="exact"/>
        <w:jc w:val="center"/>
        <w:rPr>
          <w:rFonts w:hint="eastAsia" w:ascii="仿宋" w:hAnsi="仿宋" w:eastAsia="仿宋" w:cs="仿宋"/>
          <w:b/>
          <w:color w:val="auto"/>
          <w:spacing w:val="6"/>
          <w:sz w:val="24"/>
          <w:szCs w:val="24"/>
          <w:highlight w:val="none"/>
        </w:rPr>
      </w:pPr>
    </w:p>
    <w:p w14:paraId="1485AA53">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w:t>
      </w:r>
      <w:r>
        <w:rPr>
          <w:rFonts w:hint="eastAsia" w:ascii="仿宋" w:hAnsi="仿宋" w:eastAsia="仿宋" w:cs="仿宋"/>
          <w:color w:val="auto"/>
          <w:kern w:val="0"/>
          <w:sz w:val="24"/>
          <w:szCs w:val="24"/>
          <w:highlight w:val="none"/>
          <w:u w:val="single"/>
        </w:rPr>
        <w:t>（联合体）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lang w:eastAsia="zh-CN"/>
        </w:rPr>
        <w:t>项目</w:t>
      </w:r>
      <w:r>
        <w:rPr>
          <w:rFonts w:hint="eastAsia" w:ascii="仿宋" w:hAnsi="仿宋" w:eastAsia="仿宋" w:cs="仿宋"/>
          <w:color w:val="auto"/>
          <w:kern w:val="0"/>
          <w:sz w:val="24"/>
          <w:szCs w:val="24"/>
          <w:highlight w:val="none"/>
          <w:u w:val="single"/>
        </w:rPr>
        <w:t>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62D4A7B5">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1799B494">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B813D5B">
      <w:pPr>
        <w:spacing w:line="588" w:lineRule="exact"/>
        <w:rPr>
          <w:rFonts w:hint="eastAsia" w:ascii="仿宋" w:hAnsi="仿宋" w:eastAsia="仿宋" w:cs="仿宋"/>
          <w:color w:val="auto"/>
          <w:kern w:val="0"/>
          <w:sz w:val="24"/>
          <w:szCs w:val="24"/>
          <w:highlight w:val="none"/>
        </w:rPr>
      </w:pPr>
    </w:p>
    <w:p w14:paraId="5058ACFF">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07059CA">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3343C8DD">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07E0D426">
      <w:pPr>
        <w:spacing w:line="588" w:lineRule="exact"/>
        <w:ind w:firstLine="480" w:firstLineChars="200"/>
        <w:rPr>
          <w:rFonts w:hint="eastAsia" w:ascii="仿宋" w:hAnsi="仿宋" w:eastAsia="仿宋" w:cs="仿宋"/>
          <w:color w:val="auto"/>
          <w:kern w:val="0"/>
          <w:sz w:val="24"/>
          <w:szCs w:val="24"/>
          <w:highlight w:val="none"/>
        </w:rPr>
      </w:pPr>
    </w:p>
    <w:p w14:paraId="6AF61830">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0D0FF74A">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052DE3A9">
      <w:pPr>
        <w:spacing w:line="588" w:lineRule="exact"/>
        <w:rPr>
          <w:rStyle w:val="44"/>
          <w:rFonts w:hint="eastAsia" w:ascii="仿宋" w:hAnsi="仿宋" w:eastAsia="仿宋" w:cs="仿宋"/>
          <w:color w:val="auto"/>
          <w:kern w:val="0"/>
          <w:sz w:val="24"/>
          <w:szCs w:val="24"/>
          <w:highlight w:val="none"/>
        </w:rPr>
      </w:pPr>
      <w:r>
        <w:rPr>
          <w:rFonts w:hint="eastAsia" w:ascii="仿宋" w:hAnsi="仿宋" w:eastAsia="仿宋" w:cs="仿宋"/>
          <w:kern w:val="0"/>
          <w:sz w:val="24"/>
          <w:szCs w:val="24"/>
          <w:shd w:val="clear" w:color="auto" w:fill="FFFFFF" w:themeFill="background1"/>
        </w:rPr>
        <w:t>注：人员、营业收入、资产总额填报上一年度数据，无上一年度数据的新成立企业可不填报。</w:t>
      </w:r>
    </w:p>
    <w:p w14:paraId="4DDDEC85">
      <w:pPr>
        <w:spacing w:line="360" w:lineRule="auto"/>
        <w:ind w:firstLine="420" w:firstLineChars="200"/>
        <w:rPr>
          <w:rFonts w:hint="eastAsia" w:ascii="仿宋" w:hAnsi="仿宋" w:eastAsia="仿宋" w:cs="仿宋"/>
          <w:color w:val="auto"/>
          <w:highlight w:val="none"/>
        </w:rPr>
      </w:pPr>
    </w:p>
    <w:p w14:paraId="5271AC7E">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color w:val="auto"/>
          <w:sz w:val="32"/>
          <w:szCs w:val="32"/>
          <w:highlight w:val="none"/>
        </w:rPr>
      </w:pPr>
      <w:bookmarkStart w:id="381" w:name="_Toc28587"/>
      <w:bookmarkStart w:id="382" w:name="_Toc3480"/>
      <w:bookmarkStart w:id="383" w:name="_Toc138177925"/>
      <w:bookmarkStart w:id="384" w:name="_Toc2253"/>
      <w:r>
        <w:rPr>
          <w:rFonts w:hint="eastAsia" w:ascii="仿宋" w:hAnsi="仿宋" w:eastAsia="仿宋" w:cs="仿宋"/>
          <w:b/>
          <w:color w:val="auto"/>
          <w:spacing w:val="6"/>
          <w:sz w:val="24"/>
          <w:highlight w:val="none"/>
        </w:rPr>
        <w:t>监狱企业声明函</w:t>
      </w:r>
      <w:bookmarkEnd w:id="381"/>
      <w:bookmarkEnd w:id="382"/>
      <w:bookmarkEnd w:id="383"/>
      <w:bookmarkEnd w:id="384"/>
    </w:p>
    <w:p w14:paraId="1FF6AC1F">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（监狱企业适用）</w:t>
      </w:r>
    </w:p>
    <w:p w14:paraId="64274BF6">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本公司郑重声明，根据《关于政府采购支持监狱企业发展有关问题的通知》（财库[2014]68号）的规定，本公司为监狱企业。</w:t>
      </w:r>
    </w:p>
    <w:p w14:paraId="462429E9">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本公司参加______单位的______项目采购活动，采购活动提供本企业（填写制造的货物，由本企业承担工程、提供服务）。</w:t>
      </w:r>
    </w:p>
    <w:p w14:paraId="42A7BDFF">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本条所称货物不包括使用大型企业注册商标的货物和服务。</w:t>
      </w:r>
    </w:p>
    <w:p w14:paraId="2F43855B">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14:paraId="753B4322">
      <w:pPr>
        <w:keepNext w:val="0"/>
        <w:keepLines w:val="0"/>
        <w:pageBreakBefore w:val="0"/>
        <w:kinsoku/>
        <w:wordWrap/>
        <w:overflowPunct/>
        <w:topLinePunct w:val="0"/>
        <w:bidi w:val="0"/>
        <w:spacing w:line="360" w:lineRule="auto"/>
        <w:ind w:firstLine="4860" w:firstLineChars="2025"/>
        <w:textAlignment w:val="auto"/>
        <w:outlineLvl w:val="9"/>
        <w:rPr>
          <w:rFonts w:hint="eastAsia" w:ascii="仿宋" w:hAnsi="仿宋" w:eastAsia="仿宋" w:cs="仿宋"/>
          <w:color w:val="auto"/>
          <w:sz w:val="24"/>
          <w:szCs w:val="24"/>
          <w:highlight w:val="none"/>
        </w:rPr>
      </w:pPr>
    </w:p>
    <w:p w14:paraId="4104A7AC">
      <w:pPr>
        <w:keepNext w:val="0"/>
        <w:keepLines w:val="0"/>
        <w:pageBreakBefore w:val="0"/>
        <w:kinsoku/>
        <w:wordWrap/>
        <w:overflowPunct/>
        <w:topLinePunct w:val="0"/>
        <w:bidi w:val="0"/>
        <w:spacing w:line="360" w:lineRule="auto"/>
        <w:ind w:firstLine="4320" w:firstLine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企业名称（加盖公章）：</w:t>
      </w:r>
    </w:p>
    <w:p w14:paraId="640A408F">
      <w:pPr>
        <w:keepNext w:val="0"/>
        <w:keepLines w:val="0"/>
        <w:pageBreakBefore w:val="0"/>
        <w:kinsoku/>
        <w:wordWrap/>
        <w:overflowPunct/>
        <w:topLinePunct w:val="0"/>
        <w:bidi w:val="0"/>
        <w:spacing w:line="360" w:lineRule="auto"/>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法定代表人（负责人）或其授权代表(签字)：</w:t>
      </w:r>
    </w:p>
    <w:p w14:paraId="13846868">
      <w:pPr>
        <w:keepNext w:val="0"/>
        <w:keepLines w:val="0"/>
        <w:pageBreakBefore w:val="0"/>
        <w:tabs>
          <w:tab w:val="left" w:pos="2880"/>
        </w:tabs>
        <w:kinsoku/>
        <w:wordWrap/>
        <w:overflowPunct/>
        <w:topLinePunct w:val="0"/>
        <w:bidi w:val="0"/>
        <w:spacing w:line="460" w:lineRule="atLeast"/>
        <w:ind w:firstLine="4560" w:firstLineChars="19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5E14B18D">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注：后附监狱企业资格证明文件</w:t>
      </w:r>
    </w:p>
    <w:p w14:paraId="575BDAD3">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省级以上监狱管理局、戒毒管理局（含新疆生产建设兵团）出具的属于监狱企业的证明文件；</w:t>
      </w:r>
    </w:p>
    <w:p w14:paraId="33EAABBB">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2.证明材料加盖供应商公章。</w:t>
      </w:r>
    </w:p>
    <w:p w14:paraId="3B4A7A76">
      <w:pPr>
        <w:keepNext w:val="0"/>
        <w:keepLines w:val="0"/>
        <w:pageBreakBefore w:val="0"/>
        <w:kinsoku/>
        <w:wordWrap/>
        <w:overflowPunct/>
        <w:topLinePunct w:val="0"/>
        <w:bidi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（若响应性文件中无上述证明文件，则在评审时不考虑对该监狱企业的相关优惠。） </w:t>
      </w:r>
    </w:p>
    <w:p w14:paraId="3A3907F7">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color w:val="auto"/>
          <w:spacing w:val="6"/>
          <w:sz w:val="24"/>
          <w:highlight w:val="none"/>
        </w:rPr>
      </w:pPr>
      <w:bookmarkStart w:id="385" w:name="_Toc138177926"/>
      <w:bookmarkStart w:id="386" w:name="_Toc2606"/>
      <w:bookmarkStart w:id="387" w:name="_Toc20936"/>
      <w:bookmarkStart w:id="388" w:name="_Toc12565"/>
      <w:r>
        <w:rPr>
          <w:rFonts w:hint="eastAsia" w:ascii="仿宋" w:hAnsi="仿宋" w:eastAsia="仿宋" w:cs="仿宋"/>
          <w:b/>
          <w:color w:val="auto"/>
          <w:spacing w:val="6"/>
          <w:sz w:val="24"/>
          <w:highlight w:val="none"/>
        </w:rPr>
        <w:t>残疾人福利性单位声明函</w:t>
      </w:r>
      <w:bookmarkEnd w:id="385"/>
      <w:bookmarkEnd w:id="386"/>
      <w:bookmarkEnd w:id="387"/>
      <w:bookmarkEnd w:id="388"/>
    </w:p>
    <w:p w14:paraId="09FEA8B1">
      <w:pPr>
        <w:keepNext w:val="0"/>
        <w:keepLines w:val="0"/>
        <w:pageBreakBefore w:val="0"/>
        <w:kinsoku/>
        <w:wordWrap/>
        <w:overflowPunct/>
        <w:topLinePunct w:val="0"/>
        <w:autoSpaceDE w:val="0"/>
        <w:autoSpaceDN w:val="0"/>
        <w:bidi w:val="0"/>
        <w:adjustRightInd w:val="0"/>
        <w:spacing w:line="440" w:lineRule="exact"/>
        <w:textAlignment w:val="auto"/>
        <w:outlineLvl w:val="9"/>
        <w:rPr>
          <w:rFonts w:hint="eastAsia" w:ascii="仿宋" w:hAnsi="仿宋" w:eastAsia="仿宋" w:cs="仿宋"/>
          <w:b/>
          <w:bCs/>
          <w:color w:val="auto"/>
          <w:spacing w:val="6"/>
          <w:highlight w:val="none"/>
        </w:rPr>
      </w:pPr>
    </w:p>
    <w:p w14:paraId="25B31A08">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auto"/>
          <w:spacing w:val="6"/>
          <w:sz w:val="24"/>
          <w:szCs w:val="28"/>
          <w:highlight w:val="none"/>
        </w:rPr>
      </w:pPr>
      <w:r>
        <w:rPr>
          <w:rFonts w:hint="eastAsia" w:ascii="仿宋" w:hAnsi="仿宋" w:eastAsia="仿宋" w:cs="仿宋"/>
          <w:color w:val="auto"/>
          <w:spacing w:val="6"/>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6467BA">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auto"/>
          <w:spacing w:val="6"/>
          <w:sz w:val="24"/>
          <w:szCs w:val="28"/>
          <w:highlight w:val="none"/>
        </w:rPr>
      </w:pPr>
      <w:r>
        <w:rPr>
          <w:rFonts w:hint="eastAsia" w:ascii="仿宋" w:hAnsi="仿宋" w:eastAsia="仿宋" w:cs="仿宋"/>
          <w:color w:val="auto"/>
          <w:spacing w:val="6"/>
          <w:sz w:val="24"/>
          <w:szCs w:val="28"/>
          <w:highlight w:val="none"/>
        </w:rPr>
        <w:t xml:space="preserve">本单位对上述声明的真实性负责。如有虚假，将依法承担相应责任。 </w:t>
      </w:r>
    </w:p>
    <w:p w14:paraId="7D35CF31">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auto"/>
          <w:spacing w:val="6"/>
          <w:sz w:val="24"/>
          <w:szCs w:val="28"/>
          <w:highlight w:val="none"/>
        </w:rPr>
      </w:pPr>
    </w:p>
    <w:p w14:paraId="67F500DE">
      <w:pPr>
        <w:keepNext w:val="0"/>
        <w:keepLines w:val="0"/>
        <w:pageBreakBefore w:val="0"/>
        <w:kinsoku/>
        <w:wordWrap/>
        <w:overflowPunct/>
        <w:topLinePunct w:val="0"/>
        <w:bidi w:val="0"/>
        <w:adjustRightInd w:val="0"/>
        <w:snapToGrid w:val="0"/>
        <w:spacing w:line="440" w:lineRule="exact"/>
        <w:ind w:firstLine="5544" w:firstLineChars="2200"/>
        <w:textAlignment w:val="auto"/>
        <w:outlineLvl w:val="9"/>
        <w:rPr>
          <w:rFonts w:hint="eastAsia" w:ascii="仿宋" w:hAnsi="仿宋" w:eastAsia="仿宋" w:cs="仿宋"/>
          <w:color w:val="auto"/>
          <w:spacing w:val="6"/>
          <w:sz w:val="24"/>
          <w:szCs w:val="28"/>
          <w:highlight w:val="none"/>
        </w:rPr>
      </w:pPr>
      <w:r>
        <w:rPr>
          <w:rFonts w:hint="eastAsia" w:ascii="仿宋" w:hAnsi="仿宋" w:eastAsia="仿宋" w:cs="仿宋"/>
          <w:color w:val="auto"/>
          <w:spacing w:val="6"/>
          <w:sz w:val="24"/>
          <w:szCs w:val="28"/>
          <w:highlight w:val="none"/>
        </w:rPr>
        <w:t>单位名称（盖章）：</w:t>
      </w:r>
    </w:p>
    <w:p w14:paraId="207EA999">
      <w:pPr>
        <w:keepNext w:val="0"/>
        <w:keepLines w:val="0"/>
        <w:pageBreakBefore w:val="0"/>
        <w:widowControl/>
        <w:kinsoku/>
        <w:wordWrap/>
        <w:overflowPunct/>
        <w:topLinePunct w:val="0"/>
        <w:bidi w:val="0"/>
        <w:spacing w:line="360" w:lineRule="auto"/>
        <w:jc w:val="center"/>
        <w:textAlignment w:val="auto"/>
        <w:outlineLvl w:val="9"/>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pacing w:val="6"/>
          <w:sz w:val="24"/>
          <w:szCs w:val="28"/>
          <w:highlight w:val="none"/>
          <w:lang w:val="en-US" w:eastAsia="zh-CN"/>
        </w:rPr>
        <w:t xml:space="preserve">                      </w:t>
      </w:r>
      <w:r>
        <w:rPr>
          <w:rFonts w:hint="eastAsia" w:ascii="仿宋" w:hAnsi="仿宋" w:eastAsia="仿宋" w:cs="仿宋"/>
          <w:color w:val="auto"/>
          <w:spacing w:val="6"/>
          <w:sz w:val="24"/>
          <w:szCs w:val="28"/>
          <w:highlight w:val="none"/>
        </w:rPr>
        <w:t>日  期：</w:t>
      </w:r>
    </w:p>
    <w:p w14:paraId="02DC825F">
      <w:pPr>
        <w:keepNext w:val="0"/>
        <w:keepLines w:val="0"/>
        <w:pageBreakBefore w:val="0"/>
        <w:widowControl/>
        <w:kinsoku/>
        <w:wordWrap/>
        <w:overflowPunct/>
        <w:topLinePunct w:val="0"/>
        <w:bidi w:val="0"/>
        <w:spacing w:line="360" w:lineRule="auto"/>
        <w:jc w:val="left"/>
        <w:textAlignment w:val="auto"/>
        <w:outlineLvl w:val="9"/>
        <w:rPr>
          <w:rFonts w:hint="eastAsia" w:ascii="仿宋" w:hAnsi="仿宋" w:eastAsia="仿宋" w:cs="仿宋"/>
          <w:b/>
          <w:color w:val="auto"/>
          <w:sz w:val="24"/>
          <w:szCs w:val="24"/>
          <w:highlight w:val="none"/>
          <w:shd w:val="clear" w:color="auto" w:fill="FFFFFF" w:themeFill="background1"/>
        </w:rPr>
      </w:pPr>
    </w:p>
    <w:p w14:paraId="154BC4E1">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389" w:name="_Toc38446479"/>
      <w:bookmarkStart w:id="390" w:name="_Toc507586174"/>
      <w:bookmarkStart w:id="391" w:name="_Toc533503190"/>
      <w:bookmarkStart w:id="392" w:name="_Toc25643"/>
      <w:bookmarkStart w:id="393" w:name="_Toc30180"/>
      <w:r>
        <w:rPr>
          <w:rFonts w:hint="eastAsia" w:ascii="仿宋" w:hAnsi="仿宋" w:eastAsia="仿宋" w:cs="仿宋"/>
          <w:b/>
          <w:color w:val="auto"/>
          <w:sz w:val="24"/>
          <w:szCs w:val="24"/>
          <w:highlight w:val="none"/>
          <w:shd w:val="clear" w:color="auto" w:fill="FFFFFF" w:themeFill="background1"/>
        </w:rPr>
        <w:t>九、</w:t>
      </w:r>
      <w:bookmarkEnd w:id="389"/>
      <w:bookmarkEnd w:id="390"/>
      <w:bookmarkEnd w:id="391"/>
      <w:bookmarkEnd w:id="392"/>
      <w:r>
        <w:rPr>
          <w:rFonts w:hint="eastAsia" w:ascii="仿宋" w:hAnsi="仿宋" w:eastAsia="仿宋" w:cs="仿宋"/>
          <w:b/>
          <w:bCs/>
          <w:color w:val="auto"/>
          <w:sz w:val="24"/>
          <w:szCs w:val="24"/>
          <w:highlight w:val="none"/>
          <w:shd w:val="clear" w:color="auto" w:fill="FFFFFF" w:themeFill="background1"/>
        </w:rPr>
        <w:t>投标人近三年类似项目业绩表</w:t>
      </w:r>
      <w:bookmarkEnd w:id="393"/>
    </w:p>
    <w:p w14:paraId="7F3AB0D6">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2"/>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1402"/>
        <w:gridCol w:w="1043"/>
        <w:gridCol w:w="1246"/>
        <w:gridCol w:w="1095"/>
        <w:gridCol w:w="1111"/>
        <w:gridCol w:w="1111"/>
        <w:gridCol w:w="742"/>
      </w:tblGrid>
      <w:tr w14:paraId="4FCB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BAFF660">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25737E2F">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7757B8E">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E6DCBF8">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7AA8A25E">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7B03615A">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557520FE">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540D07B">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75B3836">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4FA1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310E08C">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F0A195F">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15E17D">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ADC8711">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29E9148">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434F5E7">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16824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1B5A755">
            <w:pPr>
              <w:jc w:val="center"/>
              <w:rPr>
                <w:rFonts w:hint="eastAsia" w:ascii="仿宋" w:hAnsi="仿宋" w:eastAsia="仿宋" w:cs="仿宋"/>
                <w:color w:val="auto"/>
                <w:kern w:val="0"/>
                <w:sz w:val="24"/>
                <w:szCs w:val="24"/>
                <w:highlight w:val="none"/>
                <w:shd w:val="clear" w:color="auto" w:fill="FFFFFF" w:themeFill="background1"/>
              </w:rPr>
            </w:pPr>
          </w:p>
        </w:tc>
      </w:tr>
      <w:tr w14:paraId="0A3FA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17E1667">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C21E8D9">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F47275">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85BF752">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B845EC0">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327D19E">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F93474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4E7D94">
            <w:pPr>
              <w:jc w:val="center"/>
              <w:rPr>
                <w:rFonts w:hint="eastAsia" w:ascii="仿宋" w:hAnsi="仿宋" w:eastAsia="仿宋" w:cs="仿宋"/>
                <w:color w:val="auto"/>
                <w:kern w:val="0"/>
                <w:sz w:val="24"/>
                <w:szCs w:val="24"/>
                <w:highlight w:val="none"/>
                <w:shd w:val="clear" w:color="auto" w:fill="FFFFFF" w:themeFill="background1"/>
              </w:rPr>
            </w:pPr>
          </w:p>
        </w:tc>
      </w:tr>
      <w:tr w14:paraId="35FA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C0817B4">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5619ECC">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6D97C1">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F9F6EC7">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13011DA">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C5F7CBD">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26073C">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AEDE31D">
            <w:pPr>
              <w:jc w:val="center"/>
              <w:rPr>
                <w:rFonts w:hint="eastAsia" w:ascii="仿宋" w:hAnsi="仿宋" w:eastAsia="仿宋" w:cs="仿宋"/>
                <w:color w:val="auto"/>
                <w:kern w:val="0"/>
                <w:sz w:val="24"/>
                <w:szCs w:val="24"/>
                <w:highlight w:val="none"/>
                <w:shd w:val="clear" w:color="auto" w:fill="FFFFFF" w:themeFill="background1"/>
              </w:rPr>
            </w:pPr>
          </w:p>
        </w:tc>
      </w:tr>
      <w:tr w14:paraId="5DA3E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F4930C">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CDB7864">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B26C64">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56A1E7F">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D930068">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3380647">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41179F">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36777BA">
            <w:pPr>
              <w:jc w:val="center"/>
              <w:rPr>
                <w:rFonts w:hint="eastAsia" w:ascii="仿宋" w:hAnsi="仿宋" w:eastAsia="仿宋" w:cs="仿宋"/>
                <w:color w:val="auto"/>
                <w:kern w:val="0"/>
                <w:sz w:val="24"/>
                <w:szCs w:val="24"/>
                <w:highlight w:val="none"/>
                <w:shd w:val="clear" w:color="auto" w:fill="FFFFFF" w:themeFill="background1"/>
              </w:rPr>
            </w:pPr>
          </w:p>
        </w:tc>
      </w:tr>
      <w:tr w14:paraId="499F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BA0FFCF">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1E179A3">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D017DD">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A407899">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6797969">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886573">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1372B7">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C09293D">
            <w:pPr>
              <w:jc w:val="center"/>
              <w:rPr>
                <w:rFonts w:hint="eastAsia" w:ascii="仿宋" w:hAnsi="仿宋" w:eastAsia="仿宋" w:cs="仿宋"/>
                <w:color w:val="auto"/>
                <w:kern w:val="0"/>
                <w:sz w:val="24"/>
                <w:szCs w:val="24"/>
                <w:highlight w:val="none"/>
                <w:shd w:val="clear" w:color="auto" w:fill="FFFFFF" w:themeFill="background1"/>
              </w:rPr>
            </w:pPr>
          </w:p>
        </w:tc>
      </w:tr>
    </w:tbl>
    <w:p w14:paraId="7EC46C53">
      <w:pPr>
        <w:spacing w:line="360" w:lineRule="auto"/>
        <w:jc w:val="left"/>
        <w:rPr>
          <w:rFonts w:hint="eastAsia" w:ascii="仿宋" w:hAnsi="仿宋" w:eastAsia="仿宋" w:cs="仿宋"/>
          <w:color w:val="auto"/>
          <w:sz w:val="24"/>
          <w:szCs w:val="24"/>
          <w:highlight w:val="none"/>
          <w:shd w:val="clear" w:color="auto" w:fill="FFFFFF" w:themeFill="background1"/>
        </w:rPr>
      </w:pPr>
    </w:p>
    <w:p w14:paraId="49726652">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备注：本表后须附业绩的证明资料：</w:t>
      </w:r>
      <w:r>
        <w:rPr>
          <w:rFonts w:hint="eastAsia" w:ascii="仿宋" w:hAnsi="仿宋" w:eastAsia="仿宋" w:cs="仿宋"/>
          <w:color w:val="auto"/>
          <w:sz w:val="24"/>
          <w:szCs w:val="24"/>
          <w:highlight w:val="none"/>
          <w:u w:val="single"/>
          <w:shd w:val="clear" w:color="auto" w:fill="FFFFFF" w:themeFill="background1"/>
        </w:rPr>
        <w:t>需提供招标文件要求的有关书面证明材料。</w:t>
      </w:r>
    </w:p>
    <w:p w14:paraId="32EAD2EA">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5AEFC81F">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6C8143EA">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064DE4BE">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394" w:name="_Toc3975"/>
      <w:bookmarkStart w:id="395" w:name="_Toc507586175"/>
      <w:bookmarkStart w:id="396" w:name="_Toc20381"/>
      <w:bookmarkStart w:id="397" w:name="_Toc38446480"/>
      <w:bookmarkStart w:id="398" w:name="_Toc533503191"/>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rPr>
        <w:t>项目负责人简历表</w:t>
      </w:r>
      <w:bookmarkEnd w:id="394"/>
      <w:bookmarkEnd w:id="395"/>
      <w:bookmarkEnd w:id="396"/>
      <w:bookmarkEnd w:id="397"/>
      <w:bookmarkEnd w:id="398"/>
    </w:p>
    <w:p w14:paraId="377DBA2F">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0D8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F1E98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姓名</w:t>
            </w:r>
          </w:p>
        </w:tc>
        <w:tc>
          <w:tcPr>
            <w:tcW w:w="2602" w:type="dxa"/>
            <w:gridSpan w:val="2"/>
            <w:vAlign w:val="center"/>
          </w:tcPr>
          <w:p w14:paraId="454DFA8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6AE7D753">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性别</w:t>
            </w:r>
          </w:p>
        </w:tc>
        <w:tc>
          <w:tcPr>
            <w:tcW w:w="2639" w:type="dxa"/>
            <w:gridSpan w:val="2"/>
            <w:vAlign w:val="center"/>
          </w:tcPr>
          <w:p w14:paraId="56E8C7ED">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452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5230F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身份证号码</w:t>
            </w:r>
          </w:p>
        </w:tc>
        <w:tc>
          <w:tcPr>
            <w:tcW w:w="2602" w:type="dxa"/>
            <w:gridSpan w:val="2"/>
            <w:vAlign w:val="center"/>
          </w:tcPr>
          <w:p w14:paraId="2970429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35590CD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学历</w:t>
            </w:r>
          </w:p>
        </w:tc>
        <w:tc>
          <w:tcPr>
            <w:tcW w:w="2639" w:type="dxa"/>
            <w:gridSpan w:val="2"/>
            <w:vAlign w:val="center"/>
          </w:tcPr>
          <w:p w14:paraId="12D7F424">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7A46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62562B6">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毕业学校</w:t>
            </w:r>
          </w:p>
        </w:tc>
        <w:tc>
          <w:tcPr>
            <w:tcW w:w="2602" w:type="dxa"/>
            <w:gridSpan w:val="2"/>
            <w:vAlign w:val="center"/>
          </w:tcPr>
          <w:p w14:paraId="651CB580">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154C807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专业</w:t>
            </w:r>
          </w:p>
        </w:tc>
        <w:tc>
          <w:tcPr>
            <w:tcW w:w="2639" w:type="dxa"/>
            <w:gridSpan w:val="2"/>
            <w:vAlign w:val="center"/>
          </w:tcPr>
          <w:p w14:paraId="1A834C85">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1EEE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07DE084">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参加工作时间</w:t>
            </w:r>
          </w:p>
        </w:tc>
        <w:tc>
          <w:tcPr>
            <w:tcW w:w="2602" w:type="dxa"/>
            <w:gridSpan w:val="2"/>
            <w:vAlign w:val="center"/>
          </w:tcPr>
          <w:p w14:paraId="59D361BE">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1D528D5F">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从事本职业年限</w:t>
            </w:r>
          </w:p>
        </w:tc>
        <w:tc>
          <w:tcPr>
            <w:tcW w:w="2639" w:type="dxa"/>
            <w:gridSpan w:val="2"/>
            <w:vAlign w:val="center"/>
          </w:tcPr>
          <w:p w14:paraId="584F4C31">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4F0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B7648D7">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在公司担任职务</w:t>
            </w:r>
          </w:p>
        </w:tc>
        <w:tc>
          <w:tcPr>
            <w:tcW w:w="2602" w:type="dxa"/>
            <w:gridSpan w:val="2"/>
            <w:vAlign w:val="center"/>
          </w:tcPr>
          <w:p w14:paraId="00D2DB6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67A42C3F">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联系方式</w:t>
            </w:r>
          </w:p>
        </w:tc>
        <w:tc>
          <w:tcPr>
            <w:tcW w:w="2639" w:type="dxa"/>
            <w:gridSpan w:val="2"/>
            <w:vAlign w:val="center"/>
          </w:tcPr>
          <w:p w14:paraId="36A480BB">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1A22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425AD8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证书名称</w:t>
            </w:r>
          </w:p>
        </w:tc>
        <w:tc>
          <w:tcPr>
            <w:tcW w:w="2602" w:type="dxa"/>
            <w:gridSpan w:val="2"/>
            <w:vAlign w:val="center"/>
          </w:tcPr>
          <w:p w14:paraId="3FCE1B5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61A8301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证书编号</w:t>
            </w:r>
          </w:p>
        </w:tc>
        <w:tc>
          <w:tcPr>
            <w:tcW w:w="2639" w:type="dxa"/>
            <w:gridSpan w:val="2"/>
            <w:vAlign w:val="center"/>
          </w:tcPr>
          <w:p w14:paraId="475E2DD2">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E7D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F5E75B0">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近三年类似业绩</w:t>
            </w:r>
          </w:p>
        </w:tc>
        <w:tc>
          <w:tcPr>
            <w:tcW w:w="1372" w:type="dxa"/>
            <w:vAlign w:val="center"/>
          </w:tcPr>
          <w:p w14:paraId="599A4B0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项目名称</w:t>
            </w:r>
          </w:p>
        </w:tc>
        <w:tc>
          <w:tcPr>
            <w:tcW w:w="1463" w:type="dxa"/>
            <w:gridSpan w:val="2"/>
            <w:vAlign w:val="center"/>
          </w:tcPr>
          <w:p w14:paraId="1CEA20A6">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采购人</w:t>
            </w:r>
          </w:p>
        </w:tc>
        <w:tc>
          <w:tcPr>
            <w:tcW w:w="1702" w:type="dxa"/>
            <w:vAlign w:val="center"/>
          </w:tcPr>
          <w:p w14:paraId="7FC91594">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合同内容</w:t>
            </w:r>
          </w:p>
        </w:tc>
        <w:tc>
          <w:tcPr>
            <w:tcW w:w="1275" w:type="dxa"/>
            <w:vAlign w:val="center"/>
          </w:tcPr>
          <w:p w14:paraId="21A03BE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合同价格</w:t>
            </w:r>
          </w:p>
        </w:tc>
        <w:tc>
          <w:tcPr>
            <w:tcW w:w="1364" w:type="dxa"/>
            <w:vAlign w:val="center"/>
          </w:tcPr>
          <w:p w14:paraId="1C2F5389">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签约日期</w:t>
            </w:r>
          </w:p>
        </w:tc>
      </w:tr>
      <w:tr w14:paraId="79D7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6F9C60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4C78CD9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739FE1F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37E7776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0ED3D2AF">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62B1912F">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46AA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3A0A44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4E162D1F">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6FB11DE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5BE1787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0E18E698">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6466682B">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1A45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BF3510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07F60F2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132A4DD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43911FC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2DD6DB9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039EA435">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1D0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4EBB40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5E534F5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3733653E">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3A052A4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35DB590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1E43C495">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75B1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32BCA8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28F64FF0">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0BE451B8">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16ED4B6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5267E0A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3852179B">
            <w:pPr>
              <w:spacing w:line="360" w:lineRule="auto"/>
              <w:jc w:val="center"/>
              <w:rPr>
                <w:rFonts w:hint="eastAsia" w:ascii="仿宋" w:hAnsi="仿宋" w:eastAsia="仿宋" w:cs="仿宋"/>
                <w:color w:val="auto"/>
                <w:sz w:val="24"/>
                <w:szCs w:val="24"/>
                <w:highlight w:val="none"/>
                <w:shd w:val="clear" w:color="auto" w:fill="FFFFFF" w:themeFill="background1"/>
              </w:rPr>
            </w:pPr>
          </w:p>
        </w:tc>
      </w:tr>
    </w:tbl>
    <w:p w14:paraId="5468EBDB">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7062E10B">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备注：本表后需提供招标文件要求</w:t>
      </w:r>
      <w:r>
        <w:rPr>
          <w:rFonts w:hint="eastAsia" w:ascii="仿宋" w:hAnsi="仿宋" w:eastAsia="仿宋" w:cs="仿宋"/>
          <w:color w:val="auto"/>
          <w:sz w:val="24"/>
          <w:szCs w:val="24"/>
          <w:highlight w:val="none"/>
          <w:shd w:val="clear" w:color="auto" w:fill="FFFFFF" w:themeFill="background1"/>
          <w:lang w:val="en-US" w:eastAsia="zh-CN"/>
        </w:rPr>
        <w:t>或与本项目</w:t>
      </w:r>
      <w:r>
        <w:rPr>
          <w:rFonts w:hint="eastAsia" w:ascii="仿宋" w:hAnsi="仿宋" w:eastAsia="仿宋" w:cs="仿宋"/>
          <w:color w:val="auto"/>
          <w:sz w:val="24"/>
          <w:szCs w:val="24"/>
          <w:highlight w:val="none"/>
          <w:shd w:val="clear" w:color="auto" w:fill="FFFFFF" w:themeFill="background1"/>
        </w:rPr>
        <w:t>有关的书面证明材料。</w:t>
      </w:r>
    </w:p>
    <w:p w14:paraId="2468B98E">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399" w:name="_Toc507586176"/>
      <w:r>
        <w:rPr>
          <w:rFonts w:hint="eastAsia" w:ascii="仿宋" w:hAnsi="仿宋" w:eastAsia="仿宋" w:cs="仿宋"/>
          <w:b/>
          <w:bCs/>
          <w:color w:val="auto"/>
          <w:sz w:val="24"/>
          <w:szCs w:val="24"/>
          <w:highlight w:val="none"/>
          <w:shd w:val="clear" w:color="auto" w:fill="FFFFFF" w:themeFill="background1"/>
        </w:rPr>
        <w:br w:type="page"/>
      </w:r>
      <w:bookmarkStart w:id="400" w:name="_Toc533503192"/>
      <w:bookmarkStart w:id="401" w:name="_Toc38446481"/>
      <w:bookmarkStart w:id="402" w:name="_Toc10335"/>
      <w:bookmarkStart w:id="403" w:name="_Toc4484"/>
      <w:r>
        <w:rPr>
          <w:rFonts w:hint="eastAsia" w:ascii="仿宋" w:hAnsi="仿宋" w:eastAsia="仿宋" w:cs="仿宋"/>
          <w:b/>
          <w:bCs/>
          <w:color w:val="auto"/>
          <w:sz w:val="24"/>
          <w:szCs w:val="24"/>
          <w:highlight w:val="none"/>
          <w:shd w:val="clear" w:color="auto" w:fill="FFFFFF" w:themeFill="background1"/>
        </w:rPr>
        <w:t>十一、</w:t>
      </w:r>
      <w:bookmarkEnd w:id="399"/>
      <w:bookmarkEnd w:id="400"/>
      <w:bookmarkEnd w:id="401"/>
      <w:r>
        <w:rPr>
          <w:rFonts w:hint="eastAsia" w:ascii="仿宋" w:hAnsi="仿宋" w:eastAsia="仿宋" w:cs="仿宋"/>
          <w:b/>
          <w:bCs/>
          <w:color w:val="auto"/>
          <w:sz w:val="24"/>
          <w:szCs w:val="24"/>
          <w:highlight w:val="none"/>
          <w:shd w:val="clear" w:color="auto" w:fill="FFFFFF" w:themeFill="background1"/>
        </w:rPr>
        <w:t>拟派本项目服务人员情况表</w:t>
      </w:r>
      <w:bookmarkEnd w:id="402"/>
      <w:bookmarkEnd w:id="403"/>
    </w:p>
    <w:p w14:paraId="7B7F783C">
      <w:pPr>
        <w:spacing w:line="360" w:lineRule="auto"/>
        <w:rPr>
          <w:rFonts w:hint="eastAsia" w:ascii="仿宋" w:hAnsi="仿宋" w:eastAsia="仿宋" w:cs="仿宋"/>
          <w:color w:val="auto"/>
          <w:sz w:val="24"/>
          <w:szCs w:val="24"/>
          <w:highlight w:val="none"/>
          <w:shd w:val="clear" w:color="auto" w:fill="FFFFFF" w:themeFill="background1"/>
        </w:rPr>
      </w:pPr>
    </w:p>
    <w:tbl>
      <w:tblPr>
        <w:tblStyle w:val="4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14"/>
        <w:gridCol w:w="1196"/>
        <w:gridCol w:w="1558"/>
        <w:gridCol w:w="1299"/>
        <w:gridCol w:w="1455"/>
        <w:gridCol w:w="1377"/>
        <w:gridCol w:w="742"/>
      </w:tblGrid>
      <w:tr w14:paraId="38FD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1552A8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序号</w:t>
            </w:r>
          </w:p>
        </w:tc>
        <w:tc>
          <w:tcPr>
            <w:tcW w:w="1214" w:type="dxa"/>
            <w:vAlign w:val="center"/>
          </w:tcPr>
          <w:p w14:paraId="26997BA7">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姓名</w:t>
            </w:r>
          </w:p>
        </w:tc>
        <w:tc>
          <w:tcPr>
            <w:tcW w:w="1196" w:type="dxa"/>
            <w:vAlign w:val="center"/>
          </w:tcPr>
          <w:p w14:paraId="3E686F54">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性别</w:t>
            </w:r>
          </w:p>
        </w:tc>
        <w:tc>
          <w:tcPr>
            <w:tcW w:w="1558" w:type="dxa"/>
            <w:vAlign w:val="center"/>
          </w:tcPr>
          <w:p w14:paraId="5ED0B05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身份证号码</w:t>
            </w:r>
          </w:p>
        </w:tc>
        <w:tc>
          <w:tcPr>
            <w:tcW w:w="1299" w:type="dxa"/>
            <w:vAlign w:val="center"/>
          </w:tcPr>
          <w:p w14:paraId="138F9849">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学历</w:t>
            </w:r>
          </w:p>
        </w:tc>
        <w:tc>
          <w:tcPr>
            <w:tcW w:w="1455" w:type="dxa"/>
            <w:vAlign w:val="center"/>
          </w:tcPr>
          <w:p w14:paraId="123271F6">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担任岗位</w:t>
            </w:r>
          </w:p>
        </w:tc>
        <w:tc>
          <w:tcPr>
            <w:tcW w:w="1377" w:type="dxa"/>
            <w:vAlign w:val="center"/>
          </w:tcPr>
          <w:p w14:paraId="5B35F24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从事类似</w:t>
            </w:r>
          </w:p>
          <w:p w14:paraId="783AEE1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工作年限</w:t>
            </w:r>
          </w:p>
        </w:tc>
        <w:tc>
          <w:tcPr>
            <w:tcW w:w="742" w:type="dxa"/>
            <w:vAlign w:val="center"/>
          </w:tcPr>
          <w:p w14:paraId="2CC7A12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w:t>
            </w:r>
          </w:p>
        </w:tc>
      </w:tr>
      <w:tr w14:paraId="5E04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3BBD571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14" w:type="dxa"/>
            <w:vAlign w:val="center"/>
          </w:tcPr>
          <w:p w14:paraId="2104074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196" w:type="dxa"/>
            <w:vAlign w:val="center"/>
          </w:tcPr>
          <w:p w14:paraId="4C1F6E6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558" w:type="dxa"/>
            <w:vAlign w:val="center"/>
          </w:tcPr>
          <w:p w14:paraId="0577B01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99" w:type="dxa"/>
            <w:vAlign w:val="center"/>
          </w:tcPr>
          <w:p w14:paraId="71B1A86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55" w:type="dxa"/>
            <w:vAlign w:val="center"/>
          </w:tcPr>
          <w:p w14:paraId="5248926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7" w:type="dxa"/>
            <w:vAlign w:val="center"/>
          </w:tcPr>
          <w:p w14:paraId="112F3F28">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742" w:type="dxa"/>
            <w:vAlign w:val="center"/>
          </w:tcPr>
          <w:p w14:paraId="2725874F">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6138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59F77D8">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14" w:type="dxa"/>
            <w:vAlign w:val="center"/>
          </w:tcPr>
          <w:p w14:paraId="6B72AE2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196" w:type="dxa"/>
            <w:vAlign w:val="center"/>
          </w:tcPr>
          <w:p w14:paraId="4D3316BE">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558" w:type="dxa"/>
            <w:vAlign w:val="center"/>
          </w:tcPr>
          <w:p w14:paraId="0633EFE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99" w:type="dxa"/>
            <w:vAlign w:val="center"/>
          </w:tcPr>
          <w:p w14:paraId="37A298D0">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55" w:type="dxa"/>
            <w:vAlign w:val="center"/>
          </w:tcPr>
          <w:p w14:paraId="70D75DDF">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7" w:type="dxa"/>
            <w:vAlign w:val="center"/>
          </w:tcPr>
          <w:p w14:paraId="0B8FCF30">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742" w:type="dxa"/>
            <w:vAlign w:val="center"/>
          </w:tcPr>
          <w:p w14:paraId="28538A1B">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500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1246D36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14" w:type="dxa"/>
            <w:vAlign w:val="center"/>
          </w:tcPr>
          <w:p w14:paraId="3F6E489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196" w:type="dxa"/>
            <w:vAlign w:val="center"/>
          </w:tcPr>
          <w:p w14:paraId="341EBC4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558" w:type="dxa"/>
            <w:vAlign w:val="center"/>
          </w:tcPr>
          <w:p w14:paraId="45FC1EF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99" w:type="dxa"/>
            <w:vAlign w:val="center"/>
          </w:tcPr>
          <w:p w14:paraId="52E381B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55" w:type="dxa"/>
            <w:vAlign w:val="center"/>
          </w:tcPr>
          <w:p w14:paraId="5856E33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7" w:type="dxa"/>
            <w:vAlign w:val="center"/>
          </w:tcPr>
          <w:p w14:paraId="373094FE">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742" w:type="dxa"/>
            <w:vAlign w:val="center"/>
          </w:tcPr>
          <w:p w14:paraId="4BB42A8C">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7292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60F570A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14" w:type="dxa"/>
            <w:vAlign w:val="center"/>
          </w:tcPr>
          <w:p w14:paraId="15FD922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196" w:type="dxa"/>
            <w:vAlign w:val="center"/>
          </w:tcPr>
          <w:p w14:paraId="623F453F">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558" w:type="dxa"/>
            <w:vAlign w:val="center"/>
          </w:tcPr>
          <w:p w14:paraId="0DE826F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99" w:type="dxa"/>
            <w:vAlign w:val="center"/>
          </w:tcPr>
          <w:p w14:paraId="09C89DB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55" w:type="dxa"/>
            <w:vAlign w:val="center"/>
          </w:tcPr>
          <w:p w14:paraId="0BF85A8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7" w:type="dxa"/>
            <w:vAlign w:val="center"/>
          </w:tcPr>
          <w:p w14:paraId="2B83A89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742" w:type="dxa"/>
            <w:vAlign w:val="center"/>
          </w:tcPr>
          <w:p w14:paraId="27299D31">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291D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44DBA8C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14" w:type="dxa"/>
            <w:vAlign w:val="center"/>
          </w:tcPr>
          <w:p w14:paraId="641B41E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196" w:type="dxa"/>
            <w:vAlign w:val="center"/>
          </w:tcPr>
          <w:p w14:paraId="33B9635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558" w:type="dxa"/>
            <w:vAlign w:val="center"/>
          </w:tcPr>
          <w:p w14:paraId="06509CC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99" w:type="dxa"/>
            <w:vAlign w:val="center"/>
          </w:tcPr>
          <w:p w14:paraId="27A5FAD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55" w:type="dxa"/>
            <w:vAlign w:val="center"/>
          </w:tcPr>
          <w:p w14:paraId="1752D9F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7" w:type="dxa"/>
            <w:vAlign w:val="center"/>
          </w:tcPr>
          <w:p w14:paraId="34E618F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742" w:type="dxa"/>
            <w:vAlign w:val="center"/>
          </w:tcPr>
          <w:p w14:paraId="3C092BD6">
            <w:pPr>
              <w:spacing w:line="360" w:lineRule="auto"/>
              <w:jc w:val="center"/>
              <w:rPr>
                <w:rFonts w:hint="eastAsia" w:ascii="仿宋" w:hAnsi="仿宋" w:eastAsia="仿宋" w:cs="仿宋"/>
                <w:color w:val="auto"/>
                <w:sz w:val="24"/>
                <w:szCs w:val="24"/>
                <w:highlight w:val="none"/>
                <w:shd w:val="clear" w:color="auto" w:fill="FFFFFF" w:themeFill="background1"/>
              </w:rPr>
            </w:pPr>
          </w:p>
        </w:tc>
      </w:tr>
    </w:tbl>
    <w:p w14:paraId="3F7E358C">
      <w:pPr>
        <w:spacing w:line="360" w:lineRule="auto"/>
        <w:jc w:val="left"/>
        <w:rPr>
          <w:rFonts w:hint="eastAsia" w:ascii="仿宋" w:hAnsi="仿宋" w:eastAsia="仿宋" w:cs="仿宋"/>
          <w:bCs/>
          <w:color w:val="auto"/>
          <w:sz w:val="24"/>
          <w:szCs w:val="24"/>
          <w:highlight w:val="none"/>
          <w:shd w:val="clear" w:color="auto" w:fill="FFFFFF" w:themeFill="background1"/>
        </w:rPr>
      </w:pPr>
    </w:p>
    <w:p w14:paraId="7F252D70">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备注：</w:t>
      </w:r>
      <w:r>
        <w:rPr>
          <w:rFonts w:hint="eastAsia" w:ascii="仿宋" w:hAnsi="仿宋" w:eastAsia="仿宋" w:cs="仿宋"/>
          <w:color w:val="auto"/>
          <w:sz w:val="24"/>
          <w:szCs w:val="24"/>
          <w:highlight w:val="none"/>
          <w:shd w:val="clear" w:color="auto" w:fill="FFFFFF" w:themeFill="background1"/>
        </w:rPr>
        <w:t>本表后需提供招标文件要求</w:t>
      </w:r>
      <w:r>
        <w:rPr>
          <w:rFonts w:hint="eastAsia" w:ascii="仿宋" w:hAnsi="仿宋" w:eastAsia="仿宋" w:cs="仿宋"/>
          <w:color w:val="auto"/>
          <w:sz w:val="24"/>
          <w:szCs w:val="24"/>
          <w:highlight w:val="none"/>
          <w:shd w:val="clear" w:color="auto" w:fill="FFFFFF" w:themeFill="background1"/>
          <w:lang w:val="en-US" w:eastAsia="zh-CN"/>
        </w:rPr>
        <w:t>或与本项目</w:t>
      </w:r>
      <w:r>
        <w:rPr>
          <w:rFonts w:hint="eastAsia" w:ascii="仿宋" w:hAnsi="仿宋" w:eastAsia="仿宋" w:cs="仿宋"/>
          <w:color w:val="auto"/>
          <w:sz w:val="24"/>
          <w:szCs w:val="24"/>
          <w:highlight w:val="none"/>
          <w:shd w:val="clear" w:color="auto" w:fill="FFFFFF" w:themeFill="background1"/>
        </w:rPr>
        <w:t>有关的书面证明材料。</w:t>
      </w:r>
    </w:p>
    <w:p w14:paraId="4E17AC42">
      <w:pPr>
        <w:spacing w:line="360" w:lineRule="auto"/>
        <w:jc w:val="center"/>
        <w:outlineLvl w:val="1"/>
        <w:rPr>
          <w:rFonts w:hint="eastAsia" w:ascii="仿宋" w:hAnsi="仿宋" w:eastAsia="仿宋" w:cs="仿宋"/>
          <w:bCs/>
          <w:color w:val="auto"/>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404" w:name="_Toc38446482"/>
      <w:bookmarkStart w:id="405" w:name="_Toc507586177"/>
      <w:bookmarkStart w:id="406" w:name="_Toc4741"/>
      <w:bookmarkStart w:id="407" w:name="_Toc533503193"/>
      <w:bookmarkStart w:id="408" w:name="_Toc26818"/>
      <w:r>
        <w:rPr>
          <w:rFonts w:hint="eastAsia" w:ascii="仿宋" w:hAnsi="仿宋" w:eastAsia="仿宋" w:cs="仿宋"/>
          <w:b/>
          <w:color w:val="auto"/>
          <w:sz w:val="24"/>
          <w:szCs w:val="24"/>
          <w:highlight w:val="none"/>
          <w:shd w:val="clear" w:color="auto" w:fill="FFFFFF" w:themeFill="background1"/>
        </w:rPr>
        <w:t>十二、</w:t>
      </w:r>
      <w:r>
        <w:rPr>
          <w:rFonts w:hint="eastAsia" w:ascii="仿宋" w:hAnsi="仿宋" w:eastAsia="仿宋" w:cs="仿宋"/>
          <w:b/>
          <w:bCs/>
          <w:color w:val="auto"/>
          <w:sz w:val="24"/>
          <w:szCs w:val="24"/>
          <w:highlight w:val="none"/>
          <w:shd w:val="clear" w:color="auto" w:fill="FFFFFF" w:themeFill="background1"/>
          <w:lang w:val="en-US" w:eastAsia="zh-CN"/>
        </w:rPr>
        <w:t>供货</w:t>
      </w:r>
      <w:r>
        <w:rPr>
          <w:rFonts w:hint="eastAsia" w:ascii="仿宋" w:hAnsi="仿宋" w:eastAsia="仿宋" w:cs="仿宋"/>
          <w:b/>
          <w:bCs/>
          <w:color w:val="auto"/>
          <w:sz w:val="24"/>
          <w:szCs w:val="24"/>
          <w:highlight w:val="none"/>
          <w:shd w:val="clear" w:color="auto" w:fill="FFFFFF" w:themeFill="background1"/>
        </w:rPr>
        <w:t>方案</w:t>
      </w:r>
      <w:bookmarkEnd w:id="404"/>
      <w:bookmarkEnd w:id="405"/>
      <w:bookmarkEnd w:id="406"/>
      <w:bookmarkEnd w:id="407"/>
      <w:bookmarkEnd w:id="408"/>
    </w:p>
    <w:p w14:paraId="66CCE494">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投标人须提交拟完成本项目的</w:t>
      </w:r>
      <w:r>
        <w:rPr>
          <w:rFonts w:hint="eastAsia" w:ascii="仿宋" w:hAnsi="仿宋" w:eastAsia="仿宋" w:cs="仿宋"/>
          <w:bCs/>
          <w:color w:val="auto"/>
          <w:sz w:val="24"/>
          <w:szCs w:val="24"/>
          <w:highlight w:val="none"/>
          <w:shd w:val="clear" w:color="auto" w:fill="FFFFFF" w:themeFill="background1"/>
          <w:lang w:val="en-US" w:eastAsia="zh-CN"/>
        </w:rPr>
        <w:t>供货</w:t>
      </w:r>
      <w:r>
        <w:rPr>
          <w:rFonts w:hint="eastAsia" w:ascii="仿宋" w:hAnsi="仿宋" w:eastAsia="仿宋" w:cs="仿宋"/>
          <w:bCs/>
          <w:color w:val="auto"/>
          <w:sz w:val="24"/>
          <w:szCs w:val="24"/>
          <w:highlight w:val="none"/>
          <w:shd w:val="clear" w:color="auto" w:fill="FFFFFF" w:themeFill="background1"/>
        </w:rPr>
        <w:t>方案，</w:t>
      </w:r>
      <w:r>
        <w:rPr>
          <w:rFonts w:hint="eastAsia" w:ascii="仿宋" w:hAnsi="仿宋" w:eastAsia="仿宋" w:cs="仿宋"/>
          <w:bCs/>
          <w:color w:val="auto"/>
          <w:sz w:val="24"/>
          <w:szCs w:val="24"/>
          <w:highlight w:val="none"/>
          <w:shd w:val="clear" w:color="auto" w:fill="FFFFFF" w:themeFill="background1"/>
          <w:lang w:val="en-US" w:eastAsia="zh-CN"/>
        </w:rPr>
        <w:t>供货</w:t>
      </w:r>
      <w:r>
        <w:rPr>
          <w:rFonts w:hint="eastAsia" w:ascii="仿宋" w:hAnsi="仿宋" w:eastAsia="仿宋" w:cs="仿宋"/>
          <w:bCs/>
          <w:color w:val="auto"/>
          <w:sz w:val="24"/>
          <w:szCs w:val="24"/>
          <w:highlight w:val="none"/>
          <w:shd w:val="clear" w:color="auto" w:fill="FFFFFF" w:themeFill="background1"/>
        </w:rPr>
        <w:t>方案的格式和内容由投标人根据本项目的具体情况</w:t>
      </w:r>
      <w:r>
        <w:rPr>
          <w:rFonts w:hint="eastAsia" w:ascii="仿宋" w:hAnsi="仿宋" w:eastAsia="仿宋" w:cs="仿宋"/>
          <w:color w:val="auto"/>
          <w:sz w:val="24"/>
          <w:szCs w:val="24"/>
          <w:highlight w:val="none"/>
          <w:shd w:val="clear" w:color="auto" w:fill="FFFFFF" w:themeFill="background1"/>
        </w:rPr>
        <w:t>自行拟定。</w:t>
      </w:r>
    </w:p>
    <w:p w14:paraId="7C2B0DF3">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p>
    <w:p w14:paraId="2A753C26">
      <w:pPr>
        <w:pStyle w:val="14"/>
        <w:rPr>
          <w:rFonts w:hint="eastAsia" w:ascii="仿宋" w:hAnsi="仿宋" w:eastAsia="仿宋" w:cs="仿宋"/>
          <w:color w:val="auto"/>
          <w:highlight w:val="none"/>
        </w:rPr>
      </w:pPr>
    </w:p>
    <w:p w14:paraId="6F79FAE4">
      <w:pPr>
        <w:rPr>
          <w:rFonts w:hint="eastAsia" w:ascii="仿宋" w:hAnsi="仿宋" w:eastAsia="仿宋" w:cs="仿宋"/>
          <w:color w:val="auto"/>
          <w:highlight w:val="none"/>
        </w:rPr>
      </w:pPr>
    </w:p>
    <w:p w14:paraId="74D25154">
      <w:pPr>
        <w:pStyle w:val="14"/>
        <w:rPr>
          <w:rFonts w:hint="eastAsia" w:ascii="仿宋" w:hAnsi="仿宋" w:eastAsia="仿宋" w:cs="仿宋"/>
          <w:color w:val="auto"/>
          <w:highlight w:val="none"/>
        </w:rPr>
      </w:pPr>
    </w:p>
    <w:p w14:paraId="56770526">
      <w:pPr>
        <w:rPr>
          <w:rFonts w:hint="eastAsia" w:ascii="仿宋" w:hAnsi="仿宋" w:eastAsia="仿宋" w:cs="仿宋"/>
          <w:color w:val="auto"/>
          <w:highlight w:val="none"/>
        </w:rPr>
      </w:pPr>
    </w:p>
    <w:p w14:paraId="5A386DB7">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409" w:name="_Toc507586178"/>
      <w:bookmarkStart w:id="410" w:name="_Toc4676"/>
      <w:bookmarkStart w:id="411" w:name="_Toc274"/>
      <w:bookmarkStart w:id="412" w:name="_Toc533503194"/>
      <w:bookmarkStart w:id="413" w:name="_Toc38446484"/>
      <w:r>
        <w:rPr>
          <w:rFonts w:hint="eastAsia" w:ascii="仿宋" w:hAnsi="仿宋" w:eastAsia="仿宋" w:cs="仿宋"/>
          <w:b/>
          <w:color w:val="auto"/>
          <w:sz w:val="24"/>
          <w:szCs w:val="24"/>
          <w:highlight w:val="none"/>
          <w:shd w:val="clear" w:color="auto" w:fill="FFFFFF" w:themeFill="background1"/>
        </w:rPr>
        <w:t>十三、其他需要提交的资料</w:t>
      </w:r>
      <w:bookmarkEnd w:id="409"/>
      <w:bookmarkEnd w:id="410"/>
      <w:bookmarkEnd w:id="411"/>
      <w:bookmarkEnd w:id="412"/>
      <w:bookmarkEnd w:id="413"/>
    </w:p>
    <w:p w14:paraId="7B283E7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根据招标文件的要求和投标人认为需要提供的资料（如投标保证金缴纳凭证等）。</w:t>
      </w:r>
    </w:p>
    <w:p w14:paraId="2AFAB32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CE87C2E">
      <w:pPr>
        <w:widowControl/>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A66AB28">
      <w:pPr>
        <w:tabs>
          <w:tab w:val="center" w:pos="4832"/>
          <w:tab w:val="left" w:pos="7140"/>
        </w:tabs>
        <w:spacing w:line="360" w:lineRule="auto"/>
        <w:jc w:val="center"/>
        <w:outlineLvl w:val="0"/>
        <w:rPr>
          <w:rFonts w:hint="eastAsia" w:ascii="仿宋" w:hAnsi="仿宋" w:eastAsia="仿宋" w:cs="仿宋"/>
          <w:b/>
          <w:color w:val="auto"/>
          <w:sz w:val="24"/>
          <w:szCs w:val="24"/>
          <w:highlight w:val="none"/>
        </w:rPr>
      </w:pPr>
      <w:bookmarkStart w:id="414" w:name="_Toc29549"/>
      <w:r>
        <w:rPr>
          <w:rFonts w:hint="eastAsia" w:ascii="仿宋" w:hAnsi="仿宋" w:eastAsia="仿宋" w:cs="仿宋"/>
          <w:b/>
          <w:color w:val="auto"/>
          <w:sz w:val="24"/>
          <w:szCs w:val="24"/>
          <w:highlight w:val="none"/>
        </w:rPr>
        <w:t>第六章 补充条款</w:t>
      </w:r>
      <w:bookmarkEnd w:id="414"/>
    </w:p>
    <w:p w14:paraId="365F124B">
      <w:pPr>
        <w:spacing w:line="360" w:lineRule="auto"/>
        <w:ind w:firstLine="480" w:firstLineChars="200"/>
        <w:jc w:val="center"/>
        <w:rPr>
          <w:rFonts w:hint="eastAsia" w:ascii="仿宋" w:hAnsi="仿宋" w:eastAsia="仿宋" w:cs="仿宋"/>
          <w:color w:val="auto"/>
          <w:sz w:val="24"/>
          <w:szCs w:val="24"/>
          <w:highlight w:val="none"/>
        </w:rPr>
      </w:pPr>
    </w:p>
    <w:sectPr>
      <w:pgSz w:w="11906" w:h="16838"/>
      <w:pgMar w:top="1440" w:right="1800" w:bottom="1440" w:left="180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287" w:usb1="00000000" w:usb2="00000000" w:usb3="00000000" w:csb0="200000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3278">
    <w:pPr>
      <w:pStyle w:val="24"/>
      <w:ind w:right="90"/>
      <w:jc w:val="right"/>
    </w:pPr>
  </w:p>
  <w:p w14:paraId="69C610E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1E19">
    <w:pPr>
      <w:pStyle w:val="24"/>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68</w:t>
    </w:r>
    <w:r>
      <w:rPr>
        <w:rStyle w:val="45"/>
      </w:rPr>
      <w:fldChar w:fldCharType="end"/>
    </w:r>
  </w:p>
  <w:p w14:paraId="1C8A5B83">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CBCA">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2A9EE">
    <w:pPr>
      <w:pStyle w:val="24"/>
      <w:rPr>
        <w:rFonts w:asciiTheme="minorEastAsia" w:hAnsiTheme="minorEastAsia" w:eastAsiaTheme="minorEastAsia"/>
        <w:sz w:val="21"/>
        <w:szCs w:val="21"/>
        <w:lang w:val="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8C554">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298C554">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884A">
    <w:pPr>
      <w:pStyle w:val="2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4137F">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B74137F">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E3CC">
    <w:pPr>
      <w:pStyle w:val="24"/>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56764">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56764">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571A">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582B">
    <w:pPr>
      <w:pStyle w:val="2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43F8">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75306"/>
    <w:multiLevelType w:val="singleLevel"/>
    <w:tmpl w:val="1B675306"/>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MDBkMjE1ZmU1YzVjODI4OGVlMjZiNjA0YzViN2EifQ=="/>
    <w:docVar w:name="KSO_WPS_MARK_KEY" w:val="85996549-4f80-4e2e-9ba0-20f7c0168d15"/>
  </w:docVars>
  <w:rsids>
    <w:rsidRoot w:val="00101AA4"/>
    <w:rsid w:val="000002B4"/>
    <w:rsid w:val="00001340"/>
    <w:rsid w:val="00002143"/>
    <w:rsid w:val="00004DAA"/>
    <w:rsid w:val="00005C75"/>
    <w:rsid w:val="00006BD9"/>
    <w:rsid w:val="00007BA8"/>
    <w:rsid w:val="000104D6"/>
    <w:rsid w:val="00010CE2"/>
    <w:rsid w:val="000111C4"/>
    <w:rsid w:val="00012108"/>
    <w:rsid w:val="00012E01"/>
    <w:rsid w:val="00013899"/>
    <w:rsid w:val="00014F7D"/>
    <w:rsid w:val="00015EBB"/>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0D1"/>
    <w:rsid w:val="00054F47"/>
    <w:rsid w:val="0005551C"/>
    <w:rsid w:val="00057565"/>
    <w:rsid w:val="000604DE"/>
    <w:rsid w:val="0006199F"/>
    <w:rsid w:val="000641A9"/>
    <w:rsid w:val="000653CD"/>
    <w:rsid w:val="000661C0"/>
    <w:rsid w:val="00070AF5"/>
    <w:rsid w:val="00070BFE"/>
    <w:rsid w:val="0007362D"/>
    <w:rsid w:val="00073D96"/>
    <w:rsid w:val="000762D4"/>
    <w:rsid w:val="00077D54"/>
    <w:rsid w:val="00077DB3"/>
    <w:rsid w:val="0008025F"/>
    <w:rsid w:val="00080E16"/>
    <w:rsid w:val="000829F2"/>
    <w:rsid w:val="00082FC4"/>
    <w:rsid w:val="0008328D"/>
    <w:rsid w:val="0008436D"/>
    <w:rsid w:val="000904A3"/>
    <w:rsid w:val="00090F37"/>
    <w:rsid w:val="000916AB"/>
    <w:rsid w:val="000923E8"/>
    <w:rsid w:val="000946D4"/>
    <w:rsid w:val="00094989"/>
    <w:rsid w:val="000976AE"/>
    <w:rsid w:val="000A0272"/>
    <w:rsid w:val="000A02F9"/>
    <w:rsid w:val="000A1ECD"/>
    <w:rsid w:val="000A32B9"/>
    <w:rsid w:val="000A3552"/>
    <w:rsid w:val="000A452A"/>
    <w:rsid w:val="000A53A5"/>
    <w:rsid w:val="000A7B36"/>
    <w:rsid w:val="000B210F"/>
    <w:rsid w:val="000B318F"/>
    <w:rsid w:val="000B331B"/>
    <w:rsid w:val="000B4C6A"/>
    <w:rsid w:val="000B4FF0"/>
    <w:rsid w:val="000B7C76"/>
    <w:rsid w:val="000C364C"/>
    <w:rsid w:val="000C3FDE"/>
    <w:rsid w:val="000D171A"/>
    <w:rsid w:val="000D5DA0"/>
    <w:rsid w:val="000D728E"/>
    <w:rsid w:val="000D7CE7"/>
    <w:rsid w:val="000E2D54"/>
    <w:rsid w:val="000E40A6"/>
    <w:rsid w:val="000E5B9C"/>
    <w:rsid w:val="000E674D"/>
    <w:rsid w:val="000E7461"/>
    <w:rsid w:val="000F186E"/>
    <w:rsid w:val="000F56EE"/>
    <w:rsid w:val="00100D44"/>
    <w:rsid w:val="00101966"/>
    <w:rsid w:val="00101AA4"/>
    <w:rsid w:val="00102AB6"/>
    <w:rsid w:val="00104F86"/>
    <w:rsid w:val="001063D0"/>
    <w:rsid w:val="0010650C"/>
    <w:rsid w:val="00106BA4"/>
    <w:rsid w:val="00111383"/>
    <w:rsid w:val="001145B2"/>
    <w:rsid w:val="00115901"/>
    <w:rsid w:val="00115A4B"/>
    <w:rsid w:val="0011725D"/>
    <w:rsid w:val="00121DF5"/>
    <w:rsid w:val="001248E7"/>
    <w:rsid w:val="00124E50"/>
    <w:rsid w:val="00127B38"/>
    <w:rsid w:val="00127C9A"/>
    <w:rsid w:val="0013312B"/>
    <w:rsid w:val="00134210"/>
    <w:rsid w:val="00134F82"/>
    <w:rsid w:val="00137BC9"/>
    <w:rsid w:val="00142BB8"/>
    <w:rsid w:val="00143169"/>
    <w:rsid w:val="0014554F"/>
    <w:rsid w:val="00146E26"/>
    <w:rsid w:val="001543A3"/>
    <w:rsid w:val="001575BE"/>
    <w:rsid w:val="00157673"/>
    <w:rsid w:val="0015794E"/>
    <w:rsid w:val="00160311"/>
    <w:rsid w:val="00161961"/>
    <w:rsid w:val="00162DD4"/>
    <w:rsid w:val="001652C6"/>
    <w:rsid w:val="0016644B"/>
    <w:rsid w:val="00170A17"/>
    <w:rsid w:val="00171110"/>
    <w:rsid w:val="00172AA0"/>
    <w:rsid w:val="001733AF"/>
    <w:rsid w:val="001753D2"/>
    <w:rsid w:val="00176FAD"/>
    <w:rsid w:val="0017733A"/>
    <w:rsid w:val="00181200"/>
    <w:rsid w:val="001930FC"/>
    <w:rsid w:val="00193402"/>
    <w:rsid w:val="00194DD8"/>
    <w:rsid w:val="00197628"/>
    <w:rsid w:val="001A1D16"/>
    <w:rsid w:val="001A2117"/>
    <w:rsid w:val="001A24E6"/>
    <w:rsid w:val="001A45DD"/>
    <w:rsid w:val="001A4E5A"/>
    <w:rsid w:val="001A4E90"/>
    <w:rsid w:val="001A71AF"/>
    <w:rsid w:val="001B1372"/>
    <w:rsid w:val="001B1748"/>
    <w:rsid w:val="001B4413"/>
    <w:rsid w:val="001B5A4C"/>
    <w:rsid w:val="001B7239"/>
    <w:rsid w:val="001B74E2"/>
    <w:rsid w:val="001C15DD"/>
    <w:rsid w:val="001C4134"/>
    <w:rsid w:val="001D4B73"/>
    <w:rsid w:val="001D50A5"/>
    <w:rsid w:val="001D5DEA"/>
    <w:rsid w:val="001E288B"/>
    <w:rsid w:val="001E33A7"/>
    <w:rsid w:val="001E3D69"/>
    <w:rsid w:val="001E4755"/>
    <w:rsid w:val="001E634A"/>
    <w:rsid w:val="001E6E8F"/>
    <w:rsid w:val="001E794E"/>
    <w:rsid w:val="001F292C"/>
    <w:rsid w:val="001F3A08"/>
    <w:rsid w:val="001F610A"/>
    <w:rsid w:val="001F79E8"/>
    <w:rsid w:val="001F7C95"/>
    <w:rsid w:val="00200BA8"/>
    <w:rsid w:val="0020240F"/>
    <w:rsid w:val="002055DD"/>
    <w:rsid w:val="00205968"/>
    <w:rsid w:val="00205DF6"/>
    <w:rsid w:val="00205F22"/>
    <w:rsid w:val="0021147C"/>
    <w:rsid w:val="00214257"/>
    <w:rsid w:val="00214392"/>
    <w:rsid w:val="002144B8"/>
    <w:rsid w:val="00215BA5"/>
    <w:rsid w:val="00215F58"/>
    <w:rsid w:val="00217E00"/>
    <w:rsid w:val="0022016C"/>
    <w:rsid w:val="0022177D"/>
    <w:rsid w:val="002224AE"/>
    <w:rsid w:val="00223931"/>
    <w:rsid w:val="002246D6"/>
    <w:rsid w:val="00226DEC"/>
    <w:rsid w:val="0022747A"/>
    <w:rsid w:val="00227871"/>
    <w:rsid w:val="0023151C"/>
    <w:rsid w:val="002324EA"/>
    <w:rsid w:val="0023323E"/>
    <w:rsid w:val="002357A0"/>
    <w:rsid w:val="00236058"/>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72E96"/>
    <w:rsid w:val="00280F38"/>
    <w:rsid w:val="00283C54"/>
    <w:rsid w:val="00285885"/>
    <w:rsid w:val="00285ABC"/>
    <w:rsid w:val="002939C8"/>
    <w:rsid w:val="002967DA"/>
    <w:rsid w:val="002A6197"/>
    <w:rsid w:val="002A7CE2"/>
    <w:rsid w:val="002B0041"/>
    <w:rsid w:val="002B01D0"/>
    <w:rsid w:val="002B3DBF"/>
    <w:rsid w:val="002B77E1"/>
    <w:rsid w:val="002C02A1"/>
    <w:rsid w:val="002C2DD2"/>
    <w:rsid w:val="002C4DD6"/>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3AFC"/>
    <w:rsid w:val="00326152"/>
    <w:rsid w:val="003317E6"/>
    <w:rsid w:val="00331C14"/>
    <w:rsid w:val="0033231B"/>
    <w:rsid w:val="00332D2E"/>
    <w:rsid w:val="00333E01"/>
    <w:rsid w:val="00336EED"/>
    <w:rsid w:val="00344BCD"/>
    <w:rsid w:val="00347E66"/>
    <w:rsid w:val="0035118C"/>
    <w:rsid w:val="003537E4"/>
    <w:rsid w:val="0035581F"/>
    <w:rsid w:val="00357E91"/>
    <w:rsid w:val="00360813"/>
    <w:rsid w:val="00360D30"/>
    <w:rsid w:val="00361C9D"/>
    <w:rsid w:val="00363991"/>
    <w:rsid w:val="00364473"/>
    <w:rsid w:val="003646E5"/>
    <w:rsid w:val="00366F29"/>
    <w:rsid w:val="00367BA8"/>
    <w:rsid w:val="00370F25"/>
    <w:rsid w:val="00372324"/>
    <w:rsid w:val="00373602"/>
    <w:rsid w:val="00373826"/>
    <w:rsid w:val="00373AD1"/>
    <w:rsid w:val="00376E83"/>
    <w:rsid w:val="003879AD"/>
    <w:rsid w:val="00390A3C"/>
    <w:rsid w:val="003964F5"/>
    <w:rsid w:val="003A28C5"/>
    <w:rsid w:val="003A5B50"/>
    <w:rsid w:val="003A6107"/>
    <w:rsid w:val="003A7427"/>
    <w:rsid w:val="003B0D63"/>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11D8"/>
    <w:rsid w:val="0040310D"/>
    <w:rsid w:val="00404253"/>
    <w:rsid w:val="00407128"/>
    <w:rsid w:val="004079CE"/>
    <w:rsid w:val="004143A5"/>
    <w:rsid w:val="004220B6"/>
    <w:rsid w:val="00423980"/>
    <w:rsid w:val="004252CD"/>
    <w:rsid w:val="0042662D"/>
    <w:rsid w:val="004270EF"/>
    <w:rsid w:val="00427533"/>
    <w:rsid w:val="00432C0C"/>
    <w:rsid w:val="00433EED"/>
    <w:rsid w:val="00435310"/>
    <w:rsid w:val="0044198C"/>
    <w:rsid w:val="0044280B"/>
    <w:rsid w:val="00443888"/>
    <w:rsid w:val="004449F3"/>
    <w:rsid w:val="00444EE1"/>
    <w:rsid w:val="00445872"/>
    <w:rsid w:val="0044799D"/>
    <w:rsid w:val="0045091A"/>
    <w:rsid w:val="00452BB8"/>
    <w:rsid w:val="00455196"/>
    <w:rsid w:val="004575EA"/>
    <w:rsid w:val="004639BC"/>
    <w:rsid w:val="004640C1"/>
    <w:rsid w:val="00464725"/>
    <w:rsid w:val="00464BAE"/>
    <w:rsid w:val="004660B0"/>
    <w:rsid w:val="004704FB"/>
    <w:rsid w:val="00480C32"/>
    <w:rsid w:val="0048512D"/>
    <w:rsid w:val="00494431"/>
    <w:rsid w:val="00497C15"/>
    <w:rsid w:val="004A010F"/>
    <w:rsid w:val="004A01F6"/>
    <w:rsid w:val="004A1F5D"/>
    <w:rsid w:val="004A3D6D"/>
    <w:rsid w:val="004A4981"/>
    <w:rsid w:val="004A5190"/>
    <w:rsid w:val="004A5376"/>
    <w:rsid w:val="004A6517"/>
    <w:rsid w:val="004A67FA"/>
    <w:rsid w:val="004A68AF"/>
    <w:rsid w:val="004A7D7E"/>
    <w:rsid w:val="004B029E"/>
    <w:rsid w:val="004B0537"/>
    <w:rsid w:val="004B7ACC"/>
    <w:rsid w:val="004B7DE5"/>
    <w:rsid w:val="004C1AE6"/>
    <w:rsid w:val="004C6BAD"/>
    <w:rsid w:val="004D0A4A"/>
    <w:rsid w:val="004D0E18"/>
    <w:rsid w:val="004D11B3"/>
    <w:rsid w:val="004D3C30"/>
    <w:rsid w:val="004D40F7"/>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7A5"/>
    <w:rsid w:val="0053132A"/>
    <w:rsid w:val="0053466A"/>
    <w:rsid w:val="00536952"/>
    <w:rsid w:val="005369FB"/>
    <w:rsid w:val="00537638"/>
    <w:rsid w:val="0054181E"/>
    <w:rsid w:val="00541AC4"/>
    <w:rsid w:val="00541FB5"/>
    <w:rsid w:val="0054485F"/>
    <w:rsid w:val="0055435D"/>
    <w:rsid w:val="005574D7"/>
    <w:rsid w:val="00560740"/>
    <w:rsid w:val="00561AD0"/>
    <w:rsid w:val="005627EE"/>
    <w:rsid w:val="00562B2E"/>
    <w:rsid w:val="00566F28"/>
    <w:rsid w:val="00570015"/>
    <w:rsid w:val="00573EAA"/>
    <w:rsid w:val="00576ADE"/>
    <w:rsid w:val="00577ECB"/>
    <w:rsid w:val="00577FFA"/>
    <w:rsid w:val="0058012A"/>
    <w:rsid w:val="00582F95"/>
    <w:rsid w:val="00586658"/>
    <w:rsid w:val="005879D1"/>
    <w:rsid w:val="0059145C"/>
    <w:rsid w:val="005948FE"/>
    <w:rsid w:val="00594BE3"/>
    <w:rsid w:val="00596BA7"/>
    <w:rsid w:val="005A215C"/>
    <w:rsid w:val="005A6326"/>
    <w:rsid w:val="005A69CA"/>
    <w:rsid w:val="005A770A"/>
    <w:rsid w:val="005C11E5"/>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3F0"/>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382"/>
    <w:rsid w:val="006447A2"/>
    <w:rsid w:val="00644CAA"/>
    <w:rsid w:val="0064722F"/>
    <w:rsid w:val="00647D58"/>
    <w:rsid w:val="0065082F"/>
    <w:rsid w:val="00650F27"/>
    <w:rsid w:val="00651977"/>
    <w:rsid w:val="006523BD"/>
    <w:rsid w:val="00652A1B"/>
    <w:rsid w:val="00652A7E"/>
    <w:rsid w:val="00652A9D"/>
    <w:rsid w:val="00653B67"/>
    <w:rsid w:val="00653FFE"/>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650"/>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1DD"/>
    <w:rsid w:val="006B14EC"/>
    <w:rsid w:val="006B2DDD"/>
    <w:rsid w:val="006B6739"/>
    <w:rsid w:val="006B72B0"/>
    <w:rsid w:val="006B72D9"/>
    <w:rsid w:val="006B7760"/>
    <w:rsid w:val="006C06C9"/>
    <w:rsid w:val="006C08F0"/>
    <w:rsid w:val="006C214D"/>
    <w:rsid w:val="006C3250"/>
    <w:rsid w:val="006C551A"/>
    <w:rsid w:val="006C5A93"/>
    <w:rsid w:val="006D0395"/>
    <w:rsid w:val="006D0D54"/>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6A9E"/>
    <w:rsid w:val="00731CAD"/>
    <w:rsid w:val="00737F44"/>
    <w:rsid w:val="00742828"/>
    <w:rsid w:val="00747623"/>
    <w:rsid w:val="00750F56"/>
    <w:rsid w:val="0075151D"/>
    <w:rsid w:val="0075182A"/>
    <w:rsid w:val="00751E8B"/>
    <w:rsid w:val="00752409"/>
    <w:rsid w:val="0075307E"/>
    <w:rsid w:val="007555F9"/>
    <w:rsid w:val="00756E59"/>
    <w:rsid w:val="007574D1"/>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1EC4"/>
    <w:rsid w:val="00794BDB"/>
    <w:rsid w:val="007952C7"/>
    <w:rsid w:val="00796034"/>
    <w:rsid w:val="007A0C42"/>
    <w:rsid w:val="007A0E43"/>
    <w:rsid w:val="007A1947"/>
    <w:rsid w:val="007A237A"/>
    <w:rsid w:val="007A3B2A"/>
    <w:rsid w:val="007A4FBA"/>
    <w:rsid w:val="007A5319"/>
    <w:rsid w:val="007A7C18"/>
    <w:rsid w:val="007A7EF1"/>
    <w:rsid w:val="007B29C9"/>
    <w:rsid w:val="007B2A84"/>
    <w:rsid w:val="007C2D89"/>
    <w:rsid w:val="007C4912"/>
    <w:rsid w:val="007C4B8E"/>
    <w:rsid w:val="007C66D2"/>
    <w:rsid w:val="007C6BBF"/>
    <w:rsid w:val="007D1C55"/>
    <w:rsid w:val="007D2E1C"/>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3EB0"/>
    <w:rsid w:val="008247D9"/>
    <w:rsid w:val="0082538B"/>
    <w:rsid w:val="00825A15"/>
    <w:rsid w:val="00825F46"/>
    <w:rsid w:val="00825FAA"/>
    <w:rsid w:val="00826C3A"/>
    <w:rsid w:val="0082760F"/>
    <w:rsid w:val="00830296"/>
    <w:rsid w:val="0083223D"/>
    <w:rsid w:val="008330C9"/>
    <w:rsid w:val="00835F52"/>
    <w:rsid w:val="00840117"/>
    <w:rsid w:val="00843C8F"/>
    <w:rsid w:val="00844290"/>
    <w:rsid w:val="008443B1"/>
    <w:rsid w:val="00844507"/>
    <w:rsid w:val="0084490D"/>
    <w:rsid w:val="00844A00"/>
    <w:rsid w:val="00846F1B"/>
    <w:rsid w:val="008526D9"/>
    <w:rsid w:val="008534E7"/>
    <w:rsid w:val="00854E30"/>
    <w:rsid w:val="00857654"/>
    <w:rsid w:val="00857B62"/>
    <w:rsid w:val="008618C1"/>
    <w:rsid w:val="00862BE3"/>
    <w:rsid w:val="00862EBB"/>
    <w:rsid w:val="008631DD"/>
    <w:rsid w:val="00864330"/>
    <w:rsid w:val="008703DB"/>
    <w:rsid w:val="00872CE4"/>
    <w:rsid w:val="0087459C"/>
    <w:rsid w:val="00877E4D"/>
    <w:rsid w:val="00880D74"/>
    <w:rsid w:val="00880ED3"/>
    <w:rsid w:val="00881BAB"/>
    <w:rsid w:val="00881D84"/>
    <w:rsid w:val="00882B2C"/>
    <w:rsid w:val="00883470"/>
    <w:rsid w:val="00884BA6"/>
    <w:rsid w:val="008858F6"/>
    <w:rsid w:val="00890712"/>
    <w:rsid w:val="00892BDA"/>
    <w:rsid w:val="00892DE8"/>
    <w:rsid w:val="008A072E"/>
    <w:rsid w:val="008A08DB"/>
    <w:rsid w:val="008A3A9E"/>
    <w:rsid w:val="008A4942"/>
    <w:rsid w:val="008A4B8E"/>
    <w:rsid w:val="008A53DE"/>
    <w:rsid w:val="008A561B"/>
    <w:rsid w:val="008A6628"/>
    <w:rsid w:val="008B01C2"/>
    <w:rsid w:val="008B029B"/>
    <w:rsid w:val="008B1D39"/>
    <w:rsid w:val="008B1E52"/>
    <w:rsid w:val="008B372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33E"/>
    <w:rsid w:val="009209E8"/>
    <w:rsid w:val="009211B4"/>
    <w:rsid w:val="00922373"/>
    <w:rsid w:val="00922592"/>
    <w:rsid w:val="00923C4A"/>
    <w:rsid w:val="009259D5"/>
    <w:rsid w:val="00925B9C"/>
    <w:rsid w:val="00926CDD"/>
    <w:rsid w:val="00926EE7"/>
    <w:rsid w:val="009278C5"/>
    <w:rsid w:val="0093107D"/>
    <w:rsid w:val="00931A8B"/>
    <w:rsid w:val="009324FE"/>
    <w:rsid w:val="00932976"/>
    <w:rsid w:val="00933150"/>
    <w:rsid w:val="00933165"/>
    <w:rsid w:val="0093334D"/>
    <w:rsid w:val="00934B57"/>
    <w:rsid w:val="00935307"/>
    <w:rsid w:val="0094041C"/>
    <w:rsid w:val="0094055B"/>
    <w:rsid w:val="00941545"/>
    <w:rsid w:val="009435A6"/>
    <w:rsid w:val="009437A7"/>
    <w:rsid w:val="00946789"/>
    <w:rsid w:val="00950163"/>
    <w:rsid w:val="00950CB5"/>
    <w:rsid w:val="009546B7"/>
    <w:rsid w:val="00954D08"/>
    <w:rsid w:val="00955047"/>
    <w:rsid w:val="00955238"/>
    <w:rsid w:val="009558DD"/>
    <w:rsid w:val="009613A3"/>
    <w:rsid w:val="0096147D"/>
    <w:rsid w:val="0096479F"/>
    <w:rsid w:val="00965552"/>
    <w:rsid w:val="0096574A"/>
    <w:rsid w:val="0096617A"/>
    <w:rsid w:val="00967429"/>
    <w:rsid w:val="009700E7"/>
    <w:rsid w:val="009701A2"/>
    <w:rsid w:val="00971FF1"/>
    <w:rsid w:val="00972DDE"/>
    <w:rsid w:val="00975775"/>
    <w:rsid w:val="009775FC"/>
    <w:rsid w:val="00977BAE"/>
    <w:rsid w:val="00977D99"/>
    <w:rsid w:val="0098099B"/>
    <w:rsid w:val="00981749"/>
    <w:rsid w:val="0098383B"/>
    <w:rsid w:val="00983BD4"/>
    <w:rsid w:val="00983E4E"/>
    <w:rsid w:val="009840B0"/>
    <w:rsid w:val="00984531"/>
    <w:rsid w:val="0098659E"/>
    <w:rsid w:val="009869E5"/>
    <w:rsid w:val="00991F92"/>
    <w:rsid w:val="0099239A"/>
    <w:rsid w:val="00992683"/>
    <w:rsid w:val="009930AE"/>
    <w:rsid w:val="009930CA"/>
    <w:rsid w:val="00994368"/>
    <w:rsid w:val="009960AD"/>
    <w:rsid w:val="00997017"/>
    <w:rsid w:val="009A089A"/>
    <w:rsid w:val="009A170D"/>
    <w:rsid w:val="009A1ABA"/>
    <w:rsid w:val="009A1D1C"/>
    <w:rsid w:val="009A456E"/>
    <w:rsid w:val="009A6799"/>
    <w:rsid w:val="009A693B"/>
    <w:rsid w:val="009A7284"/>
    <w:rsid w:val="009A75CB"/>
    <w:rsid w:val="009B074B"/>
    <w:rsid w:val="009B0A3E"/>
    <w:rsid w:val="009B72EB"/>
    <w:rsid w:val="009B792F"/>
    <w:rsid w:val="009C4BB9"/>
    <w:rsid w:val="009C4C50"/>
    <w:rsid w:val="009C4EA2"/>
    <w:rsid w:val="009C7D0A"/>
    <w:rsid w:val="009C7FD8"/>
    <w:rsid w:val="009D05BF"/>
    <w:rsid w:val="009D2432"/>
    <w:rsid w:val="009D245C"/>
    <w:rsid w:val="009E0EA7"/>
    <w:rsid w:val="009E36F0"/>
    <w:rsid w:val="009E7471"/>
    <w:rsid w:val="009F064F"/>
    <w:rsid w:val="009F11C8"/>
    <w:rsid w:val="009F15EF"/>
    <w:rsid w:val="009F24D1"/>
    <w:rsid w:val="009F3D47"/>
    <w:rsid w:val="009F4563"/>
    <w:rsid w:val="009F487E"/>
    <w:rsid w:val="00A01EFD"/>
    <w:rsid w:val="00A039D2"/>
    <w:rsid w:val="00A04B51"/>
    <w:rsid w:val="00A05781"/>
    <w:rsid w:val="00A068B7"/>
    <w:rsid w:val="00A069FC"/>
    <w:rsid w:val="00A06A22"/>
    <w:rsid w:val="00A0749F"/>
    <w:rsid w:val="00A127F1"/>
    <w:rsid w:val="00A12C82"/>
    <w:rsid w:val="00A1322D"/>
    <w:rsid w:val="00A17158"/>
    <w:rsid w:val="00A2031C"/>
    <w:rsid w:val="00A20856"/>
    <w:rsid w:val="00A2140F"/>
    <w:rsid w:val="00A22375"/>
    <w:rsid w:val="00A24145"/>
    <w:rsid w:val="00A24411"/>
    <w:rsid w:val="00A252A2"/>
    <w:rsid w:val="00A30F32"/>
    <w:rsid w:val="00A319A4"/>
    <w:rsid w:val="00A320D2"/>
    <w:rsid w:val="00A32455"/>
    <w:rsid w:val="00A32D75"/>
    <w:rsid w:val="00A33C82"/>
    <w:rsid w:val="00A33EC9"/>
    <w:rsid w:val="00A377F1"/>
    <w:rsid w:val="00A40087"/>
    <w:rsid w:val="00A41CA5"/>
    <w:rsid w:val="00A426D2"/>
    <w:rsid w:val="00A46BC3"/>
    <w:rsid w:val="00A47BEB"/>
    <w:rsid w:val="00A51A47"/>
    <w:rsid w:val="00A5296E"/>
    <w:rsid w:val="00A5323E"/>
    <w:rsid w:val="00A5538A"/>
    <w:rsid w:val="00A5692F"/>
    <w:rsid w:val="00A57C84"/>
    <w:rsid w:val="00A6358C"/>
    <w:rsid w:val="00A63DE3"/>
    <w:rsid w:val="00A648D2"/>
    <w:rsid w:val="00A648FB"/>
    <w:rsid w:val="00A665B8"/>
    <w:rsid w:val="00A67621"/>
    <w:rsid w:val="00A70DE0"/>
    <w:rsid w:val="00A72947"/>
    <w:rsid w:val="00A73132"/>
    <w:rsid w:val="00A73E82"/>
    <w:rsid w:val="00A80815"/>
    <w:rsid w:val="00A81B56"/>
    <w:rsid w:val="00A83F70"/>
    <w:rsid w:val="00A841E3"/>
    <w:rsid w:val="00A86E53"/>
    <w:rsid w:val="00A920ED"/>
    <w:rsid w:val="00A92497"/>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1FF"/>
    <w:rsid w:val="00AB7635"/>
    <w:rsid w:val="00AB7D40"/>
    <w:rsid w:val="00AC0195"/>
    <w:rsid w:val="00AC169A"/>
    <w:rsid w:val="00AC17BD"/>
    <w:rsid w:val="00AC627A"/>
    <w:rsid w:val="00AC6C9F"/>
    <w:rsid w:val="00AC7076"/>
    <w:rsid w:val="00AD0219"/>
    <w:rsid w:val="00AD0858"/>
    <w:rsid w:val="00AD159E"/>
    <w:rsid w:val="00AD25AF"/>
    <w:rsid w:val="00AD3FA3"/>
    <w:rsid w:val="00AD5B00"/>
    <w:rsid w:val="00AE0905"/>
    <w:rsid w:val="00AE2F7F"/>
    <w:rsid w:val="00AF2729"/>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36D"/>
    <w:rsid w:val="00B55DD4"/>
    <w:rsid w:val="00B601DE"/>
    <w:rsid w:val="00B60D21"/>
    <w:rsid w:val="00B60F8C"/>
    <w:rsid w:val="00B61DB0"/>
    <w:rsid w:val="00B628A3"/>
    <w:rsid w:val="00B635C3"/>
    <w:rsid w:val="00B64E0D"/>
    <w:rsid w:val="00B65DD7"/>
    <w:rsid w:val="00B66B82"/>
    <w:rsid w:val="00B67C8D"/>
    <w:rsid w:val="00B67DE8"/>
    <w:rsid w:val="00B71A77"/>
    <w:rsid w:val="00B746DE"/>
    <w:rsid w:val="00B75E89"/>
    <w:rsid w:val="00B761D0"/>
    <w:rsid w:val="00B76B5B"/>
    <w:rsid w:val="00B76E0A"/>
    <w:rsid w:val="00B770A1"/>
    <w:rsid w:val="00B826E5"/>
    <w:rsid w:val="00B836E8"/>
    <w:rsid w:val="00B83FBC"/>
    <w:rsid w:val="00B841A4"/>
    <w:rsid w:val="00B871DD"/>
    <w:rsid w:val="00B87B57"/>
    <w:rsid w:val="00B93135"/>
    <w:rsid w:val="00B95CAD"/>
    <w:rsid w:val="00B9774B"/>
    <w:rsid w:val="00BA1954"/>
    <w:rsid w:val="00BA376F"/>
    <w:rsid w:val="00BA5F64"/>
    <w:rsid w:val="00BA61A9"/>
    <w:rsid w:val="00BB06A4"/>
    <w:rsid w:val="00BB0A71"/>
    <w:rsid w:val="00BB33FD"/>
    <w:rsid w:val="00BB33FE"/>
    <w:rsid w:val="00BB4913"/>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4BF5"/>
    <w:rsid w:val="00BF51F6"/>
    <w:rsid w:val="00BF682C"/>
    <w:rsid w:val="00BF7476"/>
    <w:rsid w:val="00C02D9A"/>
    <w:rsid w:val="00C06808"/>
    <w:rsid w:val="00C10EEC"/>
    <w:rsid w:val="00C12240"/>
    <w:rsid w:val="00C138B2"/>
    <w:rsid w:val="00C13F57"/>
    <w:rsid w:val="00C17074"/>
    <w:rsid w:val="00C1758E"/>
    <w:rsid w:val="00C21672"/>
    <w:rsid w:val="00C21ACC"/>
    <w:rsid w:val="00C22755"/>
    <w:rsid w:val="00C230AB"/>
    <w:rsid w:val="00C31F14"/>
    <w:rsid w:val="00C34E9B"/>
    <w:rsid w:val="00C34FE2"/>
    <w:rsid w:val="00C36041"/>
    <w:rsid w:val="00C36B8D"/>
    <w:rsid w:val="00C36C5A"/>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2F1B"/>
    <w:rsid w:val="00C63C53"/>
    <w:rsid w:val="00C70B15"/>
    <w:rsid w:val="00C70F4F"/>
    <w:rsid w:val="00C749C1"/>
    <w:rsid w:val="00C74A12"/>
    <w:rsid w:val="00C7603F"/>
    <w:rsid w:val="00C80ECD"/>
    <w:rsid w:val="00C8206E"/>
    <w:rsid w:val="00C83BA2"/>
    <w:rsid w:val="00C840F2"/>
    <w:rsid w:val="00C8538F"/>
    <w:rsid w:val="00C9122B"/>
    <w:rsid w:val="00C93D82"/>
    <w:rsid w:val="00C948CD"/>
    <w:rsid w:val="00C94904"/>
    <w:rsid w:val="00C9683B"/>
    <w:rsid w:val="00CA0EF6"/>
    <w:rsid w:val="00CA31DB"/>
    <w:rsid w:val="00CA4361"/>
    <w:rsid w:val="00CA69D3"/>
    <w:rsid w:val="00CA7A2A"/>
    <w:rsid w:val="00CB21A0"/>
    <w:rsid w:val="00CB26B0"/>
    <w:rsid w:val="00CB2ACC"/>
    <w:rsid w:val="00CB717B"/>
    <w:rsid w:val="00CC0A81"/>
    <w:rsid w:val="00CC2EA3"/>
    <w:rsid w:val="00CC41D4"/>
    <w:rsid w:val="00CD0EFC"/>
    <w:rsid w:val="00CD2724"/>
    <w:rsid w:val="00CD33AB"/>
    <w:rsid w:val="00CD4A09"/>
    <w:rsid w:val="00CD5E71"/>
    <w:rsid w:val="00CD6B61"/>
    <w:rsid w:val="00CE4E7B"/>
    <w:rsid w:val="00CF08A4"/>
    <w:rsid w:val="00CF0C7B"/>
    <w:rsid w:val="00CF1C70"/>
    <w:rsid w:val="00CF291C"/>
    <w:rsid w:val="00CF4B54"/>
    <w:rsid w:val="00CF6AA7"/>
    <w:rsid w:val="00D02613"/>
    <w:rsid w:val="00D060F5"/>
    <w:rsid w:val="00D06613"/>
    <w:rsid w:val="00D114B4"/>
    <w:rsid w:val="00D119E0"/>
    <w:rsid w:val="00D1210A"/>
    <w:rsid w:val="00D12679"/>
    <w:rsid w:val="00D13574"/>
    <w:rsid w:val="00D13FCC"/>
    <w:rsid w:val="00D149B3"/>
    <w:rsid w:val="00D14E0D"/>
    <w:rsid w:val="00D14EAA"/>
    <w:rsid w:val="00D1522D"/>
    <w:rsid w:val="00D15B9A"/>
    <w:rsid w:val="00D15D80"/>
    <w:rsid w:val="00D1666A"/>
    <w:rsid w:val="00D17D8C"/>
    <w:rsid w:val="00D21BE7"/>
    <w:rsid w:val="00D26793"/>
    <w:rsid w:val="00D27953"/>
    <w:rsid w:val="00D27B89"/>
    <w:rsid w:val="00D33441"/>
    <w:rsid w:val="00D334C0"/>
    <w:rsid w:val="00D36619"/>
    <w:rsid w:val="00D3707C"/>
    <w:rsid w:val="00D43AF8"/>
    <w:rsid w:val="00D450F4"/>
    <w:rsid w:val="00D45431"/>
    <w:rsid w:val="00D505AC"/>
    <w:rsid w:val="00D50730"/>
    <w:rsid w:val="00D50E55"/>
    <w:rsid w:val="00D50E97"/>
    <w:rsid w:val="00D539DF"/>
    <w:rsid w:val="00D53B3B"/>
    <w:rsid w:val="00D542EE"/>
    <w:rsid w:val="00D54F3E"/>
    <w:rsid w:val="00D577AF"/>
    <w:rsid w:val="00D57932"/>
    <w:rsid w:val="00D65F39"/>
    <w:rsid w:val="00D664CF"/>
    <w:rsid w:val="00D67757"/>
    <w:rsid w:val="00D72D71"/>
    <w:rsid w:val="00D7654E"/>
    <w:rsid w:val="00D7698D"/>
    <w:rsid w:val="00D76D8D"/>
    <w:rsid w:val="00D83166"/>
    <w:rsid w:val="00D8329A"/>
    <w:rsid w:val="00D85475"/>
    <w:rsid w:val="00D86304"/>
    <w:rsid w:val="00D87DC8"/>
    <w:rsid w:val="00D9044D"/>
    <w:rsid w:val="00D90F3B"/>
    <w:rsid w:val="00D94EB2"/>
    <w:rsid w:val="00D96521"/>
    <w:rsid w:val="00D97881"/>
    <w:rsid w:val="00DA2563"/>
    <w:rsid w:val="00DA318F"/>
    <w:rsid w:val="00DA380B"/>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DF4654"/>
    <w:rsid w:val="00E00DF4"/>
    <w:rsid w:val="00E0178C"/>
    <w:rsid w:val="00E0297A"/>
    <w:rsid w:val="00E0354C"/>
    <w:rsid w:val="00E05CD7"/>
    <w:rsid w:val="00E12168"/>
    <w:rsid w:val="00E121FC"/>
    <w:rsid w:val="00E12BD3"/>
    <w:rsid w:val="00E14149"/>
    <w:rsid w:val="00E155EB"/>
    <w:rsid w:val="00E17B8A"/>
    <w:rsid w:val="00E27F9E"/>
    <w:rsid w:val="00E30852"/>
    <w:rsid w:val="00E311A1"/>
    <w:rsid w:val="00E34833"/>
    <w:rsid w:val="00E34FF9"/>
    <w:rsid w:val="00E3576F"/>
    <w:rsid w:val="00E369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3C91"/>
    <w:rsid w:val="00E656AA"/>
    <w:rsid w:val="00E6785B"/>
    <w:rsid w:val="00E67BB4"/>
    <w:rsid w:val="00E702E4"/>
    <w:rsid w:val="00E705A5"/>
    <w:rsid w:val="00E71356"/>
    <w:rsid w:val="00E713BE"/>
    <w:rsid w:val="00E715AA"/>
    <w:rsid w:val="00E718FA"/>
    <w:rsid w:val="00E73C64"/>
    <w:rsid w:val="00E751F6"/>
    <w:rsid w:val="00E761CC"/>
    <w:rsid w:val="00E76A25"/>
    <w:rsid w:val="00E82AFE"/>
    <w:rsid w:val="00E8351B"/>
    <w:rsid w:val="00E8434D"/>
    <w:rsid w:val="00E847F7"/>
    <w:rsid w:val="00E84BDF"/>
    <w:rsid w:val="00E869A1"/>
    <w:rsid w:val="00E86E6A"/>
    <w:rsid w:val="00E87230"/>
    <w:rsid w:val="00E872AD"/>
    <w:rsid w:val="00E87666"/>
    <w:rsid w:val="00E9078D"/>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4A7D"/>
    <w:rsid w:val="00EE7991"/>
    <w:rsid w:val="00EF0DD2"/>
    <w:rsid w:val="00EF3196"/>
    <w:rsid w:val="00EF4BD4"/>
    <w:rsid w:val="00EF61BD"/>
    <w:rsid w:val="00F00A1D"/>
    <w:rsid w:val="00F00D73"/>
    <w:rsid w:val="00F011EE"/>
    <w:rsid w:val="00F0325A"/>
    <w:rsid w:val="00F077F5"/>
    <w:rsid w:val="00F101CF"/>
    <w:rsid w:val="00F10359"/>
    <w:rsid w:val="00F11AEB"/>
    <w:rsid w:val="00F141A0"/>
    <w:rsid w:val="00F1438C"/>
    <w:rsid w:val="00F21F0C"/>
    <w:rsid w:val="00F22CC8"/>
    <w:rsid w:val="00F2452B"/>
    <w:rsid w:val="00F24F7D"/>
    <w:rsid w:val="00F27F0C"/>
    <w:rsid w:val="00F31749"/>
    <w:rsid w:val="00F31B0F"/>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95C1E"/>
    <w:rsid w:val="00FA6BE0"/>
    <w:rsid w:val="00FA6E45"/>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1C65E1"/>
    <w:rsid w:val="01872357"/>
    <w:rsid w:val="019239B4"/>
    <w:rsid w:val="01B86B06"/>
    <w:rsid w:val="01C401C9"/>
    <w:rsid w:val="02125852"/>
    <w:rsid w:val="028271B2"/>
    <w:rsid w:val="02957E3E"/>
    <w:rsid w:val="03151A50"/>
    <w:rsid w:val="03346C50"/>
    <w:rsid w:val="034D62DE"/>
    <w:rsid w:val="036C262D"/>
    <w:rsid w:val="038965C0"/>
    <w:rsid w:val="03AD7315"/>
    <w:rsid w:val="03CA02A5"/>
    <w:rsid w:val="03CD5B4A"/>
    <w:rsid w:val="03D075ED"/>
    <w:rsid w:val="03EC32E0"/>
    <w:rsid w:val="04107E55"/>
    <w:rsid w:val="043C0AB7"/>
    <w:rsid w:val="048552F8"/>
    <w:rsid w:val="0488627D"/>
    <w:rsid w:val="04CF69F1"/>
    <w:rsid w:val="051416E4"/>
    <w:rsid w:val="05155D56"/>
    <w:rsid w:val="05336F74"/>
    <w:rsid w:val="053946FE"/>
    <w:rsid w:val="053F44DA"/>
    <w:rsid w:val="0556347F"/>
    <w:rsid w:val="05657965"/>
    <w:rsid w:val="056A6870"/>
    <w:rsid w:val="057F2246"/>
    <w:rsid w:val="05934EED"/>
    <w:rsid w:val="059D7485"/>
    <w:rsid w:val="05A218FD"/>
    <w:rsid w:val="05E32826"/>
    <w:rsid w:val="05EC584B"/>
    <w:rsid w:val="05FB57C1"/>
    <w:rsid w:val="060B799A"/>
    <w:rsid w:val="06425AFA"/>
    <w:rsid w:val="0651104B"/>
    <w:rsid w:val="065135D3"/>
    <w:rsid w:val="066901FE"/>
    <w:rsid w:val="068B2EE2"/>
    <w:rsid w:val="06B02C31"/>
    <w:rsid w:val="06C00186"/>
    <w:rsid w:val="06C60F9B"/>
    <w:rsid w:val="06CB2EB0"/>
    <w:rsid w:val="070A598E"/>
    <w:rsid w:val="070C00E2"/>
    <w:rsid w:val="07215923"/>
    <w:rsid w:val="075676BA"/>
    <w:rsid w:val="075926EA"/>
    <w:rsid w:val="07C90EA0"/>
    <w:rsid w:val="07F01A92"/>
    <w:rsid w:val="082D0DDC"/>
    <w:rsid w:val="0838462F"/>
    <w:rsid w:val="084654BA"/>
    <w:rsid w:val="088031A4"/>
    <w:rsid w:val="0888458F"/>
    <w:rsid w:val="08A06B4F"/>
    <w:rsid w:val="08C5160C"/>
    <w:rsid w:val="08CC7FAB"/>
    <w:rsid w:val="08F8767A"/>
    <w:rsid w:val="09197B3E"/>
    <w:rsid w:val="09410A39"/>
    <w:rsid w:val="094C39EC"/>
    <w:rsid w:val="09527571"/>
    <w:rsid w:val="09546F15"/>
    <w:rsid w:val="09AE2D28"/>
    <w:rsid w:val="09BD43C3"/>
    <w:rsid w:val="09D472EE"/>
    <w:rsid w:val="09E45CBE"/>
    <w:rsid w:val="09E61F4C"/>
    <w:rsid w:val="09FB10FF"/>
    <w:rsid w:val="0A3D5C6E"/>
    <w:rsid w:val="0A603E15"/>
    <w:rsid w:val="0ABF5C4C"/>
    <w:rsid w:val="0B0F368D"/>
    <w:rsid w:val="0B3A5CA3"/>
    <w:rsid w:val="0B4162E6"/>
    <w:rsid w:val="0B6017B9"/>
    <w:rsid w:val="0B735A0F"/>
    <w:rsid w:val="0B7A2E36"/>
    <w:rsid w:val="0B99525E"/>
    <w:rsid w:val="0BCE34E9"/>
    <w:rsid w:val="0BD41778"/>
    <w:rsid w:val="0BDB1D67"/>
    <w:rsid w:val="0BE95E9A"/>
    <w:rsid w:val="0C15127E"/>
    <w:rsid w:val="0C5F5889"/>
    <w:rsid w:val="0C7F638D"/>
    <w:rsid w:val="0C994A55"/>
    <w:rsid w:val="0CAA4C53"/>
    <w:rsid w:val="0CD168E1"/>
    <w:rsid w:val="0D0667FF"/>
    <w:rsid w:val="0D415C54"/>
    <w:rsid w:val="0D50435C"/>
    <w:rsid w:val="0D5B600F"/>
    <w:rsid w:val="0D7A754F"/>
    <w:rsid w:val="0D7F775F"/>
    <w:rsid w:val="0D895471"/>
    <w:rsid w:val="0DB822CE"/>
    <w:rsid w:val="0DD62318"/>
    <w:rsid w:val="0DFD4250"/>
    <w:rsid w:val="0E347BBB"/>
    <w:rsid w:val="0E4C5684"/>
    <w:rsid w:val="0E4E0B87"/>
    <w:rsid w:val="0E90348C"/>
    <w:rsid w:val="0E9272B5"/>
    <w:rsid w:val="0E971A98"/>
    <w:rsid w:val="0EA145B8"/>
    <w:rsid w:val="0EBC67E8"/>
    <w:rsid w:val="0EDD7260"/>
    <w:rsid w:val="0EFE142F"/>
    <w:rsid w:val="0F0D2C42"/>
    <w:rsid w:val="0F24532B"/>
    <w:rsid w:val="0F3E048F"/>
    <w:rsid w:val="0F4E7C06"/>
    <w:rsid w:val="0F522FDA"/>
    <w:rsid w:val="0F5576A6"/>
    <w:rsid w:val="0F681E28"/>
    <w:rsid w:val="0F75161B"/>
    <w:rsid w:val="0F833182"/>
    <w:rsid w:val="0F837C65"/>
    <w:rsid w:val="0FAB6F93"/>
    <w:rsid w:val="0FE872AF"/>
    <w:rsid w:val="0FED3DE9"/>
    <w:rsid w:val="102B2696"/>
    <w:rsid w:val="102E7CFD"/>
    <w:rsid w:val="103F078A"/>
    <w:rsid w:val="10411A22"/>
    <w:rsid w:val="104834EE"/>
    <w:rsid w:val="104E41AE"/>
    <w:rsid w:val="10612D17"/>
    <w:rsid w:val="1083059A"/>
    <w:rsid w:val="10B75798"/>
    <w:rsid w:val="10C152C4"/>
    <w:rsid w:val="10C6436B"/>
    <w:rsid w:val="10DF70BF"/>
    <w:rsid w:val="10EB46B0"/>
    <w:rsid w:val="1148579C"/>
    <w:rsid w:val="116746F9"/>
    <w:rsid w:val="118515F1"/>
    <w:rsid w:val="11DE1CDD"/>
    <w:rsid w:val="11E07ECD"/>
    <w:rsid w:val="11F70C71"/>
    <w:rsid w:val="122E65E4"/>
    <w:rsid w:val="123518F7"/>
    <w:rsid w:val="127F50E9"/>
    <w:rsid w:val="12826F09"/>
    <w:rsid w:val="128F3808"/>
    <w:rsid w:val="12D10C57"/>
    <w:rsid w:val="131320DA"/>
    <w:rsid w:val="131462C7"/>
    <w:rsid w:val="131C2A52"/>
    <w:rsid w:val="132C47D1"/>
    <w:rsid w:val="1388614A"/>
    <w:rsid w:val="139C2C55"/>
    <w:rsid w:val="13B44B40"/>
    <w:rsid w:val="13F3080A"/>
    <w:rsid w:val="13F74913"/>
    <w:rsid w:val="14012977"/>
    <w:rsid w:val="140372DF"/>
    <w:rsid w:val="14642A47"/>
    <w:rsid w:val="148E4F94"/>
    <w:rsid w:val="14A4376A"/>
    <w:rsid w:val="14AB7030"/>
    <w:rsid w:val="14AD6CB5"/>
    <w:rsid w:val="14E47444"/>
    <w:rsid w:val="14F53290"/>
    <w:rsid w:val="1505030B"/>
    <w:rsid w:val="151948F4"/>
    <w:rsid w:val="151C212F"/>
    <w:rsid w:val="152E1F10"/>
    <w:rsid w:val="156B3533"/>
    <w:rsid w:val="159A1A9C"/>
    <w:rsid w:val="15DA30A6"/>
    <w:rsid w:val="15FD6214"/>
    <w:rsid w:val="16022C53"/>
    <w:rsid w:val="160A7825"/>
    <w:rsid w:val="16114A98"/>
    <w:rsid w:val="16184950"/>
    <w:rsid w:val="161F42DB"/>
    <w:rsid w:val="163B00F8"/>
    <w:rsid w:val="16547C2D"/>
    <w:rsid w:val="16590EFE"/>
    <w:rsid w:val="167B5CCB"/>
    <w:rsid w:val="1684137A"/>
    <w:rsid w:val="168510F5"/>
    <w:rsid w:val="16BA03A1"/>
    <w:rsid w:val="16CB4C00"/>
    <w:rsid w:val="16DC6423"/>
    <w:rsid w:val="16E85228"/>
    <w:rsid w:val="16FF7D3A"/>
    <w:rsid w:val="1703505F"/>
    <w:rsid w:val="170556EF"/>
    <w:rsid w:val="172B1502"/>
    <w:rsid w:val="17454AD8"/>
    <w:rsid w:val="174B5E12"/>
    <w:rsid w:val="17627DEA"/>
    <w:rsid w:val="17666976"/>
    <w:rsid w:val="1779455B"/>
    <w:rsid w:val="17911BEA"/>
    <w:rsid w:val="17AF0188"/>
    <w:rsid w:val="17D06220"/>
    <w:rsid w:val="18DE36FC"/>
    <w:rsid w:val="19043F59"/>
    <w:rsid w:val="19047893"/>
    <w:rsid w:val="190D7E26"/>
    <w:rsid w:val="190E0680"/>
    <w:rsid w:val="19351120"/>
    <w:rsid w:val="19E21BB8"/>
    <w:rsid w:val="1A4A621C"/>
    <w:rsid w:val="1AA057B7"/>
    <w:rsid w:val="1AEF00AA"/>
    <w:rsid w:val="1B196E8E"/>
    <w:rsid w:val="1B456999"/>
    <w:rsid w:val="1B4B1512"/>
    <w:rsid w:val="1B672584"/>
    <w:rsid w:val="1B7C5240"/>
    <w:rsid w:val="1B8F0552"/>
    <w:rsid w:val="1BD0376A"/>
    <w:rsid w:val="1BD10986"/>
    <w:rsid w:val="1BD664C1"/>
    <w:rsid w:val="1BE62E2C"/>
    <w:rsid w:val="1C5521A2"/>
    <w:rsid w:val="1C6401A7"/>
    <w:rsid w:val="1C6C5F2C"/>
    <w:rsid w:val="1CAE4A99"/>
    <w:rsid w:val="1CD207E0"/>
    <w:rsid w:val="1D2027D7"/>
    <w:rsid w:val="1D374D5D"/>
    <w:rsid w:val="1DC97089"/>
    <w:rsid w:val="1DEA22A2"/>
    <w:rsid w:val="1E0C5F9A"/>
    <w:rsid w:val="1E3962F7"/>
    <w:rsid w:val="1E45218B"/>
    <w:rsid w:val="1E4A58C3"/>
    <w:rsid w:val="1E546218"/>
    <w:rsid w:val="1E5633AE"/>
    <w:rsid w:val="1ECD0317"/>
    <w:rsid w:val="1EFB0E1B"/>
    <w:rsid w:val="1F0C54A8"/>
    <w:rsid w:val="1F5714F9"/>
    <w:rsid w:val="1F9A75ED"/>
    <w:rsid w:val="1FAA2EDE"/>
    <w:rsid w:val="1FB91219"/>
    <w:rsid w:val="1FC0465F"/>
    <w:rsid w:val="1FFE0644"/>
    <w:rsid w:val="20347290"/>
    <w:rsid w:val="20371C1F"/>
    <w:rsid w:val="20646A1B"/>
    <w:rsid w:val="20693865"/>
    <w:rsid w:val="206D0AF9"/>
    <w:rsid w:val="208A0EA9"/>
    <w:rsid w:val="209A5FCA"/>
    <w:rsid w:val="20A2140E"/>
    <w:rsid w:val="20A4060B"/>
    <w:rsid w:val="20A90FFA"/>
    <w:rsid w:val="20E65B96"/>
    <w:rsid w:val="20EE2B7C"/>
    <w:rsid w:val="20F82B96"/>
    <w:rsid w:val="210A4BA1"/>
    <w:rsid w:val="211704C9"/>
    <w:rsid w:val="21274D1A"/>
    <w:rsid w:val="212C5FC3"/>
    <w:rsid w:val="214116AB"/>
    <w:rsid w:val="217A373D"/>
    <w:rsid w:val="21A732AA"/>
    <w:rsid w:val="21D06385"/>
    <w:rsid w:val="21DB371C"/>
    <w:rsid w:val="21E77118"/>
    <w:rsid w:val="21E9221E"/>
    <w:rsid w:val="21EE7D57"/>
    <w:rsid w:val="221F0D41"/>
    <w:rsid w:val="2225798F"/>
    <w:rsid w:val="22361626"/>
    <w:rsid w:val="22714B76"/>
    <w:rsid w:val="22D25477"/>
    <w:rsid w:val="231F0CAA"/>
    <w:rsid w:val="238F6834"/>
    <w:rsid w:val="23912854"/>
    <w:rsid w:val="239F4BBF"/>
    <w:rsid w:val="23AA06E5"/>
    <w:rsid w:val="23B3087D"/>
    <w:rsid w:val="23B77CC6"/>
    <w:rsid w:val="23D71570"/>
    <w:rsid w:val="23FC3666"/>
    <w:rsid w:val="23FC43CB"/>
    <w:rsid w:val="242023D2"/>
    <w:rsid w:val="24265EF9"/>
    <w:rsid w:val="24422247"/>
    <w:rsid w:val="2452597D"/>
    <w:rsid w:val="24586FAC"/>
    <w:rsid w:val="248A691A"/>
    <w:rsid w:val="24A00BB7"/>
    <w:rsid w:val="24AE0D3C"/>
    <w:rsid w:val="24B51932"/>
    <w:rsid w:val="24F309A0"/>
    <w:rsid w:val="25001A40"/>
    <w:rsid w:val="252E6649"/>
    <w:rsid w:val="254C0545"/>
    <w:rsid w:val="259C66EA"/>
    <w:rsid w:val="25B53702"/>
    <w:rsid w:val="25B86E36"/>
    <w:rsid w:val="25C15CCE"/>
    <w:rsid w:val="25CE6C15"/>
    <w:rsid w:val="25CE7CE7"/>
    <w:rsid w:val="25DC0129"/>
    <w:rsid w:val="25FD7F08"/>
    <w:rsid w:val="26303A95"/>
    <w:rsid w:val="26461889"/>
    <w:rsid w:val="26565067"/>
    <w:rsid w:val="2687240F"/>
    <w:rsid w:val="269C4F84"/>
    <w:rsid w:val="26E0318F"/>
    <w:rsid w:val="26E8008C"/>
    <w:rsid w:val="270A580F"/>
    <w:rsid w:val="271742D6"/>
    <w:rsid w:val="27535154"/>
    <w:rsid w:val="27541D8F"/>
    <w:rsid w:val="27650367"/>
    <w:rsid w:val="27B76579"/>
    <w:rsid w:val="27C7230C"/>
    <w:rsid w:val="27D51A6E"/>
    <w:rsid w:val="28092E82"/>
    <w:rsid w:val="280A70F0"/>
    <w:rsid w:val="28241E16"/>
    <w:rsid w:val="2828418B"/>
    <w:rsid w:val="285831A2"/>
    <w:rsid w:val="2880705B"/>
    <w:rsid w:val="28935078"/>
    <w:rsid w:val="28BA032F"/>
    <w:rsid w:val="28D771B3"/>
    <w:rsid w:val="28F22610"/>
    <w:rsid w:val="291F32E1"/>
    <w:rsid w:val="292B7661"/>
    <w:rsid w:val="29583B07"/>
    <w:rsid w:val="296576F6"/>
    <w:rsid w:val="2970151A"/>
    <w:rsid w:val="297A26A8"/>
    <w:rsid w:val="297F5D39"/>
    <w:rsid w:val="29D37D2A"/>
    <w:rsid w:val="29F66FE5"/>
    <w:rsid w:val="2A0C6CC3"/>
    <w:rsid w:val="2A0E7F0F"/>
    <w:rsid w:val="2A1213E4"/>
    <w:rsid w:val="2A207473"/>
    <w:rsid w:val="2A396D97"/>
    <w:rsid w:val="2A832468"/>
    <w:rsid w:val="2A881708"/>
    <w:rsid w:val="2A965A80"/>
    <w:rsid w:val="2AAD386A"/>
    <w:rsid w:val="2AEB1EBC"/>
    <w:rsid w:val="2AEC58C2"/>
    <w:rsid w:val="2B25315D"/>
    <w:rsid w:val="2B272BDA"/>
    <w:rsid w:val="2B4861ED"/>
    <w:rsid w:val="2B605293"/>
    <w:rsid w:val="2B612554"/>
    <w:rsid w:val="2B8354F2"/>
    <w:rsid w:val="2B94670F"/>
    <w:rsid w:val="2B9F4376"/>
    <w:rsid w:val="2BBB30E2"/>
    <w:rsid w:val="2BC17F92"/>
    <w:rsid w:val="2BCA274F"/>
    <w:rsid w:val="2BDB76C2"/>
    <w:rsid w:val="2BE3057D"/>
    <w:rsid w:val="2C013CDC"/>
    <w:rsid w:val="2C2124F4"/>
    <w:rsid w:val="2C3579BB"/>
    <w:rsid w:val="2C4F3D60"/>
    <w:rsid w:val="2C6C6D68"/>
    <w:rsid w:val="2C750052"/>
    <w:rsid w:val="2C8A2821"/>
    <w:rsid w:val="2C9D6E98"/>
    <w:rsid w:val="2CEC37BF"/>
    <w:rsid w:val="2CF56F7A"/>
    <w:rsid w:val="2D0504C1"/>
    <w:rsid w:val="2D5B1AF1"/>
    <w:rsid w:val="2D645A8B"/>
    <w:rsid w:val="2D795EE6"/>
    <w:rsid w:val="2DA75C8B"/>
    <w:rsid w:val="2DB61DC2"/>
    <w:rsid w:val="2DDC5444"/>
    <w:rsid w:val="2DE509DA"/>
    <w:rsid w:val="2DE57602"/>
    <w:rsid w:val="2DE8326D"/>
    <w:rsid w:val="2E4A429A"/>
    <w:rsid w:val="2E6426E9"/>
    <w:rsid w:val="2E742A36"/>
    <w:rsid w:val="2E806AC0"/>
    <w:rsid w:val="2EB10C98"/>
    <w:rsid w:val="2EC41B6D"/>
    <w:rsid w:val="2F371186"/>
    <w:rsid w:val="2F7B3348"/>
    <w:rsid w:val="2F8C4860"/>
    <w:rsid w:val="2F9873EC"/>
    <w:rsid w:val="2FB1436E"/>
    <w:rsid w:val="2FBB13DF"/>
    <w:rsid w:val="2FC46C7B"/>
    <w:rsid w:val="2FFA3CBF"/>
    <w:rsid w:val="30355562"/>
    <w:rsid w:val="305A3A1C"/>
    <w:rsid w:val="307C573E"/>
    <w:rsid w:val="30D17ACB"/>
    <w:rsid w:val="30E01C26"/>
    <w:rsid w:val="30FA62A5"/>
    <w:rsid w:val="31164EE4"/>
    <w:rsid w:val="311E2D72"/>
    <w:rsid w:val="312430B7"/>
    <w:rsid w:val="3137444E"/>
    <w:rsid w:val="314D541F"/>
    <w:rsid w:val="31833619"/>
    <w:rsid w:val="31982EEE"/>
    <w:rsid w:val="31A313C1"/>
    <w:rsid w:val="31AD16AC"/>
    <w:rsid w:val="31C02162"/>
    <w:rsid w:val="31C35F31"/>
    <w:rsid w:val="31D75B44"/>
    <w:rsid w:val="321F68AE"/>
    <w:rsid w:val="322D5960"/>
    <w:rsid w:val="322F18A1"/>
    <w:rsid w:val="323A4C76"/>
    <w:rsid w:val="32453F0C"/>
    <w:rsid w:val="32916000"/>
    <w:rsid w:val="32A323B5"/>
    <w:rsid w:val="32BF029E"/>
    <w:rsid w:val="32BF4ECF"/>
    <w:rsid w:val="32F609DC"/>
    <w:rsid w:val="32FC6F32"/>
    <w:rsid w:val="330A715A"/>
    <w:rsid w:val="330D309E"/>
    <w:rsid w:val="332561EC"/>
    <w:rsid w:val="33384636"/>
    <w:rsid w:val="336530DF"/>
    <w:rsid w:val="33663C27"/>
    <w:rsid w:val="338A6244"/>
    <w:rsid w:val="338E7B26"/>
    <w:rsid w:val="33936F97"/>
    <w:rsid w:val="339B7F3D"/>
    <w:rsid w:val="33BD766E"/>
    <w:rsid w:val="33C022CD"/>
    <w:rsid w:val="33C865FF"/>
    <w:rsid w:val="33EE55C1"/>
    <w:rsid w:val="341C2C0D"/>
    <w:rsid w:val="342C7624"/>
    <w:rsid w:val="34620568"/>
    <w:rsid w:val="34797724"/>
    <w:rsid w:val="349E59C5"/>
    <w:rsid w:val="34C52530"/>
    <w:rsid w:val="34F22E60"/>
    <w:rsid w:val="34F52E22"/>
    <w:rsid w:val="34FD5173"/>
    <w:rsid w:val="35132EF4"/>
    <w:rsid w:val="351E0F07"/>
    <w:rsid w:val="35403AD5"/>
    <w:rsid w:val="356F0F35"/>
    <w:rsid w:val="35773A99"/>
    <w:rsid w:val="3599165E"/>
    <w:rsid w:val="35B93F94"/>
    <w:rsid w:val="35D26A5B"/>
    <w:rsid w:val="35DF6709"/>
    <w:rsid w:val="35E42AC7"/>
    <w:rsid w:val="362B686B"/>
    <w:rsid w:val="363641A4"/>
    <w:rsid w:val="365454CD"/>
    <w:rsid w:val="36596B7F"/>
    <w:rsid w:val="36915EB5"/>
    <w:rsid w:val="36AB7421"/>
    <w:rsid w:val="36C074C4"/>
    <w:rsid w:val="36DE5C94"/>
    <w:rsid w:val="3709455A"/>
    <w:rsid w:val="371344B3"/>
    <w:rsid w:val="37213DE5"/>
    <w:rsid w:val="374B4FC3"/>
    <w:rsid w:val="37846422"/>
    <w:rsid w:val="37906B8B"/>
    <w:rsid w:val="37912C2B"/>
    <w:rsid w:val="38007C07"/>
    <w:rsid w:val="380A685C"/>
    <w:rsid w:val="386901D1"/>
    <w:rsid w:val="38A06A11"/>
    <w:rsid w:val="38AB7278"/>
    <w:rsid w:val="38EA11EC"/>
    <w:rsid w:val="39206C68"/>
    <w:rsid w:val="392574AE"/>
    <w:rsid w:val="3937661B"/>
    <w:rsid w:val="394A04AD"/>
    <w:rsid w:val="396F4CC8"/>
    <w:rsid w:val="397E34F9"/>
    <w:rsid w:val="39C946FC"/>
    <w:rsid w:val="39D66090"/>
    <w:rsid w:val="39F96C47"/>
    <w:rsid w:val="3A0B267A"/>
    <w:rsid w:val="3A22009D"/>
    <w:rsid w:val="3A6504E4"/>
    <w:rsid w:val="3A7E0A06"/>
    <w:rsid w:val="3A7E1162"/>
    <w:rsid w:val="3A942F44"/>
    <w:rsid w:val="3A972710"/>
    <w:rsid w:val="3AF61384"/>
    <w:rsid w:val="3AF82491"/>
    <w:rsid w:val="3B013DDA"/>
    <w:rsid w:val="3B475B9C"/>
    <w:rsid w:val="3B620EA2"/>
    <w:rsid w:val="3B621B39"/>
    <w:rsid w:val="3B697D24"/>
    <w:rsid w:val="3B930097"/>
    <w:rsid w:val="3B9B709C"/>
    <w:rsid w:val="3BB97A2D"/>
    <w:rsid w:val="3BF54D88"/>
    <w:rsid w:val="3C5C4E6F"/>
    <w:rsid w:val="3C6D19FB"/>
    <w:rsid w:val="3C815AE6"/>
    <w:rsid w:val="3CAE1E2C"/>
    <w:rsid w:val="3CC842D5"/>
    <w:rsid w:val="3CDE6407"/>
    <w:rsid w:val="3CF03605"/>
    <w:rsid w:val="3CF53E5E"/>
    <w:rsid w:val="3CFB076D"/>
    <w:rsid w:val="3D1847CA"/>
    <w:rsid w:val="3D3C3CA5"/>
    <w:rsid w:val="3D404689"/>
    <w:rsid w:val="3D4E29E8"/>
    <w:rsid w:val="3D5B6155"/>
    <w:rsid w:val="3D5D508F"/>
    <w:rsid w:val="3D6F4456"/>
    <w:rsid w:val="3D942A8E"/>
    <w:rsid w:val="3DA44151"/>
    <w:rsid w:val="3DBE7231"/>
    <w:rsid w:val="3DD806C4"/>
    <w:rsid w:val="3DF82424"/>
    <w:rsid w:val="3E327332"/>
    <w:rsid w:val="3E7873E6"/>
    <w:rsid w:val="3E7D4B7E"/>
    <w:rsid w:val="3EA1023D"/>
    <w:rsid w:val="3ED5433F"/>
    <w:rsid w:val="3EF4545B"/>
    <w:rsid w:val="3F2A5350"/>
    <w:rsid w:val="3F4F373E"/>
    <w:rsid w:val="3F543E53"/>
    <w:rsid w:val="3F5B494A"/>
    <w:rsid w:val="3F634A8A"/>
    <w:rsid w:val="3F6527BE"/>
    <w:rsid w:val="3F9A1E5E"/>
    <w:rsid w:val="3FAE10D2"/>
    <w:rsid w:val="3FB30094"/>
    <w:rsid w:val="3FC221AA"/>
    <w:rsid w:val="3FC24DFB"/>
    <w:rsid w:val="3FF3077A"/>
    <w:rsid w:val="40424194"/>
    <w:rsid w:val="404C36C2"/>
    <w:rsid w:val="40774F6D"/>
    <w:rsid w:val="40AC6ABD"/>
    <w:rsid w:val="40F70F22"/>
    <w:rsid w:val="41022B36"/>
    <w:rsid w:val="410C33C4"/>
    <w:rsid w:val="410C6A04"/>
    <w:rsid w:val="41271642"/>
    <w:rsid w:val="412B3CFA"/>
    <w:rsid w:val="415572CF"/>
    <w:rsid w:val="41614DC5"/>
    <w:rsid w:val="41714924"/>
    <w:rsid w:val="418C2A9A"/>
    <w:rsid w:val="41A91B94"/>
    <w:rsid w:val="41BE5103"/>
    <w:rsid w:val="41F01338"/>
    <w:rsid w:val="42260647"/>
    <w:rsid w:val="423F17DF"/>
    <w:rsid w:val="425A3496"/>
    <w:rsid w:val="429F4798"/>
    <w:rsid w:val="42B503FB"/>
    <w:rsid w:val="42BC385C"/>
    <w:rsid w:val="42C24FD0"/>
    <w:rsid w:val="433B4099"/>
    <w:rsid w:val="434F4ECF"/>
    <w:rsid w:val="43AB2A94"/>
    <w:rsid w:val="43BC2723"/>
    <w:rsid w:val="43E06C09"/>
    <w:rsid w:val="43EE44B2"/>
    <w:rsid w:val="44127EBA"/>
    <w:rsid w:val="441B2477"/>
    <w:rsid w:val="442E77EA"/>
    <w:rsid w:val="443E6826"/>
    <w:rsid w:val="44A761AF"/>
    <w:rsid w:val="44BE6C6C"/>
    <w:rsid w:val="44CC6850"/>
    <w:rsid w:val="44D37F54"/>
    <w:rsid w:val="44D90D2D"/>
    <w:rsid w:val="44E1728E"/>
    <w:rsid w:val="44F338DE"/>
    <w:rsid w:val="451435D9"/>
    <w:rsid w:val="45344663"/>
    <w:rsid w:val="45924D5C"/>
    <w:rsid w:val="45FA3D9C"/>
    <w:rsid w:val="45FA5C41"/>
    <w:rsid w:val="460A786B"/>
    <w:rsid w:val="4656787E"/>
    <w:rsid w:val="465765F5"/>
    <w:rsid w:val="46683C12"/>
    <w:rsid w:val="46AA30C5"/>
    <w:rsid w:val="46B11CD5"/>
    <w:rsid w:val="47071FDC"/>
    <w:rsid w:val="47390B3E"/>
    <w:rsid w:val="4739459F"/>
    <w:rsid w:val="4740699E"/>
    <w:rsid w:val="47501485"/>
    <w:rsid w:val="475F7C6C"/>
    <w:rsid w:val="47683C93"/>
    <w:rsid w:val="47B578DE"/>
    <w:rsid w:val="490364C8"/>
    <w:rsid w:val="491F5084"/>
    <w:rsid w:val="49375169"/>
    <w:rsid w:val="49547913"/>
    <w:rsid w:val="496137C4"/>
    <w:rsid w:val="496C50A6"/>
    <w:rsid w:val="49711339"/>
    <w:rsid w:val="498F50D9"/>
    <w:rsid w:val="49977984"/>
    <w:rsid w:val="49FF361D"/>
    <w:rsid w:val="4A1500FD"/>
    <w:rsid w:val="4A523DC6"/>
    <w:rsid w:val="4A7466FF"/>
    <w:rsid w:val="4AA352A0"/>
    <w:rsid w:val="4AB06EC7"/>
    <w:rsid w:val="4AFD2145"/>
    <w:rsid w:val="4B344C32"/>
    <w:rsid w:val="4B560286"/>
    <w:rsid w:val="4B6A50B4"/>
    <w:rsid w:val="4B7A3338"/>
    <w:rsid w:val="4B9316C9"/>
    <w:rsid w:val="4BC304DA"/>
    <w:rsid w:val="4BE84ADE"/>
    <w:rsid w:val="4BEA35E2"/>
    <w:rsid w:val="4BFD05CC"/>
    <w:rsid w:val="4C1116CD"/>
    <w:rsid w:val="4C261041"/>
    <w:rsid w:val="4C357B95"/>
    <w:rsid w:val="4C7321DD"/>
    <w:rsid w:val="4C81306E"/>
    <w:rsid w:val="4CEA7917"/>
    <w:rsid w:val="4D1A675C"/>
    <w:rsid w:val="4D237EEE"/>
    <w:rsid w:val="4D36236B"/>
    <w:rsid w:val="4D426A4E"/>
    <w:rsid w:val="4D447ACD"/>
    <w:rsid w:val="4D69372C"/>
    <w:rsid w:val="4DE20C4E"/>
    <w:rsid w:val="4E121B55"/>
    <w:rsid w:val="4E1409B4"/>
    <w:rsid w:val="4E244E42"/>
    <w:rsid w:val="4E5A6974"/>
    <w:rsid w:val="4E6F2738"/>
    <w:rsid w:val="4E822DD2"/>
    <w:rsid w:val="4E8376D0"/>
    <w:rsid w:val="4E8A3AF9"/>
    <w:rsid w:val="4E904C65"/>
    <w:rsid w:val="4EA33192"/>
    <w:rsid w:val="4ED14E3B"/>
    <w:rsid w:val="4EDB451F"/>
    <w:rsid w:val="4EDE6994"/>
    <w:rsid w:val="4EF574D2"/>
    <w:rsid w:val="4F375E50"/>
    <w:rsid w:val="4F3A4FAD"/>
    <w:rsid w:val="4F404EF3"/>
    <w:rsid w:val="4F413421"/>
    <w:rsid w:val="4F5542BA"/>
    <w:rsid w:val="4F5B6A7C"/>
    <w:rsid w:val="4F902DE8"/>
    <w:rsid w:val="4FEF31B4"/>
    <w:rsid w:val="4FF108B5"/>
    <w:rsid w:val="4FF727BF"/>
    <w:rsid w:val="505D37E8"/>
    <w:rsid w:val="505E5044"/>
    <w:rsid w:val="50645371"/>
    <w:rsid w:val="50783615"/>
    <w:rsid w:val="50975B14"/>
    <w:rsid w:val="50CE2008"/>
    <w:rsid w:val="50E161AA"/>
    <w:rsid w:val="5103512C"/>
    <w:rsid w:val="51051CE7"/>
    <w:rsid w:val="512833BF"/>
    <w:rsid w:val="51C46FD2"/>
    <w:rsid w:val="52026457"/>
    <w:rsid w:val="523D05D3"/>
    <w:rsid w:val="52596244"/>
    <w:rsid w:val="527B17DD"/>
    <w:rsid w:val="527B1A36"/>
    <w:rsid w:val="528662F0"/>
    <w:rsid w:val="529E3019"/>
    <w:rsid w:val="52FA3944"/>
    <w:rsid w:val="53125FE1"/>
    <w:rsid w:val="531E4716"/>
    <w:rsid w:val="534C582B"/>
    <w:rsid w:val="534E07B4"/>
    <w:rsid w:val="536729EA"/>
    <w:rsid w:val="5385080E"/>
    <w:rsid w:val="53B355D7"/>
    <w:rsid w:val="53F33750"/>
    <w:rsid w:val="541E31C1"/>
    <w:rsid w:val="54226DAD"/>
    <w:rsid w:val="54B57C0A"/>
    <w:rsid w:val="54C2149E"/>
    <w:rsid w:val="54D072C3"/>
    <w:rsid w:val="551845E5"/>
    <w:rsid w:val="55741A72"/>
    <w:rsid w:val="55AD5A35"/>
    <w:rsid w:val="55CD5707"/>
    <w:rsid w:val="55D05DD8"/>
    <w:rsid w:val="55DF072A"/>
    <w:rsid w:val="561719BF"/>
    <w:rsid w:val="561C4D71"/>
    <w:rsid w:val="561F0A81"/>
    <w:rsid w:val="562070BA"/>
    <w:rsid w:val="562654E2"/>
    <w:rsid w:val="56276D69"/>
    <w:rsid w:val="567B0D05"/>
    <w:rsid w:val="5687274B"/>
    <w:rsid w:val="56AF7B24"/>
    <w:rsid w:val="56E3240E"/>
    <w:rsid w:val="56EB2994"/>
    <w:rsid w:val="56F077A0"/>
    <w:rsid w:val="57580AC9"/>
    <w:rsid w:val="577E4D9D"/>
    <w:rsid w:val="57C91F73"/>
    <w:rsid w:val="57F55ADD"/>
    <w:rsid w:val="57F87AFA"/>
    <w:rsid w:val="58350BDD"/>
    <w:rsid w:val="58365C18"/>
    <w:rsid w:val="58BB07A8"/>
    <w:rsid w:val="58D16635"/>
    <w:rsid w:val="58F93587"/>
    <w:rsid w:val="590B7E1B"/>
    <w:rsid w:val="59235EE6"/>
    <w:rsid w:val="593A6196"/>
    <w:rsid w:val="593D5A74"/>
    <w:rsid w:val="59634AD2"/>
    <w:rsid w:val="596F7DF9"/>
    <w:rsid w:val="59700CB2"/>
    <w:rsid w:val="5992590A"/>
    <w:rsid w:val="59F667CF"/>
    <w:rsid w:val="59F73FA9"/>
    <w:rsid w:val="5A006E37"/>
    <w:rsid w:val="5A0709C0"/>
    <w:rsid w:val="5A443ABB"/>
    <w:rsid w:val="5A4D392F"/>
    <w:rsid w:val="5A6A2C63"/>
    <w:rsid w:val="5A7979FA"/>
    <w:rsid w:val="5A863E8E"/>
    <w:rsid w:val="5AB74E18"/>
    <w:rsid w:val="5ABE73D9"/>
    <w:rsid w:val="5AD51BB4"/>
    <w:rsid w:val="5AD621DB"/>
    <w:rsid w:val="5AE557FF"/>
    <w:rsid w:val="5AF20017"/>
    <w:rsid w:val="5AF5329F"/>
    <w:rsid w:val="5AF542D9"/>
    <w:rsid w:val="5B1512E1"/>
    <w:rsid w:val="5B307A41"/>
    <w:rsid w:val="5B4D5A36"/>
    <w:rsid w:val="5B664ADB"/>
    <w:rsid w:val="5B785F50"/>
    <w:rsid w:val="5B7A4125"/>
    <w:rsid w:val="5B877940"/>
    <w:rsid w:val="5BA81C2A"/>
    <w:rsid w:val="5BFA7EF6"/>
    <w:rsid w:val="5C116D59"/>
    <w:rsid w:val="5C32271D"/>
    <w:rsid w:val="5C45068B"/>
    <w:rsid w:val="5C5A3EE7"/>
    <w:rsid w:val="5C784F41"/>
    <w:rsid w:val="5CAC42F9"/>
    <w:rsid w:val="5CBA7FC0"/>
    <w:rsid w:val="5D2C38E4"/>
    <w:rsid w:val="5D333476"/>
    <w:rsid w:val="5D34491A"/>
    <w:rsid w:val="5D411F85"/>
    <w:rsid w:val="5D4F642A"/>
    <w:rsid w:val="5D536E7C"/>
    <w:rsid w:val="5D7828E6"/>
    <w:rsid w:val="5D874EB5"/>
    <w:rsid w:val="5DA028CB"/>
    <w:rsid w:val="5DB85ED3"/>
    <w:rsid w:val="5DC871F5"/>
    <w:rsid w:val="5DFB2D6D"/>
    <w:rsid w:val="5E090D78"/>
    <w:rsid w:val="5E2C6546"/>
    <w:rsid w:val="5E4F72F6"/>
    <w:rsid w:val="5E6721EE"/>
    <w:rsid w:val="5EA12141"/>
    <w:rsid w:val="5EC827A4"/>
    <w:rsid w:val="5ECD6188"/>
    <w:rsid w:val="5ED65FEF"/>
    <w:rsid w:val="5EE12163"/>
    <w:rsid w:val="5F052914"/>
    <w:rsid w:val="5F0A4BA5"/>
    <w:rsid w:val="5F0A5F36"/>
    <w:rsid w:val="5F187E14"/>
    <w:rsid w:val="5F517590"/>
    <w:rsid w:val="5F931193"/>
    <w:rsid w:val="5F995DE3"/>
    <w:rsid w:val="5FD157E9"/>
    <w:rsid w:val="60183D36"/>
    <w:rsid w:val="60316A8A"/>
    <w:rsid w:val="60352E49"/>
    <w:rsid w:val="604307FB"/>
    <w:rsid w:val="60436DFE"/>
    <w:rsid w:val="60587F6C"/>
    <w:rsid w:val="60745B86"/>
    <w:rsid w:val="60757548"/>
    <w:rsid w:val="60922EA7"/>
    <w:rsid w:val="60D276FD"/>
    <w:rsid w:val="60DD09F9"/>
    <w:rsid w:val="60EB1D7C"/>
    <w:rsid w:val="60FB43D3"/>
    <w:rsid w:val="61215C6A"/>
    <w:rsid w:val="614822A7"/>
    <w:rsid w:val="615467BF"/>
    <w:rsid w:val="615E13D9"/>
    <w:rsid w:val="61891392"/>
    <w:rsid w:val="619A74DB"/>
    <w:rsid w:val="61D536CC"/>
    <w:rsid w:val="61D95419"/>
    <w:rsid w:val="61E46B07"/>
    <w:rsid w:val="61E559A8"/>
    <w:rsid w:val="61E72504"/>
    <w:rsid w:val="62082855"/>
    <w:rsid w:val="62201DCB"/>
    <w:rsid w:val="6254509F"/>
    <w:rsid w:val="62670855"/>
    <w:rsid w:val="626B2E63"/>
    <w:rsid w:val="62722BF9"/>
    <w:rsid w:val="62781254"/>
    <w:rsid w:val="628F56D7"/>
    <w:rsid w:val="62AD77BF"/>
    <w:rsid w:val="62B6401D"/>
    <w:rsid w:val="62C55BA5"/>
    <w:rsid w:val="62F04C62"/>
    <w:rsid w:val="62F77B79"/>
    <w:rsid w:val="63357CC5"/>
    <w:rsid w:val="63417E63"/>
    <w:rsid w:val="63586D06"/>
    <w:rsid w:val="639B5D89"/>
    <w:rsid w:val="63A32E81"/>
    <w:rsid w:val="63A82549"/>
    <w:rsid w:val="640052D8"/>
    <w:rsid w:val="6402249F"/>
    <w:rsid w:val="6417398B"/>
    <w:rsid w:val="64382979"/>
    <w:rsid w:val="646D3538"/>
    <w:rsid w:val="64DC72A8"/>
    <w:rsid w:val="64F13D73"/>
    <w:rsid w:val="65114B98"/>
    <w:rsid w:val="65170A3D"/>
    <w:rsid w:val="651E4C38"/>
    <w:rsid w:val="65365292"/>
    <w:rsid w:val="65436AE1"/>
    <w:rsid w:val="65704466"/>
    <w:rsid w:val="6584222B"/>
    <w:rsid w:val="65CD26B4"/>
    <w:rsid w:val="65D214B6"/>
    <w:rsid w:val="660A60F8"/>
    <w:rsid w:val="661253BE"/>
    <w:rsid w:val="6612692A"/>
    <w:rsid w:val="66161F0A"/>
    <w:rsid w:val="66196145"/>
    <w:rsid w:val="665F2CA6"/>
    <w:rsid w:val="6670389E"/>
    <w:rsid w:val="66C60A29"/>
    <w:rsid w:val="66D042E9"/>
    <w:rsid w:val="66F34812"/>
    <w:rsid w:val="66F66FFA"/>
    <w:rsid w:val="66F73355"/>
    <w:rsid w:val="67116F88"/>
    <w:rsid w:val="671921DE"/>
    <w:rsid w:val="6731565E"/>
    <w:rsid w:val="673536B8"/>
    <w:rsid w:val="674E497A"/>
    <w:rsid w:val="675608AD"/>
    <w:rsid w:val="675B1FDC"/>
    <w:rsid w:val="677D30E0"/>
    <w:rsid w:val="68006EE8"/>
    <w:rsid w:val="68166C87"/>
    <w:rsid w:val="6819202A"/>
    <w:rsid w:val="68401238"/>
    <w:rsid w:val="684727D9"/>
    <w:rsid w:val="68535FE0"/>
    <w:rsid w:val="68683D31"/>
    <w:rsid w:val="68A06278"/>
    <w:rsid w:val="68B3726E"/>
    <w:rsid w:val="68BD171A"/>
    <w:rsid w:val="68C1349D"/>
    <w:rsid w:val="69264754"/>
    <w:rsid w:val="694420CC"/>
    <w:rsid w:val="696E1C4C"/>
    <w:rsid w:val="6979511F"/>
    <w:rsid w:val="69816C11"/>
    <w:rsid w:val="69E07828"/>
    <w:rsid w:val="6A1224A0"/>
    <w:rsid w:val="6A1802E3"/>
    <w:rsid w:val="6A31115D"/>
    <w:rsid w:val="6A502F91"/>
    <w:rsid w:val="6A5C2E89"/>
    <w:rsid w:val="6A6B1379"/>
    <w:rsid w:val="6A6F21B0"/>
    <w:rsid w:val="6A87109B"/>
    <w:rsid w:val="6A996FCF"/>
    <w:rsid w:val="6AB6268C"/>
    <w:rsid w:val="6B0C0A7D"/>
    <w:rsid w:val="6B195F9E"/>
    <w:rsid w:val="6B2F7019"/>
    <w:rsid w:val="6B7B77ED"/>
    <w:rsid w:val="6B834A11"/>
    <w:rsid w:val="6BA5799B"/>
    <w:rsid w:val="6BAF3BBE"/>
    <w:rsid w:val="6BD86705"/>
    <w:rsid w:val="6BDC6768"/>
    <w:rsid w:val="6BE33C8F"/>
    <w:rsid w:val="6BFD6A38"/>
    <w:rsid w:val="6C26003F"/>
    <w:rsid w:val="6C39469E"/>
    <w:rsid w:val="6C81224F"/>
    <w:rsid w:val="6C8E09FD"/>
    <w:rsid w:val="6CAA1438"/>
    <w:rsid w:val="6CB674EB"/>
    <w:rsid w:val="6CC3417C"/>
    <w:rsid w:val="6CF4454B"/>
    <w:rsid w:val="6CF751CD"/>
    <w:rsid w:val="6CFE2A90"/>
    <w:rsid w:val="6D033406"/>
    <w:rsid w:val="6D101F46"/>
    <w:rsid w:val="6D363AA9"/>
    <w:rsid w:val="6D6A23A6"/>
    <w:rsid w:val="6D747C94"/>
    <w:rsid w:val="6D7A7986"/>
    <w:rsid w:val="6D843218"/>
    <w:rsid w:val="6DAA3AC3"/>
    <w:rsid w:val="6DB27C2E"/>
    <w:rsid w:val="6DB33789"/>
    <w:rsid w:val="6DC349D7"/>
    <w:rsid w:val="6DCF3E9D"/>
    <w:rsid w:val="6DD01ED5"/>
    <w:rsid w:val="6DD1579D"/>
    <w:rsid w:val="6E520A94"/>
    <w:rsid w:val="6E583149"/>
    <w:rsid w:val="6E722676"/>
    <w:rsid w:val="6E725242"/>
    <w:rsid w:val="6E7716CA"/>
    <w:rsid w:val="6E7D3E7D"/>
    <w:rsid w:val="6E8B036B"/>
    <w:rsid w:val="6E916298"/>
    <w:rsid w:val="6E946B8C"/>
    <w:rsid w:val="6EA83F00"/>
    <w:rsid w:val="6EA84809"/>
    <w:rsid w:val="6EA86D11"/>
    <w:rsid w:val="6ED64481"/>
    <w:rsid w:val="6EF041DC"/>
    <w:rsid w:val="6F225078"/>
    <w:rsid w:val="6F4F5C6B"/>
    <w:rsid w:val="6F6D5808"/>
    <w:rsid w:val="6F7F79D1"/>
    <w:rsid w:val="6FF3443A"/>
    <w:rsid w:val="6FF40BBB"/>
    <w:rsid w:val="70013752"/>
    <w:rsid w:val="70317E9E"/>
    <w:rsid w:val="7032319A"/>
    <w:rsid w:val="70342CA5"/>
    <w:rsid w:val="70363C29"/>
    <w:rsid w:val="705410A6"/>
    <w:rsid w:val="705D2BE9"/>
    <w:rsid w:val="708A7E30"/>
    <w:rsid w:val="70E26C32"/>
    <w:rsid w:val="70E86DEE"/>
    <w:rsid w:val="712307DD"/>
    <w:rsid w:val="71356F33"/>
    <w:rsid w:val="719C3171"/>
    <w:rsid w:val="71B6648E"/>
    <w:rsid w:val="71C66055"/>
    <w:rsid w:val="71DA2984"/>
    <w:rsid w:val="71E81E35"/>
    <w:rsid w:val="71F31696"/>
    <w:rsid w:val="721169B3"/>
    <w:rsid w:val="723D3F29"/>
    <w:rsid w:val="72556B12"/>
    <w:rsid w:val="725F4533"/>
    <w:rsid w:val="72665AB1"/>
    <w:rsid w:val="726B0346"/>
    <w:rsid w:val="729F603C"/>
    <w:rsid w:val="72A21144"/>
    <w:rsid w:val="72AC5DEC"/>
    <w:rsid w:val="72BA11D4"/>
    <w:rsid w:val="72C34BC0"/>
    <w:rsid w:val="72EF0842"/>
    <w:rsid w:val="736D13CC"/>
    <w:rsid w:val="73C34FB0"/>
    <w:rsid w:val="73E630B6"/>
    <w:rsid w:val="74107293"/>
    <w:rsid w:val="747709E7"/>
    <w:rsid w:val="74A75C74"/>
    <w:rsid w:val="74AE727B"/>
    <w:rsid w:val="74B72109"/>
    <w:rsid w:val="74BC79F6"/>
    <w:rsid w:val="74BD356E"/>
    <w:rsid w:val="74DE2D28"/>
    <w:rsid w:val="74DE6273"/>
    <w:rsid w:val="75034DA5"/>
    <w:rsid w:val="75055E9E"/>
    <w:rsid w:val="750B5416"/>
    <w:rsid w:val="75317F36"/>
    <w:rsid w:val="75434148"/>
    <w:rsid w:val="75536301"/>
    <w:rsid w:val="757731F2"/>
    <w:rsid w:val="75A84F6F"/>
    <w:rsid w:val="75A872BD"/>
    <w:rsid w:val="75C46A48"/>
    <w:rsid w:val="75E13D13"/>
    <w:rsid w:val="763E2F56"/>
    <w:rsid w:val="76582980"/>
    <w:rsid w:val="765B603D"/>
    <w:rsid w:val="765C7713"/>
    <w:rsid w:val="76671C9E"/>
    <w:rsid w:val="767B6F1E"/>
    <w:rsid w:val="76820B5D"/>
    <w:rsid w:val="768E1D0F"/>
    <w:rsid w:val="76BA5152"/>
    <w:rsid w:val="76E97262"/>
    <w:rsid w:val="77411B76"/>
    <w:rsid w:val="77482DDB"/>
    <w:rsid w:val="774B2396"/>
    <w:rsid w:val="778012E8"/>
    <w:rsid w:val="77AA1492"/>
    <w:rsid w:val="782F7348"/>
    <w:rsid w:val="783025F2"/>
    <w:rsid w:val="78582600"/>
    <w:rsid w:val="7881670C"/>
    <w:rsid w:val="78967EE6"/>
    <w:rsid w:val="78B25E04"/>
    <w:rsid w:val="78BD4522"/>
    <w:rsid w:val="78C42AEC"/>
    <w:rsid w:val="78DA4DE9"/>
    <w:rsid w:val="78EA6A67"/>
    <w:rsid w:val="79010C64"/>
    <w:rsid w:val="79164A8A"/>
    <w:rsid w:val="79343267"/>
    <w:rsid w:val="794A3E9B"/>
    <w:rsid w:val="796304EA"/>
    <w:rsid w:val="799042FF"/>
    <w:rsid w:val="79D96301"/>
    <w:rsid w:val="79E9164D"/>
    <w:rsid w:val="7A213F9F"/>
    <w:rsid w:val="7A25707D"/>
    <w:rsid w:val="7A446928"/>
    <w:rsid w:val="7AB824C3"/>
    <w:rsid w:val="7ABD52ED"/>
    <w:rsid w:val="7B0D13DE"/>
    <w:rsid w:val="7B6A2E87"/>
    <w:rsid w:val="7B743B30"/>
    <w:rsid w:val="7B7A6518"/>
    <w:rsid w:val="7BA82B1B"/>
    <w:rsid w:val="7BB15250"/>
    <w:rsid w:val="7BD754B6"/>
    <w:rsid w:val="7BE36163"/>
    <w:rsid w:val="7BEE2FE2"/>
    <w:rsid w:val="7C1039EF"/>
    <w:rsid w:val="7C2C6B33"/>
    <w:rsid w:val="7C7310AD"/>
    <w:rsid w:val="7C79405E"/>
    <w:rsid w:val="7C814E20"/>
    <w:rsid w:val="7C9D2643"/>
    <w:rsid w:val="7CC22674"/>
    <w:rsid w:val="7CDE07EA"/>
    <w:rsid w:val="7D07504F"/>
    <w:rsid w:val="7D083A4C"/>
    <w:rsid w:val="7D1A3539"/>
    <w:rsid w:val="7D2D49BC"/>
    <w:rsid w:val="7D5D46AB"/>
    <w:rsid w:val="7D851A94"/>
    <w:rsid w:val="7D88777A"/>
    <w:rsid w:val="7DAB34EE"/>
    <w:rsid w:val="7DE06C1B"/>
    <w:rsid w:val="7DE1182D"/>
    <w:rsid w:val="7DF34CB6"/>
    <w:rsid w:val="7E035813"/>
    <w:rsid w:val="7E1410AD"/>
    <w:rsid w:val="7E4253D3"/>
    <w:rsid w:val="7E46459C"/>
    <w:rsid w:val="7E753D6C"/>
    <w:rsid w:val="7E905C32"/>
    <w:rsid w:val="7EC30AC6"/>
    <w:rsid w:val="7EFB1398"/>
    <w:rsid w:val="7F1926C7"/>
    <w:rsid w:val="7F1D6B1B"/>
    <w:rsid w:val="7F5D7905"/>
    <w:rsid w:val="7F7416AC"/>
    <w:rsid w:val="7F8A0016"/>
    <w:rsid w:val="7F960A48"/>
    <w:rsid w:val="7FD36A43"/>
    <w:rsid w:val="7FE27B5E"/>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autoRedefine/>
    <w:qFormat/>
    <w:uiPriority w:val="9"/>
    <w:pPr>
      <w:keepNext/>
      <w:widowControl/>
      <w:spacing w:before="340" w:after="330" w:line="576" w:lineRule="auto"/>
      <w:outlineLvl w:val="0"/>
    </w:pPr>
    <w:rPr>
      <w:rFonts w:ascii="???" w:hAnsi="???" w:eastAsia="宋体" w:cs="Arial"/>
      <w:color w:val="020000"/>
      <w:kern w:val="36"/>
      <w:sz w:val="44"/>
      <w:szCs w:val="44"/>
    </w:rPr>
  </w:style>
  <w:style w:type="paragraph" w:styleId="3">
    <w:name w:val="heading 2"/>
    <w:basedOn w:val="1"/>
    <w:next w:val="1"/>
    <w:link w:val="66"/>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5"/>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paragraph" w:styleId="7">
    <w:name w:val="heading 5"/>
    <w:basedOn w:val="1"/>
    <w:next w:val="6"/>
    <w:autoRedefine/>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autoRedefine/>
    <w:qFormat/>
    <w:uiPriority w:val="0"/>
    <w:pPr>
      <w:ind w:firstLine="420" w:firstLineChars="200"/>
    </w:pPr>
    <w:rPr>
      <w:rFonts w:ascii="Times New Roman" w:hAnsi="Times New Roman"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Document Map"/>
    <w:basedOn w:val="1"/>
    <w:link w:val="135"/>
    <w:autoRedefine/>
    <w:qFormat/>
    <w:uiPriority w:val="0"/>
    <w:rPr>
      <w:rFonts w:ascii="宋体" w:hAnsi="Calibri" w:eastAsia="宋体" w:cs="Times New Roman"/>
      <w:kern w:val="0"/>
      <w:sz w:val="18"/>
      <w:szCs w:val="20"/>
    </w:rPr>
  </w:style>
  <w:style w:type="paragraph" w:styleId="12">
    <w:name w:val="toa heading"/>
    <w:basedOn w:val="1"/>
    <w:next w:val="1"/>
    <w:qFormat/>
    <w:uiPriority w:val="0"/>
    <w:pPr>
      <w:spacing w:before="120"/>
    </w:pPr>
    <w:rPr>
      <w:rFonts w:ascii="Cambria" w:hAnsi="Cambria"/>
      <w:sz w:val="24"/>
      <w:szCs w:val="20"/>
    </w:rPr>
  </w:style>
  <w:style w:type="paragraph" w:styleId="13">
    <w:name w:val="annotation text"/>
    <w:basedOn w:val="1"/>
    <w:link w:val="163"/>
    <w:qFormat/>
    <w:uiPriority w:val="0"/>
    <w:pPr>
      <w:jc w:val="left"/>
    </w:pPr>
  </w:style>
  <w:style w:type="paragraph" w:styleId="14">
    <w:name w:val="Body Text"/>
    <w:basedOn w:val="15"/>
    <w:link w:val="138"/>
    <w:autoRedefine/>
    <w:qFormat/>
    <w:uiPriority w:val="99"/>
    <w:pPr>
      <w:spacing w:after="120"/>
    </w:pPr>
    <w:rPr>
      <w:rFonts w:ascii="Calibri" w:hAnsi="Calibri" w:eastAsia="宋体" w:cs="Times New Roman"/>
      <w:kern w:val="0"/>
      <w:sz w:val="24"/>
      <w:szCs w:val="20"/>
    </w:rPr>
  </w:style>
  <w:style w:type="paragraph" w:styleId="15">
    <w:name w:val="Body Text First Indent 2"/>
    <w:basedOn w:val="16"/>
    <w:next w:val="1"/>
    <w:link w:val="212"/>
    <w:semiHidden/>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paragraph" w:styleId="16">
    <w:name w:val="Body Text Indent"/>
    <w:basedOn w:val="1"/>
    <w:link w:val="69"/>
    <w:qFormat/>
    <w:uiPriority w:val="0"/>
    <w:pPr>
      <w:widowControl/>
      <w:spacing w:after="120"/>
      <w:ind w:left="420"/>
    </w:pPr>
    <w:rPr>
      <w:rFonts w:ascii="??" w:hAnsi="??" w:eastAsia="宋体" w:cs="Arial"/>
      <w:kern w:val="0"/>
      <w:sz w:val="24"/>
      <w:szCs w:val="24"/>
    </w:rPr>
  </w:style>
  <w:style w:type="paragraph" w:styleId="17">
    <w:name w:val="toc 5"/>
    <w:basedOn w:val="1"/>
    <w:next w:val="1"/>
    <w:qFormat/>
    <w:uiPriority w:val="0"/>
    <w:pPr>
      <w:ind w:left="1680" w:leftChars="800"/>
    </w:pPr>
    <w:rPr>
      <w:rFonts w:ascii="Times New Roman" w:hAnsi="Times New Roman" w:eastAsia="宋体" w:cs="Times New Roman"/>
      <w:szCs w:val="24"/>
    </w:rPr>
  </w:style>
  <w:style w:type="paragraph" w:styleId="18">
    <w:name w:val="toc 3"/>
    <w:basedOn w:val="1"/>
    <w:next w:val="1"/>
    <w:autoRedefine/>
    <w:qFormat/>
    <w:uiPriority w:val="39"/>
    <w:pPr>
      <w:ind w:left="840" w:leftChars="400"/>
    </w:pPr>
    <w:rPr>
      <w:rFonts w:ascii="Times New Roman" w:hAnsi="Times New Roman" w:eastAsia="宋体" w:cs="Times New Roman"/>
      <w:szCs w:val="24"/>
    </w:rPr>
  </w:style>
  <w:style w:type="paragraph" w:styleId="19">
    <w:name w:val="Plain Text"/>
    <w:basedOn w:val="1"/>
    <w:link w:val="198"/>
    <w:qFormat/>
    <w:uiPriority w:val="99"/>
    <w:rPr>
      <w:rFonts w:ascii="宋体" w:hAnsi="Courier New" w:eastAsia="宋体"/>
      <w:szCs w:val="21"/>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58"/>
    <w:autoRedefine/>
    <w:qFormat/>
    <w:uiPriority w:val="0"/>
    <w:rPr>
      <w:szCs w:val="21"/>
    </w:rPr>
  </w:style>
  <w:style w:type="paragraph" w:styleId="22">
    <w:name w:val="Body Text Indent 2"/>
    <w:basedOn w:val="1"/>
    <w:link w:val="131"/>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81"/>
    <w:qFormat/>
    <w:uiPriority w:val="99"/>
    <w:rPr>
      <w:rFonts w:ascii="Calibri" w:hAnsi="Calibri" w:eastAsia="宋体" w:cs="Times New Roman"/>
      <w:sz w:val="18"/>
      <w:szCs w:val="18"/>
    </w:rPr>
  </w:style>
  <w:style w:type="paragraph" w:styleId="24">
    <w:name w:val="footer"/>
    <w:basedOn w:val="1"/>
    <w:link w:val="68"/>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Subtitle"/>
    <w:basedOn w:val="1"/>
    <w:next w:val="1"/>
    <w:qFormat/>
    <w:uiPriority w:val="0"/>
    <w:pPr>
      <w:wordWrap w:val="0"/>
      <w:spacing w:after="60"/>
      <w:jc w:val="center"/>
    </w:pPr>
    <w:rPr>
      <w:sz w:val="24"/>
    </w:rPr>
  </w:style>
  <w:style w:type="paragraph" w:styleId="29">
    <w:name w:val="footnote text"/>
    <w:basedOn w:val="1"/>
    <w:link w:val="175"/>
    <w:semiHidden/>
    <w:qFormat/>
    <w:uiPriority w:val="0"/>
    <w:pPr>
      <w:snapToGrid w:val="0"/>
      <w:jc w:val="left"/>
    </w:pPr>
    <w:rPr>
      <w:rFonts w:ascii="Times New Roman" w:hAnsi="Times New Roman" w:eastAsia="宋体" w:cs="Times New Roman"/>
      <w:sz w:val="18"/>
      <w:szCs w:val="18"/>
    </w:rPr>
  </w:style>
  <w:style w:type="paragraph" w:styleId="30">
    <w:name w:val="toc 6"/>
    <w:basedOn w:val="1"/>
    <w:next w:val="1"/>
    <w:qFormat/>
    <w:uiPriority w:val="0"/>
    <w:pPr>
      <w:ind w:left="2100" w:leftChars="1000"/>
    </w:pPr>
    <w:rPr>
      <w:rFonts w:ascii="Times New Roman" w:hAnsi="Times New Roman" w:eastAsia="宋体" w:cs="Times New Roman"/>
      <w:szCs w:val="24"/>
    </w:rPr>
  </w:style>
  <w:style w:type="paragraph" w:styleId="31">
    <w:name w:val="Body Text Indent 3"/>
    <w:basedOn w:val="1"/>
    <w:link w:val="133"/>
    <w:qFormat/>
    <w:uiPriority w:val="99"/>
    <w:pPr>
      <w:spacing w:line="440" w:lineRule="exact"/>
      <w:ind w:firstLine="412" w:firstLineChars="200"/>
    </w:pPr>
    <w:rPr>
      <w:rFonts w:ascii="宋体" w:hAnsi="Calibri" w:eastAsia="宋体" w:cs="Times New Roman"/>
      <w:kern w:val="0"/>
      <w:sz w:val="20"/>
      <w:szCs w:val="20"/>
    </w:rPr>
  </w:style>
  <w:style w:type="paragraph" w:styleId="32">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3">
    <w:name w:val="toc 2"/>
    <w:basedOn w:val="1"/>
    <w:next w:val="1"/>
    <w:qFormat/>
    <w:uiPriority w:val="39"/>
    <w:pPr>
      <w:ind w:left="420" w:leftChars="200"/>
    </w:pPr>
    <w:rPr>
      <w:rFonts w:ascii="Times New Roman" w:hAnsi="Times New Roman" w:eastAsia="宋体" w:cs="Times New Roman"/>
      <w:szCs w:val="24"/>
    </w:rPr>
  </w:style>
  <w:style w:type="paragraph" w:styleId="34">
    <w:name w:val="toc 9"/>
    <w:basedOn w:val="1"/>
    <w:next w:val="1"/>
    <w:qFormat/>
    <w:uiPriority w:val="0"/>
    <w:pPr>
      <w:ind w:left="3360" w:leftChars="1600"/>
    </w:pPr>
    <w:rPr>
      <w:rFonts w:ascii="Times New Roman" w:hAnsi="Times New Roman" w:eastAsia="宋体" w:cs="Times New Roman"/>
      <w:szCs w:val="24"/>
    </w:rPr>
  </w:style>
  <w:style w:type="paragraph" w:styleId="35">
    <w:name w:val="List Continue 2"/>
    <w:basedOn w:val="1"/>
    <w:qFormat/>
    <w:uiPriority w:val="99"/>
    <w:pPr>
      <w:spacing w:after="120"/>
      <w:ind w:left="840" w:leftChars="400"/>
    </w:pPr>
    <w:rPr>
      <w:rFonts w:ascii="Times New Roman" w:hAnsi="Times New Roman" w:eastAsia="宋体" w:cs="Times New Roman"/>
      <w:szCs w:val="24"/>
    </w:rPr>
  </w:style>
  <w:style w:type="paragraph" w:styleId="3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8">
    <w:name w:val="Title"/>
    <w:basedOn w:val="1"/>
    <w:next w:val="1"/>
    <w:link w:val="161"/>
    <w:qFormat/>
    <w:uiPriority w:val="0"/>
    <w:pPr>
      <w:spacing w:before="240" w:after="60"/>
      <w:jc w:val="center"/>
      <w:outlineLvl w:val="0"/>
    </w:pPr>
    <w:rPr>
      <w:rFonts w:ascii="Cambria" w:hAnsi="Cambria" w:cs="Times New Roman"/>
      <w:b/>
      <w:bCs/>
      <w:sz w:val="32"/>
      <w:szCs w:val="32"/>
    </w:rPr>
  </w:style>
  <w:style w:type="paragraph" w:styleId="39">
    <w:name w:val="annotation subject"/>
    <w:basedOn w:val="13"/>
    <w:next w:val="13"/>
    <w:link w:val="168"/>
    <w:qFormat/>
    <w:uiPriority w:val="0"/>
    <w:rPr>
      <w:b/>
      <w:bCs/>
    </w:rPr>
  </w:style>
  <w:style w:type="paragraph" w:styleId="40">
    <w:name w:val="Body Text First Indent"/>
    <w:basedOn w:val="14"/>
    <w:link w:val="208"/>
    <w:unhideWhenUsed/>
    <w:qFormat/>
    <w:uiPriority w:val="99"/>
    <w:pPr>
      <w:ind w:firstLine="420" w:firstLineChars="100"/>
    </w:pPr>
    <w:rPr>
      <w:rFonts w:asciiTheme="minorHAnsi" w:hAnsiTheme="minorHAnsi" w:eastAsiaTheme="minorEastAsia" w:cstheme="minorBidi"/>
      <w:kern w:val="2"/>
      <w:sz w:val="21"/>
      <w:szCs w:val="22"/>
    </w:rPr>
  </w:style>
  <w:style w:type="table" w:styleId="42">
    <w:name w:val="Table Grid"/>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22"/>
    <w:rPr>
      <w:rFonts w:cs="Times New Roman"/>
      <w:b/>
    </w:rPr>
  </w:style>
  <w:style w:type="character" w:styleId="45">
    <w:name w:val="page number"/>
    <w:basedOn w:val="43"/>
    <w:qFormat/>
    <w:uiPriority w:val="0"/>
    <w:rPr>
      <w:rFonts w:cs="Times New Roman"/>
    </w:rPr>
  </w:style>
  <w:style w:type="character" w:styleId="46">
    <w:name w:val="FollowedHyperlink"/>
    <w:basedOn w:val="43"/>
    <w:qFormat/>
    <w:uiPriority w:val="99"/>
    <w:rPr>
      <w:rFonts w:cs="Times New Roman"/>
      <w:color w:val="555555"/>
      <w:u w:val="none"/>
    </w:rPr>
  </w:style>
  <w:style w:type="character" w:styleId="47">
    <w:name w:val="Emphasis"/>
    <w:basedOn w:val="43"/>
    <w:qFormat/>
    <w:uiPriority w:val="0"/>
    <w:rPr>
      <w:rFonts w:cs="Times New Roman"/>
      <w:i/>
    </w:rPr>
  </w:style>
  <w:style w:type="character" w:styleId="48">
    <w:name w:val="HTML Definition"/>
    <w:basedOn w:val="43"/>
    <w:qFormat/>
    <w:uiPriority w:val="99"/>
    <w:rPr>
      <w:rFonts w:cs="Times New Roman"/>
    </w:rPr>
  </w:style>
  <w:style w:type="character" w:styleId="49">
    <w:name w:val="HTML Acronym"/>
    <w:basedOn w:val="43"/>
    <w:qFormat/>
    <w:uiPriority w:val="99"/>
    <w:rPr>
      <w:rFonts w:cs="Times New Roman"/>
    </w:rPr>
  </w:style>
  <w:style w:type="character" w:styleId="50">
    <w:name w:val="HTML Variable"/>
    <w:basedOn w:val="43"/>
    <w:qFormat/>
    <w:uiPriority w:val="99"/>
    <w:rPr>
      <w:rFonts w:cs="Times New Roman"/>
    </w:rPr>
  </w:style>
  <w:style w:type="character" w:styleId="51">
    <w:name w:val="Hyperlink"/>
    <w:basedOn w:val="43"/>
    <w:qFormat/>
    <w:uiPriority w:val="99"/>
    <w:rPr>
      <w:rFonts w:cs="Times New Roman"/>
      <w:color w:val="555555"/>
      <w:u w:val="none"/>
    </w:rPr>
  </w:style>
  <w:style w:type="character" w:styleId="52">
    <w:name w:val="HTML Code"/>
    <w:basedOn w:val="43"/>
    <w:qFormat/>
    <w:uiPriority w:val="99"/>
    <w:rPr>
      <w:rFonts w:ascii="monospace" w:hAnsi="monospace" w:cs="Times New Roman"/>
      <w:sz w:val="24"/>
    </w:rPr>
  </w:style>
  <w:style w:type="character" w:styleId="53">
    <w:name w:val="annotation reference"/>
    <w:qFormat/>
    <w:uiPriority w:val="0"/>
    <w:rPr>
      <w:sz w:val="21"/>
      <w:szCs w:val="21"/>
    </w:rPr>
  </w:style>
  <w:style w:type="character" w:styleId="54">
    <w:name w:val="HTML Cite"/>
    <w:basedOn w:val="43"/>
    <w:qFormat/>
    <w:uiPriority w:val="99"/>
    <w:rPr>
      <w:rFonts w:cs="Times New Roman"/>
    </w:rPr>
  </w:style>
  <w:style w:type="character" w:styleId="55">
    <w:name w:val="footnote reference"/>
    <w:semiHidden/>
    <w:qFormat/>
    <w:uiPriority w:val="0"/>
    <w:rPr>
      <w:vertAlign w:val="superscript"/>
    </w:rPr>
  </w:style>
  <w:style w:type="character" w:styleId="56">
    <w:name w:val="HTML Keyboard"/>
    <w:basedOn w:val="43"/>
    <w:qFormat/>
    <w:uiPriority w:val="99"/>
    <w:rPr>
      <w:rFonts w:ascii="monospace" w:hAnsi="monospace" w:cs="Times New Roman"/>
      <w:sz w:val="24"/>
    </w:rPr>
  </w:style>
  <w:style w:type="character" w:styleId="57">
    <w:name w:val="HTML Sample"/>
    <w:basedOn w:val="43"/>
    <w:qFormat/>
    <w:uiPriority w:val="99"/>
    <w:rPr>
      <w:rFonts w:ascii="monospace" w:hAnsi="monospace" w:cs="Times New Roman"/>
      <w:sz w:val="24"/>
    </w:rPr>
  </w:style>
  <w:style w:type="paragraph" w:customStyle="1" w:styleId="58">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9">
    <w:name w:val="H3-HXDI"/>
    <w:basedOn w:val="60"/>
    <w:next w:val="62"/>
    <w:qFormat/>
    <w:uiPriority w:val="0"/>
    <w:pPr>
      <w:spacing w:before="0" w:after="0"/>
      <w:outlineLvl w:val="2"/>
    </w:pPr>
  </w:style>
  <w:style w:type="paragraph" w:customStyle="1" w:styleId="60">
    <w:name w:val="H2-HXDI"/>
    <w:basedOn w:val="61"/>
    <w:next w:val="62"/>
    <w:qFormat/>
    <w:uiPriority w:val="0"/>
    <w:pPr>
      <w:pageBreakBefore w:val="0"/>
      <w:outlineLvl w:val="1"/>
    </w:pPr>
    <w:rPr>
      <w:sz w:val="24"/>
    </w:rPr>
  </w:style>
  <w:style w:type="paragraph" w:customStyle="1" w:styleId="61">
    <w:name w:val="H1-HXDI"/>
    <w:basedOn w:val="62"/>
    <w:next w:val="62"/>
    <w:qFormat/>
    <w:uiPriority w:val="0"/>
    <w:pPr>
      <w:pageBreakBefore/>
      <w:spacing w:before="120" w:after="120"/>
      <w:outlineLvl w:val="0"/>
    </w:pPr>
    <w:rPr>
      <w:rFonts w:eastAsia="黑体"/>
      <w:sz w:val="28"/>
    </w:rPr>
  </w:style>
  <w:style w:type="paragraph" w:customStyle="1" w:styleId="62">
    <w:name w:val="正文-HXDI"/>
    <w:basedOn w:val="1"/>
    <w:qFormat/>
    <w:uiPriority w:val="0"/>
    <w:pPr>
      <w:adjustRightInd w:val="0"/>
      <w:textAlignment w:val="baseline"/>
    </w:pPr>
    <w:rPr>
      <w:kern w:val="0"/>
    </w:rPr>
  </w:style>
  <w:style w:type="paragraph" w:customStyle="1" w:styleId="63">
    <w:name w:val="方案正文"/>
    <w:basedOn w:val="14"/>
    <w:qFormat/>
    <w:uiPriority w:val="0"/>
    <w:pPr>
      <w:spacing w:after="0"/>
      <w:ind w:firstLine="560" w:firstLineChars="200"/>
      <w:jc w:val="left"/>
    </w:pPr>
    <w:rPr>
      <w:rFonts w:ascii="Arial" w:hAnsi="Arial" w:eastAsia="仿宋" w:cs="宋体"/>
      <w:sz w:val="28"/>
      <w:szCs w:val="21"/>
    </w:rPr>
  </w:style>
  <w:style w:type="character" w:customStyle="1" w:styleId="64">
    <w:name w:val="标题 1 Char"/>
    <w:basedOn w:val="43"/>
    <w:link w:val="2"/>
    <w:qFormat/>
    <w:uiPriority w:val="9"/>
    <w:rPr>
      <w:rFonts w:ascii="???" w:hAnsi="???" w:eastAsia="宋体" w:cs="Arial"/>
      <w:b/>
      <w:bCs/>
      <w:color w:val="020000"/>
      <w:kern w:val="36"/>
      <w:sz w:val="44"/>
      <w:szCs w:val="44"/>
    </w:rPr>
  </w:style>
  <w:style w:type="character" w:customStyle="1" w:styleId="65">
    <w:name w:val="标题 3 Char"/>
    <w:basedOn w:val="43"/>
    <w:link w:val="4"/>
    <w:qFormat/>
    <w:uiPriority w:val="0"/>
    <w:rPr>
      <w:rFonts w:ascii="??" w:hAnsi="??" w:eastAsia="宋体" w:cs="Arial"/>
      <w:b/>
      <w:bCs/>
      <w:color w:val="000000"/>
      <w:kern w:val="0"/>
      <w:sz w:val="32"/>
      <w:szCs w:val="32"/>
    </w:rPr>
  </w:style>
  <w:style w:type="character" w:customStyle="1" w:styleId="66">
    <w:name w:val="标题 2 Char"/>
    <w:basedOn w:val="43"/>
    <w:link w:val="3"/>
    <w:qFormat/>
    <w:uiPriority w:val="99"/>
    <w:rPr>
      <w:rFonts w:ascii="???" w:hAnsi="???" w:eastAsia="宋体" w:cs="Arial"/>
      <w:b/>
      <w:bCs/>
      <w:color w:val="020000"/>
      <w:kern w:val="0"/>
      <w:sz w:val="32"/>
      <w:szCs w:val="32"/>
    </w:rPr>
  </w:style>
  <w:style w:type="character" w:customStyle="1" w:styleId="67">
    <w:name w:val="页眉 Char"/>
    <w:basedOn w:val="43"/>
    <w:link w:val="25"/>
    <w:qFormat/>
    <w:uiPriority w:val="99"/>
    <w:rPr>
      <w:rFonts w:ascii="Calibri" w:hAnsi="Calibri" w:eastAsia="宋体" w:cs="Times New Roman"/>
      <w:sz w:val="18"/>
      <w:szCs w:val="18"/>
    </w:rPr>
  </w:style>
  <w:style w:type="character" w:customStyle="1" w:styleId="68">
    <w:name w:val="页脚 Char"/>
    <w:basedOn w:val="43"/>
    <w:link w:val="24"/>
    <w:qFormat/>
    <w:uiPriority w:val="99"/>
    <w:rPr>
      <w:rFonts w:ascii="Calibri" w:hAnsi="Calibri" w:eastAsia="宋体" w:cs="Times New Roman"/>
      <w:sz w:val="18"/>
      <w:szCs w:val="18"/>
    </w:rPr>
  </w:style>
  <w:style w:type="character" w:customStyle="1" w:styleId="69">
    <w:name w:val="正文文本缩进 Char"/>
    <w:basedOn w:val="43"/>
    <w:link w:val="16"/>
    <w:qFormat/>
    <w:uiPriority w:val="0"/>
    <w:rPr>
      <w:rFonts w:ascii="??" w:hAnsi="??" w:eastAsia="宋体" w:cs="Arial"/>
      <w:kern w:val="0"/>
      <w:sz w:val="24"/>
      <w:szCs w:val="24"/>
    </w:rPr>
  </w:style>
  <w:style w:type="paragraph" w:customStyle="1" w:styleId="70">
    <w:name w:val="列出段落1"/>
    <w:basedOn w:val="1"/>
    <w:qFormat/>
    <w:uiPriority w:val="34"/>
    <w:pPr>
      <w:ind w:firstLine="420" w:firstLineChars="200"/>
    </w:pPr>
    <w:rPr>
      <w:rFonts w:ascii="Calibri" w:hAnsi="Calibri" w:eastAsia="宋体" w:cs="Times New Roman"/>
    </w:rPr>
  </w:style>
  <w:style w:type="character" w:customStyle="1" w:styleId="71">
    <w:name w:val="标题 2 Char Char"/>
    <w:qFormat/>
    <w:uiPriority w:val="99"/>
    <w:rPr>
      <w:rFonts w:ascii="Arial" w:hAnsi="Arial" w:eastAsia="黑体"/>
      <w:b/>
      <w:kern w:val="2"/>
      <w:sz w:val="32"/>
      <w:lang w:val="en-US" w:eastAsia="zh-CN"/>
    </w:rPr>
  </w:style>
  <w:style w:type="character" w:customStyle="1" w:styleId="72">
    <w:name w:val="2charchar"/>
    <w:basedOn w:val="43"/>
    <w:qFormat/>
    <w:uiPriority w:val="99"/>
    <w:rPr>
      <w:rFonts w:cs="Times New Roman"/>
    </w:rPr>
  </w:style>
  <w:style w:type="paragraph" w:customStyle="1" w:styleId="73">
    <w:name w:val="表格文字"/>
    <w:basedOn w:val="1"/>
    <w:next w:val="14"/>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4">
    <w:name w:val="z-窗体顶端1"/>
    <w:basedOn w:val="1"/>
    <w:next w:val="1"/>
    <w:link w:val="75"/>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5">
    <w:name w:val="z-窗体顶端 Char"/>
    <w:basedOn w:val="43"/>
    <w:link w:val="74"/>
    <w:semiHidden/>
    <w:qFormat/>
    <w:uiPriority w:val="99"/>
    <w:rPr>
      <w:rFonts w:ascii="Arial" w:hAnsi="Arial" w:eastAsia="宋体" w:cs="Arial"/>
      <w:vanish/>
      <w:kern w:val="0"/>
      <w:sz w:val="16"/>
      <w:szCs w:val="16"/>
    </w:rPr>
  </w:style>
  <w:style w:type="paragraph" w:customStyle="1" w:styleId="76">
    <w:name w:val="z-窗体底端1"/>
    <w:basedOn w:val="1"/>
    <w:next w:val="1"/>
    <w:link w:val="77"/>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7">
    <w:name w:val="z-窗体底端 Char"/>
    <w:basedOn w:val="43"/>
    <w:link w:val="76"/>
    <w:semiHidden/>
    <w:qFormat/>
    <w:uiPriority w:val="99"/>
    <w:rPr>
      <w:rFonts w:ascii="Arial" w:hAnsi="Arial" w:eastAsia="宋体" w:cs="Arial"/>
      <w:vanish/>
      <w:kern w:val="0"/>
      <w:sz w:val="16"/>
      <w:szCs w:val="16"/>
    </w:rPr>
  </w:style>
  <w:style w:type="paragraph" w:customStyle="1" w:styleId="78">
    <w:name w:val="hu正文"/>
    <w:basedOn w:val="1"/>
    <w:link w:val="79"/>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9">
    <w:name w:val="hu正文 Char"/>
    <w:link w:val="78"/>
    <w:qFormat/>
    <w:locked/>
    <w:uiPriority w:val="99"/>
    <w:rPr>
      <w:rFonts w:ascii="Times New Roman" w:hAnsi="Times New Roman" w:eastAsia="宋体" w:cs="Times New Roman"/>
      <w:kern w:val="0"/>
      <w:sz w:val="24"/>
      <w:szCs w:val="20"/>
    </w:rPr>
  </w:style>
  <w:style w:type="paragraph" w:customStyle="1" w:styleId="80">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1">
    <w:name w:val="批注框文本 Char"/>
    <w:basedOn w:val="43"/>
    <w:link w:val="23"/>
    <w:qFormat/>
    <w:uiPriority w:val="99"/>
    <w:rPr>
      <w:rFonts w:ascii="Calibri" w:hAnsi="Calibri" w:eastAsia="宋体" w:cs="Times New Roman"/>
      <w:sz w:val="18"/>
      <w:szCs w:val="18"/>
    </w:rPr>
  </w:style>
  <w:style w:type="character" w:customStyle="1" w:styleId="82">
    <w:name w:val="ui-bz-bg-hover1"/>
    <w:basedOn w:val="43"/>
    <w:qFormat/>
    <w:uiPriority w:val="99"/>
    <w:rPr>
      <w:rFonts w:cs="Times New Roman"/>
    </w:rPr>
  </w:style>
  <w:style w:type="character" w:customStyle="1" w:styleId="83">
    <w:name w:val="批注框文本 Char1"/>
    <w:qFormat/>
    <w:uiPriority w:val="99"/>
    <w:rPr>
      <w:rFonts w:ascii="Times New Roman" w:hAnsi="Times New Roman" w:eastAsia="宋体"/>
      <w:sz w:val="18"/>
    </w:rPr>
  </w:style>
  <w:style w:type="character" w:customStyle="1" w:styleId="84">
    <w:name w:val="bds_nopic"/>
    <w:basedOn w:val="43"/>
    <w:qFormat/>
    <w:uiPriority w:val="99"/>
    <w:rPr>
      <w:rFonts w:cs="Times New Roman"/>
    </w:rPr>
  </w:style>
  <w:style w:type="character" w:customStyle="1" w:styleId="85">
    <w:name w:val="tip12"/>
    <w:qFormat/>
    <w:uiPriority w:val="99"/>
    <w:rPr>
      <w:vanish/>
      <w:color w:val="FF0000"/>
      <w:sz w:val="18"/>
    </w:rPr>
  </w:style>
  <w:style w:type="character" w:customStyle="1" w:styleId="86">
    <w:name w:val="Body Text Indent 3 Char"/>
    <w:qFormat/>
    <w:locked/>
    <w:uiPriority w:val="99"/>
    <w:rPr>
      <w:rFonts w:ascii="宋体" w:eastAsia="宋体"/>
    </w:rPr>
  </w:style>
  <w:style w:type="character" w:customStyle="1" w:styleId="87">
    <w:name w:val="HTML Markup"/>
    <w:qFormat/>
    <w:uiPriority w:val="99"/>
    <w:rPr>
      <w:vanish/>
      <w:color w:val="FF0000"/>
    </w:rPr>
  </w:style>
  <w:style w:type="character" w:customStyle="1" w:styleId="88">
    <w:name w:val="tip7"/>
    <w:qFormat/>
    <w:uiPriority w:val="99"/>
    <w:rPr>
      <w:vanish/>
      <w:color w:val="FF0000"/>
      <w:sz w:val="18"/>
    </w:rPr>
  </w:style>
  <w:style w:type="character" w:customStyle="1" w:styleId="89">
    <w:name w:val="f-star"/>
    <w:qFormat/>
    <w:uiPriority w:val="99"/>
    <w:rPr>
      <w:color w:val="999999"/>
      <w:sz w:val="21"/>
    </w:rPr>
  </w:style>
  <w:style w:type="character" w:customStyle="1" w:styleId="90">
    <w:name w:val="Document Map Char1"/>
    <w:qFormat/>
    <w:uiPriority w:val="99"/>
    <w:rPr>
      <w:rFonts w:ascii="Times New Roman" w:hAnsi="Times New Roman"/>
      <w:kern w:val="2"/>
      <w:sz w:val="2"/>
    </w:rPr>
  </w:style>
  <w:style w:type="character" w:customStyle="1" w:styleId="91">
    <w:name w:val="my-class2"/>
    <w:basedOn w:val="43"/>
    <w:qFormat/>
    <w:uiPriority w:val="99"/>
    <w:rPr>
      <w:rFonts w:cs="Times New Roman"/>
    </w:rPr>
  </w:style>
  <w:style w:type="character" w:customStyle="1" w:styleId="92">
    <w:name w:val="no52"/>
    <w:basedOn w:val="43"/>
    <w:qFormat/>
    <w:uiPriority w:val="99"/>
    <w:rPr>
      <w:rFonts w:cs="Times New Roman"/>
    </w:rPr>
  </w:style>
  <w:style w:type="character" w:customStyle="1" w:styleId="93">
    <w:name w:val="no4"/>
    <w:basedOn w:val="43"/>
    <w:qFormat/>
    <w:uiPriority w:val="99"/>
    <w:rPr>
      <w:rFonts w:cs="Times New Roman"/>
    </w:rPr>
  </w:style>
  <w:style w:type="character" w:customStyle="1" w:styleId="94">
    <w:name w:val="my-notice"/>
    <w:basedOn w:val="43"/>
    <w:qFormat/>
    <w:uiPriority w:val="99"/>
    <w:rPr>
      <w:rFonts w:cs="Times New Roman"/>
    </w:rPr>
  </w:style>
  <w:style w:type="character" w:customStyle="1" w:styleId="95">
    <w:name w:val="ico-jiang"/>
    <w:basedOn w:val="43"/>
    <w:qFormat/>
    <w:uiPriority w:val="99"/>
    <w:rPr>
      <w:rFonts w:cs="Times New Roman"/>
    </w:rPr>
  </w:style>
  <w:style w:type="character" w:customStyle="1" w:styleId="96">
    <w:name w:val="ico-jiang2"/>
    <w:basedOn w:val="43"/>
    <w:qFormat/>
    <w:uiPriority w:val="99"/>
    <w:rPr>
      <w:rFonts w:cs="Times New Roman"/>
    </w:rPr>
  </w:style>
  <w:style w:type="character" w:customStyle="1" w:styleId="97">
    <w:name w:val="bds_more1"/>
    <w:qFormat/>
    <w:uiPriority w:val="99"/>
    <w:rPr>
      <w:rFonts w:ascii="宋体" w:hAnsi="宋体" w:eastAsia="宋体"/>
    </w:rPr>
  </w:style>
  <w:style w:type="character" w:customStyle="1" w:styleId="98">
    <w:name w:val="Body Text Indent 2 Char"/>
    <w:qFormat/>
    <w:locked/>
    <w:uiPriority w:val="99"/>
    <w:rPr>
      <w:rFonts w:ascii="宋体" w:eastAsia="宋体"/>
      <w:sz w:val="24"/>
    </w:rPr>
  </w:style>
  <w:style w:type="character" w:customStyle="1" w:styleId="99">
    <w:name w:val="org_name"/>
    <w:basedOn w:val="43"/>
    <w:qFormat/>
    <w:uiPriority w:val="99"/>
    <w:rPr>
      <w:rFonts w:cs="Times New Roman"/>
    </w:rPr>
  </w:style>
  <w:style w:type="character" w:customStyle="1" w:styleId="100">
    <w:name w:val="org_name2"/>
    <w:basedOn w:val="43"/>
    <w:qFormat/>
    <w:uiPriority w:val="99"/>
    <w:rPr>
      <w:rFonts w:cs="Times New Roman"/>
    </w:rPr>
  </w:style>
  <w:style w:type="character" w:customStyle="1" w:styleId="101">
    <w:name w:val="tip10"/>
    <w:qFormat/>
    <w:uiPriority w:val="99"/>
    <w:rPr>
      <w:vanish/>
      <w:color w:val="FF0000"/>
      <w:sz w:val="18"/>
    </w:rPr>
  </w:style>
  <w:style w:type="character" w:customStyle="1" w:styleId="102">
    <w:name w:val="orange"/>
    <w:qFormat/>
    <w:uiPriority w:val="99"/>
    <w:rPr>
      <w:color w:val="3FB58F"/>
    </w:rPr>
  </w:style>
  <w:style w:type="character" w:customStyle="1" w:styleId="103">
    <w:name w:val="bds_more"/>
    <w:basedOn w:val="43"/>
    <w:qFormat/>
    <w:uiPriority w:val="99"/>
    <w:rPr>
      <w:rFonts w:cs="Times New Roman"/>
    </w:rPr>
  </w:style>
  <w:style w:type="character" w:customStyle="1" w:styleId="104">
    <w:name w:val="t-tag"/>
    <w:qFormat/>
    <w:uiPriority w:val="99"/>
    <w:rPr>
      <w:color w:val="FFFFFF"/>
      <w:sz w:val="18"/>
      <w:shd w:val="clear" w:color="auto" w:fill="FE8833"/>
    </w:rPr>
  </w:style>
  <w:style w:type="character" w:customStyle="1" w:styleId="105">
    <w:name w:val="top-icon"/>
    <w:basedOn w:val="43"/>
    <w:qFormat/>
    <w:uiPriority w:val="99"/>
    <w:rPr>
      <w:rFonts w:cs="Times New Roman"/>
    </w:rPr>
  </w:style>
  <w:style w:type="character" w:customStyle="1" w:styleId="106">
    <w:name w:val="Body Text Char"/>
    <w:qFormat/>
    <w:locked/>
    <w:uiPriority w:val="99"/>
    <w:rPr>
      <w:sz w:val="24"/>
    </w:rPr>
  </w:style>
  <w:style w:type="character" w:customStyle="1" w:styleId="107">
    <w:name w:val="no72"/>
    <w:basedOn w:val="43"/>
    <w:qFormat/>
    <w:uiPriority w:val="99"/>
    <w:rPr>
      <w:rFonts w:cs="Times New Roman"/>
    </w:rPr>
  </w:style>
  <w:style w:type="character" w:customStyle="1" w:styleId="108">
    <w:name w:val="bds_nopic2"/>
    <w:basedOn w:val="43"/>
    <w:qFormat/>
    <w:uiPriority w:val="99"/>
    <w:rPr>
      <w:rFonts w:cs="Times New Roman"/>
    </w:rPr>
  </w:style>
  <w:style w:type="character" w:customStyle="1" w:styleId="109">
    <w:name w:val="Document Map Char"/>
    <w:qFormat/>
    <w:uiPriority w:val="99"/>
    <w:rPr>
      <w:rFonts w:ascii="宋体"/>
      <w:sz w:val="18"/>
    </w:rPr>
  </w:style>
  <w:style w:type="character" w:customStyle="1" w:styleId="110">
    <w:name w:val="no6"/>
    <w:basedOn w:val="43"/>
    <w:qFormat/>
    <w:uiPriority w:val="99"/>
    <w:rPr>
      <w:rFonts w:cs="Times New Roman"/>
    </w:rPr>
  </w:style>
  <w:style w:type="character" w:customStyle="1" w:styleId="111">
    <w:name w:val="tip"/>
    <w:qFormat/>
    <w:uiPriority w:val="99"/>
    <w:rPr>
      <w:vanish/>
      <w:color w:val="FF0000"/>
      <w:sz w:val="18"/>
    </w:rPr>
  </w:style>
  <w:style w:type="character" w:customStyle="1" w:styleId="112">
    <w:name w:val="apple-converted-space"/>
    <w:basedOn w:val="43"/>
    <w:qFormat/>
    <w:uiPriority w:val="99"/>
    <w:rPr>
      <w:rFonts w:cs="Times New Roman"/>
    </w:rPr>
  </w:style>
  <w:style w:type="character" w:customStyle="1" w:styleId="113">
    <w:name w:val="bds_more2"/>
    <w:basedOn w:val="43"/>
    <w:qFormat/>
    <w:uiPriority w:val="99"/>
    <w:rPr>
      <w:rFonts w:cs="Times New Roman"/>
    </w:rPr>
  </w:style>
  <w:style w:type="character" w:customStyle="1" w:styleId="114">
    <w:name w:val="my-class"/>
    <w:basedOn w:val="43"/>
    <w:qFormat/>
    <w:uiPriority w:val="99"/>
    <w:rPr>
      <w:rFonts w:cs="Times New Roman"/>
    </w:rPr>
  </w:style>
  <w:style w:type="character" w:customStyle="1" w:styleId="115">
    <w:name w:val="ui-bz-bg-hover"/>
    <w:qFormat/>
    <w:uiPriority w:val="99"/>
    <w:rPr>
      <w:shd w:val="clear" w:color="auto" w:fill="000000"/>
    </w:rPr>
  </w:style>
  <w:style w:type="character" w:customStyle="1" w:styleId="116">
    <w:name w:val="no7"/>
    <w:basedOn w:val="43"/>
    <w:qFormat/>
    <w:uiPriority w:val="99"/>
    <w:rPr>
      <w:rFonts w:cs="Times New Roman"/>
    </w:rPr>
  </w:style>
  <w:style w:type="character" w:customStyle="1" w:styleId="117">
    <w:name w:val="正文缩进 Char"/>
    <w:link w:val="6"/>
    <w:qFormat/>
    <w:locked/>
    <w:uiPriority w:val="0"/>
    <w:rPr>
      <w:rFonts w:ascii="Times New Roman" w:hAnsi="Times New Roman" w:eastAsia="宋体" w:cs="Times New Roman"/>
      <w:kern w:val="0"/>
      <w:sz w:val="24"/>
      <w:szCs w:val="20"/>
    </w:rPr>
  </w:style>
  <w:style w:type="character" w:customStyle="1" w:styleId="118">
    <w:name w:val="ico-jiang1"/>
    <w:basedOn w:val="43"/>
    <w:qFormat/>
    <w:uiPriority w:val="99"/>
    <w:rPr>
      <w:rFonts w:cs="Times New Roman"/>
    </w:rPr>
  </w:style>
  <w:style w:type="character" w:customStyle="1" w:styleId="119">
    <w:name w:val="no62"/>
    <w:basedOn w:val="43"/>
    <w:qFormat/>
    <w:uiPriority w:val="99"/>
    <w:rPr>
      <w:rFonts w:cs="Times New Roman"/>
    </w:rPr>
  </w:style>
  <w:style w:type="character" w:customStyle="1" w:styleId="120">
    <w:name w:val="orange5"/>
    <w:qFormat/>
    <w:uiPriority w:val="99"/>
    <w:rPr>
      <w:color w:val="3FB58F"/>
    </w:rPr>
  </w:style>
  <w:style w:type="character" w:customStyle="1" w:styleId="121">
    <w:name w:val="bds_more4"/>
    <w:basedOn w:val="43"/>
    <w:qFormat/>
    <w:uiPriority w:val="99"/>
    <w:rPr>
      <w:rFonts w:cs="Times New Roman"/>
    </w:rPr>
  </w:style>
  <w:style w:type="character" w:customStyle="1" w:styleId="122">
    <w:name w:val="no5"/>
    <w:basedOn w:val="43"/>
    <w:qFormat/>
    <w:uiPriority w:val="99"/>
    <w:rPr>
      <w:rFonts w:cs="Times New Roman"/>
    </w:rPr>
  </w:style>
  <w:style w:type="character" w:customStyle="1" w:styleId="123">
    <w:name w:val="bds_more3"/>
    <w:basedOn w:val="43"/>
    <w:qFormat/>
    <w:uiPriority w:val="99"/>
    <w:rPr>
      <w:rFonts w:cs="Times New Roman"/>
    </w:rPr>
  </w:style>
  <w:style w:type="character" w:customStyle="1" w:styleId="124">
    <w:name w:val="no42"/>
    <w:basedOn w:val="43"/>
    <w:qFormat/>
    <w:uiPriority w:val="99"/>
    <w:rPr>
      <w:rFonts w:cs="Times New Roman"/>
    </w:rPr>
  </w:style>
  <w:style w:type="character" w:customStyle="1" w:styleId="125">
    <w:name w:val="bds_nopic1"/>
    <w:basedOn w:val="43"/>
    <w:qFormat/>
    <w:uiPriority w:val="99"/>
    <w:rPr>
      <w:rFonts w:cs="Times New Roman"/>
    </w:rPr>
  </w:style>
  <w:style w:type="character" w:customStyle="1" w:styleId="126">
    <w:name w:val="my-notice1"/>
    <w:basedOn w:val="43"/>
    <w:qFormat/>
    <w:uiPriority w:val="99"/>
    <w:rPr>
      <w:rFonts w:cs="Times New Roman"/>
    </w:rPr>
  </w:style>
  <w:style w:type="character" w:customStyle="1" w:styleId="127">
    <w:name w:val="orange6"/>
    <w:qFormat/>
    <w:uiPriority w:val="99"/>
    <w:rPr>
      <w:color w:val="3FB58F"/>
    </w:rPr>
  </w:style>
  <w:style w:type="character" w:customStyle="1" w:styleId="128">
    <w:name w:val="Document Map Char2"/>
    <w:qFormat/>
    <w:locked/>
    <w:uiPriority w:val="99"/>
    <w:rPr>
      <w:rFonts w:ascii="宋体"/>
      <w:sz w:val="18"/>
    </w:rPr>
  </w:style>
  <w:style w:type="character" w:customStyle="1" w:styleId="129">
    <w:name w:val="ico-jiang3"/>
    <w:basedOn w:val="43"/>
    <w:qFormat/>
    <w:uiPriority w:val="99"/>
    <w:rPr>
      <w:rFonts w:cs="Times New Roman"/>
    </w:rPr>
  </w:style>
  <w:style w:type="character" w:customStyle="1" w:styleId="130">
    <w:name w:val="tip13"/>
    <w:qFormat/>
    <w:uiPriority w:val="99"/>
    <w:rPr>
      <w:vanish/>
      <w:color w:val="FF0000"/>
      <w:sz w:val="18"/>
    </w:rPr>
  </w:style>
  <w:style w:type="character" w:customStyle="1" w:styleId="131">
    <w:name w:val="正文文本缩进 2 Char"/>
    <w:basedOn w:val="43"/>
    <w:link w:val="22"/>
    <w:qFormat/>
    <w:uiPriority w:val="99"/>
    <w:rPr>
      <w:rFonts w:ascii="宋体" w:hAnsi="Calibri" w:eastAsia="宋体" w:cs="Times New Roman"/>
      <w:kern w:val="0"/>
      <w:sz w:val="24"/>
      <w:szCs w:val="20"/>
    </w:rPr>
  </w:style>
  <w:style w:type="character" w:customStyle="1" w:styleId="132">
    <w:name w:val="Body Text Indent 2 Char1"/>
    <w:basedOn w:val="43"/>
    <w:semiHidden/>
    <w:qFormat/>
    <w:locked/>
    <w:uiPriority w:val="99"/>
    <w:rPr>
      <w:rFonts w:cs="Times New Roman"/>
    </w:rPr>
  </w:style>
  <w:style w:type="character" w:customStyle="1" w:styleId="133">
    <w:name w:val="正文文本缩进 3 Char"/>
    <w:basedOn w:val="43"/>
    <w:link w:val="31"/>
    <w:qFormat/>
    <w:uiPriority w:val="99"/>
    <w:rPr>
      <w:rFonts w:ascii="宋体" w:hAnsi="Calibri" w:eastAsia="宋体" w:cs="Times New Roman"/>
      <w:kern w:val="0"/>
      <w:sz w:val="20"/>
      <w:szCs w:val="20"/>
    </w:rPr>
  </w:style>
  <w:style w:type="character" w:customStyle="1" w:styleId="134">
    <w:name w:val="Body Text Indent 3 Char1"/>
    <w:basedOn w:val="43"/>
    <w:semiHidden/>
    <w:qFormat/>
    <w:locked/>
    <w:uiPriority w:val="99"/>
    <w:rPr>
      <w:rFonts w:cs="Times New Roman"/>
      <w:sz w:val="16"/>
      <w:szCs w:val="16"/>
    </w:rPr>
  </w:style>
  <w:style w:type="character" w:customStyle="1" w:styleId="135">
    <w:name w:val="文档结构图 Char"/>
    <w:basedOn w:val="43"/>
    <w:link w:val="11"/>
    <w:qFormat/>
    <w:uiPriority w:val="99"/>
    <w:rPr>
      <w:rFonts w:ascii="宋体" w:hAnsi="Calibri" w:eastAsia="宋体" w:cs="Times New Roman"/>
      <w:kern w:val="0"/>
      <w:sz w:val="18"/>
      <w:szCs w:val="20"/>
    </w:rPr>
  </w:style>
  <w:style w:type="character" w:customStyle="1" w:styleId="136">
    <w:name w:val="Document Map Char3"/>
    <w:basedOn w:val="43"/>
    <w:semiHidden/>
    <w:qFormat/>
    <w:locked/>
    <w:uiPriority w:val="99"/>
    <w:rPr>
      <w:rFonts w:ascii="Times New Roman" w:hAnsi="Times New Roman" w:cs="Times New Roman"/>
      <w:sz w:val="2"/>
    </w:rPr>
  </w:style>
  <w:style w:type="paragraph" w:customStyle="1" w:styleId="137">
    <w:name w:val="_Style 1"/>
    <w:basedOn w:val="1"/>
    <w:qFormat/>
    <w:uiPriority w:val="99"/>
    <w:pPr>
      <w:ind w:firstLine="420" w:firstLineChars="200"/>
    </w:pPr>
    <w:rPr>
      <w:rFonts w:ascii="Times New Roman" w:hAnsi="Times New Roman" w:eastAsia="宋体" w:cs="Times New Roman"/>
      <w:szCs w:val="24"/>
    </w:rPr>
  </w:style>
  <w:style w:type="character" w:customStyle="1" w:styleId="138">
    <w:name w:val="正文文本 Char"/>
    <w:basedOn w:val="43"/>
    <w:link w:val="14"/>
    <w:qFormat/>
    <w:uiPriority w:val="99"/>
    <w:rPr>
      <w:rFonts w:ascii="Calibri" w:hAnsi="Calibri" w:eastAsia="宋体" w:cs="Times New Roman"/>
      <w:kern w:val="0"/>
      <w:sz w:val="24"/>
      <w:szCs w:val="20"/>
    </w:rPr>
  </w:style>
  <w:style w:type="character" w:customStyle="1" w:styleId="139">
    <w:name w:val="Body Text Char1"/>
    <w:basedOn w:val="43"/>
    <w:semiHidden/>
    <w:qFormat/>
    <w:locked/>
    <w:uiPriority w:val="99"/>
    <w:rPr>
      <w:rFonts w:cs="Times New Roman"/>
    </w:rPr>
  </w:style>
  <w:style w:type="paragraph" w:customStyle="1" w:styleId="140">
    <w:name w:val="_Style 21"/>
    <w:basedOn w:val="1"/>
    <w:qFormat/>
    <w:uiPriority w:val="99"/>
    <w:rPr>
      <w:rFonts w:ascii="Times New Roman" w:hAnsi="Times New Roman" w:eastAsia="宋体" w:cs="Times New Roman"/>
      <w:szCs w:val="20"/>
    </w:rPr>
  </w:style>
  <w:style w:type="paragraph" w:customStyle="1" w:styleId="141">
    <w:name w:val="p0"/>
    <w:basedOn w:val="1"/>
    <w:qFormat/>
    <w:uiPriority w:val="99"/>
    <w:pPr>
      <w:widowControl/>
    </w:pPr>
    <w:rPr>
      <w:rFonts w:ascii="Times New Roman" w:hAnsi="Times New Roman" w:eastAsia="宋体" w:cs="Times New Roman"/>
      <w:kern w:val="0"/>
      <w:szCs w:val="21"/>
    </w:rPr>
  </w:style>
  <w:style w:type="paragraph" w:customStyle="1" w:styleId="142">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3">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4">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5">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6">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7">
    <w:name w:val="_Style 2"/>
    <w:basedOn w:val="1"/>
    <w:qFormat/>
    <w:uiPriority w:val="99"/>
    <w:pPr>
      <w:ind w:firstLine="420" w:firstLineChars="200"/>
    </w:pPr>
    <w:rPr>
      <w:rFonts w:ascii="Calibri" w:hAnsi="Calibri" w:eastAsia="宋体" w:cs="Times New Roman"/>
    </w:rPr>
  </w:style>
  <w:style w:type="paragraph" w:customStyle="1" w:styleId="148">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9">
    <w:name w:val="_Style 11"/>
    <w:basedOn w:val="1"/>
    <w:qFormat/>
    <w:uiPriority w:val="99"/>
    <w:rPr>
      <w:rFonts w:ascii="Times New Roman" w:hAnsi="Times New Roman" w:eastAsia="宋体" w:cs="Times New Roman"/>
      <w:szCs w:val="24"/>
    </w:rPr>
  </w:style>
  <w:style w:type="paragraph" w:customStyle="1" w:styleId="150">
    <w:name w:val="Char"/>
    <w:basedOn w:val="1"/>
    <w:qFormat/>
    <w:uiPriority w:val="99"/>
    <w:rPr>
      <w:rFonts w:ascii="Times New Roman" w:hAnsi="Times New Roman" w:eastAsia="宋体" w:cs="Times New Roman"/>
      <w:szCs w:val="21"/>
    </w:rPr>
  </w:style>
  <w:style w:type="paragraph" w:customStyle="1" w:styleId="151">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2">
    <w:name w:val="列出段落2"/>
    <w:basedOn w:val="1"/>
    <w:qFormat/>
    <w:uiPriority w:val="99"/>
    <w:pPr>
      <w:ind w:firstLine="420" w:firstLineChars="200"/>
    </w:pPr>
    <w:rPr>
      <w:rFonts w:ascii="Times New Roman" w:hAnsi="Times New Roman" w:eastAsia="宋体" w:cs="Times New Roman"/>
      <w:szCs w:val="24"/>
    </w:rPr>
  </w:style>
  <w:style w:type="paragraph" w:customStyle="1" w:styleId="153">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4">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5">
    <w:name w:val="font41"/>
    <w:qFormat/>
    <w:uiPriority w:val="99"/>
    <w:rPr>
      <w:rFonts w:hint="eastAsia" w:ascii="宋体" w:hAnsi="宋体" w:eastAsia="宋体" w:cs="宋体"/>
      <w:b/>
      <w:color w:val="000000"/>
      <w:sz w:val="22"/>
      <w:szCs w:val="22"/>
      <w:u w:val="none"/>
    </w:rPr>
  </w:style>
  <w:style w:type="character" w:customStyle="1" w:styleId="156">
    <w:name w:val="font81"/>
    <w:qFormat/>
    <w:uiPriority w:val="99"/>
    <w:rPr>
      <w:rFonts w:hint="eastAsia" w:ascii="宋体" w:hAnsi="宋体" w:eastAsia="宋体" w:cs="宋体"/>
      <w:b/>
      <w:color w:val="000000"/>
      <w:sz w:val="22"/>
      <w:szCs w:val="22"/>
      <w:u w:val="none"/>
    </w:rPr>
  </w:style>
  <w:style w:type="character" w:customStyle="1" w:styleId="157">
    <w:name w:val="font21"/>
    <w:qFormat/>
    <w:uiPriority w:val="0"/>
    <w:rPr>
      <w:rFonts w:hint="eastAsia" w:ascii="宋体" w:hAnsi="宋体" w:eastAsia="宋体" w:cs="宋体"/>
      <w:color w:val="000000"/>
      <w:sz w:val="18"/>
      <w:szCs w:val="18"/>
      <w:u w:val="none"/>
    </w:rPr>
  </w:style>
  <w:style w:type="character" w:customStyle="1" w:styleId="158">
    <w:name w:val="日期 Char"/>
    <w:link w:val="21"/>
    <w:qFormat/>
    <w:uiPriority w:val="0"/>
    <w:rPr>
      <w:szCs w:val="21"/>
    </w:rPr>
  </w:style>
  <w:style w:type="character" w:customStyle="1" w:styleId="159">
    <w:name w:val="font01"/>
    <w:autoRedefine/>
    <w:qFormat/>
    <w:uiPriority w:val="99"/>
    <w:rPr>
      <w:rFonts w:hint="eastAsia" w:ascii="宋体" w:hAnsi="宋体" w:eastAsia="宋体" w:cs="宋体"/>
      <w:color w:val="000000"/>
      <w:sz w:val="22"/>
      <w:szCs w:val="22"/>
      <w:u w:val="none"/>
    </w:rPr>
  </w:style>
  <w:style w:type="character" w:customStyle="1" w:styleId="160">
    <w:name w:val="Char Char1"/>
    <w:qFormat/>
    <w:uiPriority w:val="0"/>
    <w:rPr>
      <w:rFonts w:eastAsia="宋体"/>
      <w:kern w:val="2"/>
      <w:sz w:val="18"/>
      <w:szCs w:val="18"/>
      <w:lang w:val="en-US" w:eastAsia="zh-CN" w:bidi="ar-SA"/>
    </w:rPr>
  </w:style>
  <w:style w:type="character" w:customStyle="1" w:styleId="161">
    <w:name w:val="标题 Char"/>
    <w:link w:val="38"/>
    <w:qFormat/>
    <w:uiPriority w:val="0"/>
    <w:rPr>
      <w:rFonts w:ascii="Cambria" w:hAnsi="Cambria" w:cs="Times New Roman"/>
      <w:b/>
      <w:bCs/>
      <w:sz w:val="32"/>
      <w:szCs w:val="32"/>
    </w:rPr>
  </w:style>
  <w:style w:type="character" w:customStyle="1" w:styleId="162">
    <w:name w:val="hei141"/>
    <w:qFormat/>
    <w:uiPriority w:val="0"/>
    <w:rPr>
      <w:rFonts w:hint="eastAsia" w:ascii="宋体" w:hAnsi="宋体" w:eastAsia="宋体"/>
      <w:color w:val="000000"/>
      <w:sz w:val="19"/>
      <w:szCs w:val="19"/>
      <w:u w:val="none"/>
    </w:rPr>
  </w:style>
  <w:style w:type="character" w:customStyle="1" w:styleId="163">
    <w:name w:val="批注文字 Char"/>
    <w:link w:val="13"/>
    <w:qFormat/>
    <w:uiPriority w:val="0"/>
  </w:style>
  <w:style w:type="character" w:customStyle="1" w:styleId="164">
    <w:name w:val="apple-style-span"/>
    <w:basedOn w:val="43"/>
    <w:qFormat/>
    <w:uiPriority w:val="0"/>
  </w:style>
  <w:style w:type="character" w:customStyle="1" w:styleId="165">
    <w:name w:val="param-value"/>
    <w:qFormat/>
    <w:uiPriority w:val="99"/>
    <w:rPr>
      <w:rFonts w:cs="Times New Roman"/>
    </w:rPr>
  </w:style>
  <w:style w:type="character" w:customStyle="1" w:styleId="166">
    <w:name w:val="font61"/>
    <w:qFormat/>
    <w:uiPriority w:val="0"/>
    <w:rPr>
      <w:rFonts w:hint="eastAsia" w:ascii="宋体" w:hAnsi="宋体" w:eastAsia="宋体" w:cs="宋体"/>
      <w:color w:val="000000"/>
      <w:sz w:val="22"/>
      <w:szCs w:val="22"/>
      <w:u w:val="none"/>
    </w:rPr>
  </w:style>
  <w:style w:type="character" w:customStyle="1" w:styleId="167">
    <w:name w:val="font11"/>
    <w:basedOn w:val="43"/>
    <w:qFormat/>
    <w:uiPriority w:val="0"/>
    <w:rPr>
      <w:rFonts w:hint="eastAsia" w:ascii="宋体" w:hAnsi="宋体" w:eastAsia="宋体" w:cs="宋体"/>
      <w:color w:val="FF0000"/>
      <w:sz w:val="22"/>
      <w:szCs w:val="22"/>
      <w:u w:val="none"/>
    </w:rPr>
  </w:style>
  <w:style w:type="character" w:customStyle="1" w:styleId="168">
    <w:name w:val="批注主题 Char"/>
    <w:link w:val="39"/>
    <w:qFormat/>
    <w:uiPriority w:val="0"/>
    <w:rPr>
      <w:b/>
      <w:bCs/>
    </w:rPr>
  </w:style>
  <w:style w:type="character" w:customStyle="1" w:styleId="169">
    <w:name w:val="批注文字 Char1"/>
    <w:basedOn w:val="43"/>
    <w:semiHidden/>
    <w:qFormat/>
    <w:uiPriority w:val="99"/>
  </w:style>
  <w:style w:type="paragraph" w:customStyle="1" w:styleId="170">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1">
    <w:name w:val="批注主题 Char1"/>
    <w:basedOn w:val="169"/>
    <w:semiHidden/>
    <w:qFormat/>
    <w:uiPriority w:val="99"/>
    <w:rPr>
      <w:b/>
      <w:bCs/>
    </w:rPr>
  </w:style>
  <w:style w:type="paragraph" w:customStyle="1" w:styleId="172">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日期 Char1"/>
    <w:basedOn w:val="43"/>
    <w:semiHidden/>
    <w:qFormat/>
    <w:uiPriority w:val="99"/>
  </w:style>
  <w:style w:type="paragraph" w:customStyle="1" w:styleId="17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脚注文本 Char"/>
    <w:basedOn w:val="43"/>
    <w:link w:val="29"/>
    <w:semiHidden/>
    <w:qFormat/>
    <w:uiPriority w:val="0"/>
    <w:rPr>
      <w:rFonts w:ascii="Times New Roman" w:hAnsi="Times New Roman" w:eastAsia="宋体" w:cs="Times New Roman"/>
      <w:sz w:val="18"/>
      <w:szCs w:val="18"/>
    </w:rPr>
  </w:style>
  <w:style w:type="paragraph" w:customStyle="1" w:styleId="176">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8">
    <w:name w:val="标题 Char1"/>
    <w:basedOn w:val="43"/>
    <w:qFormat/>
    <w:uiPriority w:val="10"/>
    <w:rPr>
      <w:rFonts w:eastAsia="宋体" w:asciiTheme="majorHAnsi" w:hAnsiTheme="majorHAnsi" w:cstheme="majorBidi"/>
      <w:b/>
      <w:bCs/>
      <w:sz w:val="32"/>
      <w:szCs w:val="32"/>
    </w:rPr>
  </w:style>
  <w:style w:type="paragraph" w:customStyle="1" w:styleId="179">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80">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3">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3"/>
    <w:basedOn w:val="1"/>
    <w:qFormat/>
    <w:uiPriority w:val="0"/>
    <w:pPr>
      <w:ind w:firstLine="420" w:firstLineChars="200"/>
    </w:pPr>
    <w:rPr>
      <w:rFonts w:ascii="Times New Roman" w:hAnsi="Times New Roman" w:eastAsia="宋体" w:cs="Times New Roman"/>
      <w:szCs w:val="24"/>
    </w:rPr>
  </w:style>
  <w:style w:type="character" w:customStyle="1" w:styleId="190">
    <w:name w:val="Char Char12"/>
    <w:qFormat/>
    <w:uiPriority w:val="0"/>
    <w:rPr>
      <w:rFonts w:eastAsia="宋体"/>
      <w:kern w:val="2"/>
      <w:sz w:val="18"/>
      <w:szCs w:val="18"/>
      <w:lang w:val="en-US" w:eastAsia="zh-CN" w:bidi="ar-SA"/>
    </w:rPr>
  </w:style>
  <w:style w:type="paragraph" w:customStyle="1" w:styleId="191">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列出段落4"/>
    <w:basedOn w:val="1"/>
    <w:qFormat/>
    <w:uiPriority w:val="0"/>
    <w:pPr>
      <w:ind w:firstLine="420" w:firstLineChars="200"/>
    </w:pPr>
    <w:rPr>
      <w:rFonts w:ascii="Times New Roman" w:hAnsi="Times New Roman" w:eastAsia="宋体" w:cs="Times New Roman"/>
      <w:szCs w:val="24"/>
    </w:rPr>
  </w:style>
  <w:style w:type="character" w:customStyle="1" w:styleId="194">
    <w:name w:val="Char Char11"/>
    <w:qFormat/>
    <w:uiPriority w:val="0"/>
    <w:rPr>
      <w:rFonts w:eastAsia="宋体"/>
      <w:kern w:val="2"/>
      <w:sz w:val="18"/>
      <w:szCs w:val="18"/>
      <w:lang w:val="en-US" w:eastAsia="zh-CN" w:bidi="ar-SA"/>
    </w:rPr>
  </w:style>
  <w:style w:type="paragraph" w:customStyle="1" w:styleId="195">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列出段落5"/>
    <w:basedOn w:val="1"/>
    <w:qFormat/>
    <w:uiPriority w:val="0"/>
    <w:pPr>
      <w:ind w:firstLine="420" w:firstLineChars="200"/>
    </w:pPr>
    <w:rPr>
      <w:rFonts w:ascii="Times New Roman" w:hAnsi="Times New Roman" w:eastAsia="宋体" w:cs="Times New Roman"/>
      <w:szCs w:val="24"/>
    </w:rPr>
  </w:style>
  <w:style w:type="character" w:customStyle="1" w:styleId="198">
    <w:name w:val="纯文本 Char"/>
    <w:link w:val="19"/>
    <w:qFormat/>
    <w:uiPriority w:val="99"/>
    <w:rPr>
      <w:rFonts w:ascii="宋体" w:hAnsi="Courier New" w:eastAsia="宋体"/>
      <w:szCs w:val="21"/>
    </w:rPr>
  </w:style>
  <w:style w:type="character" w:customStyle="1" w:styleId="199">
    <w:name w:val="纯文本 Char1"/>
    <w:basedOn w:val="43"/>
    <w:semiHidden/>
    <w:qFormat/>
    <w:uiPriority w:val="99"/>
    <w:rPr>
      <w:rFonts w:ascii="宋体" w:hAnsi="Courier New" w:eastAsia="宋体" w:cs="Courier New"/>
      <w:szCs w:val="21"/>
    </w:rPr>
  </w:style>
  <w:style w:type="paragraph" w:customStyle="1" w:styleId="20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2">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3">
    <w:name w:val="正文缩进2格"/>
    <w:basedOn w:val="1"/>
    <w:link w:val="204"/>
    <w:qFormat/>
    <w:uiPriority w:val="0"/>
    <w:pPr>
      <w:spacing w:line="600" w:lineRule="exact"/>
      <w:ind w:firstLine="639" w:firstLineChars="206"/>
    </w:pPr>
    <w:rPr>
      <w:rFonts w:ascii="仿宋_GB2312" w:hAnsi="宋体" w:eastAsia="仿宋_GB2312" w:cs="Times New Roman"/>
      <w:sz w:val="31"/>
      <w:szCs w:val="28"/>
    </w:rPr>
  </w:style>
  <w:style w:type="character" w:customStyle="1" w:styleId="204">
    <w:name w:val="正文缩进2格 Char"/>
    <w:link w:val="203"/>
    <w:qFormat/>
    <w:uiPriority w:val="0"/>
    <w:rPr>
      <w:rFonts w:ascii="仿宋_GB2312" w:hAnsi="宋体" w:eastAsia="仿宋_GB2312" w:cs="Times New Roman"/>
      <w:sz w:val="31"/>
      <w:szCs w:val="28"/>
    </w:rPr>
  </w:style>
  <w:style w:type="paragraph" w:customStyle="1" w:styleId="205">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6">
    <w:name w:val="List Paragraph"/>
    <w:basedOn w:val="1"/>
    <w:qFormat/>
    <w:uiPriority w:val="34"/>
    <w:pPr>
      <w:ind w:firstLine="420" w:firstLineChars="200"/>
    </w:pPr>
  </w:style>
  <w:style w:type="paragraph" w:customStyle="1" w:styleId="207">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8">
    <w:name w:val="正文首行缩进 Char"/>
    <w:basedOn w:val="138"/>
    <w:link w:val="40"/>
    <w:qFormat/>
    <w:uiPriority w:val="99"/>
    <w:rPr>
      <w:rFonts w:asciiTheme="minorHAnsi" w:hAnsiTheme="minorHAnsi" w:eastAsiaTheme="minorEastAsia" w:cstheme="minorBidi"/>
      <w:kern w:val="2"/>
      <w:sz w:val="21"/>
      <w:szCs w:val="22"/>
    </w:rPr>
  </w:style>
  <w:style w:type="paragraph" w:customStyle="1" w:styleId="209">
    <w:name w:val="Table Paragraph"/>
    <w:basedOn w:val="1"/>
    <w:qFormat/>
    <w:uiPriority w:val="1"/>
    <w:pPr>
      <w:autoSpaceDE w:val="0"/>
      <w:autoSpaceDN w:val="0"/>
      <w:jc w:val="left"/>
    </w:pPr>
    <w:rPr>
      <w:rFonts w:ascii="宋体" w:hAnsi="宋体" w:eastAsia="宋体" w:cs="宋体"/>
      <w:kern w:val="0"/>
      <w:sz w:val="22"/>
    </w:rPr>
  </w:style>
  <w:style w:type="paragraph" w:customStyle="1" w:styleId="210">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1">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2">
    <w:name w:val="正文首行缩进 2 Char"/>
    <w:basedOn w:val="69"/>
    <w:link w:val="15"/>
    <w:semiHidden/>
    <w:qFormat/>
    <w:uiPriority w:val="99"/>
    <w:rPr>
      <w:rFonts w:ascii="??" w:hAnsi="??" w:eastAsia="宋体" w:cs="Arial"/>
      <w:kern w:val="2"/>
      <w:sz w:val="21"/>
      <w:szCs w:val="22"/>
    </w:rPr>
  </w:style>
  <w:style w:type="paragraph" w:customStyle="1" w:styleId="213">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14">
    <w:name w:val="bookmark-item"/>
    <w:qFormat/>
    <w:uiPriority w:val="0"/>
  </w:style>
  <w:style w:type="paragraph" w:customStyle="1" w:styleId="215">
    <w:name w:val="报告正文"/>
    <w:basedOn w:val="1"/>
    <w:qFormat/>
    <w:uiPriority w:val="0"/>
    <w:pPr>
      <w:adjustRightInd w:val="0"/>
      <w:spacing w:line="360" w:lineRule="auto"/>
      <w:ind w:firstLine="200" w:firstLineChars="200"/>
    </w:pPr>
    <w:rPr>
      <w:rFonts w:ascii="宋体" w:hAnsi="宋体" w:eastAsia="宋体" w:cs="宋体"/>
      <w:kern w:val="0"/>
      <w:sz w:val="24"/>
      <w:szCs w:val="24"/>
    </w:rPr>
  </w:style>
  <w:style w:type="paragraph" w:customStyle="1" w:styleId="216">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217">
    <w:name w:val="BodyText1I"/>
    <w:basedOn w:val="218"/>
    <w:qFormat/>
    <w:uiPriority w:val="0"/>
    <w:pPr>
      <w:spacing w:line="360" w:lineRule="auto"/>
    </w:pPr>
    <w:rPr>
      <w:rFonts w:ascii="仿宋_GB2312" w:hAnsi="Times New Roman" w:eastAsia="仿宋_GB2312"/>
      <w:sz w:val="30"/>
      <w:szCs w:val="30"/>
    </w:rPr>
  </w:style>
  <w:style w:type="paragraph" w:customStyle="1" w:styleId="218">
    <w:name w:val="BodyText"/>
    <w:basedOn w:val="1"/>
    <w:next w:val="219"/>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219">
    <w:name w:val="180"/>
    <w:basedOn w:val="1"/>
    <w:next w:val="1"/>
    <w:qFormat/>
    <w:uiPriority w:val="0"/>
    <w:pPr>
      <w:spacing w:after="160" w:line="259" w:lineRule="auto"/>
      <w:textAlignment w:val="baseline"/>
    </w:pPr>
    <w:rPr>
      <w:rFonts w:ascii="Calibri" w:hAnsi="Calibri" w:eastAsia="宋体"/>
      <w:i/>
      <w:iCs/>
      <w:color w:val="000000"/>
      <w:szCs w:val="24"/>
    </w:rPr>
  </w:style>
  <w:style w:type="character" w:customStyle="1" w:styleId="220">
    <w:name w:val="15"/>
    <w:qFormat/>
    <w:uiPriority w:val="0"/>
    <w:rPr>
      <w:rFonts w:hint="default" w:ascii="Times New Roman" w:hAnsi="Times New Roman" w:cs="Times New Roman"/>
      <w:kern w:val="2"/>
      <w:sz w:val="24"/>
      <w:szCs w:val="24"/>
    </w:rPr>
  </w:style>
  <w:style w:type="paragraph" w:customStyle="1" w:styleId="221">
    <w:name w:val="列表段落1"/>
    <w:basedOn w:val="1"/>
    <w:qFormat/>
    <w:uiPriority w:val="34"/>
    <w:pPr>
      <w:widowControl/>
      <w:ind w:firstLine="420"/>
    </w:pPr>
  </w:style>
  <w:style w:type="character" w:customStyle="1" w:styleId="222">
    <w:name w:val="font51"/>
    <w:basedOn w:val="43"/>
    <w:qFormat/>
    <w:uiPriority w:val="0"/>
    <w:rPr>
      <w:rFonts w:hint="default" w:ascii="Wingdings 2" w:hAnsi="Wingdings 2" w:eastAsia="Wingdings 2" w:cs="Wingdings 2"/>
      <w:color w:val="000000"/>
      <w:sz w:val="20"/>
      <w:szCs w:val="20"/>
      <w:u w:val="none"/>
    </w:rPr>
  </w:style>
  <w:style w:type="character" w:customStyle="1" w:styleId="223">
    <w:name w:val="font31"/>
    <w:basedOn w:val="43"/>
    <w:qFormat/>
    <w:uiPriority w:val="0"/>
    <w:rPr>
      <w:rFonts w:hint="default" w:ascii="Times New Roman" w:hAnsi="Times New Roman" w:cs="Times New Roman"/>
      <w:color w:val="000000"/>
      <w:sz w:val="20"/>
      <w:szCs w:val="20"/>
      <w:u w:val="none"/>
    </w:rPr>
  </w:style>
  <w:style w:type="paragraph" w:customStyle="1" w:styleId="224">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25">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6">
    <w:name w:val="纯文本1"/>
    <w:basedOn w:val="1"/>
    <w:qFormat/>
    <w:uiPriority w:val="0"/>
    <w:rPr>
      <w:rFonts w:ascii="宋体" w:hAnsi="Courier New" w:eastAsia="宋体" w:cs="Times New Roman"/>
      <w:kern w:val="0"/>
      <w:sz w:val="20"/>
      <w:szCs w:val="20"/>
    </w:rPr>
  </w:style>
  <w:style w:type="paragraph" w:customStyle="1" w:styleId="227">
    <w:name w:val="标题 5（有编号）（绿盟科技）"/>
    <w:basedOn w:val="1"/>
    <w:next w:val="228"/>
    <w:qFormat/>
    <w:uiPriority w:val="0"/>
    <w:pPr>
      <w:keepNext/>
      <w:keepLines/>
      <w:numPr>
        <w:ilvl w:val="4"/>
        <w:numId w:val="2"/>
      </w:numPr>
      <w:spacing w:before="280" w:after="156" w:line="377" w:lineRule="auto"/>
      <w:jc w:val="left"/>
      <w:outlineLvl w:val="4"/>
    </w:pPr>
    <w:rPr>
      <w:rFonts w:ascii="Arial" w:hAnsi="Arial" w:eastAsia="黑体"/>
      <w:b/>
      <w:szCs w:val="28"/>
    </w:rPr>
  </w:style>
  <w:style w:type="paragraph" w:customStyle="1" w:styleId="2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9">
    <w:name w:val="Table Text"/>
    <w:basedOn w:val="1"/>
    <w:semiHidden/>
    <w:qFormat/>
    <w:uiPriority w:val="0"/>
    <w:rPr>
      <w:rFonts w:ascii="Arial" w:hAnsi="Arial" w:eastAsia="Arial" w:cs="Arial"/>
      <w:sz w:val="21"/>
      <w:szCs w:val="21"/>
      <w:lang w:val="en-US" w:eastAsia="en-US" w:bidi="ar-SA"/>
    </w:rPr>
  </w:style>
  <w:style w:type="table" w:customStyle="1" w:styleId="2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A6118-2AA1-4E08-8DFC-4054DA4CCE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8763</Words>
  <Characters>9821</Characters>
  <Lines>493</Lines>
  <Paragraphs>139</Paragraphs>
  <TotalTime>3</TotalTime>
  <ScaleCrop>false</ScaleCrop>
  <LinksUpToDate>false</LinksUpToDate>
  <CharactersWithSpaces>9942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2024-04-29T13:58:00Z</dcterms:created>
  <dc:creator>Administrator</dc:creator>
  <cp:lastModifiedBy>.</cp:lastModifiedBy>
  <cp:lastPrinted>2022-04-09T04:00:00Z</cp:lastPrinted>
  <dcterms:modified xsi:type="dcterms:W3CDTF">2026-04-23T04:03:41Z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708F885737BD49A295F98365542CF127_13</vt:lpwstr>
  </property>
  <property fmtid="{D5CDD505-2E9C-101B-9397-08002B2CF9AE}" pid="4" name="KSOTemplateDocerSaveRecord">
    <vt:lpwstr>eyJoZGlkIjoiYTc1ZjQzYmZjYjBmNzhjODBmYjcyNTkxNGRiYThkODAiLCJ1c2VySWQiOiI1NzcxNzM2NTMifQ==</vt:lpwstr>
  </property>
</Properties>
</file>