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A5D43">
      <w:pPr>
        <w:spacing w:line="360" w:lineRule="auto"/>
        <w:ind w:left="0" w:leftChars="0" w:firstLine="0"/>
        <w:jc w:val="both"/>
        <w:rPr>
          <w:rFonts w:hint="default" w:ascii="Times New Roman" w:hAnsi="Times New Roman" w:eastAsia="宋体" w:cs="Times New Roman"/>
          <w:b/>
          <w:bCs w:val="0"/>
          <w:sz w:val="32"/>
          <w:szCs w:val="32"/>
          <w:highlight w:val="none"/>
          <w:lang w:val="en-US" w:eastAsia="zh-CN"/>
        </w:rPr>
      </w:pPr>
    </w:p>
    <w:p w14:paraId="70059F5E">
      <w:pPr>
        <w:spacing w:line="360" w:lineRule="auto"/>
        <w:jc w:val="both"/>
        <w:rPr>
          <w:rFonts w:hint="default" w:ascii="Times New Roman" w:hAnsi="Times New Roman" w:cs="Times New Roman"/>
          <w:bCs/>
          <w:sz w:val="32"/>
          <w:szCs w:val="32"/>
          <w:highlight w:val="none"/>
        </w:rPr>
      </w:pPr>
    </w:p>
    <w:p w14:paraId="5359CD25">
      <w:pPr>
        <w:keepNext w:val="0"/>
        <w:keepLines w:val="0"/>
        <w:pageBreakBefore w:val="0"/>
        <w:widowControl w:val="0"/>
        <w:kinsoku/>
        <w:wordWrap/>
        <w:overflowPunct/>
        <w:topLinePunct w:val="0"/>
        <w:autoSpaceDE/>
        <w:autoSpaceDN/>
        <w:bidi w:val="0"/>
        <w:adjustRightInd/>
        <w:snapToGrid/>
        <w:spacing w:before="0" w:beforeLines="-2147483648" w:after="100" w:afterLines="-2147483648" w:afterAutospacing="1" w:line="800" w:lineRule="exact"/>
        <w:jc w:val="center"/>
        <w:textAlignment w:val="auto"/>
        <w:rPr>
          <w:rFonts w:hint="eastAsia" w:ascii="Times New Roman" w:hAnsi="Times New Roman" w:eastAsia="方正小标宋_GBK" w:cs="Times New Roman"/>
          <w:bCs/>
          <w:color w:val="auto"/>
          <w:spacing w:val="0"/>
          <w:w w:val="100"/>
          <w:position w:val="0"/>
          <w:sz w:val="40"/>
          <w:szCs w:val="40"/>
          <w:highlight w:val="none"/>
          <w:lang w:val="en-US" w:eastAsia="zh-CN"/>
          <w14:textOutline w14:w="5791" w14:cap="sq" w14:cmpd="sng" w14:algn="ctr">
            <w14:solidFill>
              <w14:srgbClr w14:val="000000"/>
            </w14:solidFill>
            <w14:prstDash w14:val="solid"/>
            <w14:bevel/>
          </w14:textOutline>
        </w:rPr>
      </w:pPr>
      <w:r>
        <w:rPr>
          <w:rFonts w:hint="eastAsia" w:ascii="Times New Roman" w:hAnsi="Times New Roman" w:eastAsia="方正小标宋_GBK" w:cs="Times New Roman"/>
          <w:bCs/>
          <w:color w:val="auto"/>
          <w:spacing w:val="0"/>
          <w:w w:val="100"/>
          <w:position w:val="0"/>
          <w:sz w:val="40"/>
          <w:szCs w:val="40"/>
          <w:highlight w:val="none"/>
          <w:lang w:val="en-US" w:eastAsia="zh-CN"/>
          <w14:textOutline w14:w="5791" w14:cap="sq" w14:cmpd="sng" w14:algn="ctr">
            <w14:solidFill>
              <w14:srgbClr w14:val="000000"/>
            </w14:solidFill>
            <w14:prstDash w14:val="solid"/>
            <w14:bevel/>
          </w14:textOutline>
        </w:rPr>
        <w:t>新疆巴音郭楞蒙古自治州特教学校孤独症设备</w:t>
      </w:r>
    </w:p>
    <w:p w14:paraId="121A0743">
      <w:pPr>
        <w:keepNext w:val="0"/>
        <w:keepLines w:val="0"/>
        <w:pageBreakBefore w:val="0"/>
        <w:widowControl w:val="0"/>
        <w:kinsoku/>
        <w:wordWrap/>
        <w:overflowPunct/>
        <w:topLinePunct w:val="0"/>
        <w:autoSpaceDE/>
        <w:autoSpaceDN/>
        <w:bidi w:val="0"/>
        <w:adjustRightInd/>
        <w:snapToGrid/>
        <w:spacing w:before="0" w:beforeLines="-2147483648" w:after="100" w:afterLines="-2147483648" w:afterAutospacing="1" w:line="800" w:lineRule="exact"/>
        <w:ind w:left="2760" w:leftChars="257" w:hanging="2220" w:hangingChars="555"/>
        <w:jc w:val="center"/>
        <w:textAlignment w:val="auto"/>
        <w:rPr>
          <w:rFonts w:hint="eastAsia" w:ascii="Times New Roman" w:hAnsi="Times New Roman" w:eastAsia="方正小标宋_GBK" w:cs="Times New Roman"/>
          <w:bCs/>
          <w:color w:val="auto"/>
          <w:spacing w:val="0"/>
          <w:w w:val="100"/>
          <w:position w:val="0"/>
          <w:sz w:val="40"/>
          <w:szCs w:val="40"/>
          <w:highlight w:val="none"/>
          <w:lang w:val="en-US" w:eastAsia="zh-CN"/>
          <w14:textOutline w14:w="5791" w14:cap="sq" w14:cmpd="sng" w14:algn="ctr">
            <w14:solidFill>
              <w14:srgbClr w14:val="000000"/>
            </w14:solidFill>
            <w14:prstDash w14:val="solid"/>
            <w14:bevel/>
          </w14:textOutline>
        </w:rPr>
      </w:pPr>
      <w:r>
        <w:rPr>
          <w:rFonts w:hint="eastAsia" w:ascii="Times New Roman" w:hAnsi="Times New Roman" w:eastAsia="方正小标宋_GBK" w:cs="Times New Roman"/>
          <w:bCs/>
          <w:color w:val="auto"/>
          <w:spacing w:val="0"/>
          <w:w w:val="100"/>
          <w:position w:val="0"/>
          <w:sz w:val="40"/>
          <w:szCs w:val="40"/>
          <w:highlight w:val="none"/>
          <w:lang w:val="en-US" w:eastAsia="zh-CN"/>
          <w14:textOutline w14:w="5791" w14:cap="sq" w14:cmpd="sng" w14:algn="ctr">
            <w14:solidFill>
              <w14:srgbClr w14:val="000000"/>
            </w14:solidFill>
            <w14:prstDash w14:val="solid"/>
            <w14:bevel/>
          </w14:textOutline>
        </w:rPr>
        <w:t>采购项目</w:t>
      </w:r>
    </w:p>
    <w:p w14:paraId="5BF5A7D2">
      <w:pPr>
        <w:pStyle w:val="2"/>
        <w:spacing w:line="360" w:lineRule="auto"/>
        <w:rPr>
          <w:rFonts w:hint="default"/>
        </w:rPr>
      </w:pPr>
    </w:p>
    <w:p w14:paraId="6E5F3E7D">
      <w:pPr>
        <w:pStyle w:val="14"/>
        <w:rPr>
          <w:rFonts w:hint="default"/>
        </w:rPr>
      </w:pPr>
    </w:p>
    <w:p w14:paraId="39D3C445">
      <w:pPr>
        <w:spacing w:line="360" w:lineRule="auto"/>
        <w:jc w:val="center"/>
        <w:rPr>
          <w:rFonts w:hint="default" w:ascii="Times New Roman" w:hAnsi="Times New Roman" w:eastAsia="方正小标宋_GBK" w:cs="Times New Roman"/>
          <w:bCs/>
          <w:sz w:val="40"/>
          <w:szCs w:val="40"/>
          <w:highlight w:val="none"/>
          <w:lang w:eastAsia="zh-CN"/>
        </w:rPr>
      </w:pPr>
      <w:r>
        <w:rPr>
          <w:rFonts w:hint="default" w:ascii="Times New Roman" w:hAnsi="Times New Roman" w:eastAsia="方正小标宋_GBK" w:cs="Times New Roman"/>
          <w:bCs/>
          <w:sz w:val="40"/>
          <w:szCs w:val="40"/>
          <w:highlight w:val="none"/>
        </w:rPr>
        <w:t>公开招标</w:t>
      </w:r>
      <w:r>
        <w:rPr>
          <w:rFonts w:hint="default" w:ascii="Times New Roman" w:hAnsi="Times New Roman" w:eastAsia="方正小标宋_GBK" w:cs="Times New Roman"/>
          <w:bCs/>
          <w:sz w:val="40"/>
          <w:szCs w:val="40"/>
          <w:highlight w:val="none"/>
          <w:lang w:eastAsia="zh-CN"/>
        </w:rPr>
        <w:t>文件</w:t>
      </w:r>
    </w:p>
    <w:p w14:paraId="7DBD4EA8">
      <w:pPr>
        <w:spacing w:line="360" w:lineRule="auto"/>
        <w:jc w:val="center"/>
        <w:rPr>
          <w:rFonts w:hint="default" w:ascii="Times New Roman" w:hAnsi="Times New Roman" w:eastAsia="方正小标宋_GBK" w:cs="Times New Roman"/>
          <w:bCs/>
          <w:sz w:val="40"/>
          <w:szCs w:val="40"/>
          <w:highlight w:val="none"/>
          <w:lang w:eastAsia="zh-CN"/>
        </w:rPr>
      </w:pPr>
      <w:r>
        <w:rPr>
          <w:rFonts w:hint="eastAsia" w:eastAsia="方正小标宋_GBK" w:cs="Times New Roman"/>
          <w:bCs/>
          <w:sz w:val="40"/>
          <w:szCs w:val="40"/>
          <w:highlight w:val="none"/>
          <w:lang w:eastAsia="zh-CN"/>
        </w:rPr>
        <w:t>（货物）</w:t>
      </w:r>
    </w:p>
    <w:p w14:paraId="72568D24">
      <w:pPr>
        <w:pStyle w:val="3"/>
        <w:spacing w:line="360" w:lineRule="auto"/>
        <w:ind w:left="0" w:leftChars="0" w:firstLine="0" w:firstLineChars="0"/>
        <w:rPr>
          <w:rFonts w:hint="default" w:ascii="Times New Roman" w:hAnsi="Times New Roman" w:cs="Times New Roman"/>
          <w:bCs/>
          <w:sz w:val="32"/>
          <w:szCs w:val="32"/>
          <w:highlight w:val="none"/>
        </w:rPr>
      </w:pPr>
    </w:p>
    <w:p w14:paraId="5F55C622">
      <w:pPr>
        <w:keepNext w:val="0"/>
        <w:keepLines w:val="0"/>
        <w:pageBreakBefore w:val="0"/>
        <w:kinsoku/>
        <w:wordWrap/>
        <w:overflowPunct/>
        <w:topLinePunct w:val="0"/>
        <w:autoSpaceDE/>
        <w:autoSpaceDN/>
        <w:bidi w:val="0"/>
        <w:adjustRightInd/>
        <w:snapToGrid/>
        <w:spacing w:before="101" w:line="800" w:lineRule="exact"/>
        <w:textAlignment w:val="auto"/>
        <w:rPr>
          <w:rFonts w:hint="default" w:ascii="Times New Roman" w:hAnsi="Times New Roman" w:cs="Times New Roman"/>
          <w:bCs w:val="0"/>
          <w:color w:val="auto"/>
          <w:sz w:val="31"/>
          <w:szCs w:val="31"/>
          <w:highlight w:val="none"/>
          <w14:textOutline w14:w="5791" w14:cap="sq" w14:cmpd="sng" w14:algn="ctr">
            <w14:solidFill>
              <w14:srgbClr w14:val="000000"/>
            </w14:solidFill>
            <w14:prstDash w14:val="solid"/>
            <w14:bevel/>
          </w14:textOutline>
        </w:rPr>
      </w:pPr>
    </w:p>
    <w:p w14:paraId="04319D86">
      <w:pPr>
        <w:keepNext w:val="0"/>
        <w:keepLines w:val="0"/>
        <w:pageBreakBefore w:val="0"/>
        <w:widowControl w:val="0"/>
        <w:kinsoku/>
        <w:wordWrap/>
        <w:overflowPunct/>
        <w:topLinePunct w:val="0"/>
        <w:autoSpaceDE/>
        <w:autoSpaceDN/>
        <w:bidi w:val="0"/>
        <w:adjustRightInd/>
        <w:snapToGrid/>
        <w:spacing w:before="0" w:beforeLines="-2147483648" w:after="100" w:afterLines="-2147483648" w:afterAutospacing="1" w:line="800" w:lineRule="exact"/>
        <w:ind w:left="2316" w:leftChars="257" w:hanging="1776" w:hangingChars="555"/>
        <w:jc w:val="left"/>
        <w:textAlignment w:val="auto"/>
        <w:rPr>
          <w:rFonts w:hint="eastAsia" w:ascii="Times New Roman" w:hAnsi="Times New Roman" w:eastAsia="方正小标宋_GBK" w:cs="Times New Roman"/>
          <w:bCs/>
          <w:color w:val="auto"/>
          <w:spacing w:val="0"/>
          <w:w w:val="100"/>
          <w:position w:val="0"/>
          <w:sz w:val="32"/>
          <w:szCs w:val="32"/>
          <w:highlight w:val="none"/>
          <w:lang w:eastAsia="zh-CN"/>
          <w14:textOutline w14:w="5791" w14:cap="sq" w14:cmpd="sng" w14:algn="ctr">
            <w14:solidFill>
              <w14:srgbClr w14:val="000000"/>
            </w14:solidFill>
            <w14:prstDash w14:val="solid"/>
            <w14:bevel/>
          </w14:textOutline>
        </w:rPr>
      </w:pPr>
      <w:r>
        <w:rPr>
          <w:rFonts w:ascii="Times New Roman" w:hAnsi="Times New Roman" w:eastAsia="方正小标宋_GBK" w:cs="Times New Roman"/>
          <w:bCs/>
          <w:color w:val="auto"/>
          <w:spacing w:val="0"/>
          <w:w w:val="100"/>
          <w:position w:val="0"/>
          <w:sz w:val="32"/>
          <w:szCs w:val="32"/>
          <w:highlight w:val="none"/>
          <w:lang w:eastAsia="zh-CN"/>
          <w14:textOutline w14:w="5791" w14:cap="sq" w14:cmpd="sng" w14:algn="ctr">
            <w14:solidFill>
              <w14:srgbClr w14:val="000000"/>
            </w14:solidFill>
            <w14:prstDash w14:val="solid"/>
            <w14:bevel/>
          </w14:textOutline>
        </w:rPr>
        <w:t xml:space="preserve">项目名称： </w:t>
      </w:r>
      <w:r>
        <w:rPr>
          <w:rFonts w:hint="eastAsia" w:ascii="Times New Roman" w:hAnsi="Times New Roman" w:eastAsia="方正小标宋_GBK" w:cs="Times New Roman"/>
          <w:bCs/>
          <w:color w:val="auto"/>
          <w:spacing w:val="0"/>
          <w:w w:val="100"/>
          <w:position w:val="0"/>
          <w:sz w:val="32"/>
          <w:szCs w:val="32"/>
          <w:highlight w:val="none"/>
          <w:lang w:eastAsia="zh-CN"/>
          <w14:textOutline w14:w="5791" w14:cap="sq" w14:cmpd="sng" w14:algn="ctr">
            <w14:solidFill>
              <w14:srgbClr w14:val="000000"/>
            </w14:solidFill>
            <w14:prstDash w14:val="solid"/>
            <w14:bevel/>
          </w14:textOutline>
        </w:rPr>
        <w:t>新疆巴音郭楞蒙古自治州特教学校孤独症设备采购项目</w:t>
      </w:r>
    </w:p>
    <w:p w14:paraId="3ECCC20F">
      <w:pPr>
        <w:keepNext w:val="0"/>
        <w:keepLines w:val="0"/>
        <w:pageBreakBefore w:val="0"/>
        <w:widowControl w:val="0"/>
        <w:kinsoku/>
        <w:wordWrap/>
        <w:overflowPunct/>
        <w:topLinePunct w:val="0"/>
        <w:autoSpaceDE/>
        <w:autoSpaceDN/>
        <w:bidi w:val="0"/>
        <w:adjustRightInd/>
        <w:snapToGrid/>
        <w:spacing w:before="0" w:beforeLines="-2147483648" w:after="100" w:afterLines="-2147483648" w:afterAutospacing="1" w:line="800" w:lineRule="exact"/>
        <w:ind w:left="1079" w:leftChars="257" w:hanging="539" w:firstLineChars="0"/>
        <w:jc w:val="left"/>
        <w:textAlignment w:val="auto"/>
        <w:rPr>
          <w:rFonts w:hint="eastAsia" w:ascii="Times New Roman" w:hAnsi="Times New Roman" w:eastAsia="方正小标宋_GBK" w:cs="Times New Roman"/>
          <w:bCs/>
          <w:color w:val="auto"/>
          <w:spacing w:val="0"/>
          <w:w w:val="100"/>
          <w:position w:val="0"/>
          <w:sz w:val="32"/>
          <w:szCs w:val="32"/>
          <w:highlight w:val="none"/>
          <w:lang w:val="en-US" w:eastAsia="zh-CN"/>
          <w14:textOutline w14:w="5791" w14:cap="sq" w14:cmpd="sng" w14:algn="ctr">
            <w14:solidFill>
              <w14:srgbClr w14:val="000000"/>
            </w14:solidFill>
            <w14:prstDash w14:val="solid"/>
            <w14:bevel/>
          </w14:textOutline>
        </w:rPr>
      </w:pPr>
      <w:r>
        <w:rPr>
          <w:rFonts w:hint="default" w:ascii="Times New Roman" w:hAnsi="Times New Roman" w:eastAsia="方正小标宋_GBK" w:cs="Times New Roman"/>
          <w:bCs/>
          <w:color w:val="auto"/>
          <w:spacing w:val="0"/>
          <w:w w:val="100"/>
          <w:position w:val="0"/>
          <w:sz w:val="32"/>
          <w:szCs w:val="32"/>
          <w:highlight w:val="none"/>
          <w:lang w:val="en-US" w:eastAsia="zh-CN"/>
          <w14:textOutline w14:w="5791" w14:cap="sq" w14:cmpd="sng" w14:algn="ctr">
            <w14:solidFill>
              <w14:srgbClr w14:val="000000"/>
            </w14:solidFill>
            <w14:prstDash w14:val="solid"/>
            <w14:bevel/>
          </w14:textOutline>
        </w:rPr>
        <w:t>采</w:t>
      </w:r>
      <w:r>
        <w:rPr>
          <w:rFonts w:hint="default" w:ascii="Times New Roman" w:hAnsi="Times New Roman" w:eastAsia="方正小标宋_GBK" w:cs="Times New Roman"/>
          <w:bCs/>
          <w:color w:val="auto"/>
          <w:spacing w:val="0"/>
          <w:w w:val="100"/>
          <w:position w:val="0"/>
          <w:sz w:val="32"/>
          <w:szCs w:val="32"/>
          <w:highlight w:val="none"/>
          <w:lang w:eastAsia="zh-CN"/>
          <w14:textOutline w14:w="5791" w14:cap="sq" w14:cmpd="sng" w14:algn="ctr">
            <w14:solidFill>
              <w14:srgbClr w14:val="000000"/>
            </w14:solidFill>
            <w14:prstDash w14:val="solid"/>
            <w14:bevel/>
          </w14:textOutline>
        </w:rPr>
        <w:t>购人：</w:t>
      </w:r>
      <w:r>
        <w:rPr>
          <w:rFonts w:hint="eastAsia" w:ascii="Times New Roman" w:hAnsi="Times New Roman" w:eastAsia="方正小标宋_GBK" w:cs="Times New Roman"/>
          <w:bCs/>
          <w:color w:val="auto"/>
          <w:spacing w:val="0"/>
          <w:w w:val="100"/>
          <w:position w:val="0"/>
          <w:sz w:val="32"/>
          <w:szCs w:val="32"/>
          <w:highlight w:val="none"/>
          <w:lang w:eastAsia="zh-CN"/>
          <w14:textOutline w14:w="5791" w14:cap="sq" w14:cmpd="sng" w14:algn="ctr">
            <w14:solidFill>
              <w14:srgbClr w14:val="000000"/>
            </w14:solidFill>
            <w14:prstDash w14:val="solid"/>
            <w14:bevel/>
          </w14:textOutline>
        </w:rPr>
        <w:t>新疆巴音郭楞蒙古自治州特教学校</w:t>
      </w:r>
    </w:p>
    <w:p w14:paraId="023B3676">
      <w:pPr>
        <w:keepNext w:val="0"/>
        <w:keepLines w:val="0"/>
        <w:pageBreakBefore w:val="0"/>
        <w:widowControl w:val="0"/>
        <w:kinsoku/>
        <w:wordWrap/>
        <w:overflowPunct/>
        <w:topLinePunct w:val="0"/>
        <w:autoSpaceDE/>
        <w:autoSpaceDN/>
        <w:bidi w:val="0"/>
        <w:adjustRightInd/>
        <w:snapToGrid/>
        <w:spacing w:before="0" w:beforeLines="-2147483648" w:after="100" w:afterLines="-2147483648" w:afterAutospacing="1" w:line="800" w:lineRule="exact"/>
        <w:ind w:left="1079" w:leftChars="257" w:hanging="539" w:firstLineChars="0"/>
        <w:jc w:val="left"/>
        <w:textAlignment w:val="auto"/>
        <w:rPr>
          <w:rFonts w:hint="eastAsia" w:ascii="Times New Roman" w:hAnsi="Times New Roman" w:eastAsia="方正小标宋_GBK" w:cs="Times New Roman"/>
          <w:bCs/>
          <w:color w:val="auto"/>
          <w:spacing w:val="0"/>
          <w:w w:val="100"/>
          <w:position w:val="0"/>
          <w:sz w:val="32"/>
          <w:szCs w:val="32"/>
          <w:highlight w:val="none"/>
          <w:lang w:val="en-US" w:eastAsia="zh-CN"/>
          <w14:textOutline w14:w="5791" w14:cap="sq" w14:cmpd="sng" w14:algn="ctr">
            <w14:solidFill>
              <w14:srgbClr w14:val="000000"/>
            </w14:solidFill>
            <w14:prstDash w14:val="solid"/>
            <w14:bevel/>
          </w14:textOutline>
        </w:rPr>
      </w:pPr>
      <w:r>
        <w:rPr>
          <w:rFonts w:hint="default" w:ascii="Times New Roman" w:hAnsi="Times New Roman" w:eastAsia="方正小标宋_GBK" w:cs="Times New Roman"/>
          <w:bCs/>
          <w:color w:val="auto"/>
          <w:spacing w:val="0"/>
          <w:w w:val="100"/>
          <w:position w:val="0"/>
          <w:sz w:val="32"/>
          <w:szCs w:val="32"/>
          <w:highlight w:val="none"/>
          <w:lang w:eastAsia="zh-CN"/>
          <w14:textOutline w14:w="5791" w14:cap="sq" w14:cmpd="sng" w14:algn="ctr">
            <w14:solidFill>
              <w14:srgbClr w14:val="000000"/>
            </w14:solidFill>
            <w14:prstDash w14:val="solid"/>
            <w14:bevel/>
          </w14:textOutline>
        </w:rPr>
        <w:t>采购代理机构：</w:t>
      </w:r>
      <w:r>
        <w:rPr>
          <w:rFonts w:hint="eastAsia" w:ascii="Times New Roman" w:hAnsi="Times New Roman" w:eastAsia="方正小标宋_GBK" w:cs="Times New Roman"/>
          <w:bCs/>
          <w:color w:val="auto"/>
          <w:spacing w:val="0"/>
          <w:w w:val="100"/>
          <w:position w:val="0"/>
          <w:sz w:val="32"/>
          <w:szCs w:val="32"/>
          <w:highlight w:val="none"/>
          <w:lang w:val="en-US" w:eastAsia="zh-CN"/>
          <w14:textOutline w14:w="5791" w14:cap="sq" w14:cmpd="sng" w14:algn="ctr">
            <w14:solidFill>
              <w14:srgbClr w14:val="000000"/>
            </w14:solidFill>
            <w14:prstDash w14:val="solid"/>
            <w14:bevel/>
          </w14:textOutline>
        </w:rPr>
        <w:t>新疆元通利合工程咨询有限公司</w:t>
      </w:r>
    </w:p>
    <w:p w14:paraId="5B9DE7F9">
      <w:pPr>
        <w:keepNext w:val="0"/>
        <w:keepLines w:val="0"/>
        <w:pageBreakBefore w:val="0"/>
        <w:widowControl w:val="0"/>
        <w:kinsoku/>
        <w:wordWrap/>
        <w:overflowPunct/>
        <w:topLinePunct w:val="0"/>
        <w:autoSpaceDE/>
        <w:autoSpaceDN/>
        <w:bidi w:val="0"/>
        <w:adjustRightInd/>
        <w:snapToGrid/>
        <w:spacing w:before="0" w:beforeLines="-2147483648" w:after="100" w:afterLines="-2147483648" w:afterAutospacing="1" w:line="800" w:lineRule="exact"/>
        <w:ind w:left="1079" w:leftChars="257" w:hanging="539" w:firstLineChars="0"/>
        <w:jc w:val="left"/>
        <w:textAlignment w:val="auto"/>
        <w:rPr>
          <w:rFonts w:hint="eastAsia" w:ascii="Times New Roman" w:hAnsi="Times New Roman" w:eastAsia="方正小标宋_GBK" w:cs="Times New Roman"/>
          <w:bCs/>
          <w:color w:val="auto"/>
          <w:spacing w:val="0"/>
          <w:w w:val="100"/>
          <w:position w:val="0"/>
          <w:sz w:val="32"/>
          <w:szCs w:val="32"/>
          <w:highlight w:val="none"/>
          <w:lang w:val="en-US" w:eastAsia="zh-CN"/>
          <w14:textOutline w14:w="5791" w14:cap="sq" w14:cmpd="sng" w14:algn="ctr">
            <w14:solidFill>
              <w14:srgbClr w14:val="000000"/>
            </w14:solidFill>
            <w14:prstDash w14:val="solid"/>
            <w14:bevel/>
          </w14:textOutline>
        </w:rPr>
      </w:pPr>
      <w:r>
        <w:rPr>
          <w:rFonts w:hint="eastAsia" w:ascii="Times New Roman" w:hAnsi="Times New Roman" w:eastAsia="方正小标宋_GBK" w:cs="Times New Roman"/>
          <w:bCs/>
          <w:color w:val="auto"/>
          <w:spacing w:val="0"/>
          <w:w w:val="100"/>
          <w:position w:val="0"/>
          <w:sz w:val="32"/>
          <w:szCs w:val="32"/>
          <w:highlight w:val="none"/>
          <w:lang w:eastAsia="zh-CN"/>
          <w14:textOutline w14:w="5791" w14:cap="sq" w14:cmpd="sng" w14:algn="ctr">
            <w14:solidFill>
              <w14:srgbClr w14:val="000000"/>
            </w14:solidFill>
            <w14:prstDash w14:val="solid"/>
            <w14:bevel/>
          </w14:textOutline>
        </w:rPr>
        <w:t>招标文件编号：</w:t>
      </w:r>
      <w:r>
        <w:rPr>
          <w:rFonts w:hint="eastAsia" w:ascii="Times New Roman" w:hAnsi="Times New Roman" w:eastAsia="方正小标宋_GBK" w:cs="Times New Roman"/>
          <w:bCs/>
          <w:color w:val="auto"/>
          <w:spacing w:val="0"/>
          <w:w w:val="100"/>
          <w:position w:val="0"/>
          <w:sz w:val="32"/>
          <w:szCs w:val="32"/>
          <w:highlight w:val="none"/>
          <w:lang w:val="en-US" w:eastAsia="zh-CN"/>
          <w14:textOutline w14:w="5791" w14:cap="sq" w14:cmpd="sng" w14:algn="ctr">
            <w14:solidFill>
              <w14:srgbClr w14:val="000000"/>
            </w14:solidFill>
            <w14:prstDash w14:val="solid"/>
            <w14:bevel/>
          </w14:textOutline>
        </w:rPr>
        <w:t>YTLHZC（GK）2026-01</w:t>
      </w:r>
      <w:r>
        <w:rPr>
          <w:rFonts w:hint="eastAsia" w:eastAsia="方正小标宋_GBK" w:cs="Times New Roman"/>
          <w:bCs/>
          <w:color w:val="auto"/>
          <w:spacing w:val="0"/>
          <w:w w:val="100"/>
          <w:position w:val="0"/>
          <w:sz w:val="32"/>
          <w:szCs w:val="32"/>
          <w:highlight w:val="none"/>
          <w:lang w:val="en-US" w:eastAsia="zh-CN"/>
          <w14:textOutline w14:w="5791" w14:cap="sq" w14:cmpd="sng" w14:algn="ctr">
            <w14:solidFill>
              <w14:srgbClr w14:val="000000"/>
            </w14:solidFill>
            <w14:prstDash w14:val="solid"/>
            <w14:bevel/>
          </w14:textOutline>
        </w:rPr>
        <w:t>6</w:t>
      </w:r>
      <w:r>
        <w:rPr>
          <w:rFonts w:hint="eastAsia" w:ascii="Times New Roman" w:hAnsi="Times New Roman" w:eastAsia="方正小标宋_GBK" w:cs="Times New Roman"/>
          <w:bCs/>
          <w:color w:val="auto"/>
          <w:spacing w:val="0"/>
          <w:w w:val="100"/>
          <w:position w:val="0"/>
          <w:sz w:val="32"/>
          <w:szCs w:val="32"/>
          <w:highlight w:val="none"/>
          <w:lang w:val="en-US" w:eastAsia="zh-CN"/>
          <w14:textOutline w14:w="5791" w14:cap="sq" w14:cmpd="sng" w14:algn="ctr">
            <w14:solidFill>
              <w14:srgbClr w14:val="000000"/>
            </w14:solidFill>
            <w14:prstDash w14:val="solid"/>
            <w14:bevel/>
          </w14:textOutline>
        </w:rPr>
        <w:t>号</w:t>
      </w:r>
    </w:p>
    <w:p w14:paraId="71C5F759">
      <w:pPr>
        <w:keepNext w:val="0"/>
        <w:keepLines w:val="0"/>
        <w:pageBreakBefore w:val="0"/>
        <w:widowControl/>
        <w:kinsoku/>
        <w:wordWrap/>
        <w:overflowPunct/>
        <w:topLinePunct w:val="0"/>
        <w:autoSpaceDE/>
        <w:autoSpaceDN/>
        <w:bidi w:val="0"/>
        <w:adjustRightInd/>
        <w:snapToGrid/>
        <w:spacing w:beforeLines="0" w:afterLines="0" w:line="800" w:lineRule="exact"/>
        <w:jc w:val="left"/>
        <w:textAlignment w:val="auto"/>
        <w:rPr>
          <w:rFonts w:hint="default" w:ascii="Times New Roman" w:hAnsi="Times New Roman" w:cs="Times New Roman" w:eastAsiaTheme="minorEastAsia"/>
          <w:b/>
          <w:bCs/>
          <w:sz w:val="44"/>
          <w:szCs w:val="44"/>
          <w:highlight w:val="none"/>
        </w:rPr>
      </w:pPr>
      <w:r>
        <w:rPr>
          <w:rFonts w:hint="default" w:ascii="Times New Roman" w:hAnsi="Times New Roman" w:cs="Times New Roman" w:eastAsiaTheme="minorEastAsia"/>
          <w:b/>
          <w:bCs/>
          <w:sz w:val="44"/>
          <w:szCs w:val="44"/>
          <w:highlight w:val="none"/>
        </w:rPr>
        <w:br w:type="page"/>
      </w:r>
    </w:p>
    <w:p w14:paraId="5D6B00CF">
      <w:pPr>
        <w:spacing w:line="360" w:lineRule="auto"/>
        <w:jc w:val="center"/>
        <w:rPr>
          <w:rFonts w:hint="default" w:ascii="Times New Roman" w:hAnsi="Times New Roman" w:cs="Times New Roman" w:eastAsiaTheme="minorEastAsia"/>
          <w:b/>
          <w:bCs/>
          <w:sz w:val="44"/>
          <w:szCs w:val="44"/>
          <w:highlight w:val="none"/>
        </w:rPr>
      </w:pPr>
    </w:p>
    <w:p w14:paraId="687B4CC8">
      <w:pPr>
        <w:spacing w:line="360" w:lineRule="auto"/>
        <w:jc w:val="center"/>
        <w:rPr>
          <w:rFonts w:hint="default" w:ascii="Times New Roman" w:hAnsi="Times New Roman" w:cs="Times New Roman" w:eastAsiaTheme="minorEastAsia"/>
          <w:b/>
          <w:bCs/>
          <w:sz w:val="44"/>
          <w:szCs w:val="44"/>
          <w:highlight w:val="none"/>
        </w:rPr>
      </w:pPr>
    </w:p>
    <w:p w14:paraId="5497CEA3">
      <w:pPr>
        <w:spacing w:line="360" w:lineRule="auto"/>
        <w:jc w:val="center"/>
        <w:rPr>
          <w:rFonts w:hint="default" w:ascii="Times New Roman" w:hAnsi="Times New Roman" w:cs="Times New Roman" w:eastAsiaTheme="minorEastAsia"/>
          <w:b/>
          <w:bCs/>
          <w:sz w:val="44"/>
          <w:szCs w:val="44"/>
          <w:highlight w:val="none"/>
        </w:rPr>
      </w:pPr>
      <w:r>
        <w:rPr>
          <w:rFonts w:hint="default" w:ascii="Times New Roman" w:hAnsi="Times New Roman" w:cs="Times New Roman" w:eastAsiaTheme="minorEastAsia"/>
          <w:b/>
          <w:bCs/>
          <w:sz w:val="44"/>
          <w:szCs w:val="44"/>
          <w:highlight w:val="none"/>
        </w:rPr>
        <w:t>目</w:t>
      </w:r>
      <w:r>
        <w:rPr>
          <w:rFonts w:hint="default" w:ascii="Times New Roman" w:hAnsi="Times New Roman" w:cs="Times New Roman" w:eastAsiaTheme="minorEastAsia"/>
          <w:b/>
          <w:bCs/>
          <w:sz w:val="44"/>
          <w:szCs w:val="44"/>
          <w:highlight w:val="none"/>
          <w:lang w:val="en-US" w:eastAsia="zh-CN"/>
        </w:rPr>
        <w:t xml:space="preserve">  </w:t>
      </w:r>
      <w:r>
        <w:rPr>
          <w:rFonts w:hint="default" w:ascii="Times New Roman" w:hAnsi="Times New Roman" w:cs="Times New Roman" w:eastAsiaTheme="minorEastAsia"/>
          <w:b/>
          <w:bCs/>
          <w:sz w:val="44"/>
          <w:szCs w:val="44"/>
          <w:highlight w:val="none"/>
        </w:rPr>
        <w:t>录</w:t>
      </w:r>
    </w:p>
    <w:p w14:paraId="5EC3AA02">
      <w:pPr>
        <w:spacing w:line="360" w:lineRule="auto"/>
        <w:rPr>
          <w:rFonts w:hint="default" w:ascii="Times New Roman" w:hAnsi="Times New Roman" w:cs="Times New Roman"/>
          <w:sz w:val="32"/>
          <w:szCs w:val="32"/>
          <w:highlight w:val="none"/>
        </w:rPr>
      </w:pPr>
    </w:p>
    <w:p w14:paraId="66D7F64A">
      <w:pPr>
        <w:spacing w:line="360" w:lineRule="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第一章 投标邀请…………………………………………………</w:t>
      </w:r>
    </w:p>
    <w:p w14:paraId="0839AE48">
      <w:pPr>
        <w:spacing w:line="360" w:lineRule="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 xml:space="preserve">第二章 </w:t>
      </w:r>
      <w:r>
        <w:rPr>
          <w:rFonts w:hint="eastAsia" w:ascii="Times New Roman" w:hAnsi="Times New Roman" w:cs="Times New Roman"/>
          <w:sz w:val="32"/>
          <w:szCs w:val="32"/>
          <w:highlight w:val="none"/>
          <w:lang w:eastAsia="zh-CN"/>
        </w:rPr>
        <w:t>投标人</w:t>
      </w:r>
      <w:r>
        <w:rPr>
          <w:rFonts w:hint="default" w:ascii="Times New Roman" w:hAnsi="Times New Roman" w:cs="Times New Roman"/>
          <w:sz w:val="32"/>
          <w:szCs w:val="32"/>
          <w:highlight w:val="none"/>
        </w:rPr>
        <w:t>须知………………………………………………</w:t>
      </w:r>
    </w:p>
    <w:p w14:paraId="7513B0C6">
      <w:pPr>
        <w:spacing w:line="360" w:lineRule="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第</w:t>
      </w:r>
      <w:r>
        <w:rPr>
          <w:rFonts w:hint="default" w:ascii="Times New Roman" w:hAnsi="Times New Roman" w:cs="Times New Roman"/>
          <w:sz w:val="32"/>
          <w:szCs w:val="32"/>
          <w:highlight w:val="none"/>
          <w:lang w:eastAsia="zh-CN"/>
        </w:rPr>
        <w:t>三</w:t>
      </w:r>
      <w:r>
        <w:rPr>
          <w:rFonts w:hint="default" w:ascii="Times New Roman" w:hAnsi="Times New Roman" w:cs="Times New Roman"/>
          <w:sz w:val="32"/>
          <w:szCs w:val="32"/>
          <w:highlight w:val="none"/>
        </w:rPr>
        <w:t>章 采购需求…………………………………………………</w:t>
      </w:r>
    </w:p>
    <w:p w14:paraId="014782B9">
      <w:pPr>
        <w:spacing w:line="360" w:lineRule="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第</w:t>
      </w:r>
      <w:r>
        <w:rPr>
          <w:rFonts w:hint="default" w:ascii="Times New Roman" w:hAnsi="Times New Roman" w:cs="Times New Roman"/>
          <w:sz w:val="32"/>
          <w:szCs w:val="32"/>
          <w:highlight w:val="none"/>
          <w:lang w:eastAsia="zh-CN"/>
        </w:rPr>
        <w:t>四</w:t>
      </w:r>
      <w:r>
        <w:rPr>
          <w:rFonts w:hint="default" w:ascii="Times New Roman" w:hAnsi="Times New Roman" w:cs="Times New Roman"/>
          <w:sz w:val="32"/>
          <w:szCs w:val="32"/>
          <w:highlight w:val="none"/>
        </w:rPr>
        <w:t>章 资格审查…………………………………………………</w:t>
      </w:r>
    </w:p>
    <w:p w14:paraId="6FE17867">
      <w:pPr>
        <w:spacing w:line="360" w:lineRule="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第</w:t>
      </w:r>
      <w:r>
        <w:rPr>
          <w:rFonts w:hint="default" w:ascii="Times New Roman" w:hAnsi="Times New Roman" w:cs="Times New Roman"/>
          <w:sz w:val="32"/>
          <w:szCs w:val="32"/>
          <w:highlight w:val="none"/>
          <w:lang w:eastAsia="zh-CN"/>
        </w:rPr>
        <w:t>五</w:t>
      </w:r>
      <w:r>
        <w:rPr>
          <w:rFonts w:hint="default" w:ascii="Times New Roman" w:hAnsi="Times New Roman" w:cs="Times New Roman"/>
          <w:sz w:val="32"/>
          <w:szCs w:val="32"/>
          <w:highlight w:val="none"/>
        </w:rPr>
        <w:t>章 评标</w:t>
      </w:r>
      <w:r>
        <w:rPr>
          <w:rFonts w:hint="default" w:ascii="Times New Roman" w:hAnsi="Times New Roman" w:cs="Times New Roman"/>
          <w:sz w:val="32"/>
          <w:szCs w:val="32"/>
          <w:highlight w:val="none"/>
          <w:lang w:eastAsia="zh-CN"/>
        </w:rPr>
        <w:t>程序</w:t>
      </w:r>
      <w:r>
        <w:rPr>
          <w:rFonts w:hint="default" w:ascii="Times New Roman" w:hAnsi="Times New Roman" w:cs="Times New Roman"/>
          <w:sz w:val="32"/>
          <w:szCs w:val="32"/>
          <w:highlight w:val="none"/>
        </w:rPr>
        <w:t>…………………………………………………</w:t>
      </w:r>
    </w:p>
    <w:p w14:paraId="5295B637">
      <w:pPr>
        <w:spacing w:line="360" w:lineRule="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第</w:t>
      </w:r>
      <w:r>
        <w:rPr>
          <w:rFonts w:hint="default" w:ascii="Times New Roman" w:hAnsi="Times New Roman" w:cs="Times New Roman"/>
          <w:sz w:val="32"/>
          <w:szCs w:val="32"/>
          <w:highlight w:val="none"/>
          <w:lang w:eastAsia="zh-CN"/>
        </w:rPr>
        <w:t>六</w:t>
      </w:r>
      <w:r>
        <w:rPr>
          <w:rFonts w:hint="default" w:ascii="Times New Roman" w:hAnsi="Times New Roman" w:cs="Times New Roman"/>
          <w:sz w:val="32"/>
          <w:szCs w:val="32"/>
          <w:highlight w:val="none"/>
        </w:rPr>
        <w:t xml:space="preserve">章 </w:t>
      </w:r>
      <w:r>
        <w:rPr>
          <w:rFonts w:hint="default" w:ascii="Times New Roman" w:hAnsi="Times New Roman" w:cs="Times New Roman"/>
          <w:sz w:val="32"/>
          <w:szCs w:val="32"/>
          <w:highlight w:val="none"/>
          <w:lang w:eastAsia="zh-CN"/>
        </w:rPr>
        <w:t>拟签订的合同文本</w:t>
      </w:r>
      <w:r>
        <w:rPr>
          <w:rFonts w:hint="default" w:ascii="Times New Roman" w:hAnsi="Times New Roman" w:cs="Times New Roman"/>
          <w:sz w:val="32"/>
          <w:szCs w:val="32"/>
          <w:highlight w:val="none"/>
        </w:rPr>
        <w:t>………………………………………</w:t>
      </w:r>
    </w:p>
    <w:p w14:paraId="49705FE5">
      <w:pPr>
        <w:spacing w:line="360" w:lineRule="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第</w:t>
      </w:r>
      <w:r>
        <w:rPr>
          <w:rFonts w:hint="default" w:ascii="Times New Roman" w:hAnsi="Times New Roman" w:cs="Times New Roman"/>
          <w:sz w:val="32"/>
          <w:szCs w:val="32"/>
          <w:highlight w:val="none"/>
          <w:lang w:eastAsia="zh-CN"/>
        </w:rPr>
        <w:t>七</w:t>
      </w:r>
      <w:r>
        <w:rPr>
          <w:rFonts w:hint="default" w:ascii="Times New Roman" w:hAnsi="Times New Roman" w:cs="Times New Roman"/>
          <w:sz w:val="32"/>
          <w:szCs w:val="32"/>
          <w:highlight w:val="none"/>
        </w:rPr>
        <w:t>章 投标文件格式……………………………………………</w:t>
      </w:r>
    </w:p>
    <w:p w14:paraId="54F61DDD">
      <w:pPr>
        <w:widowControl/>
        <w:spacing w:line="360" w:lineRule="auto"/>
        <w:jc w:val="left"/>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br w:type="page"/>
      </w:r>
    </w:p>
    <w:p w14:paraId="2960144D">
      <w:pPr>
        <w:pStyle w:val="4"/>
        <w:spacing w:before="0" w:beforeLines="0" w:after="0" w:afterLines="0" w:line="360" w:lineRule="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第一章  投标邀请</w:t>
      </w:r>
    </w:p>
    <w:p w14:paraId="12DA4B0B">
      <w:pPr>
        <w:spacing w:beforeLines="0" w:afterLines="0" w:line="360" w:lineRule="auto"/>
        <w:rPr>
          <w:rFonts w:hint="default" w:ascii="Times New Roman" w:hAnsi="Times New Roman" w:eastAsia="黑体" w:cs="Times New Roman"/>
          <w:sz w:val="28"/>
          <w:szCs w:val="28"/>
          <w:highlight w:val="none"/>
        </w:rPr>
      </w:pPr>
    </w:p>
    <w:p w14:paraId="7C706EC7">
      <w:pPr>
        <w:spacing w:beforeLines="0" w:afterLines="0" w:line="360" w:lineRule="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一、项目基本情况</w:t>
      </w:r>
    </w:p>
    <w:p w14:paraId="3CFBFEA6">
      <w:pPr>
        <w:adjustRightInd w:val="0"/>
        <w:snapToGrid w:val="0"/>
        <w:spacing w:beforeLines="0" w:afterLines="0" w:line="360" w:lineRule="auto"/>
        <w:ind w:firstLine="560" w:firstLineChars="200"/>
        <w:rPr>
          <w:rStyle w:val="27"/>
          <w:rFonts w:hint="eastAsia" w:cs="Times New Roman"/>
          <w:b w:val="0"/>
          <w:sz w:val="28"/>
          <w:szCs w:val="28"/>
          <w:highlight w:val="none"/>
          <w:lang w:val="en-US" w:eastAsia="zh-CN"/>
        </w:rPr>
      </w:pPr>
      <w:r>
        <w:rPr>
          <w:rStyle w:val="27"/>
          <w:rFonts w:hint="default" w:cs="Times New Roman"/>
          <w:b w:val="0"/>
          <w:sz w:val="28"/>
          <w:szCs w:val="28"/>
          <w:highlight w:val="none"/>
          <w:lang w:val="en-US" w:eastAsia="zh-CN"/>
        </w:rPr>
        <w:t>1.政府采购计划编号：</w:t>
      </w:r>
      <w:r>
        <w:rPr>
          <w:rStyle w:val="27"/>
          <w:rFonts w:hint="eastAsia" w:cs="Times New Roman"/>
          <w:b w:val="0"/>
          <w:sz w:val="28"/>
          <w:szCs w:val="28"/>
          <w:highlight w:val="none"/>
          <w:lang w:val="en-US" w:eastAsia="zh-CN"/>
        </w:rPr>
        <w:fldChar w:fldCharType="begin"/>
      </w:r>
      <w:r>
        <w:rPr>
          <w:rStyle w:val="27"/>
          <w:rFonts w:hint="eastAsia" w:cs="Times New Roman"/>
          <w:b w:val="0"/>
          <w:sz w:val="28"/>
          <w:szCs w:val="28"/>
          <w:highlight w:val="none"/>
          <w:lang w:val="en-US" w:eastAsia="zh-CN"/>
        </w:rPr>
        <w:instrText xml:space="preserve"> HYPERLINK "https://pay.zcygov.cn/purchaseplan_front/" \l "/plan/list/view?id=1000000000017924363&amp;_app_=zcy.procurement" \t "https://www.zcygov.cn/delegation-order/_procurement_/order/_blank" </w:instrText>
      </w:r>
      <w:r>
        <w:rPr>
          <w:rStyle w:val="27"/>
          <w:rFonts w:hint="eastAsia" w:cs="Times New Roman"/>
          <w:b w:val="0"/>
          <w:sz w:val="28"/>
          <w:szCs w:val="28"/>
          <w:highlight w:val="none"/>
          <w:lang w:val="en-US" w:eastAsia="zh-CN"/>
        </w:rPr>
        <w:fldChar w:fldCharType="separate"/>
      </w:r>
      <w:r>
        <w:rPr>
          <w:rStyle w:val="27"/>
          <w:rFonts w:hint="eastAsia" w:cs="Times New Roman"/>
          <w:b w:val="0"/>
          <w:sz w:val="28"/>
          <w:szCs w:val="28"/>
          <w:highlight w:val="none"/>
          <w:lang w:val="en-US" w:eastAsia="zh-CN"/>
        </w:rPr>
        <w:t>[2026]647号-001</w:t>
      </w:r>
      <w:r>
        <w:rPr>
          <w:rStyle w:val="27"/>
          <w:rFonts w:hint="eastAsia" w:cs="Times New Roman"/>
          <w:b w:val="0"/>
          <w:sz w:val="28"/>
          <w:szCs w:val="28"/>
          <w:highlight w:val="none"/>
          <w:lang w:val="en-US" w:eastAsia="zh-CN"/>
        </w:rPr>
        <w:fldChar w:fldCharType="end"/>
      </w:r>
      <w:r>
        <w:rPr>
          <w:rStyle w:val="27"/>
          <w:rFonts w:hint="eastAsia" w:cs="Times New Roman"/>
          <w:b w:val="0"/>
          <w:sz w:val="28"/>
          <w:szCs w:val="28"/>
          <w:highlight w:val="none"/>
          <w:lang w:val="en-US" w:eastAsia="zh-CN"/>
        </w:rPr>
        <w:t>、</w:t>
      </w:r>
      <w:r>
        <w:rPr>
          <w:rStyle w:val="27"/>
          <w:rFonts w:hint="eastAsia" w:cs="Times New Roman"/>
          <w:b w:val="0"/>
          <w:sz w:val="28"/>
          <w:szCs w:val="28"/>
          <w:highlight w:val="none"/>
          <w:lang w:val="en-US" w:eastAsia="zh-CN"/>
        </w:rPr>
        <w:fldChar w:fldCharType="begin"/>
      </w:r>
      <w:r>
        <w:rPr>
          <w:rStyle w:val="27"/>
          <w:rFonts w:hint="eastAsia" w:cs="Times New Roman"/>
          <w:b w:val="0"/>
          <w:sz w:val="28"/>
          <w:szCs w:val="28"/>
          <w:highlight w:val="none"/>
          <w:lang w:val="en-US" w:eastAsia="zh-CN"/>
        </w:rPr>
        <w:instrText xml:space="preserve"> HYPERLINK "https://pay.zcygov.cn/purchaseplan_front/" \l "/plan/list/view?id=1000000000017924363&amp;_app_=zcy.procurement" \t "https://www.zcygov.cn/delegation-order/_procurement_/order/_blank" </w:instrText>
      </w:r>
      <w:r>
        <w:rPr>
          <w:rStyle w:val="27"/>
          <w:rFonts w:hint="eastAsia" w:cs="Times New Roman"/>
          <w:b w:val="0"/>
          <w:sz w:val="28"/>
          <w:szCs w:val="28"/>
          <w:highlight w:val="none"/>
          <w:lang w:val="en-US" w:eastAsia="zh-CN"/>
        </w:rPr>
        <w:fldChar w:fldCharType="separate"/>
      </w:r>
      <w:r>
        <w:rPr>
          <w:rStyle w:val="27"/>
          <w:rFonts w:hint="eastAsia" w:cs="Times New Roman"/>
          <w:b w:val="0"/>
          <w:sz w:val="28"/>
          <w:szCs w:val="28"/>
          <w:highlight w:val="none"/>
          <w:lang w:val="en-US" w:eastAsia="zh-CN"/>
        </w:rPr>
        <w:t>[2026]647号-002</w:t>
      </w:r>
      <w:r>
        <w:rPr>
          <w:rStyle w:val="27"/>
          <w:rFonts w:hint="eastAsia" w:cs="Times New Roman"/>
          <w:b w:val="0"/>
          <w:sz w:val="28"/>
          <w:szCs w:val="28"/>
          <w:highlight w:val="none"/>
          <w:lang w:val="en-US" w:eastAsia="zh-CN"/>
        </w:rPr>
        <w:fldChar w:fldCharType="end"/>
      </w:r>
      <w:r>
        <w:rPr>
          <w:rStyle w:val="27"/>
          <w:rFonts w:hint="eastAsia" w:cs="Times New Roman"/>
          <w:b w:val="0"/>
          <w:sz w:val="28"/>
          <w:szCs w:val="28"/>
          <w:highlight w:val="none"/>
          <w:lang w:val="en-US" w:eastAsia="zh-CN"/>
        </w:rPr>
        <w:t>、</w:t>
      </w:r>
      <w:r>
        <w:rPr>
          <w:rStyle w:val="27"/>
          <w:rFonts w:hint="eastAsia" w:cs="Times New Roman"/>
          <w:b w:val="0"/>
          <w:sz w:val="28"/>
          <w:szCs w:val="28"/>
          <w:highlight w:val="none"/>
          <w:lang w:val="en-US" w:eastAsia="zh-CN"/>
        </w:rPr>
        <w:fldChar w:fldCharType="begin"/>
      </w:r>
      <w:r>
        <w:rPr>
          <w:rStyle w:val="27"/>
          <w:rFonts w:hint="eastAsia" w:cs="Times New Roman"/>
          <w:b w:val="0"/>
          <w:sz w:val="28"/>
          <w:szCs w:val="28"/>
          <w:highlight w:val="none"/>
          <w:lang w:val="en-US" w:eastAsia="zh-CN"/>
        </w:rPr>
        <w:instrText xml:space="preserve"> HYPERLINK "https://pay.zcygov.cn/purchaseplan_front/" \l "/plan/list/view?id=1000000000017924363&amp;_app_=zcy.procurement" \t "https://www.zcygov.cn/delegation-order/_procurement_/order/_blank" </w:instrText>
      </w:r>
      <w:r>
        <w:rPr>
          <w:rStyle w:val="27"/>
          <w:rFonts w:hint="eastAsia" w:cs="Times New Roman"/>
          <w:b w:val="0"/>
          <w:sz w:val="28"/>
          <w:szCs w:val="28"/>
          <w:highlight w:val="none"/>
          <w:lang w:val="en-US" w:eastAsia="zh-CN"/>
        </w:rPr>
        <w:fldChar w:fldCharType="separate"/>
      </w:r>
      <w:r>
        <w:rPr>
          <w:rStyle w:val="27"/>
          <w:rFonts w:hint="eastAsia" w:cs="Times New Roman"/>
          <w:b w:val="0"/>
          <w:sz w:val="28"/>
          <w:szCs w:val="28"/>
          <w:highlight w:val="none"/>
          <w:lang w:val="en-US" w:eastAsia="zh-CN"/>
        </w:rPr>
        <w:t>[2026]647号-003</w:t>
      </w:r>
      <w:r>
        <w:rPr>
          <w:rStyle w:val="27"/>
          <w:rFonts w:hint="eastAsia" w:cs="Times New Roman"/>
          <w:b w:val="0"/>
          <w:sz w:val="28"/>
          <w:szCs w:val="28"/>
          <w:highlight w:val="none"/>
          <w:lang w:val="en-US" w:eastAsia="zh-CN"/>
        </w:rPr>
        <w:fldChar w:fldCharType="end"/>
      </w:r>
    </w:p>
    <w:p w14:paraId="3BD8016D">
      <w:pPr>
        <w:adjustRightInd w:val="0"/>
        <w:snapToGrid w:val="0"/>
        <w:spacing w:beforeLines="0" w:afterLines="0" w:line="360" w:lineRule="auto"/>
        <w:ind w:firstLine="560" w:firstLineChars="200"/>
        <w:rPr>
          <w:rStyle w:val="27"/>
          <w:rFonts w:hint="eastAsia" w:ascii="Times New Roman" w:hAnsi="Times New Roman" w:cs="Times New Roman"/>
          <w:b w:val="0"/>
          <w:sz w:val="28"/>
          <w:szCs w:val="28"/>
          <w:highlight w:val="none"/>
          <w:lang w:val="en-US" w:eastAsia="zh-CN"/>
        </w:rPr>
      </w:pPr>
      <w:r>
        <w:rPr>
          <w:rStyle w:val="27"/>
          <w:rFonts w:hint="default" w:cs="Times New Roman"/>
          <w:b w:val="0"/>
          <w:sz w:val="28"/>
          <w:szCs w:val="28"/>
          <w:highlight w:val="none"/>
          <w:lang w:val="en-US" w:eastAsia="zh-CN"/>
        </w:rPr>
        <w:t>2.项目名称</w:t>
      </w:r>
      <w:r>
        <w:rPr>
          <w:rStyle w:val="27"/>
          <w:rFonts w:hint="default" w:ascii="Times New Roman" w:hAnsi="Times New Roman" w:cs="Times New Roman"/>
          <w:b w:val="0"/>
          <w:sz w:val="28"/>
          <w:szCs w:val="28"/>
          <w:highlight w:val="none"/>
        </w:rPr>
        <w:t>：</w:t>
      </w:r>
      <w:r>
        <w:rPr>
          <w:rStyle w:val="27"/>
          <w:rFonts w:hint="eastAsia" w:ascii="Times New Roman" w:hAnsi="Times New Roman" w:cs="Times New Roman"/>
          <w:b w:val="0"/>
          <w:sz w:val="28"/>
          <w:szCs w:val="28"/>
          <w:highlight w:val="none"/>
          <w:lang w:val="en-US" w:eastAsia="zh-CN"/>
        </w:rPr>
        <w:t>新疆巴音郭楞蒙古自治州特教学校孤独症设备采购项目</w:t>
      </w:r>
    </w:p>
    <w:p w14:paraId="038FDA38">
      <w:pPr>
        <w:adjustRightInd w:val="0"/>
        <w:snapToGrid w:val="0"/>
        <w:spacing w:beforeLines="0" w:afterLines="0" w:line="360" w:lineRule="auto"/>
        <w:ind w:firstLine="560" w:firstLineChars="200"/>
        <w:rPr>
          <w:rStyle w:val="27"/>
          <w:rFonts w:hint="default" w:ascii="Times New Roman" w:hAnsi="Times New Roman" w:cs="Times New Roman"/>
          <w:b w:val="0"/>
          <w:sz w:val="28"/>
          <w:szCs w:val="28"/>
          <w:highlight w:val="none"/>
        </w:rPr>
      </w:pPr>
      <w:r>
        <w:rPr>
          <w:rStyle w:val="27"/>
          <w:rFonts w:hint="default" w:ascii="Times New Roman" w:hAnsi="Times New Roman" w:cs="Times New Roman"/>
          <w:b w:val="0"/>
          <w:sz w:val="28"/>
          <w:szCs w:val="28"/>
          <w:highlight w:val="none"/>
          <w:lang w:eastAsia="zh-CN"/>
        </w:rPr>
        <w:t>3</w:t>
      </w:r>
      <w:r>
        <w:rPr>
          <w:rStyle w:val="27"/>
          <w:rFonts w:hint="default" w:ascii="Times New Roman" w:hAnsi="Times New Roman" w:cs="Times New Roman"/>
          <w:b w:val="0"/>
          <w:sz w:val="28"/>
          <w:szCs w:val="28"/>
          <w:highlight w:val="none"/>
        </w:rPr>
        <w:t>.采购方式：公开招标</w:t>
      </w:r>
    </w:p>
    <w:p w14:paraId="31BC8478">
      <w:pPr>
        <w:adjustRightInd w:val="0"/>
        <w:snapToGrid w:val="0"/>
        <w:spacing w:beforeLines="0" w:afterLines="0" w:line="360" w:lineRule="auto"/>
        <w:ind w:firstLine="560" w:firstLineChars="200"/>
        <w:rPr>
          <w:rFonts w:hint="default" w:ascii="Times New Roman" w:hAnsi="Times New Roman" w:cs="Times New Roman"/>
          <w:sz w:val="28"/>
          <w:szCs w:val="28"/>
          <w:highlight w:val="none"/>
        </w:rPr>
      </w:pPr>
      <w:r>
        <w:rPr>
          <w:rStyle w:val="27"/>
          <w:rFonts w:hint="default" w:ascii="Times New Roman" w:hAnsi="Times New Roman" w:cs="Times New Roman"/>
          <w:b w:val="0"/>
          <w:sz w:val="28"/>
          <w:szCs w:val="28"/>
          <w:highlight w:val="none"/>
          <w:lang w:val="en-US" w:eastAsia="zh-CN"/>
        </w:rPr>
        <w:t>4</w:t>
      </w:r>
      <w:r>
        <w:rPr>
          <w:rStyle w:val="27"/>
          <w:rFonts w:hint="default" w:ascii="Times New Roman" w:hAnsi="Times New Roman" w:cs="Times New Roman"/>
          <w:b w:val="0"/>
          <w:sz w:val="28"/>
          <w:szCs w:val="28"/>
          <w:highlight w:val="none"/>
        </w:rPr>
        <w:t>.预算金额：</w:t>
      </w:r>
      <w:r>
        <w:rPr>
          <w:rStyle w:val="27"/>
          <w:rFonts w:hint="eastAsia" w:cs="Times New Roman"/>
          <w:b w:val="0"/>
          <w:sz w:val="28"/>
          <w:szCs w:val="28"/>
          <w:highlight w:val="none"/>
          <w:u w:val="none"/>
          <w:lang w:val="en-US" w:eastAsia="zh-CN"/>
        </w:rPr>
        <w:t>297500</w:t>
      </w:r>
      <w:r>
        <w:rPr>
          <w:rStyle w:val="27"/>
          <w:rFonts w:hint="default" w:cs="Times New Roman"/>
          <w:b w:val="0"/>
          <w:sz w:val="28"/>
          <w:szCs w:val="28"/>
          <w:highlight w:val="none"/>
          <w:u w:val="none"/>
          <w:lang w:val="en-US" w:eastAsia="zh-CN"/>
        </w:rPr>
        <w:t>元</w:t>
      </w:r>
      <w:r>
        <w:rPr>
          <w:rStyle w:val="27"/>
          <w:rFonts w:hint="default" w:cs="Times New Roman"/>
          <w:b w:val="0"/>
          <w:sz w:val="28"/>
          <w:szCs w:val="28"/>
          <w:highlight w:val="none"/>
          <w:lang w:val="en-US" w:eastAsia="zh-CN"/>
        </w:rPr>
        <w:t>人民币</w:t>
      </w:r>
    </w:p>
    <w:p w14:paraId="282EC9E0">
      <w:pPr>
        <w:adjustRightInd w:val="0"/>
        <w:snapToGrid w:val="0"/>
        <w:spacing w:beforeLines="0" w:afterLines="0" w:line="360" w:lineRule="auto"/>
        <w:ind w:firstLine="560" w:firstLineChars="200"/>
        <w:rPr>
          <w:rStyle w:val="27"/>
          <w:rFonts w:hint="default" w:ascii="Times New Roman" w:hAnsi="Times New Roman" w:cs="Times New Roman"/>
          <w:b w:val="0"/>
          <w:sz w:val="28"/>
          <w:szCs w:val="28"/>
          <w:highlight w:val="none"/>
        </w:rPr>
      </w:pPr>
      <w:r>
        <w:rPr>
          <w:rStyle w:val="27"/>
          <w:rFonts w:hint="default" w:ascii="Times New Roman" w:hAnsi="Times New Roman" w:cs="Times New Roman"/>
          <w:b w:val="0"/>
          <w:sz w:val="28"/>
          <w:szCs w:val="28"/>
          <w:highlight w:val="none"/>
          <w:lang w:val="en-US" w:eastAsia="zh-CN"/>
        </w:rPr>
        <w:t>5</w:t>
      </w:r>
      <w:r>
        <w:rPr>
          <w:rStyle w:val="27"/>
          <w:rFonts w:hint="default" w:ascii="Times New Roman" w:hAnsi="Times New Roman" w:cs="Times New Roman"/>
          <w:b w:val="0"/>
          <w:sz w:val="28"/>
          <w:szCs w:val="28"/>
          <w:highlight w:val="none"/>
        </w:rPr>
        <w:t>.最高限价：</w:t>
      </w:r>
      <w:r>
        <w:rPr>
          <w:rStyle w:val="27"/>
          <w:rFonts w:hint="eastAsia" w:cs="Times New Roman"/>
          <w:b w:val="0"/>
          <w:sz w:val="28"/>
          <w:szCs w:val="28"/>
          <w:highlight w:val="none"/>
          <w:lang w:val="en-US" w:eastAsia="zh-CN"/>
        </w:rPr>
        <w:t>297500</w:t>
      </w:r>
      <w:r>
        <w:rPr>
          <w:rStyle w:val="27"/>
          <w:rFonts w:hint="default" w:cs="Times New Roman"/>
          <w:b w:val="0"/>
          <w:sz w:val="28"/>
          <w:szCs w:val="28"/>
          <w:highlight w:val="none"/>
          <w:lang w:val="en-US" w:eastAsia="zh-CN"/>
        </w:rPr>
        <w:t>元人民币</w:t>
      </w:r>
    </w:p>
    <w:p w14:paraId="30EC126A">
      <w:pPr>
        <w:adjustRightInd w:val="0"/>
        <w:snapToGrid w:val="0"/>
        <w:spacing w:beforeLines="0" w:afterLines="0" w:line="360" w:lineRule="auto"/>
        <w:ind w:firstLine="560" w:firstLineChars="200"/>
        <w:rPr>
          <w:rStyle w:val="27"/>
          <w:rFonts w:hint="default" w:ascii="Times New Roman" w:hAnsi="Times New Roman" w:cs="Times New Roman"/>
          <w:b w:val="0"/>
          <w:sz w:val="28"/>
          <w:szCs w:val="28"/>
          <w:highlight w:val="none"/>
        </w:rPr>
      </w:pPr>
      <w:r>
        <w:rPr>
          <w:rStyle w:val="27"/>
          <w:rFonts w:hint="default" w:ascii="Times New Roman" w:hAnsi="Times New Roman" w:cs="Times New Roman"/>
          <w:b w:val="0"/>
          <w:sz w:val="28"/>
          <w:szCs w:val="28"/>
          <w:highlight w:val="none"/>
          <w:lang w:val="en-US" w:eastAsia="zh-CN"/>
        </w:rPr>
        <w:t>6</w:t>
      </w:r>
      <w:r>
        <w:rPr>
          <w:rStyle w:val="27"/>
          <w:rFonts w:hint="default" w:ascii="Times New Roman" w:hAnsi="Times New Roman" w:cs="Times New Roman"/>
          <w:b w:val="0"/>
          <w:sz w:val="28"/>
          <w:szCs w:val="28"/>
          <w:highlight w:val="none"/>
        </w:rPr>
        <w:t>.采购需求</w:t>
      </w:r>
      <w:r>
        <w:rPr>
          <w:rStyle w:val="27"/>
          <w:rFonts w:hint="eastAsia" w:ascii="Times New Roman" w:hAnsi="Times New Roman" w:cs="Times New Roman"/>
          <w:b w:val="0"/>
          <w:sz w:val="28"/>
          <w:szCs w:val="28"/>
          <w:highlight w:val="none"/>
          <w:lang w:val="en-US" w:eastAsia="zh-CN"/>
        </w:rPr>
        <w:t>:</w:t>
      </w:r>
      <w:r>
        <w:rPr>
          <w:rStyle w:val="27"/>
          <w:rFonts w:hint="eastAsia" w:cs="Times New Roman"/>
          <w:b w:val="0"/>
          <w:sz w:val="28"/>
          <w:szCs w:val="28"/>
          <w:highlight w:val="none"/>
          <w:lang w:val="en-US" w:eastAsia="zh-CN"/>
        </w:rPr>
        <w:t xml:space="preserve"> </w:t>
      </w:r>
      <w:r>
        <w:rPr>
          <w:rStyle w:val="27"/>
          <w:rFonts w:hint="default" w:ascii="Times New Roman" w:hAnsi="Times New Roman" w:eastAsia="宋体" w:cs="Times New Roman"/>
          <w:b w:val="0"/>
          <w:sz w:val="28"/>
          <w:szCs w:val="28"/>
          <w:highlight w:val="none"/>
          <w:lang w:eastAsia="zh-CN"/>
        </w:rPr>
        <w:t>孤独症设备采购，具体见第三章《</w:t>
      </w:r>
      <w:r>
        <w:rPr>
          <w:rStyle w:val="27"/>
          <w:rFonts w:hint="default" w:ascii="Times New Roman" w:hAnsi="Times New Roman" w:cs="Times New Roman"/>
          <w:b w:val="0"/>
          <w:sz w:val="28"/>
          <w:szCs w:val="28"/>
          <w:highlight w:val="none"/>
          <w:lang w:eastAsia="zh-CN"/>
        </w:rPr>
        <w:t>采购需求》</w:t>
      </w:r>
      <w:r>
        <w:rPr>
          <w:rStyle w:val="27"/>
          <w:rFonts w:hint="default" w:ascii="Times New Roman" w:hAnsi="Times New Roman" w:cs="Times New Roman"/>
          <w:b w:val="0"/>
          <w:sz w:val="28"/>
          <w:szCs w:val="28"/>
          <w:highlight w:val="none"/>
        </w:rPr>
        <w:t>：</w:t>
      </w:r>
    </w:p>
    <w:p w14:paraId="0C8B0717">
      <w:pPr>
        <w:adjustRightInd w:val="0"/>
        <w:snapToGrid w:val="0"/>
        <w:spacing w:beforeLines="0" w:afterLines="0" w:line="360" w:lineRule="auto"/>
        <w:ind w:firstLine="560" w:firstLineChars="200"/>
        <w:rPr>
          <w:rStyle w:val="27"/>
          <w:rFonts w:hint="default" w:ascii="Times New Roman" w:hAnsi="Times New Roman" w:eastAsia="宋体" w:cs="Times New Roman"/>
          <w:b w:val="0"/>
          <w:sz w:val="28"/>
          <w:szCs w:val="28"/>
          <w:highlight w:val="none"/>
          <w:u w:val="single"/>
          <w:lang w:val="en-US" w:eastAsia="zh-CN"/>
        </w:rPr>
      </w:pPr>
      <w:r>
        <w:rPr>
          <w:rStyle w:val="27"/>
          <w:rFonts w:hint="default" w:ascii="Times New Roman" w:hAnsi="Times New Roman" w:cs="Times New Roman"/>
          <w:b w:val="0"/>
          <w:sz w:val="28"/>
          <w:szCs w:val="28"/>
          <w:highlight w:val="none"/>
          <w:lang w:eastAsia="zh-CN"/>
        </w:rPr>
        <w:t>7</w:t>
      </w:r>
      <w:r>
        <w:rPr>
          <w:rStyle w:val="27"/>
          <w:rFonts w:hint="default" w:ascii="Times New Roman" w:hAnsi="Times New Roman" w:cs="Times New Roman"/>
          <w:b w:val="0"/>
          <w:sz w:val="28"/>
          <w:szCs w:val="28"/>
          <w:highlight w:val="none"/>
        </w:rPr>
        <w:t>.</w:t>
      </w:r>
      <w:r>
        <w:rPr>
          <w:rStyle w:val="27"/>
          <w:rFonts w:hint="eastAsia" w:cs="Times New Roman"/>
          <w:b w:val="0"/>
          <w:sz w:val="28"/>
          <w:szCs w:val="28"/>
          <w:highlight w:val="none"/>
          <w:lang w:eastAsia="zh-CN"/>
        </w:rPr>
        <w:t>交货期限：</w:t>
      </w:r>
      <w:r>
        <w:rPr>
          <w:rStyle w:val="27"/>
          <w:rFonts w:hint="default" w:ascii="Times New Roman" w:hAnsi="Times New Roman" w:cs="Times New Roman"/>
          <w:b w:val="0"/>
          <w:sz w:val="28"/>
          <w:szCs w:val="28"/>
          <w:highlight w:val="none"/>
        </w:rPr>
        <w:t>合同签订之日起</w:t>
      </w:r>
      <w:r>
        <w:rPr>
          <w:rStyle w:val="27"/>
          <w:rFonts w:hint="eastAsia" w:cs="Times New Roman"/>
          <w:b w:val="0"/>
          <w:sz w:val="28"/>
          <w:szCs w:val="28"/>
          <w:highlight w:val="none"/>
          <w:lang w:val="en-US" w:eastAsia="zh-CN"/>
        </w:rPr>
        <w:t>25个工作日内</w:t>
      </w:r>
      <w:r>
        <w:rPr>
          <w:rStyle w:val="27"/>
          <w:rFonts w:hint="eastAsia" w:cs="Times New Roman"/>
          <w:b w:val="0"/>
          <w:sz w:val="28"/>
          <w:szCs w:val="28"/>
          <w:highlight w:val="none"/>
          <w:lang w:val="en-US" w:eastAsia="zh-CN"/>
        </w:rPr>
        <w:t>。</w:t>
      </w:r>
    </w:p>
    <w:p w14:paraId="11B4D3FA">
      <w:pPr>
        <w:adjustRightInd w:val="0"/>
        <w:snapToGrid w:val="0"/>
        <w:spacing w:beforeLines="0" w:afterLines="0" w:line="360" w:lineRule="auto"/>
        <w:ind w:firstLine="560" w:firstLineChars="200"/>
        <w:rPr>
          <w:rStyle w:val="27"/>
          <w:rFonts w:hint="default" w:ascii="Times New Roman" w:hAnsi="Times New Roman" w:cs="Times New Roman"/>
          <w:b w:val="0"/>
          <w:sz w:val="28"/>
          <w:szCs w:val="28"/>
          <w:highlight w:val="none"/>
        </w:rPr>
      </w:pPr>
      <w:r>
        <w:rPr>
          <w:rStyle w:val="27"/>
          <w:rFonts w:hint="default" w:ascii="Times New Roman" w:hAnsi="Times New Roman" w:cs="Times New Roman"/>
          <w:b w:val="0"/>
          <w:sz w:val="28"/>
          <w:szCs w:val="28"/>
          <w:highlight w:val="none"/>
          <w:lang w:val="en-US" w:eastAsia="zh-CN"/>
        </w:rPr>
        <w:t>8</w:t>
      </w:r>
      <w:r>
        <w:rPr>
          <w:rStyle w:val="27"/>
          <w:rFonts w:hint="default" w:ascii="Times New Roman" w:hAnsi="Times New Roman" w:cs="Times New Roman"/>
          <w:b w:val="0"/>
          <w:sz w:val="28"/>
          <w:szCs w:val="28"/>
          <w:highlight w:val="none"/>
        </w:rPr>
        <w:t>.本项目</w:t>
      </w:r>
      <w:r>
        <w:rPr>
          <w:rStyle w:val="27"/>
          <w:rFonts w:hint="default" w:ascii="Times New Roman" w:hAnsi="Times New Roman" w:cs="Times New Roman"/>
          <w:b w:val="0"/>
          <w:sz w:val="28"/>
          <w:szCs w:val="28"/>
          <w:highlight w:val="none"/>
          <w:lang w:eastAsia="zh-CN"/>
        </w:rPr>
        <w:t>是否</w:t>
      </w:r>
      <w:r>
        <w:rPr>
          <w:rStyle w:val="27"/>
          <w:rFonts w:hint="default" w:ascii="Times New Roman" w:hAnsi="Times New Roman" w:cs="Times New Roman"/>
          <w:b w:val="0"/>
          <w:sz w:val="28"/>
          <w:szCs w:val="28"/>
          <w:highlight w:val="none"/>
        </w:rPr>
        <w:t>接受联合体投标:</w:t>
      </w:r>
      <w:r>
        <w:rPr>
          <w:rStyle w:val="27"/>
          <w:rFonts w:hint="default" w:ascii="Times New Roman" w:hAnsi="Times New Roman" w:cs="Times New Roman"/>
          <w:b w:val="0"/>
          <w:sz w:val="28"/>
          <w:szCs w:val="28"/>
          <w:highlight w:val="none"/>
        </w:rPr>
        <w:sym w:font="Wingdings 2" w:char="00A3"/>
      </w:r>
      <w:r>
        <w:rPr>
          <w:rStyle w:val="27"/>
          <w:rFonts w:hint="default" w:ascii="Times New Roman" w:hAnsi="Times New Roman" w:cs="Times New Roman"/>
          <w:b w:val="0"/>
          <w:sz w:val="28"/>
          <w:szCs w:val="28"/>
          <w:highlight w:val="none"/>
          <w:lang w:eastAsia="zh-CN"/>
        </w:rPr>
        <w:t>是</w:t>
      </w:r>
      <w:r>
        <w:rPr>
          <w:rStyle w:val="27"/>
          <w:rFonts w:hint="default" w:ascii="Times New Roman" w:hAnsi="Times New Roman" w:cs="Times New Roman"/>
          <w:b w:val="0"/>
          <w:sz w:val="28"/>
          <w:szCs w:val="28"/>
          <w:highlight w:val="none"/>
          <w:lang w:val="en-US" w:eastAsia="zh-CN"/>
        </w:rPr>
        <w:t xml:space="preserve">  </w:t>
      </w:r>
      <w:r>
        <w:rPr>
          <w:rStyle w:val="27"/>
          <w:rFonts w:hint="default" w:ascii="Times New Roman" w:hAnsi="Times New Roman" w:cs="Times New Roman"/>
          <w:b w:val="0"/>
          <w:sz w:val="28"/>
          <w:szCs w:val="28"/>
          <w:highlight w:val="none"/>
        </w:rPr>
        <w:sym w:font="Wingdings 2" w:char="0052"/>
      </w:r>
      <w:r>
        <w:rPr>
          <w:rStyle w:val="27"/>
          <w:rFonts w:hint="default" w:ascii="Times New Roman" w:hAnsi="Times New Roman" w:cs="Times New Roman"/>
          <w:b w:val="0"/>
          <w:sz w:val="28"/>
          <w:szCs w:val="28"/>
          <w:highlight w:val="none"/>
          <w:lang w:eastAsia="zh-CN"/>
        </w:rPr>
        <w:t>否。</w:t>
      </w:r>
    </w:p>
    <w:p w14:paraId="265B5200">
      <w:pPr>
        <w:spacing w:beforeLines="0" w:afterLines="0" w:line="360" w:lineRule="auto"/>
        <w:rPr>
          <w:rFonts w:hint="default" w:ascii="Times New Roman" w:hAnsi="Times New Roman" w:cs="Times New Roman"/>
          <w:sz w:val="28"/>
          <w:szCs w:val="28"/>
          <w:highlight w:val="none"/>
        </w:rPr>
      </w:pPr>
      <w:r>
        <w:rPr>
          <w:rFonts w:hint="default" w:ascii="Times New Roman" w:hAnsi="Times New Roman" w:eastAsia="黑体" w:cs="Times New Roman"/>
          <w:sz w:val="28"/>
          <w:szCs w:val="28"/>
          <w:highlight w:val="none"/>
        </w:rPr>
        <w:t>二、</w:t>
      </w:r>
      <w:r>
        <w:rPr>
          <w:rFonts w:hint="default" w:ascii="Times New Roman" w:hAnsi="Times New Roman" w:eastAsia="黑体" w:cs="Times New Roman"/>
          <w:sz w:val="28"/>
          <w:szCs w:val="28"/>
          <w:highlight w:val="none"/>
          <w:lang w:eastAsia="zh-CN"/>
        </w:rPr>
        <w:t>申请人</w:t>
      </w:r>
      <w:r>
        <w:rPr>
          <w:rFonts w:hint="default" w:ascii="Times New Roman" w:hAnsi="Times New Roman" w:eastAsia="黑体" w:cs="Times New Roman"/>
          <w:sz w:val="28"/>
          <w:szCs w:val="28"/>
          <w:highlight w:val="none"/>
        </w:rPr>
        <w:t>的资格要求</w:t>
      </w:r>
    </w:p>
    <w:p w14:paraId="40F1BDA6">
      <w:pPr>
        <w:widowControl/>
        <w:spacing w:beforeLines="0" w:afterLines="0" w:line="360" w:lineRule="auto"/>
        <w:jc w:val="left"/>
        <w:rPr>
          <w:rFonts w:hint="default" w:ascii="Times New Roman" w:hAnsi="Times New Roman" w:cs="Times New Roman"/>
          <w:sz w:val="28"/>
          <w:szCs w:val="28"/>
          <w:highlight w:val="none"/>
        </w:rPr>
      </w:pPr>
      <w:r>
        <w:rPr>
          <w:rFonts w:hint="default" w:ascii="Times New Roman" w:hAnsi="Times New Roman" w:cs="Times New Roman"/>
          <w:kern w:val="0"/>
          <w:sz w:val="28"/>
          <w:szCs w:val="28"/>
          <w:highlight w:val="none"/>
          <w:lang w:val="en-US" w:eastAsia="zh-CN"/>
        </w:rPr>
        <w:t xml:space="preserve">    </w:t>
      </w:r>
      <w:r>
        <w:rPr>
          <w:rFonts w:hint="default" w:ascii="Times New Roman" w:hAnsi="Times New Roman" w:cs="Times New Roman"/>
          <w:kern w:val="0"/>
          <w:sz w:val="28"/>
          <w:szCs w:val="28"/>
          <w:highlight w:val="none"/>
        </w:rPr>
        <w:t>1.满足《中华人民共和国政府采购法》第二十一条、第二十二条规定</w:t>
      </w:r>
      <w:r>
        <w:rPr>
          <w:rFonts w:hint="default" w:ascii="Times New Roman" w:hAnsi="Times New Roman" w:cs="Times New Roman"/>
          <w:kern w:val="0"/>
          <w:sz w:val="28"/>
          <w:szCs w:val="28"/>
          <w:highlight w:val="none"/>
          <w:lang w:eastAsia="zh-CN"/>
        </w:rPr>
        <w:t>；</w:t>
      </w:r>
    </w:p>
    <w:p w14:paraId="388AD55E">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2.落实政府采购政策需满足的资格要求：</w:t>
      </w:r>
    </w:p>
    <w:p w14:paraId="40B57ACA">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2.1 中小企业政策</w:t>
      </w:r>
    </w:p>
    <w:p w14:paraId="7BB55ADD">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u w:val="single"/>
          <w:lang w:val="en-US" w:eastAsia="zh-CN"/>
        </w:rPr>
        <w:t>本项目专门面向</w:t>
      </w:r>
      <w:r>
        <w:rPr>
          <w:rStyle w:val="27"/>
          <w:rFonts w:hint="eastAsia" w:cs="Times New Roman"/>
          <w:b w:val="0"/>
          <w:sz w:val="28"/>
          <w:szCs w:val="28"/>
          <w:highlight w:val="none"/>
          <w:u w:val="single"/>
          <w:lang w:val="en-US" w:eastAsia="zh-CN"/>
        </w:rPr>
        <w:t>小微企业</w:t>
      </w:r>
      <w:r>
        <w:rPr>
          <w:rStyle w:val="27"/>
          <w:rFonts w:hint="eastAsia" w:ascii="Times New Roman" w:hAnsi="Times New Roman" w:cs="Times New Roman"/>
          <w:b w:val="0"/>
          <w:sz w:val="28"/>
          <w:szCs w:val="28"/>
          <w:highlight w:val="none"/>
          <w:lang w:val="en-US" w:eastAsia="zh-CN"/>
        </w:rPr>
        <w:t>。</w:t>
      </w:r>
    </w:p>
    <w:p w14:paraId="563D2DF3">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（1）本项目采购标的对应的中小企业划分标准所属行业：</w:t>
      </w:r>
      <w:r>
        <w:rPr>
          <w:rStyle w:val="27"/>
          <w:rFonts w:hint="default" w:ascii="Times New Roman" w:hAnsi="Times New Roman" w:cs="Times New Roman"/>
          <w:b w:val="0"/>
          <w:sz w:val="28"/>
          <w:szCs w:val="28"/>
          <w:highlight w:val="none"/>
          <w:u w:val="single"/>
          <w:lang w:val="en-US" w:eastAsia="zh-CN"/>
        </w:rPr>
        <w:t>工业。</w:t>
      </w:r>
      <w:r>
        <w:rPr>
          <w:rStyle w:val="27"/>
          <w:rFonts w:hint="default" w:ascii="Times New Roman" w:hAnsi="Times New Roman" w:cs="Times New Roman"/>
          <w:b w:val="0"/>
          <w:sz w:val="28"/>
          <w:szCs w:val="28"/>
          <w:highlight w:val="none"/>
          <w:lang w:val="en-US" w:eastAsia="zh-CN"/>
        </w:rPr>
        <w:t xml:space="preserve"> </w:t>
      </w:r>
    </w:p>
    <w:p w14:paraId="2403C807">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中小企业声明函（本项目采购标的对应的中小企业划分标准所属行业：</w:t>
      </w:r>
      <w:r>
        <w:rPr>
          <w:rStyle w:val="27"/>
          <w:rFonts w:hint="default" w:ascii="Times New Roman" w:hAnsi="Times New Roman" w:cs="Times New Roman"/>
          <w:b w:val="0"/>
          <w:sz w:val="28"/>
          <w:szCs w:val="28"/>
          <w:highlight w:val="none"/>
          <w:u w:val="single"/>
          <w:lang w:val="en-US" w:eastAsia="zh-CN"/>
        </w:rPr>
        <w:t>工业</w:t>
      </w:r>
      <w:r>
        <w:rPr>
          <w:rStyle w:val="27"/>
          <w:rFonts w:hint="default" w:ascii="Times New Roman" w:hAnsi="Times New Roman" w:cs="Times New Roman"/>
          <w:b w:val="0"/>
          <w:sz w:val="28"/>
          <w:szCs w:val="28"/>
          <w:highlight w:val="none"/>
          <w:lang w:val="en-US" w:eastAsia="zh-CN"/>
        </w:rPr>
        <w:t>，供应商须符合《关于印发中小企业划型标准规定的通知》工信部联企业（2011）300号文件中关于中小企业划型标准的规定，如实填写《中小企业声明函》，并对其出具的《中小企业声明函》真实性负责。</w:t>
      </w:r>
    </w:p>
    <w:p w14:paraId="7BA7272B">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备注：供应商按照本办法规定提供声明函内容不实的，属于提供虚假材料谋取中标，成交，依照《中华人民共和国政府采购法》等国家有关规定追究响应责任。</w:t>
      </w:r>
    </w:p>
    <w:p w14:paraId="0457CCD0">
      <w:pPr>
        <w:adjustRightInd w:val="0"/>
        <w:snapToGrid w:val="0"/>
        <w:spacing w:beforeLines="0" w:afterLines="0" w:line="480" w:lineRule="exact"/>
        <w:ind w:firstLine="560"/>
        <w:rPr>
          <w:rStyle w:val="26"/>
          <w:rFonts w:hint="default" w:ascii="Times New Roman" w:hAnsi="Times New Roman" w:eastAsia="仿宋" w:cs="Times New Roman"/>
          <w:b/>
          <w:bCs/>
          <w:i/>
          <w:iCs/>
          <w:sz w:val="28"/>
          <w:szCs w:val="28"/>
          <w:u w:val="single"/>
          <w:lang w:eastAsia="zh-CN"/>
        </w:rPr>
      </w:pPr>
      <w:r>
        <w:rPr>
          <w:rStyle w:val="27"/>
          <w:rFonts w:hint="default" w:ascii="Times New Roman" w:hAnsi="Times New Roman" w:cs="Times New Roman"/>
          <w:b w:val="0"/>
          <w:sz w:val="28"/>
          <w:szCs w:val="28"/>
        </w:rPr>
        <w:sym w:font="Wingdings 2" w:char="00A3"/>
      </w:r>
      <w:r>
        <w:rPr>
          <w:rStyle w:val="27"/>
          <w:rFonts w:hint="default" w:ascii="Times New Roman" w:hAnsi="Times New Roman" w:cs="Times New Roman"/>
          <w:b w:val="0"/>
          <w:sz w:val="28"/>
          <w:szCs w:val="28"/>
          <w:lang w:eastAsia="zh-CN"/>
        </w:rPr>
        <w:t>本项目不专门面向中小企业预留采购份额。具体情况符合以下情形</w:t>
      </w:r>
    </w:p>
    <w:p w14:paraId="72F37AA7">
      <w:pPr>
        <w:adjustRightInd w:val="0"/>
        <w:snapToGrid w:val="0"/>
        <w:spacing w:beforeLines="0" w:afterLines="0" w:line="480" w:lineRule="exact"/>
        <w:ind w:firstLine="560"/>
        <w:rPr>
          <w:rStyle w:val="27"/>
          <w:rFonts w:hint="default" w:ascii="Times New Roman" w:hAnsi="Times New Roman" w:cs="Times New Roman"/>
          <w:b w:val="0"/>
          <w:sz w:val="28"/>
          <w:szCs w:val="28"/>
          <w:lang w:eastAsia="zh-CN"/>
        </w:rPr>
      </w:pPr>
      <w:r>
        <w:rPr>
          <w:rStyle w:val="27"/>
          <w:rFonts w:hint="default" w:ascii="Times New Roman" w:hAnsi="Times New Roman" w:cs="Times New Roman"/>
          <w:b w:val="0"/>
          <w:sz w:val="28"/>
          <w:szCs w:val="28"/>
        </w:rPr>
        <w:sym w:font="Wingdings 2" w:char="00A3"/>
      </w:r>
      <w:r>
        <w:rPr>
          <w:rStyle w:val="27"/>
          <w:rFonts w:hint="default" w:ascii="Times New Roman" w:hAnsi="Times New Roman" w:cs="Times New Roman"/>
          <w:b w:val="0"/>
          <w:sz w:val="28"/>
          <w:szCs w:val="28"/>
          <w:lang w:eastAsia="zh-CN"/>
        </w:rPr>
        <w:t>按照《政府采购促进中小企业发展管理办法》（财库</w:t>
      </w:r>
      <w:r>
        <w:rPr>
          <w:rStyle w:val="27"/>
          <w:rFonts w:hint="default" w:ascii="Times New Roman" w:hAnsi="Times New Roman" w:eastAsia="仿宋_GB2312" w:cs="Times New Roman"/>
          <w:b w:val="0"/>
          <w:sz w:val="28"/>
          <w:szCs w:val="28"/>
          <w:lang w:eastAsia="zh-CN"/>
        </w:rPr>
        <w:t>〔</w:t>
      </w:r>
      <w:r>
        <w:rPr>
          <w:rStyle w:val="27"/>
          <w:rFonts w:hint="default" w:ascii="Times New Roman" w:hAnsi="Times New Roman" w:eastAsia="仿宋_GB2312" w:cs="Times New Roman"/>
          <w:b w:val="0"/>
          <w:sz w:val="28"/>
          <w:szCs w:val="28"/>
          <w:lang w:val="en-US" w:eastAsia="zh-CN"/>
        </w:rPr>
        <w:t>2020</w:t>
      </w:r>
      <w:r>
        <w:rPr>
          <w:rStyle w:val="27"/>
          <w:rFonts w:hint="default" w:ascii="Times New Roman" w:hAnsi="Times New Roman" w:eastAsia="仿宋_GB2312" w:cs="Times New Roman"/>
          <w:b w:val="0"/>
          <w:sz w:val="28"/>
          <w:szCs w:val="28"/>
          <w:lang w:eastAsia="zh-CN"/>
        </w:rPr>
        <w:t>〕</w:t>
      </w:r>
      <w:r>
        <w:rPr>
          <w:rStyle w:val="27"/>
          <w:rFonts w:hint="default" w:ascii="Times New Roman" w:hAnsi="Times New Roman" w:eastAsia="仿宋_GB2312" w:cs="Times New Roman"/>
          <w:b w:val="0"/>
          <w:sz w:val="28"/>
          <w:szCs w:val="28"/>
          <w:lang w:val="en-US" w:eastAsia="zh-CN"/>
        </w:rPr>
        <w:t>46号</w:t>
      </w:r>
      <w:r>
        <w:rPr>
          <w:rStyle w:val="27"/>
          <w:rFonts w:hint="default" w:ascii="Times New Roman" w:hAnsi="Times New Roman" w:cs="Times New Roman"/>
          <w:b w:val="0"/>
          <w:sz w:val="28"/>
          <w:szCs w:val="28"/>
          <w:lang w:eastAsia="zh-CN"/>
        </w:rPr>
        <w:t>）规定预留采购份额无法确保充分供应、充分竞争，或者存在可能影响政府采购目标实现的情形；</w:t>
      </w:r>
    </w:p>
    <w:p w14:paraId="64A79F2A">
      <w:pPr>
        <w:adjustRightInd w:val="0"/>
        <w:snapToGrid w:val="0"/>
        <w:spacing w:beforeLines="0" w:afterLines="0" w:line="480" w:lineRule="exact"/>
        <w:ind w:firstLine="560"/>
        <w:rPr>
          <w:rStyle w:val="27"/>
          <w:rFonts w:hint="default" w:ascii="Times New Roman" w:hAnsi="Times New Roman" w:cs="Times New Roman"/>
          <w:b w:val="0"/>
          <w:sz w:val="28"/>
          <w:szCs w:val="28"/>
          <w:lang w:val="en-US" w:eastAsia="zh-CN"/>
        </w:rPr>
      </w:pPr>
      <w:r>
        <w:rPr>
          <w:rStyle w:val="27"/>
          <w:rFonts w:hint="default" w:ascii="Times New Roman" w:hAnsi="Times New Roman" w:cs="Times New Roman"/>
          <w:b w:val="0"/>
          <w:sz w:val="28"/>
          <w:szCs w:val="28"/>
          <w:lang w:eastAsia="zh-CN"/>
        </w:rPr>
        <w:t>对未预留份额专门面向中小企业采购的采购项目，以及预留份额项目中的非预留部分采购包，对小微企业报价给予</w:t>
      </w:r>
      <w:r>
        <w:rPr>
          <w:rStyle w:val="27"/>
          <w:rFonts w:hint="default" w:ascii="Times New Roman" w:hAnsi="Times New Roman" w:cs="Times New Roman"/>
          <w:b w:val="0"/>
          <w:sz w:val="28"/>
          <w:szCs w:val="28"/>
          <w:u w:val="single"/>
          <w:lang w:val="en-US" w:eastAsia="zh-CN"/>
        </w:rPr>
        <w:t xml:space="preserve"> </w:t>
      </w:r>
      <w:r>
        <w:rPr>
          <w:rStyle w:val="27"/>
          <w:rFonts w:hint="eastAsia" w:cs="Times New Roman"/>
          <w:b w:val="0"/>
          <w:sz w:val="28"/>
          <w:szCs w:val="28"/>
          <w:u w:val="single"/>
          <w:lang w:val="en-US" w:eastAsia="zh-CN"/>
        </w:rPr>
        <w:t xml:space="preserve">  </w:t>
      </w:r>
      <w:r>
        <w:rPr>
          <w:rStyle w:val="27"/>
          <w:rFonts w:hint="default" w:ascii="Times New Roman" w:hAnsi="Times New Roman" w:cs="Times New Roman"/>
          <w:b w:val="0"/>
          <w:sz w:val="28"/>
          <w:szCs w:val="28"/>
          <w:u w:val="single"/>
          <w:lang w:val="en-US" w:eastAsia="zh-CN"/>
        </w:rPr>
        <w:t xml:space="preserve"> </w:t>
      </w:r>
      <w:r>
        <w:rPr>
          <w:rStyle w:val="27"/>
          <w:rFonts w:hint="default" w:ascii="Times New Roman" w:hAnsi="Times New Roman" w:cs="Times New Roman"/>
          <w:b w:val="0"/>
          <w:sz w:val="28"/>
          <w:szCs w:val="28"/>
          <w:lang w:val="en-US" w:eastAsia="zh-CN"/>
        </w:rPr>
        <w:t>%的扣除，用扣除后的价格参加评审。</w:t>
      </w:r>
    </w:p>
    <w:p w14:paraId="2532C647">
      <w:pPr>
        <w:pStyle w:val="2"/>
        <w:rPr>
          <w:rFonts w:hint="default"/>
          <w:lang w:val="en-US" w:eastAsia="zh-CN"/>
        </w:rPr>
      </w:pPr>
    </w:p>
    <w:p w14:paraId="1E5651E2">
      <w:pPr>
        <w:adjustRightInd w:val="0"/>
        <w:snapToGrid w:val="0"/>
        <w:spacing w:beforeLines="0" w:afterLines="0" w:line="360" w:lineRule="auto"/>
        <w:ind w:firstLine="560"/>
        <w:rPr>
          <w:rStyle w:val="27"/>
          <w:rFonts w:hint="eastAsia"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2.2 其他落实政府采购政策的资格要求</w:t>
      </w:r>
      <w:r>
        <w:rPr>
          <w:rStyle w:val="27"/>
          <w:rFonts w:hint="eastAsia" w:cs="Times New Roman"/>
          <w:b w:val="0"/>
          <w:sz w:val="28"/>
          <w:szCs w:val="28"/>
          <w:highlight w:val="none"/>
          <w:lang w:val="en-US" w:eastAsia="zh-CN"/>
        </w:rPr>
        <w:t>：</w:t>
      </w:r>
    </w:p>
    <w:p w14:paraId="611D79E1">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（1）财政部、国家发展改革委、生态环境部、市场监管总局《关于调整优化节能产品、环境标志产品政府采购执行机制的通知》（财库[2019]9号文）； </w:t>
      </w:r>
    </w:p>
    <w:p w14:paraId="187AFF60">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（2）财政部、生态环境部《关于印发环境标志产品政府采购品目清单的通知》（财库[2019]18号文）； </w:t>
      </w:r>
    </w:p>
    <w:p w14:paraId="6E8F7A29">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（3）财政部、发展改革委《关于印发节能产品政府采购品目清单的通知》（财库[2019]19号文）； </w:t>
      </w:r>
    </w:p>
    <w:p w14:paraId="1B6D656F">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（4）市场监管总局《市场监管总局关于发布参与实施政府采购节能产品、环境标志产品认证机构名录的公告》（2019年第16号）； </w:t>
      </w:r>
    </w:p>
    <w:p w14:paraId="7022AF20">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（5）财政部、工业和信息化部《关于印发《政府采购促进中小企业发展管理办法》的通知》（财库[2020]46号文）； </w:t>
      </w:r>
    </w:p>
    <w:p w14:paraId="7D7ECCF1">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（6）财政部、民政部、中国残疾人联合会《关于促进残疾人就业政府采购政策的通知》（财库[2017]141号）； </w:t>
      </w:r>
    </w:p>
    <w:p w14:paraId="3AFB1BA5">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(7）财政部、司法部《关于政府采购支持监狱企业发展有关问题的通知》（财库[2014]68号文）。（中小企业优惠、监狱企业、节能产品、环境标志产品等）。</w:t>
      </w:r>
    </w:p>
    <w:p w14:paraId="7FD33CB8">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3、投标人未被“信用中国”网站（www.creditchina.gov.cn）、“中国政府采购网"(www.ccgp.gov.cn)列入失信被执行人、重大税收违法案件当事人名单、政府采购严重失信行为记录名单）：             </w:t>
      </w:r>
    </w:p>
    <w:p w14:paraId="7505AFD3">
      <w:pPr>
        <w:adjustRightInd w:val="0"/>
        <w:snapToGrid w:val="0"/>
        <w:spacing w:beforeLines="0" w:afterLines="0" w:line="360" w:lineRule="auto"/>
        <w:ind w:firstLine="0"/>
        <w:rPr>
          <w:rStyle w:val="27"/>
          <w:rFonts w:hint="eastAsia"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    3.</w:t>
      </w:r>
      <w:r>
        <w:rPr>
          <w:rStyle w:val="27"/>
          <w:rFonts w:hint="default" w:ascii="Times New Roman" w:hAnsi="Times New Roman" w:cs="Times New Roman"/>
          <w:b w:val="0"/>
          <w:sz w:val="28"/>
          <w:szCs w:val="28"/>
          <w:highlight w:val="none"/>
          <w:lang w:eastAsia="zh-CN"/>
        </w:rPr>
        <w:t>本项目的特定资格要求：</w:t>
      </w:r>
      <w:r>
        <w:rPr>
          <w:rStyle w:val="27"/>
          <w:rFonts w:hint="eastAsia" w:cs="Times New Roman"/>
          <w:b w:val="0"/>
          <w:sz w:val="28"/>
          <w:szCs w:val="28"/>
          <w:highlight w:val="none"/>
          <w:lang w:val="en-US" w:eastAsia="zh-CN"/>
        </w:rPr>
        <w:t>无</w:t>
      </w:r>
      <w:r>
        <w:rPr>
          <w:rStyle w:val="27"/>
          <w:rFonts w:hint="default" w:ascii="Times New Roman" w:hAnsi="Times New Roman" w:cs="Times New Roman"/>
          <w:b w:val="0"/>
          <w:sz w:val="28"/>
          <w:szCs w:val="28"/>
          <w:highlight w:val="none"/>
          <w:lang w:val="en-US" w:eastAsia="zh-CN"/>
        </w:rPr>
        <w:t>；</w:t>
      </w:r>
    </w:p>
    <w:p w14:paraId="4BCD544E">
      <w:pPr>
        <w:adjustRightInd w:val="0"/>
        <w:snapToGrid w:val="0"/>
        <w:spacing w:beforeLines="0" w:afterLines="0" w:line="360" w:lineRule="auto"/>
        <w:ind w:firstLine="0"/>
        <w:rPr>
          <w:rStyle w:val="27"/>
          <w:rFonts w:hint="default" w:ascii="Times New Roman" w:hAnsi="Times New Roman" w:cs="Times New Roman"/>
          <w:b w:val="0"/>
          <w:sz w:val="28"/>
          <w:szCs w:val="28"/>
          <w:highlight w:val="none"/>
          <w:lang w:eastAsia="zh-CN"/>
        </w:rPr>
      </w:pPr>
      <w:r>
        <w:rPr>
          <w:rStyle w:val="27"/>
          <w:rFonts w:hint="default" w:ascii="Times New Roman" w:hAnsi="Times New Roman" w:cs="Times New Roman"/>
          <w:b w:val="0"/>
          <w:sz w:val="28"/>
          <w:szCs w:val="28"/>
          <w:highlight w:val="none"/>
          <w:lang w:val="en-US" w:eastAsia="zh-CN"/>
        </w:rPr>
        <w:t xml:space="preserve">    4.</w:t>
      </w:r>
      <w:r>
        <w:rPr>
          <w:rStyle w:val="27"/>
          <w:rFonts w:hint="default" w:ascii="Times New Roman" w:hAnsi="Times New Roman" w:cs="Times New Roman"/>
          <w:b w:val="0"/>
          <w:sz w:val="28"/>
          <w:szCs w:val="28"/>
          <w:highlight w:val="none"/>
          <w:lang w:eastAsia="zh-CN"/>
        </w:rPr>
        <w:t>单位负责人为同一人或者存在直接控股、管理关系的不同供应商，不得参加同一合同项下（同一包号）的政府采购活动。</w:t>
      </w:r>
    </w:p>
    <w:p w14:paraId="778BF2CF">
      <w:pPr>
        <w:adjustRightInd w:val="0"/>
        <w:snapToGrid w:val="0"/>
        <w:spacing w:beforeLines="0" w:afterLines="0" w:line="360" w:lineRule="auto"/>
        <w:ind w:firstLine="0"/>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 xml:space="preserve">    5.</w:t>
      </w:r>
      <w:r>
        <w:rPr>
          <w:rStyle w:val="27"/>
          <w:rFonts w:hint="default" w:ascii="Times New Roman" w:hAnsi="Times New Roman" w:cs="Times New Roman"/>
          <w:b w:val="0"/>
          <w:sz w:val="28"/>
          <w:szCs w:val="28"/>
          <w:highlight w:val="none"/>
          <w:lang w:eastAsia="zh-CN"/>
        </w:rPr>
        <w:t>除单一来源采购项目外，为采购项目提供整体设计、规范编制或者项目管理、监理、检测等服务的供应商，不得再参加该采购项目的其他采购活动。</w:t>
      </w:r>
    </w:p>
    <w:p w14:paraId="1C986D2E">
      <w:pPr>
        <w:spacing w:beforeLines="0" w:afterLines="0" w:line="360" w:lineRule="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 xml:space="preserve">三、获取招标文件 </w:t>
      </w:r>
    </w:p>
    <w:p w14:paraId="45FAFD49">
      <w:pPr>
        <w:adjustRightInd w:val="0"/>
        <w:snapToGrid w:val="0"/>
        <w:spacing w:beforeLines="0" w:afterLines="0" w:line="360" w:lineRule="auto"/>
        <w:ind w:firstLine="560"/>
        <w:rPr>
          <w:rStyle w:val="27"/>
          <w:rFonts w:hint="default" w:ascii="Times New Roman" w:hAnsi="Times New Roman" w:cs="Times New Roman"/>
          <w:b w:val="0"/>
          <w:sz w:val="28"/>
          <w:szCs w:val="28"/>
          <w:highlight w:val="none"/>
          <w:lang w:eastAsia="zh-CN"/>
        </w:rPr>
      </w:pPr>
      <w:r>
        <w:rPr>
          <w:rStyle w:val="27"/>
          <w:rFonts w:hint="default" w:ascii="Times New Roman" w:hAnsi="Times New Roman" w:cs="Times New Roman"/>
          <w:b w:val="0"/>
          <w:sz w:val="28"/>
          <w:szCs w:val="28"/>
          <w:highlight w:val="none"/>
        </w:rPr>
        <w:t>时间</w:t>
      </w:r>
      <w:r>
        <w:rPr>
          <w:rFonts w:hint="default" w:ascii="Times New Roman" w:hAnsi="Times New Roman" w:cs="Times New Roman"/>
          <w:sz w:val="28"/>
          <w:szCs w:val="28"/>
          <w:highlight w:val="none"/>
        </w:rPr>
        <w:t>：</w:t>
      </w:r>
      <w:r>
        <w:rPr>
          <w:rFonts w:hint="eastAsia" w:cs="Times New Roman"/>
          <w:sz w:val="28"/>
          <w:szCs w:val="28"/>
          <w:highlight w:val="none"/>
          <w:u w:val="single"/>
          <w:lang w:val="en-US" w:eastAsia="zh-CN"/>
        </w:rPr>
        <w:t>2026</w:t>
      </w:r>
      <w:r>
        <w:rPr>
          <w:rFonts w:hint="default" w:ascii="Times New Roman" w:hAnsi="Times New Roman" w:cs="Times New Roman"/>
          <w:sz w:val="28"/>
          <w:szCs w:val="28"/>
          <w:highlight w:val="none"/>
        </w:rPr>
        <w:t>年</w:t>
      </w:r>
      <w:r>
        <w:rPr>
          <w:rFonts w:hint="default"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05</w:t>
      </w:r>
      <w:r>
        <w:rPr>
          <w:rFonts w:hint="default" w:ascii="Times New Roman" w:hAnsi="Times New Roman" w:cs="Times New Roman"/>
          <w:sz w:val="28"/>
          <w:szCs w:val="28"/>
          <w:highlight w:val="none"/>
          <w:u w:val="single"/>
          <w:lang w:val="en-US" w:eastAsia="zh-CN"/>
        </w:rPr>
        <w:t xml:space="preserve"> </w:t>
      </w:r>
      <w:r>
        <w:rPr>
          <w:rFonts w:hint="default" w:ascii="Times New Roman" w:hAnsi="Times New Roman" w:cs="Times New Roman"/>
          <w:sz w:val="28"/>
          <w:szCs w:val="28"/>
          <w:highlight w:val="none"/>
        </w:rPr>
        <w:t>月</w:t>
      </w:r>
      <w:r>
        <w:rPr>
          <w:rFonts w:hint="default"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15</w:t>
      </w:r>
      <w:r>
        <w:rPr>
          <w:rFonts w:hint="default" w:ascii="Times New Roman" w:hAnsi="Times New Roman" w:cs="Times New Roman"/>
          <w:sz w:val="28"/>
          <w:szCs w:val="28"/>
          <w:highlight w:val="none"/>
          <w:u w:val="single"/>
        </w:rPr>
        <w:t xml:space="preserve"> </w:t>
      </w:r>
      <w:r>
        <w:rPr>
          <w:rFonts w:hint="default" w:ascii="Times New Roman" w:hAnsi="Times New Roman" w:cs="Times New Roman"/>
          <w:sz w:val="28"/>
          <w:szCs w:val="28"/>
          <w:highlight w:val="none"/>
        </w:rPr>
        <w:t>日至</w:t>
      </w:r>
      <w:r>
        <w:rPr>
          <w:rFonts w:hint="default"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2026</w:t>
      </w:r>
      <w:r>
        <w:rPr>
          <w:rFonts w:hint="default" w:ascii="Times New Roman" w:hAnsi="Times New Roman" w:cs="Times New Roman"/>
          <w:sz w:val="28"/>
          <w:szCs w:val="28"/>
          <w:highlight w:val="none"/>
          <w:u w:val="single"/>
        </w:rPr>
        <w:t xml:space="preserve"> </w:t>
      </w:r>
      <w:r>
        <w:rPr>
          <w:rFonts w:hint="default" w:ascii="Times New Roman" w:hAnsi="Times New Roman" w:cs="Times New Roman"/>
          <w:sz w:val="28"/>
          <w:szCs w:val="28"/>
          <w:highlight w:val="none"/>
        </w:rPr>
        <w:t>年</w:t>
      </w:r>
      <w:r>
        <w:rPr>
          <w:rFonts w:hint="default"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05</w:t>
      </w:r>
      <w:r>
        <w:rPr>
          <w:rFonts w:hint="default" w:ascii="Times New Roman" w:hAnsi="Times New Roman" w:cs="Times New Roman"/>
          <w:sz w:val="28"/>
          <w:szCs w:val="28"/>
          <w:highlight w:val="none"/>
        </w:rPr>
        <w:t>月</w:t>
      </w:r>
      <w:r>
        <w:rPr>
          <w:rFonts w:hint="default"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22</w:t>
      </w:r>
      <w:r>
        <w:rPr>
          <w:rFonts w:hint="default" w:ascii="Times New Roman" w:hAnsi="Times New Roman" w:cs="Times New Roman"/>
          <w:sz w:val="28"/>
          <w:szCs w:val="28"/>
          <w:highlight w:val="none"/>
          <w:u w:val="single"/>
        </w:rPr>
        <w:t xml:space="preserve"> </w:t>
      </w:r>
      <w:r>
        <w:rPr>
          <w:rFonts w:hint="default" w:ascii="Times New Roman" w:hAnsi="Times New Roman" w:cs="Times New Roman"/>
          <w:sz w:val="28"/>
          <w:szCs w:val="28"/>
          <w:highlight w:val="none"/>
        </w:rPr>
        <w:t>日，</w:t>
      </w:r>
      <w:r>
        <w:rPr>
          <w:rStyle w:val="27"/>
          <w:rFonts w:hint="default" w:ascii="Times New Roman" w:hAnsi="Times New Roman" w:cs="Times New Roman"/>
          <w:b w:val="0"/>
          <w:sz w:val="28"/>
          <w:szCs w:val="28"/>
          <w:highlight w:val="none"/>
          <w:lang w:eastAsia="zh-CN"/>
        </w:rPr>
        <w:t>每天上午</w:t>
      </w:r>
      <w:r>
        <w:rPr>
          <w:rStyle w:val="27"/>
          <w:rFonts w:hint="default" w:ascii="Times New Roman" w:hAnsi="Times New Roman" w:cs="Times New Roman"/>
          <w:b w:val="0"/>
          <w:sz w:val="28"/>
          <w:szCs w:val="28"/>
          <w:highlight w:val="none"/>
          <w:u w:val="single"/>
          <w:lang w:eastAsia="zh-CN"/>
        </w:rPr>
        <w:t>00:00至12:00，下午12:00至23:59</w:t>
      </w:r>
      <w:r>
        <w:rPr>
          <w:rStyle w:val="27"/>
          <w:rFonts w:hint="default" w:ascii="Times New Roman" w:hAnsi="Times New Roman" w:cs="Times New Roman"/>
          <w:b w:val="0"/>
          <w:sz w:val="28"/>
          <w:szCs w:val="28"/>
          <w:highlight w:val="none"/>
          <w:lang w:eastAsia="zh-CN"/>
        </w:rPr>
        <w:t>（北京时间，法定节假日除外）</w:t>
      </w:r>
    </w:p>
    <w:p w14:paraId="4626D1C9">
      <w:pPr>
        <w:adjustRightInd w:val="0"/>
        <w:snapToGrid w:val="0"/>
        <w:spacing w:beforeLines="0" w:afterLines="0" w:line="360" w:lineRule="auto"/>
        <w:ind w:firstLine="560"/>
        <w:rPr>
          <w:rFonts w:hint="default" w:ascii="Times New Roman" w:hAnsi="Times New Roman" w:cs="Times New Roman"/>
          <w:b w:val="0"/>
          <w:bCs w:val="0"/>
          <w:sz w:val="28"/>
          <w:szCs w:val="28"/>
          <w:highlight w:val="none"/>
        </w:rPr>
      </w:pPr>
      <w:r>
        <w:rPr>
          <w:rStyle w:val="26"/>
          <w:rFonts w:hint="default" w:ascii="Times New Roman" w:hAnsi="Times New Roman" w:cs="Times New Roman"/>
          <w:b w:val="0"/>
          <w:sz w:val="28"/>
          <w:szCs w:val="28"/>
          <w:highlight w:val="none"/>
          <w:lang w:val="en-US" w:eastAsia="zh-CN"/>
        </w:rPr>
        <w:t xml:space="preserve"> </w:t>
      </w:r>
      <w:r>
        <w:rPr>
          <w:rStyle w:val="26"/>
          <w:rFonts w:hint="default" w:ascii="Times New Roman" w:hAnsi="Times New Roman" w:cs="Times New Roman"/>
          <w:b w:val="0"/>
          <w:sz w:val="28"/>
          <w:szCs w:val="28"/>
          <w:highlight w:val="none"/>
        </w:rPr>
        <w:t>地点</w:t>
      </w:r>
      <w:r>
        <w:rPr>
          <w:rFonts w:hint="default" w:ascii="Times New Roman" w:hAnsi="Times New Roman" w:cs="Times New Roman"/>
          <w:sz w:val="28"/>
          <w:szCs w:val="28"/>
          <w:highlight w:val="none"/>
        </w:rPr>
        <w:t>：政采云平台</w:t>
      </w:r>
    </w:p>
    <w:p w14:paraId="4B19307F">
      <w:pPr>
        <w:adjustRightInd w:val="0"/>
        <w:snapToGrid w:val="0"/>
        <w:spacing w:beforeLines="0" w:afterLines="0" w:line="360" w:lineRule="auto"/>
        <w:rPr>
          <w:rFonts w:hint="default" w:ascii="Times New Roman" w:hAnsi="Times New Roman" w:cs="Times New Roman"/>
          <w:sz w:val="28"/>
          <w:szCs w:val="28"/>
          <w:highlight w:val="none"/>
        </w:rPr>
      </w:pPr>
      <w:r>
        <w:rPr>
          <w:rFonts w:hint="default" w:ascii="Times New Roman" w:hAnsi="Times New Roman" w:cs="Times New Roman"/>
          <w:b w:val="0"/>
          <w:sz w:val="28"/>
          <w:szCs w:val="28"/>
          <w:highlight w:val="none"/>
          <w:lang w:val="en-US" w:eastAsia="zh-CN"/>
        </w:rPr>
        <w:t xml:space="preserve">    </w:t>
      </w:r>
      <w:r>
        <w:rPr>
          <w:rStyle w:val="26"/>
          <w:rFonts w:hint="default" w:ascii="Times New Roman" w:hAnsi="Times New Roman" w:cs="Times New Roman"/>
          <w:b w:val="0"/>
          <w:sz w:val="28"/>
          <w:szCs w:val="28"/>
          <w:highlight w:val="none"/>
        </w:rPr>
        <w:t>方式</w:t>
      </w:r>
      <w:r>
        <w:rPr>
          <w:rFonts w:hint="default" w:ascii="Times New Roman" w:hAnsi="Times New Roman" w:cs="Times New Roman"/>
          <w:sz w:val="28"/>
          <w:szCs w:val="28"/>
          <w:highlight w:val="none"/>
        </w:rPr>
        <w:t>：供应商登录政采云平台https://www.zcygov.cn/在线申请获取采购文件（进入“项目采购”应用，在获取采购文件菜单中选择项目，申请获取采购文件）</w:t>
      </w:r>
    </w:p>
    <w:p w14:paraId="1949C813">
      <w:pPr>
        <w:adjustRightInd w:val="0"/>
        <w:snapToGrid w:val="0"/>
        <w:spacing w:beforeLines="0" w:afterLines="0" w:line="360" w:lineRule="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 xml:space="preserve">    售价：0元</w:t>
      </w:r>
    </w:p>
    <w:p w14:paraId="4EFD5F06">
      <w:pPr>
        <w:spacing w:beforeLines="0" w:afterLines="0" w:line="360" w:lineRule="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四、提交投标文件截止时间、开标时间和地点</w:t>
      </w:r>
    </w:p>
    <w:p w14:paraId="32D7070E">
      <w:pPr>
        <w:adjustRightInd w:val="0"/>
        <w:snapToGrid w:val="0"/>
        <w:spacing w:beforeLines="0" w:afterLines="0" w:line="360" w:lineRule="auto"/>
        <w:ind w:firstLine="560" w:firstLineChars="200"/>
        <w:rPr>
          <w:rStyle w:val="27"/>
          <w:rFonts w:hint="default" w:ascii="Times New Roman" w:hAnsi="Times New Roman" w:cs="Times New Roman"/>
          <w:b/>
          <w:bCs/>
          <w:sz w:val="28"/>
          <w:szCs w:val="28"/>
          <w:highlight w:val="none"/>
          <w:lang w:val="en-US" w:eastAsia="zh-CN"/>
        </w:rPr>
      </w:pPr>
      <w:r>
        <w:rPr>
          <w:rFonts w:hint="default" w:cs="Times New Roman"/>
          <w:sz w:val="28"/>
          <w:szCs w:val="28"/>
          <w:highlight w:val="none"/>
          <w:u w:val="none"/>
          <w:lang w:val="en-US" w:eastAsia="zh-CN"/>
        </w:rPr>
        <w:t>时间：</w:t>
      </w:r>
      <w:r>
        <w:rPr>
          <w:rFonts w:hint="eastAsia" w:cs="Times New Roman"/>
          <w:sz w:val="28"/>
          <w:szCs w:val="28"/>
          <w:highlight w:val="none"/>
          <w:u w:val="single"/>
          <w:lang w:val="en-US" w:eastAsia="zh-CN"/>
        </w:rPr>
        <w:t>2026</w:t>
      </w:r>
      <w:r>
        <w:rPr>
          <w:rFonts w:hint="default" w:ascii="Times New Roman" w:hAnsi="Times New Roman" w:cs="Times New Roman"/>
          <w:sz w:val="28"/>
          <w:szCs w:val="28"/>
          <w:highlight w:val="none"/>
          <w:u w:val="single"/>
        </w:rPr>
        <w:t xml:space="preserve"> </w:t>
      </w:r>
      <w:r>
        <w:rPr>
          <w:rFonts w:hint="default" w:ascii="Times New Roman" w:hAnsi="Times New Roman" w:cs="Times New Roman"/>
          <w:sz w:val="28"/>
          <w:szCs w:val="28"/>
          <w:highlight w:val="none"/>
        </w:rPr>
        <w:t>年</w:t>
      </w:r>
      <w:r>
        <w:rPr>
          <w:rFonts w:hint="eastAsia" w:cs="Times New Roman"/>
          <w:sz w:val="28"/>
          <w:szCs w:val="28"/>
          <w:highlight w:val="none"/>
          <w:u w:val="single"/>
          <w:lang w:val="en-US" w:eastAsia="zh-CN"/>
        </w:rPr>
        <w:t>06</w:t>
      </w:r>
      <w:r>
        <w:rPr>
          <w:rFonts w:hint="default" w:ascii="Times New Roman" w:hAnsi="Times New Roman" w:cs="Times New Roman"/>
          <w:sz w:val="28"/>
          <w:szCs w:val="28"/>
          <w:highlight w:val="none"/>
        </w:rPr>
        <w:t>月</w:t>
      </w:r>
      <w:r>
        <w:rPr>
          <w:rFonts w:hint="default"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05</w:t>
      </w:r>
      <w:r>
        <w:rPr>
          <w:rFonts w:hint="default" w:ascii="Times New Roman" w:hAnsi="Times New Roman" w:cs="Times New Roman"/>
          <w:sz w:val="28"/>
          <w:szCs w:val="28"/>
          <w:highlight w:val="none"/>
          <w:u w:val="single"/>
        </w:rPr>
        <w:t xml:space="preserve"> </w:t>
      </w:r>
      <w:r>
        <w:rPr>
          <w:rFonts w:hint="default" w:ascii="Times New Roman" w:hAnsi="Times New Roman" w:cs="Times New Roman"/>
          <w:sz w:val="28"/>
          <w:szCs w:val="28"/>
          <w:highlight w:val="none"/>
        </w:rPr>
        <w:t>日</w:t>
      </w:r>
      <w:r>
        <w:rPr>
          <w:rFonts w:hint="default"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10</w:t>
      </w:r>
      <w:r>
        <w:rPr>
          <w:rFonts w:hint="default" w:ascii="Times New Roman" w:hAnsi="Times New Roman" w:cs="Times New Roman"/>
          <w:sz w:val="28"/>
          <w:szCs w:val="28"/>
          <w:highlight w:val="none"/>
        </w:rPr>
        <w:t>点</w:t>
      </w:r>
      <w:r>
        <w:rPr>
          <w:rFonts w:hint="eastAsia" w:cs="Times New Roman"/>
          <w:sz w:val="28"/>
          <w:szCs w:val="28"/>
          <w:highlight w:val="none"/>
          <w:u w:val="single"/>
          <w:lang w:val="en-US" w:eastAsia="zh-CN"/>
        </w:rPr>
        <w:t>30</w:t>
      </w:r>
      <w:r>
        <w:rPr>
          <w:rFonts w:hint="default" w:ascii="Times New Roman" w:hAnsi="Times New Roman" w:cs="Times New Roman"/>
          <w:sz w:val="28"/>
          <w:szCs w:val="28"/>
          <w:highlight w:val="none"/>
        </w:rPr>
        <w:t>分（北京时间）</w:t>
      </w:r>
    </w:p>
    <w:p w14:paraId="04D6BA99">
      <w:pPr>
        <w:adjustRightInd w:val="0"/>
        <w:snapToGrid w:val="0"/>
        <w:spacing w:beforeLines="0" w:afterLines="0" w:line="360" w:lineRule="auto"/>
        <w:rPr>
          <w:rFonts w:hint="default" w:ascii="Times New Roman" w:hAnsi="Times New Roman" w:cs="Times New Roman"/>
          <w:sz w:val="28"/>
          <w:szCs w:val="28"/>
          <w:highlight w:val="none"/>
        </w:rPr>
      </w:pPr>
      <w:r>
        <w:rPr>
          <w:rStyle w:val="27"/>
          <w:rFonts w:hint="default" w:ascii="Times New Roman" w:hAnsi="Times New Roman" w:cs="Times New Roman"/>
          <w:b w:val="0"/>
          <w:sz w:val="28"/>
          <w:szCs w:val="28"/>
          <w:highlight w:val="none"/>
          <w:lang w:val="en-US" w:eastAsia="zh-CN"/>
        </w:rPr>
        <w:t xml:space="preserve">    </w:t>
      </w:r>
      <w:r>
        <w:rPr>
          <w:rStyle w:val="27"/>
          <w:rFonts w:hint="default" w:ascii="Times New Roman" w:hAnsi="Times New Roman" w:cs="Times New Roman"/>
          <w:b w:val="0"/>
          <w:sz w:val="28"/>
          <w:szCs w:val="28"/>
          <w:highlight w:val="none"/>
        </w:rPr>
        <w:t>地点：</w:t>
      </w:r>
      <w:r>
        <w:rPr>
          <w:rStyle w:val="27"/>
          <w:rFonts w:hint="default" w:ascii="Times New Roman" w:hAnsi="Times New Roman" w:cs="Times New Roman"/>
          <w:b w:val="0"/>
          <w:i w:val="0"/>
          <w:iCs w:val="0"/>
          <w:sz w:val="28"/>
          <w:szCs w:val="28"/>
          <w:highlight w:val="none"/>
          <w:u w:val="single"/>
          <w:lang w:val="en-US" w:eastAsia="zh-CN"/>
        </w:rPr>
        <w:t>政采云平台。</w:t>
      </w:r>
    </w:p>
    <w:p w14:paraId="12EA840E">
      <w:pPr>
        <w:spacing w:beforeLines="0" w:afterLines="0" w:line="360" w:lineRule="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五、公告期限</w:t>
      </w:r>
    </w:p>
    <w:p w14:paraId="6CAFBBBF">
      <w:pPr>
        <w:pStyle w:val="6"/>
        <w:spacing w:beforeLines="0" w:afterLines="0" w:line="360" w:lineRule="auto"/>
        <w:ind w:firstLine="0"/>
        <w:rPr>
          <w:rFonts w:hint="default" w:ascii="Times New Roman" w:hAnsi="Times New Roman" w:cs="Times New Roman"/>
          <w:sz w:val="28"/>
          <w:szCs w:val="28"/>
          <w:highlight w:val="none"/>
        </w:rPr>
      </w:pPr>
      <w:r>
        <w:rPr>
          <w:rStyle w:val="27"/>
          <w:rFonts w:hint="default" w:ascii="Times New Roman" w:hAnsi="Times New Roman" w:cs="Times New Roman"/>
          <w:b w:val="0"/>
          <w:sz w:val="28"/>
          <w:szCs w:val="28"/>
          <w:highlight w:val="none"/>
          <w:lang w:val="en-US" w:eastAsia="zh-CN"/>
        </w:rPr>
        <w:t xml:space="preserve">    </w:t>
      </w:r>
      <w:r>
        <w:rPr>
          <w:rStyle w:val="27"/>
          <w:rFonts w:hint="default" w:ascii="Times New Roman" w:hAnsi="Times New Roman" w:cs="Times New Roman"/>
          <w:b w:val="0"/>
          <w:sz w:val="28"/>
          <w:szCs w:val="28"/>
          <w:highlight w:val="none"/>
        </w:rPr>
        <w:t>自本公告发布之日起5个工作日</w:t>
      </w:r>
      <w:r>
        <w:rPr>
          <w:rStyle w:val="27"/>
          <w:rFonts w:hint="default" w:ascii="Times New Roman" w:hAnsi="Times New Roman" w:cs="Times New Roman"/>
          <w:b w:val="0"/>
          <w:sz w:val="28"/>
          <w:szCs w:val="28"/>
          <w:highlight w:val="none"/>
          <w:lang w:eastAsia="zh-CN"/>
        </w:rPr>
        <w:t>。</w:t>
      </w:r>
    </w:p>
    <w:p w14:paraId="1B04AA39">
      <w:pPr>
        <w:numPr>
          <w:ilvl w:val="0"/>
          <w:numId w:val="1"/>
        </w:numPr>
        <w:spacing w:beforeLines="0" w:afterLines="0" w:line="360" w:lineRule="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其他补充事宜</w:t>
      </w:r>
    </w:p>
    <w:p w14:paraId="709F82ED">
      <w:pPr>
        <w:widowControl/>
        <w:spacing w:beforeLines="0" w:afterLines="0" w:line="360" w:lineRule="auto"/>
        <w:ind w:firstLine="560"/>
        <w:jc w:val="left"/>
        <w:rPr>
          <w:rStyle w:val="27"/>
          <w:rFonts w:hint="default" w:ascii="Times New Roman" w:hAnsi="Times New Roman" w:cs="Times New Roman" w:eastAsiaTheme="minorEastAsia"/>
          <w:b w:val="0"/>
          <w:sz w:val="28"/>
          <w:szCs w:val="28"/>
          <w:highlight w:val="none"/>
          <w:lang w:val="en-US" w:eastAsia="zh-CN"/>
        </w:rPr>
      </w:pPr>
      <w:r>
        <w:rPr>
          <w:rStyle w:val="27"/>
          <w:rFonts w:hint="default" w:ascii="Times New Roman" w:hAnsi="Times New Roman" w:cs="Times New Roman" w:eastAsiaTheme="minorEastAsia"/>
          <w:b w:val="0"/>
          <w:kern w:val="0"/>
          <w:sz w:val="28"/>
          <w:szCs w:val="28"/>
          <w:highlight w:val="none"/>
        </w:rPr>
        <w:t>1.本项目采用全流程不见面电子开评标，投标供应商需要使用CA加密设备，供应商可通过新疆政府采购网-办理指南—供应商—CA证书办理操作指南-进入CA办理界面，按需选择办理任意一家CA厂商的数字证书，CA证书办理操作指南链接：http://u3v.cn/5F3afc。</w:t>
      </w:r>
      <w:r>
        <w:rPr>
          <w:rStyle w:val="27"/>
          <w:rFonts w:hint="default" w:ascii="Times New Roman" w:hAnsi="Times New Roman" w:cs="Times New Roman" w:eastAsiaTheme="minorEastAsia"/>
          <w:b w:val="0"/>
          <w:sz w:val="28"/>
          <w:szCs w:val="28"/>
          <w:highlight w:val="none"/>
          <w:lang w:val="en-US" w:eastAsia="zh-CN"/>
        </w:rPr>
        <w:t xml:space="preserve">  </w:t>
      </w:r>
    </w:p>
    <w:p w14:paraId="2CC8D501">
      <w:pPr>
        <w:widowControl w:val="0"/>
        <w:adjustRightInd w:val="0"/>
        <w:snapToGrid w:val="0"/>
        <w:spacing w:beforeLines="0" w:afterLines="0" w:line="360" w:lineRule="auto"/>
        <w:jc w:val="both"/>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eastAsiaTheme="minorEastAsia"/>
          <w:b w:val="0"/>
          <w:sz w:val="28"/>
          <w:szCs w:val="28"/>
          <w:highlight w:val="none"/>
          <w:lang w:val="en-US" w:eastAsia="zh-CN"/>
        </w:rPr>
        <w:t xml:space="preserve">    </w:t>
      </w:r>
      <w:r>
        <w:rPr>
          <w:rStyle w:val="27"/>
          <w:rFonts w:hint="default" w:ascii="Times New Roman" w:hAnsi="Times New Roman" w:cs="Times New Roman" w:eastAsiaTheme="minorEastAsia"/>
          <w:b w:val="0"/>
          <w:sz w:val="28"/>
          <w:szCs w:val="28"/>
          <w:highlight w:val="none"/>
        </w:rPr>
        <w:t>2.</w:t>
      </w:r>
      <w:r>
        <w:rPr>
          <w:rStyle w:val="27"/>
          <w:rFonts w:hint="default" w:ascii="Times New Roman" w:hAnsi="Times New Roman" w:cs="Times New Roman"/>
          <w:b w:val="0"/>
          <w:sz w:val="28"/>
          <w:szCs w:val="28"/>
          <w:highlight w:val="none"/>
          <w:lang w:val="en-US" w:eastAsia="zh-CN"/>
        </w:rPr>
        <w:t xml:space="preserve"> 本项目实行网上投标，采用加密电子投标文件(投标人须使用CA加密设备通过政采云电子投标客户端制作投标文件)。若投标人参与投标，自行承担投标一切费用。</w:t>
      </w:r>
    </w:p>
    <w:p w14:paraId="7BD0A30C">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3、各投标人在开标前应确保成为新疆维吾尔自治区政府采购网正式注册入库供应商，并完成CA数字证书申领。因未注册入库、未办理CA数字证书等原因造成无法投标或投标失败等后果由投标人自行承担。</w:t>
      </w:r>
    </w:p>
    <w:p w14:paraId="773FF214">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4、投标人将政采云电子交易客户端下载、安装完成后，可通过账号密码或CA登录客户端进行投标文件制作。在使用政采云投标客户端时，建议使用WIN7+64位及以上操作系统。客户端请至新疆政府采购网（http://www.ccgp-xinjiang.gov.cn/luban/detail?categoryCode=xjcgdownloadarea&amp;articleId=2413305&amp;utm=sites_group_front.7f23f967.0.0.320d7210c4da11ed8ad74fac6f0cc4b0）下载专区查看，如有问题可拨打政采云客户服务热线95763进行咨询。</w:t>
      </w:r>
    </w:p>
    <w:p w14:paraId="65EF3043">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5、投标人在开标时须使用制作加密电子投标文件所使用的CA锁及电脑，电脑须提前配置好浏览器（建议使用谷歌浏览器或360游览器），以便开标时解锁。</w:t>
      </w:r>
    </w:p>
    <w:p w14:paraId="0192B9BA">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6、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一群：44303812（如已加入1-20群，无需重复加入，二十一个群联动直播），钉钉工具软件具有回放功能，直播培训结束后可在钉钉群中回放观看学习。</w:t>
      </w:r>
    </w:p>
    <w:p w14:paraId="53E94B14">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7、为了保证开评标顺利进行，政采云线上开标功能完全实现，供应商开标所使用的电脑设备须具有视频及语音功能。</w:t>
      </w:r>
    </w:p>
    <w:p w14:paraId="3D4B8396">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2" w:firstLineChars="200"/>
        <w:jc w:val="both"/>
        <w:textAlignment w:val="auto"/>
        <w:rPr>
          <w:rStyle w:val="27"/>
          <w:rFonts w:hint="default" w:ascii="Times New Roman" w:hAnsi="Times New Roman" w:cs="Times New Roman"/>
          <w:b/>
          <w:bCs/>
          <w:sz w:val="28"/>
          <w:szCs w:val="28"/>
          <w:highlight w:val="none"/>
          <w:lang w:val="en-US" w:eastAsia="zh-CN"/>
        </w:rPr>
      </w:pPr>
      <w:r>
        <w:rPr>
          <w:rStyle w:val="27"/>
          <w:rFonts w:hint="default" w:ascii="Times New Roman" w:hAnsi="Times New Roman" w:cs="Times New Roman"/>
          <w:b/>
          <w:bCs/>
          <w:sz w:val="28"/>
          <w:szCs w:val="28"/>
          <w:highlight w:val="none"/>
          <w:lang w:val="en-US" w:eastAsia="zh-CN"/>
        </w:rPr>
        <w:t>特别提示：</w:t>
      </w:r>
    </w:p>
    <w:p w14:paraId="1EB73971">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1、采购限额标准以上，200万元以下的货物和服务采购项目、400万元以下的工程采购项目，适宜由中小企业提供的，采购人应当专门面向中小企业采购。</w:t>
      </w:r>
    </w:p>
    <w:p w14:paraId="5426BDB3">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2、超过200万元的货物和服务采购项目，预留该部分采购项目预算总额的30%以上专门面向中小企业采购，其中预留给小微企业的比例不低于60%。</w:t>
      </w:r>
    </w:p>
    <w:p w14:paraId="6729F9CF">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3、超过400万元的工程采购项目中适宜由中小企业提供的，预留该部分采购项目预算总额的40%以上专门面向中小企业采购，其中预留给小微企业的比例不低于60%。</w:t>
      </w:r>
    </w:p>
    <w:p w14:paraId="1DB26E3F">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A924855">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default" w:ascii="Times New Roman" w:hAnsi="Times New Roman" w:cs="Times New Roman"/>
          <w:b w:val="0"/>
          <w:sz w:val="28"/>
          <w:szCs w:val="28"/>
          <w:highlight w:val="none"/>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6E4F515">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p>
    <w:p w14:paraId="2DEE6BB7">
      <w:pPr>
        <w:spacing w:beforeLines="0" w:afterLines="0" w:line="360" w:lineRule="auto"/>
        <w:rPr>
          <w:rStyle w:val="27"/>
          <w:rFonts w:hint="default" w:ascii="Times New Roman" w:hAnsi="Times New Roman" w:eastAsia="黑体" w:cs="Times New Roman"/>
          <w:bCs/>
          <w:sz w:val="28"/>
          <w:szCs w:val="28"/>
          <w:highlight w:val="none"/>
        </w:rPr>
      </w:pPr>
      <w:r>
        <w:rPr>
          <w:rFonts w:hint="default" w:ascii="Times New Roman" w:hAnsi="Times New Roman" w:eastAsia="黑体" w:cs="Times New Roman"/>
          <w:sz w:val="28"/>
          <w:szCs w:val="28"/>
          <w:highlight w:val="none"/>
        </w:rPr>
        <w:t>七、对本次招标提出询问，请按以下方式联系</w:t>
      </w:r>
    </w:p>
    <w:p w14:paraId="574524C5">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eastAsia"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1.采购人信息</w:t>
      </w:r>
    </w:p>
    <w:p w14:paraId="4575B5C0">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eastAsia"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名 称：新疆巴音郭楞蒙古自治州特教学校    </w:t>
      </w:r>
    </w:p>
    <w:p w14:paraId="649BCB2F">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eastAsia"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联系人：赵先生</w:t>
      </w:r>
    </w:p>
    <w:p w14:paraId="7FD0F4D4">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eastAsia"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联系方式：18997611380</w:t>
      </w:r>
    </w:p>
    <w:p w14:paraId="150C4117">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eastAsia" w:ascii="Times New Roman" w:hAnsi="Times New Roman" w:cs="Times New Roman"/>
          <w:b w:val="0"/>
          <w:sz w:val="28"/>
          <w:szCs w:val="28"/>
          <w:highlight w:val="none"/>
          <w:lang w:val="en-US" w:eastAsia="zh-CN"/>
        </w:rPr>
      </w:pPr>
    </w:p>
    <w:p w14:paraId="4EA42D1E">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2.采购代理机构信息</w:t>
      </w:r>
    </w:p>
    <w:p w14:paraId="6C5FA1DA">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名 称：新疆元通利合工程咨询有限公司</w:t>
      </w:r>
    </w:p>
    <w:p w14:paraId="1FE23435">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地 址：库尔勒市艾尚酒店八楼新疆元通利合工程咨询有限公司</w:t>
      </w:r>
    </w:p>
    <w:p w14:paraId="3473AF58">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联系方式：0996-2222267</w:t>
      </w:r>
    </w:p>
    <w:p w14:paraId="0B5A8F39">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项目联系方式</w:t>
      </w:r>
    </w:p>
    <w:p w14:paraId="20FD203E">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eastAsia"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项目联系人：李女士</w:t>
      </w:r>
    </w:p>
    <w:p w14:paraId="4B05F36D">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60" w:firstLineChars="200"/>
        <w:jc w:val="both"/>
        <w:textAlignment w:val="auto"/>
        <w:rPr>
          <w:rStyle w:val="27"/>
          <w:rFonts w:hint="default" w:ascii="Times New Roman" w:hAnsi="Times New Roman" w:cs="Times New Roman"/>
          <w:b w:val="0"/>
          <w:sz w:val="28"/>
          <w:szCs w:val="28"/>
          <w:highlight w:val="none"/>
          <w:lang w:val="en-US" w:eastAsia="zh-CN"/>
        </w:rPr>
      </w:pPr>
      <w:r>
        <w:rPr>
          <w:rStyle w:val="27"/>
          <w:rFonts w:hint="eastAsia" w:ascii="Times New Roman" w:hAnsi="Times New Roman" w:cs="Times New Roman"/>
          <w:b w:val="0"/>
          <w:sz w:val="28"/>
          <w:szCs w:val="28"/>
          <w:highlight w:val="none"/>
          <w:lang w:val="en-US" w:eastAsia="zh-CN"/>
        </w:rPr>
        <w:t>电 话：0996-2222267</w:t>
      </w:r>
    </w:p>
    <w:p w14:paraId="2E56098A">
      <w:pPr>
        <w:adjustRightInd w:val="0"/>
        <w:snapToGrid w:val="0"/>
        <w:spacing w:beforeLines="0" w:afterLines="0" w:line="360" w:lineRule="auto"/>
        <w:ind w:firstLine="560" w:firstLineChars="200"/>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w:t>
      </w:r>
      <w:r>
        <w:rPr>
          <w:rFonts w:hint="default" w:ascii="Times New Roman" w:hAnsi="Times New Roman" w:eastAsia="宋体" w:cs="Times New Roman"/>
          <w:sz w:val="28"/>
          <w:szCs w:val="28"/>
          <w:highlight w:val="none"/>
          <w:u w:val="none"/>
        </w:rPr>
        <w:t>　　　</w:t>
      </w:r>
      <w:r>
        <w:rPr>
          <w:rFonts w:hint="default" w:ascii="Times New Roman" w:hAnsi="Times New Roman" w:eastAsia="宋体" w:cs="Times New Roman"/>
          <w:sz w:val="28"/>
          <w:szCs w:val="28"/>
          <w:highlight w:val="none"/>
        </w:rPr>
        <w:t>　　　　　　</w:t>
      </w:r>
    </w:p>
    <w:p w14:paraId="38BCB228">
      <w:pPr>
        <w:adjustRightInd w:val="0"/>
        <w:snapToGrid w:val="0"/>
        <w:spacing w:beforeLines="0" w:afterLines="0" w:line="360" w:lineRule="auto"/>
        <w:ind w:firstLine="560" w:firstLineChars="200"/>
        <w:jc w:val="both"/>
        <w:rPr>
          <w:rFonts w:hint="default" w:ascii="Times New Roman" w:hAnsi="Times New Roman" w:cs="Times New Roman"/>
          <w:color w:val="FF0000"/>
          <w:sz w:val="28"/>
          <w:szCs w:val="28"/>
          <w:highlight w:val="none"/>
        </w:rPr>
      </w:pPr>
    </w:p>
    <w:p w14:paraId="02EDBACB">
      <w:pPr>
        <w:adjustRightInd w:val="0"/>
        <w:snapToGrid w:val="0"/>
        <w:spacing w:line="360" w:lineRule="auto"/>
        <w:ind w:firstLine="6160" w:firstLineChars="220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br w:type="page"/>
      </w:r>
    </w:p>
    <w:p w14:paraId="76483C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cs="Times New Roman"/>
          <w:sz w:val="28"/>
          <w:szCs w:val="28"/>
          <w:highlight w:val="none"/>
        </w:rPr>
      </w:pPr>
      <w:r>
        <w:rPr>
          <w:rFonts w:hint="default" w:ascii="Times New Roman" w:hAnsi="Times New Roman" w:cs="Times New Roman"/>
          <w:b/>
          <w:bCs/>
          <w:sz w:val="32"/>
          <w:szCs w:val="32"/>
          <w:highlight w:val="none"/>
          <w:lang w:eastAsia="zh-CN"/>
        </w:rPr>
        <w:t>第二章</w:t>
      </w:r>
      <w:r>
        <w:rPr>
          <w:rFonts w:hint="default" w:ascii="Times New Roman" w:hAnsi="Times New Roman" w:cs="Times New Roman"/>
          <w:b/>
          <w:bCs/>
          <w:sz w:val="32"/>
          <w:szCs w:val="32"/>
          <w:highlight w:val="none"/>
          <w:lang w:val="en-US" w:eastAsia="zh-CN"/>
        </w:rPr>
        <w:t xml:space="preserve"> </w:t>
      </w:r>
      <w:r>
        <w:rPr>
          <w:rFonts w:hint="eastAsia" w:ascii="Times New Roman" w:hAnsi="Times New Roman" w:cs="Times New Roman"/>
          <w:b/>
          <w:bCs/>
          <w:sz w:val="32"/>
          <w:szCs w:val="32"/>
          <w:highlight w:val="none"/>
          <w:lang w:eastAsia="zh-CN"/>
        </w:rPr>
        <w:t>投标人</w:t>
      </w:r>
      <w:r>
        <w:rPr>
          <w:rFonts w:hint="default" w:ascii="Times New Roman" w:hAnsi="Times New Roman" w:cs="Times New Roman"/>
          <w:b/>
          <w:bCs/>
          <w:sz w:val="32"/>
          <w:szCs w:val="32"/>
          <w:highlight w:val="none"/>
        </w:rPr>
        <w:t>须知</w:t>
      </w:r>
    </w:p>
    <w:p w14:paraId="6F0E6E98">
      <w:pPr>
        <w:pStyle w:val="23"/>
        <w:keepNext w:val="0"/>
        <w:keepLines w:val="0"/>
        <w:pageBreakBefore w:val="0"/>
        <w:widowControl w:val="0"/>
        <w:kinsoku/>
        <w:wordWrap/>
        <w:overflowPunct/>
        <w:topLinePunct w:val="0"/>
        <w:autoSpaceDE/>
        <w:autoSpaceDN/>
        <w:bidi w:val="0"/>
        <w:spacing w:after="0" w:line="360" w:lineRule="auto"/>
        <w:ind w:left="0" w:leftChars="0" w:right="0" w:rightChars="0" w:firstLine="0" w:firstLineChars="0"/>
        <w:textAlignment w:val="auto"/>
        <w:outlineLvl w:val="9"/>
        <w:rPr>
          <w:rFonts w:hint="default" w:ascii="Times New Roman" w:hAnsi="Times New Roman" w:cs="Times New Roman" w:eastAsiaTheme="minorEastAsia"/>
          <w:b/>
          <w:bCs/>
          <w:sz w:val="28"/>
          <w:szCs w:val="36"/>
          <w:highlight w:val="none"/>
          <w:lang w:eastAsia="zh-CN"/>
        </w:rPr>
      </w:pPr>
      <w:r>
        <w:rPr>
          <w:rFonts w:hint="default" w:ascii="Times New Roman" w:hAnsi="Times New Roman" w:cs="Times New Roman" w:eastAsiaTheme="minorEastAsia"/>
          <w:b/>
          <w:bCs/>
          <w:sz w:val="28"/>
          <w:szCs w:val="36"/>
          <w:highlight w:val="none"/>
          <w:lang w:eastAsia="zh-CN"/>
        </w:rPr>
        <w:t>一、</w:t>
      </w:r>
      <w:r>
        <w:rPr>
          <w:rFonts w:hint="eastAsia" w:ascii="Times New Roman" w:hAnsi="Times New Roman" w:cs="Times New Roman" w:eastAsiaTheme="minorEastAsia"/>
          <w:b/>
          <w:bCs/>
          <w:sz w:val="28"/>
          <w:szCs w:val="36"/>
          <w:highlight w:val="none"/>
          <w:lang w:eastAsia="zh-CN"/>
        </w:rPr>
        <w:t>投标人</w:t>
      </w:r>
      <w:r>
        <w:rPr>
          <w:rFonts w:hint="default" w:ascii="Times New Roman" w:hAnsi="Times New Roman" w:cs="Times New Roman" w:eastAsiaTheme="minorEastAsia"/>
          <w:b/>
          <w:bCs/>
          <w:sz w:val="28"/>
          <w:szCs w:val="36"/>
          <w:highlight w:val="none"/>
          <w:lang w:eastAsia="zh-CN"/>
        </w:rPr>
        <w:t>须知前附表</w:t>
      </w:r>
    </w:p>
    <w:p w14:paraId="658029D1">
      <w:pPr>
        <w:keepNext w:val="0"/>
        <w:keepLines w:val="0"/>
        <w:pageBreakBefore w:val="0"/>
        <w:widowControl w:val="0"/>
        <w:numPr>
          <w:ilvl w:val="-1"/>
          <w:numId w:val="0"/>
        </w:numPr>
        <w:kinsoku w:val="0"/>
        <w:wordWrap/>
        <w:overflowPunct/>
        <w:topLinePunct w:val="0"/>
        <w:autoSpaceDE w:val="0"/>
        <w:autoSpaceDN w:val="0"/>
        <w:bidi w:val="0"/>
        <w:adjustRightInd w:val="0"/>
        <w:snapToGrid w:val="0"/>
        <w:spacing w:beforeLines="0" w:beforeAutospacing="0" w:after="0" w:afterLines="0" w:line="360" w:lineRule="auto"/>
        <w:ind w:left="0" w:leftChars="0" w:firstLine="0" w:firstLineChars="0"/>
        <w:jc w:val="left"/>
        <w:textAlignment w:val="baseline"/>
        <w:rPr>
          <w:rFonts w:hint="default" w:ascii="Times New Roman" w:hAnsi="Times New Roman" w:eastAsia="宋体" w:cs="Times New Roman"/>
          <w:snapToGrid/>
          <w:color w:val="auto"/>
          <w:spacing w:val="0"/>
          <w:w w:val="100"/>
          <w:kern w:val="2"/>
          <w:position w:val="0"/>
          <w:sz w:val="28"/>
          <w:szCs w:val="28"/>
          <w:highlight w:val="none"/>
          <w:lang w:val="en-US" w:eastAsia="zh-CN" w:bidi="ar-SA"/>
        </w:rPr>
      </w:pPr>
      <w:r>
        <w:rPr>
          <w:rFonts w:hint="default" w:ascii="Times New Roman" w:hAnsi="Times New Roman" w:cs="Times New Roman"/>
          <w:snapToGrid/>
          <w:spacing w:val="0"/>
          <w:w w:val="100"/>
          <w:kern w:val="2"/>
          <w:position w:val="0"/>
          <w:sz w:val="28"/>
          <w:szCs w:val="28"/>
          <w:highlight w:val="none"/>
          <w:lang w:val="en-US" w:eastAsia="zh-CN" w:bidi="ar-SA"/>
        </w:rPr>
        <w:t xml:space="preserve">    </w:t>
      </w:r>
      <w:r>
        <w:rPr>
          <w:rFonts w:hint="default" w:ascii="Times New Roman" w:hAnsi="Times New Roman" w:eastAsia="宋体" w:cs="Times New Roman"/>
          <w:snapToGrid/>
          <w:color w:val="auto"/>
          <w:spacing w:val="0"/>
          <w:w w:val="100"/>
          <w:kern w:val="2"/>
          <w:position w:val="0"/>
          <w:sz w:val="28"/>
          <w:szCs w:val="28"/>
          <w:highlight w:val="none"/>
          <w:lang w:val="en-US" w:eastAsia="zh-CN" w:bidi="ar-SA"/>
        </w:rPr>
        <w:t>本表是对</w:t>
      </w:r>
      <w:r>
        <w:rPr>
          <w:rFonts w:hint="eastAsia" w:ascii="Times New Roman" w:hAnsi="Times New Roman" w:cs="Times New Roman"/>
          <w:snapToGrid/>
          <w:spacing w:val="0"/>
          <w:w w:val="100"/>
          <w:kern w:val="2"/>
          <w:position w:val="0"/>
          <w:sz w:val="28"/>
          <w:szCs w:val="28"/>
          <w:highlight w:val="none"/>
          <w:lang w:val="en-US" w:eastAsia="zh-CN" w:bidi="ar-SA"/>
        </w:rPr>
        <w:t>投标人</w:t>
      </w:r>
      <w:r>
        <w:rPr>
          <w:rFonts w:hint="default" w:ascii="Times New Roman" w:hAnsi="Times New Roman" w:eastAsia="宋体" w:cs="Times New Roman"/>
          <w:snapToGrid/>
          <w:color w:val="auto"/>
          <w:spacing w:val="0"/>
          <w:w w:val="100"/>
          <w:kern w:val="2"/>
          <w:position w:val="0"/>
          <w:sz w:val="28"/>
          <w:szCs w:val="28"/>
          <w:highlight w:val="none"/>
          <w:lang w:val="en-US" w:eastAsia="zh-CN" w:bidi="ar-SA"/>
        </w:rPr>
        <w:t>须知的具体补充和修改，如有矛盾，均以本表为准。</w:t>
      </w:r>
    </w:p>
    <w:p w14:paraId="5A783DB9">
      <w:pPr>
        <w:spacing w:beforeLines="0" w:afterLines="0" w:line="360" w:lineRule="auto"/>
        <w:rPr>
          <w:rFonts w:hint="default"/>
          <w:highlight w:val="none"/>
          <w:lang w:eastAsia="zh-CN"/>
        </w:rPr>
      </w:pPr>
      <w:r>
        <w:rPr>
          <w:rFonts w:hint="default" w:ascii="Times New Roman" w:hAnsi="Times New Roman" w:cs="Times New Roman"/>
          <w:snapToGrid/>
          <w:spacing w:val="0"/>
          <w:w w:val="100"/>
          <w:kern w:val="2"/>
          <w:position w:val="0"/>
          <w:sz w:val="28"/>
          <w:szCs w:val="28"/>
          <w:highlight w:val="none"/>
          <w:lang w:val="en-US" w:eastAsia="zh-CN" w:bidi="ar-SA"/>
        </w:rPr>
        <w:t xml:space="preserve">    </w:t>
      </w:r>
      <w:r>
        <w:rPr>
          <w:rFonts w:hint="default" w:ascii="Times New Roman" w:hAnsi="Times New Roman" w:eastAsia="宋体" w:cs="Times New Roman"/>
          <w:snapToGrid/>
          <w:color w:val="auto"/>
          <w:spacing w:val="0"/>
          <w:w w:val="100"/>
          <w:kern w:val="2"/>
          <w:position w:val="0"/>
          <w:sz w:val="28"/>
          <w:szCs w:val="28"/>
          <w:highlight w:val="none"/>
          <w:lang w:val="en-US" w:eastAsia="zh-CN" w:bidi="ar-SA"/>
        </w:rPr>
        <w:t>标记</w:t>
      </w:r>
      <w:r>
        <w:rPr>
          <w:rFonts w:hint="default" w:ascii="Times New Roman" w:hAnsi="Times New Roman" w:eastAsia="宋体" w:cs="Times New Roman"/>
          <w:snapToGrid/>
          <w:color w:val="auto"/>
          <w:spacing w:val="0"/>
          <w:w w:val="100"/>
          <w:kern w:val="2"/>
          <w:position w:val="0"/>
          <w:sz w:val="28"/>
          <w:szCs w:val="28"/>
          <w:highlight w:val="none"/>
          <w:lang w:val="en-US" w:eastAsia="zh-CN" w:bidi="ar-SA"/>
        </w:rPr>
        <w:sym w:font="Wingdings 2" w:char="0052"/>
      </w:r>
      <w:r>
        <w:rPr>
          <w:rFonts w:hint="default" w:ascii="Times New Roman" w:hAnsi="Times New Roman" w:eastAsia="宋体" w:cs="Times New Roman"/>
          <w:snapToGrid/>
          <w:color w:val="auto"/>
          <w:spacing w:val="0"/>
          <w:w w:val="100"/>
          <w:kern w:val="2"/>
          <w:position w:val="0"/>
          <w:sz w:val="28"/>
          <w:szCs w:val="28"/>
          <w:highlight w:val="none"/>
          <w:lang w:val="en-US" w:eastAsia="zh-CN" w:bidi="ar-SA"/>
        </w:rPr>
        <w:t>的选项意为适用于本项目，标记</w:t>
      </w:r>
      <w:r>
        <w:rPr>
          <w:rFonts w:hint="default" w:ascii="Times New Roman" w:hAnsi="Times New Roman" w:eastAsia="宋体" w:cs="Times New Roman"/>
          <w:snapToGrid/>
          <w:color w:val="auto"/>
          <w:spacing w:val="0"/>
          <w:w w:val="100"/>
          <w:kern w:val="2"/>
          <w:position w:val="0"/>
          <w:sz w:val="28"/>
          <w:szCs w:val="28"/>
          <w:highlight w:val="none"/>
          <w:lang w:val="en-US" w:eastAsia="zh-CN" w:bidi="ar-SA"/>
        </w:rPr>
        <w:sym w:font="Wingdings 2" w:char="00A3"/>
      </w:r>
      <w:r>
        <w:rPr>
          <w:rFonts w:hint="default" w:ascii="Times New Roman" w:hAnsi="Times New Roman" w:eastAsia="宋体" w:cs="Times New Roman"/>
          <w:snapToGrid/>
          <w:color w:val="auto"/>
          <w:spacing w:val="0"/>
          <w:w w:val="100"/>
          <w:kern w:val="2"/>
          <w:position w:val="0"/>
          <w:sz w:val="28"/>
          <w:szCs w:val="28"/>
          <w:highlight w:val="none"/>
          <w:lang w:val="en-US" w:eastAsia="zh-CN" w:bidi="ar-SA"/>
        </w:rPr>
        <w:t>的选项意为不适用于本项目。</w:t>
      </w:r>
    </w:p>
    <w:tbl>
      <w:tblPr>
        <w:tblStyle w:val="24"/>
        <w:tblW w:w="918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89"/>
        <w:gridCol w:w="1626"/>
        <w:gridCol w:w="6766"/>
      </w:tblGrid>
      <w:tr w14:paraId="0C024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789" w:type="dxa"/>
            <w:vAlign w:val="center"/>
          </w:tcPr>
          <w:p w14:paraId="6E9F8B39">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b/>
                <w:bCs/>
                <w:sz w:val="28"/>
                <w:szCs w:val="28"/>
                <w:highlight w:val="none"/>
              </w:rPr>
              <w:t>序号</w:t>
            </w:r>
          </w:p>
        </w:tc>
        <w:tc>
          <w:tcPr>
            <w:tcW w:w="1626" w:type="dxa"/>
            <w:vAlign w:val="center"/>
          </w:tcPr>
          <w:p w14:paraId="31A5E165">
            <w:pPr>
              <w:spacing w:beforeLines="0" w:afterLines="0" w:line="360" w:lineRule="auto"/>
              <w:ind w:left="-48" w:leftChars="-23" w:firstLine="50"/>
              <w:jc w:val="center"/>
              <w:rPr>
                <w:rFonts w:hint="default" w:ascii="Times New Roman" w:hAnsi="Times New Roman" w:cs="Times New Roman" w:eastAsiaTheme="minorEastAsia"/>
                <w:b/>
                <w:sz w:val="28"/>
                <w:szCs w:val="28"/>
                <w:highlight w:val="none"/>
                <w:lang w:eastAsia="zh-CN"/>
              </w:rPr>
            </w:pPr>
            <w:r>
              <w:rPr>
                <w:rFonts w:hint="default" w:ascii="Times New Roman" w:hAnsi="Times New Roman" w:cs="Times New Roman" w:eastAsiaTheme="minorEastAsia"/>
                <w:b/>
                <w:sz w:val="28"/>
                <w:szCs w:val="28"/>
                <w:highlight w:val="none"/>
                <w:lang w:eastAsia="zh-CN"/>
              </w:rPr>
              <w:t>事项</w:t>
            </w:r>
          </w:p>
        </w:tc>
        <w:tc>
          <w:tcPr>
            <w:tcW w:w="6766" w:type="dxa"/>
            <w:vAlign w:val="center"/>
          </w:tcPr>
          <w:p w14:paraId="0022FAF0">
            <w:pPr>
              <w:spacing w:beforeLines="0" w:afterLines="0" w:line="360" w:lineRule="auto"/>
              <w:ind w:left="-48" w:leftChars="-23" w:firstLine="50"/>
              <w:jc w:val="center"/>
              <w:rPr>
                <w:rFonts w:hint="default" w:ascii="Times New Roman" w:hAnsi="Times New Roman" w:cs="Times New Roman" w:eastAsiaTheme="minorEastAsia"/>
                <w:b/>
                <w:sz w:val="28"/>
                <w:szCs w:val="28"/>
                <w:highlight w:val="none"/>
              </w:rPr>
            </w:pPr>
            <w:r>
              <w:rPr>
                <w:rFonts w:hint="default" w:ascii="Times New Roman" w:hAnsi="Times New Roman" w:cs="Times New Roman" w:eastAsiaTheme="minorEastAsia"/>
                <w:b/>
                <w:sz w:val="28"/>
                <w:szCs w:val="28"/>
                <w:highlight w:val="none"/>
                <w:lang w:eastAsia="zh-CN"/>
              </w:rPr>
              <w:t>说明和要求</w:t>
            </w:r>
          </w:p>
        </w:tc>
      </w:tr>
      <w:tr w14:paraId="34E90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789" w:type="dxa"/>
            <w:vAlign w:val="center"/>
          </w:tcPr>
          <w:p w14:paraId="49BC34E4">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w:t>
            </w:r>
          </w:p>
        </w:tc>
        <w:tc>
          <w:tcPr>
            <w:tcW w:w="1626" w:type="dxa"/>
            <w:vAlign w:val="center"/>
          </w:tcPr>
          <w:p w14:paraId="2D681D09">
            <w:pPr>
              <w:widowControl/>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核心产品</w:t>
            </w:r>
          </w:p>
          <w:p w14:paraId="4DF606C3">
            <w:pPr>
              <w:widowControl/>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cs="Times New Roman" w:eastAsiaTheme="minorEastAsia"/>
                <w:sz w:val="28"/>
                <w:szCs w:val="28"/>
                <w:highlight w:val="none"/>
                <w:lang w:eastAsia="zh-CN"/>
              </w:rPr>
              <w:t>（适用货物）</w:t>
            </w:r>
          </w:p>
        </w:tc>
        <w:tc>
          <w:tcPr>
            <w:tcW w:w="6766" w:type="dxa"/>
            <w:vAlign w:val="center"/>
          </w:tcPr>
          <w:p w14:paraId="7B762341">
            <w:pPr>
              <w:widowControl/>
              <w:spacing w:beforeLines="0" w:afterLines="0" w:line="360" w:lineRule="auto"/>
              <w:jc w:val="left"/>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是否属于单一产品采购项目：</w:t>
            </w:r>
            <w:r>
              <w:rPr>
                <w:rFonts w:hint="default" w:ascii="Times New Roman" w:hAnsi="Times New Roman" w:cs="Times New Roman" w:eastAsiaTheme="minorEastAsia"/>
                <w:sz w:val="28"/>
                <w:szCs w:val="28"/>
                <w:highlight w:val="none"/>
              </w:rPr>
              <w:sym w:font="Wingdings 2" w:char="00A3"/>
            </w:r>
            <w:r>
              <w:rPr>
                <w:rFonts w:hint="default" w:ascii="Times New Roman" w:hAnsi="Times New Roman" w:cs="Times New Roman" w:eastAsiaTheme="minorEastAsia"/>
                <w:sz w:val="28"/>
                <w:szCs w:val="28"/>
                <w:highlight w:val="none"/>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sym w:font="Wingdings 2" w:char="0052"/>
            </w:r>
            <w:r>
              <w:rPr>
                <w:rFonts w:hint="default" w:ascii="Times New Roman" w:hAnsi="Times New Roman" w:cs="Times New Roman" w:eastAsiaTheme="minorEastAsia"/>
                <w:sz w:val="28"/>
                <w:szCs w:val="28"/>
                <w:highlight w:val="none"/>
              </w:rPr>
              <w:t>否</w:t>
            </w:r>
          </w:p>
          <w:p w14:paraId="7408CB1B">
            <w:pPr>
              <w:spacing w:beforeLines="0" w:afterLines="0" w:line="360" w:lineRule="auto"/>
              <w:rPr>
                <w:rFonts w:hint="eastAsia" w:ascii="Times New Roman" w:hAnsi="Times New Roman" w:eastAsia="宋体" w:cs="Times New Roman"/>
                <w:sz w:val="28"/>
                <w:szCs w:val="28"/>
                <w:highlight w:val="none"/>
                <w:lang w:val="en-US" w:eastAsia="zh-CN"/>
              </w:rPr>
            </w:pPr>
            <w:r>
              <w:rPr>
                <w:rFonts w:hint="default" w:ascii="Times New Roman" w:hAnsi="Times New Roman" w:cs="Times New Roman" w:eastAsiaTheme="minorEastAsia"/>
                <w:sz w:val="28"/>
                <w:szCs w:val="28"/>
                <w:highlight w:val="none"/>
                <w:lang w:eastAsia="zh-CN"/>
              </w:rPr>
              <w:t>（若选择“否”）核心产品为：</w:t>
            </w:r>
            <w:r>
              <w:rPr>
                <w:rFonts w:hint="eastAsia" w:ascii="Times New Roman" w:hAnsi="Times New Roman" w:cs="Times New Roman" w:eastAsiaTheme="minorEastAsia"/>
                <w:sz w:val="28"/>
                <w:szCs w:val="28"/>
                <w:highlight w:val="none"/>
                <w:lang w:val="en-US" w:eastAsia="zh-CN"/>
              </w:rPr>
              <w:t>儿童孤独症测评系统</w:t>
            </w:r>
          </w:p>
        </w:tc>
      </w:tr>
      <w:tr w14:paraId="01531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789" w:type="dxa"/>
            <w:vAlign w:val="center"/>
          </w:tcPr>
          <w:p w14:paraId="19546D4C">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2</w:t>
            </w:r>
          </w:p>
        </w:tc>
        <w:tc>
          <w:tcPr>
            <w:tcW w:w="1626" w:type="dxa"/>
            <w:vAlign w:val="center"/>
          </w:tcPr>
          <w:p w14:paraId="6CE400AF">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进口产品</w:t>
            </w:r>
          </w:p>
          <w:p w14:paraId="3B721AA4">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cs="Times New Roman" w:eastAsiaTheme="minorEastAsia"/>
                <w:sz w:val="28"/>
                <w:szCs w:val="28"/>
                <w:highlight w:val="none"/>
                <w:lang w:eastAsia="zh-CN"/>
              </w:rPr>
              <w:t>（适用货物）</w:t>
            </w:r>
          </w:p>
        </w:tc>
        <w:tc>
          <w:tcPr>
            <w:tcW w:w="6766" w:type="dxa"/>
            <w:vAlign w:val="center"/>
          </w:tcPr>
          <w:p w14:paraId="110FD03A">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是否允许采购进口产品：</w:t>
            </w:r>
            <w:r>
              <w:rPr>
                <w:rFonts w:hint="default" w:ascii="Times New Roman" w:hAnsi="Times New Roman" w:cs="Times New Roman" w:eastAsiaTheme="minorEastAsia"/>
                <w:sz w:val="28"/>
                <w:szCs w:val="28"/>
                <w:highlight w:val="none"/>
              </w:rPr>
              <w:sym w:font="Wingdings 2" w:char="00A3"/>
            </w:r>
            <w:r>
              <w:rPr>
                <w:rFonts w:hint="default" w:ascii="Times New Roman" w:hAnsi="Times New Roman" w:cs="Times New Roman" w:eastAsiaTheme="minorEastAsia"/>
                <w:sz w:val="28"/>
                <w:szCs w:val="28"/>
                <w:highlight w:val="none"/>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sym w:font="Wingdings 2" w:char="0052"/>
            </w:r>
            <w:r>
              <w:rPr>
                <w:rFonts w:hint="default" w:ascii="Times New Roman" w:hAnsi="Times New Roman" w:cs="Times New Roman" w:eastAsiaTheme="minorEastAsia"/>
                <w:sz w:val="28"/>
                <w:szCs w:val="28"/>
                <w:highlight w:val="none"/>
              </w:rPr>
              <w:t>否</w:t>
            </w:r>
          </w:p>
          <w:p w14:paraId="231A3151">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（若选择“是”，需明确允许采购进口产品的具体标的）其中允许采购进口产品的采购标的：</w:t>
            </w:r>
          </w:p>
          <w:p w14:paraId="7F9AA4AE">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（其他采购标的不允许采购进口产品）</w:t>
            </w:r>
          </w:p>
        </w:tc>
      </w:tr>
      <w:tr w14:paraId="0DC40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789" w:type="dxa"/>
            <w:vAlign w:val="center"/>
          </w:tcPr>
          <w:p w14:paraId="6344071C">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3</w:t>
            </w:r>
          </w:p>
        </w:tc>
        <w:tc>
          <w:tcPr>
            <w:tcW w:w="1626" w:type="dxa"/>
            <w:vAlign w:val="center"/>
          </w:tcPr>
          <w:p w14:paraId="7968D277">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科研仪器设备</w:t>
            </w:r>
            <w:r>
              <w:rPr>
                <w:rFonts w:hint="default" w:cs="Times New Roman" w:eastAsiaTheme="minorEastAsia"/>
                <w:sz w:val="28"/>
                <w:szCs w:val="28"/>
                <w:highlight w:val="none"/>
                <w:lang w:eastAsia="zh-CN"/>
              </w:rPr>
              <w:t>（适用货物）</w:t>
            </w:r>
          </w:p>
        </w:tc>
        <w:tc>
          <w:tcPr>
            <w:tcW w:w="6766" w:type="dxa"/>
            <w:vAlign w:val="center"/>
          </w:tcPr>
          <w:p w14:paraId="697081F1">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是否属于科研仪器设备采购项目：</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否</w:t>
            </w:r>
          </w:p>
        </w:tc>
      </w:tr>
      <w:tr w14:paraId="1BA91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789" w:type="dxa"/>
            <w:vAlign w:val="center"/>
          </w:tcPr>
          <w:p w14:paraId="79CCEBAB">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4</w:t>
            </w:r>
          </w:p>
        </w:tc>
        <w:tc>
          <w:tcPr>
            <w:tcW w:w="1626" w:type="dxa"/>
            <w:vAlign w:val="center"/>
          </w:tcPr>
          <w:p w14:paraId="0E2A8ADE">
            <w:pPr>
              <w:widowControl/>
              <w:spacing w:beforeLines="0" w:afterLines="0" w:line="360" w:lineRule="auto"/>
              <w:ind w:left="280" w:hanging="280" w:hangingChars="100"/>
              <w:jc w:val="center"/>
              <w:rPr>
                <w:rStyle w:val="27"/>
                <w:rFonts w:hint="default" w:ascii="Times New Roman" w:hAnsi="Times New Roman" w:cs="Times New Roman" w:eastAsiaTheme="minorEastAsia"/>
                <w:b w:val="0"/>
                <w:sz w:val="28"/>
                <w:szCs w:val="28"/>
                <w:highlight w:val="none"/>
                <w:lang w:eastAsia="zh-CN"/>
              </w:rPr>
            </w:pPr>
            <w:r>
              <w:rPr>
                <w:rStyle w:val="27"/>
                <w:rFonts w:hint="default" w:ascii="Times New Roman" w:hAnsi="Times New Roman" w:cs="Times New Roman" w:eastAsiaTheme="minorEastAsia"/>
                <w:b w:val="0"/>
                <w:sz w:val="28"/>
                <w:szCs w:val="28"/>
                <w:highlight w:val="none"/>
                <w:lang w:eastAsia="zh-CN"/>
              </w:rPr>
              <w:t>现场考察</w:t>
            </w:r>
          </w:p>
        </w:tc>
        <w:tc>
          <w:tcPr>
            <w:tcW w:w="6766" w:type="dxa"/>
            <w:vAlign w:val="center"/>
          </w:tcPr>
          <w:p w14:paraId="651783BC">
            <w:pPr>
              <w:widowControl/>
              <w:spacing w:beforeLines="0" w:afterLines="0" w:line="360" w:lineRule="auto"/>
              <w:ind w:firstLine="0" w:firstLineChars="0"/>
              <w:jc w:val="left"/>
              <w:rPr>
                <w:rFonts w:hint="default" w:eastAsiaTheme="minorEastAsia"/>
                <w:sz w:val="28"/>
                <w:szCs w:val="28"/>
                <w:highlight w:val="none"/>
                <w:lang w:eastAsia="zh-CN"/>
              </w:rPr>
            </w:pPr>
            <w:r>
              <w:rPr>
                <w:rFonts w:hint="default" w:eastAsiaTheme="minorEastAsia"/>
                <w:sz w:val="28"/>
                <w:szCs w:val="28"/>
                <w:highlight w:val="none"/>
                <w:lang w:eastAsia="zh-CN"/>
              </w:rPr>
              <w:t>是否组织现场考察：</w:t>
            </w:r>
            <w:r>
              <w:rPr>
                <w:rFonts w:hint="default" w:eastAsiaTheme="minorEastAsia"/>
                <w:sz w:val="28"/>
                <w:szCs w:val="28"/>
                <w:highlight w:val="none"/>
                <w:lang w:eastAsia="zh-CN"/>
              </w:rPr>
              <w:sym w:font="Wingdings 2" w:char="00A3"/>
            </w:r>
            <w:r>
              <w:rPr>
                <w:rFonts w:hint="default" w:eastAsiaTheme="minorEastAsia"/>
                <w:sz w:val="28"/>
                <w:szCs w:val="28"/>
                <w:highlight w:val="none"/>
                <w:lang w:eastAsia="zh-CN"/>
              </w:rPr>
              <w:t>是</w:t>
            </w:r>
            <w:r>
              <w:rPr>
                <w:rFonts w:hint="default" w:eastAsiaTheme="minorEastAsia"/>
                <w:sz w:val="28"/>
                <w:szCs w:val="28"/>
                <w:highlight w:val="none"/>
                <w:lang w:val="en-US" w:eastAsia="zh-CN"/>
              </w:rPr>
              <w:t xml:space="preserve">  </w:t>
            </w:r>
            <w:r>
              <w:rPr>
                <w:rFonts w:hint="default" w:eastAsiaTheme="minorEastAsia"/>
                <w:sz w:val="28"/>
                <w:szCs w:val="28"/>
                <w:highlight w:val="none"/>
                <w:lang w:eastAsia="zh-CN"/>
              </w:rPr>
              <w:sym w:font="Wingdings 2" w:char="0052"/>
            </w:r>
            <w:r>
              <w:rPr>
                <w:rFonts w:hint="default" w:eastAsiaTheme="minorEastAsia"/>
                <w:sz w:val="28"/>
                <w:szCs w:val="28"/>
                <w:highlight w:val="none"/>
                <w:lang w:eastAsia="zh-CN"/>
              </w:rPr>
              <w:t>否</w:t>
            </w:r>
          </w:p>
          <w:p w14:paraId="604D3D5A">
            <w:pPr>
              <w:widowControl/>
              <w:spacing w:beforeLines="0" w:afterLines="0" w:line="360" w:lineRule="auto"/>
              <w:ind w:left="0" w:firstLine="0" w:firstLineChars="0"/>
              <w:jc w:val="left"/>
              <w:rPr>
                <w:rFonts w:hint="default"/>
                <w:highlight w:val="none"/>
              </w:rPr>
            </w:pPr>
            <w:r>
              <w:rPr>
                <w:rFonts w:hint="default" w:eastAsiaTheme="minorEastAsia"/>
                <w:sz w:val="28"/>
                <w:szCs w:val="28"/>
                <w:highlight w:val="none"/>
                <w:lang w:eastAsia="zh-CN"/>
              </w:rPr>
              <w:t>（若选择“是”）</w:t>
            </w:r>
            <w:r>
              <w:rPr>
                <w:rStyle w:val="27"/>
                <w:rFonts w:hint="default" w:ascii="Times New Roman" w:hAnsi="Times New Roman" w:cs="Times New Roman"/>
                <w:b w:val="0"/>
                <w:sz w:val="28"/>
                <w:szCs w:val="28"/>
                <w:highlight w:val="none"/>
                <w:u w:val="none"/>
                <w:lang w:val="en-US" w:eastAsia="zh-CN"/>
              </w:rPr>
              <w:t xml:space="preserve">     </w:t>
            </w:r>
          </w:p>
        </w:tc>
      </w:tr>
      <w:tr w14:paraId="47CCD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trPr>
        <w:tc>
          <w:tcPr>
            <w:tcW w:w="789" w:type="dxa"/>
            <w:vAlign w:val="center"/>
          </w:tcPr>
          <w:p w14:paraId="435855BF">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5</w:t>
            </w:r>
          </w:p>
        </w:tc>
        <w:tc>
          <w:tcPr>
            <w:tcW w:w="1626" w:type="dxa"/>
            <w:vAlign w:val="center"/>
          </w:tcPr>
          <w:p w14:paraId="260C6719">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开标前答疑会</w:t>
            </w:r>
          </w:p>
        </w:tc>
        <w:tc>
          <w:tcPr>
            <w:tcW w:w="6766" w:type="dxa"/>
            <w:vAlign w:val="center"/>
          </w:tcPr>
          <w:p w14:paraId="0492990B">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是否召开开标前答疑会：</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否</w:t>
            </w:r>
          </w:p>
          <w:p w14:paraId="480F8348">
            <w:pPr>
              <w:widowControl/>
              <w:spacing w:beforeLines="0" w:afterLines="0" w:line="360" w:lineRule="auto"/>
              <w:ind w:firstLine="0" w:firstLineChars="0"/>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（若选择“是”）</w:t>
            </w:r>
          </w:p>
          <w:p w14:paraId="07588A77">
            <w:pPr>
              <w:spacing w:beforeLines="0" w:afterLines="0" w:line="360" w:lineRule="auto"/>
              <w:rPr>
                <w:rFonts w:hint="default" w:ascii="Times New Roman" w:hAnsi="Times New Roman" w:cs="Times New Roman" w:eastAsiaTheme="minorEastAsia"/>
                <w:sz w:val="28"/>
                <w:szCs w:val="28"/>
                <w:highlight w:val="none"/>
              </w:rPr>
            </w:pPr>
            <w:r>
              <w:rPr>
                <w:rFonts w:hint="default" w:eastAsiaTheme="minorEastAsia"/>
                <w:sz w:val="28"/>
                <w:szCs w:val="28"/>
                <w:highlight w:val="none"/>
                <w:lang w:val="en-US" w:eastAsia="zh-CN"/>
              </w:rPr>
              <w:t>相关要求：</w:t>
            </w:r>
            <w:r>
              <w:rPr>
                <w:rStyle w:val="27"/>
                <w:rFonts w:hint="default" w:ascii="Times New Roman" w:hAnsi="Times New Roman" w:cs="Times New Roman"/>
                <w:b w:val="0"/>
                <w:sz w:val="28"/>
                <w:szCs w:val="28"/>
                <w:highlight w:val="none"/>
                <w:u w:val="none"/>
                <w:lang w:val="en-US" w:eastAsia="zh-CN"/>
              </w:rPr>
              <w:t xml:space="preserve"> </w:t>
            </w:r>
          </w:p>
        </w:tc>
      </w:tr>
      <w:tr w14:paraId="344222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789" w:type="dxa"/>
            <w:vAlign w:val="center"/>
          </w:tcPr>
          <w:p w14:paraId="5E0879A6">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6</w:t>
            </w:r>
          </w:p>
        </w:tc>
        <w:tc>
          <w:tcPr>
            <w:tcW w:w="1626" w:type="dxa"/>
            <w:vAlign w:val="center"/>
          </w:tcPr>
          <w:p w14:paraId="50447A82">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样品</w:t>
            </w:r>
          </w:p>
          <w:p w14:paraId="29C1FF00">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cs="Times New Roman" w:eastAsiaTheme="minorEastAsia"/>
                <w:sz w:val="28"/>
                <w:szCs w:val="28"/>
                <w:highlight w:val="none"/>
                <w:lang w:eastAsia="zh-CN"/>
              </w:rPr>
              <w:t>（适用货物）</w:t>
            </w:r>
          </w:p>
        </w:tc>
        <w:tc>
          <w:tcPr>
            <w:tcW w:w="6766" w:type="dxa"/>
            <w:vAlign w:val="center"/>
          </w:tcPr>
          <w:p w14:paraId="533E0B9B">
            <w:pPr>
              <w:widowControl/>
              <w:spacing w:beforeLines="0" w:afterLines="0" w:line="360" w:lineRule="auto"/>
              <w:ind w:firstLine="0" w:firstLineChars="0"/>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是否需要提交样品：</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否</w:t>
            </w:r>
          </w:p>
          <w:p w14:paraId="2BDEDCD2">
            <w:pPr>
              <w:widowControl/>
              <w:spacing w:beforeLines="0" w:afterLines="0" w:line="360" w:lineRule="auto"/>
              <w:ind w:firstLine="0" w:firstLineChars="0"/>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（若选择“是”）样品具体要求如下：</w:t>
            </w:r>
          </w:p>
          <w:p w14:paraId="6BF83329">
            <w:pPr>
              <w:pStyle w:val="23"/>
              <w:numPr>
                <w:ilvl w:val="0"/>
                <w:numId w:val="2"/>
              </w:numPr>
              <w:spacing w:beforeLines="0" w:after="0" w:afterLines="0" w:line="360" w:lineRule="auto"/>
              <w:ind w:left="0" w:leftChars="0" w:firstLine="0" w:firstLineChars="0"/>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样品制作的标准和要求：</w:t>
            </w:r>
          </w:p>
          <w:p w14:paraId="7659491D">
            <w:pPr>
              <w:pStyle w:val="23"/>
              <w:numPr>
                <w:ilvl w:val="0"/>
                <w:numId w:val="2"/>
              </w:numPr>
              <w:spacing w:beforeLines="0" w:after="0" w:afterLines="0" w:line="360" w:lineRule="auto"/>
              <w:ind w:left="0" w:leftChars="0" w:firstLine="0" w:firstLineChars="0"/>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是否需要随样品提交相关检测报告：</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否（若选择“是”，还需明确检测机构的要求、检测内容等）</w:t>
            </w:r>
          </w:p>
          <w:p w14:paraId="336E5E00">
            <w:pPr>
              <w:pStyle w:val="15"/>
              <w:numPr>
                <w:ilvl w:val="0"/>
                <w:numId w:val="2"/>
              </w:numPr>
              <w:kinsoku w:val="0"/>
              <w:overflowPunct w:val="0"/>
              <w:autoSpaceDE w:val="0"/>
              <w:autoSpaceDN w:val="0"/>
              <w:adjustRightInd w:val="0"/>
              <w:snapToGrid w:val="0"/>
              <w:spacing w:beforeLines="0" w:afterLines="0" w:line="360" w:lineRule="auto"/>
              <w:ind w:firstLine="0" w:firstLineChars="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样品提交要求：</w:t>
            </w:r>
          </w:p>
          <w:p w14:paraId="3AC9600B">
            <w:pPr>
              <w:pStyle w:val="15"/>
              <w:numPr>
                <w:ilvl w:val="0"/>
                <w:numId w:val="2"/>
              </w:numPr>
              <w:kinsoku w:val="0"/>
              <w:overflowPunct w:val="0"/>
              <w:autoSpaceDE w:val="0"/>
              <w:autoSpaceDN w:val="0"/>
              <w:adjustRightInd w:val="0"/>
              <w:snapToGrid w:val="0"/>
              <w:spacing w:beforeLines="0" w:afterLines="0" w:line="360" w:lineRule="auto"/>
              <w:ind w:firstLine="0" w:firstLineChars="0"/>
              <w:rPr>
                <w:rFonts w:hint="default" w:ascii="Times New Roman" w:hAnsi="Times New Roman" w:cs="Times New Roman" w:eastAsiaTheme="minorEastAsia"/>
                <w:b/>
                <w:bCs/>
                <w:i/>
                <w:iCs/>
                <w:sz w:val="28"/>
                <w:szCs w:val="28"/>
                <w:highlight w:val="none"/>
                <w:lang w:eastAsia="zh-CN"/>
              </w:rPr>
            </w:pPr>
            <w:r>
              <w:rPr>
                <w:rFonts w:hint="default" w:ascii="Times New Roman" w:hAnsi="Times New Roman" w:cs="Times New Roman" w:eastAsiaTheme="minorEastAsia"/>
                <w:sz w:val="28"/>
                <w:szCs w:val="28"/>
                <w:highlight w:val="none"/>
                <w:lang w:eastAsia="zh-CN"/>
              </w:rPr>
              <w:t>未中标人样品</w:t>
            </w:r>
            <w:r>
              <w:rPr>
                <w:rFonts w:hint="default" w:ascii="Times New Roman" w:hAnsi="Times New Roman" w:cs="Times New Roman" w:eastAsiaTheme="minorEastAsia"/>
                <w:b/>
                <w:bCs/>
                <w:i/>
                <w:iCs/>
                <w:sz w:val="28"/>
                <w:szCs w:val="28"/>
                <w:highlight w:val="none"/>
                <w:lang w:eastAsia="zh-CN"/>
              </w:rPr>
              <w:t>：</w:t>
            </w:r>
          </w:p>
          <w:p w14:paraId="512422EA">
            <w:pPr>
              <w:pStyle w:val="15"/>
              <w:numPr>
                <w:ilvl w:val="0"/>
                <w:numId w:val="2"/>
              </w:numPr>
              <w:kinsoku w:val="0"/>
              <w:overflowPunct w:val="0"/>
              <w:autoSpaceDE w:val="0"/>
              <w:autoSpaceDN w:val="0"/>
              <w:adjustRightInd w:val="0"/>
              <w:snapToGrid w:val="0"/>
              <w:spacing w:beforeLines="0" w:afterLines="0" w:line="360" w:lineRule="auto"/>
              <w:ind w:firstLine="0" w:firstLineChars="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中标人样品保管、封存：</w:t>
            </w:r>
          </w:p>
          <w:p w14:paraId="4A84D8C8">
            <w:pPr>
              <w:pStyle w:val="15"/>
              <w:numPr>
                <w:ilvl w:val="0"/>
                <w:numId w:val="2"/>
              </w:numPr>
              <w:kinsoku w:val="0"/>
              <w:overflowPunct w:val="0"/>
              <w:autoSpaceDE w:val="0"/>
              <w:autoSpaceDN w:val="0"/>
              <w:adjustRightInd w:val="0"/>
              <w:snapToGrid w:val="0"/>
              <w:spacing w:beforeLines="0" w:afterLines="0" w:line="360" w:lineRule="auto"/>
              <w:ind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其他要求（如有）：</w:t>
            </w:r>
          </w:p>
        </w:tc>
      </w:tr>
      <w:tr w14:paraId="5B920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789" w:type="dxa"/>
            <w:vMerge w:val="restart"/>
            <w:vAlign w:val="center"/>
          </w:tcPr>
          <w:p w14:paraId="67722F30">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7</w:t>
            </w:r>
          </w:p>
        </w:tc>
        <w:tc>
          <w:tcPr>
            <w:tcW w:w="1626" w:type="dxa"/>
            <w:vAlign w:val="center"/>
          </w:tcPr>
          <w:p w14:paraId="5ED2912E">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报价方式</w:t>
            </w:r>
          </w:p>
        </w:tc>
        <w:tc>
          <w:tcPr>
            <w:tcW w:w="6766" w:type="dxa"/>
            <w:vAlign w:val="center"/>
          </w:tcPr>
          <w:p w14:paraId="60F02BB1">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sym w:font="Wingdings 2" w:char="0052"/>
            </w:r>
            <w:r>
              <w:rPr>
                <w:rFonts w:hint="default" w:ascii="Times New Roman" w:hAnsi="Times New Roman" w:cs="Times New Roman" w:eastAsiaTheme="minorEastAsia"/>
                <w:sz w:val="28"/>
                <w:szCs w:val="28"/>
                <w:highlight w:val="none"/>
              </w:rPr>
              <w:t xml:space="preserve">总价  </w:t>
            </w:r>
            <w:r>
              <w:rPr>
                <w:rFonts w:hint="default" w:ascii="Times New Roman" w:hAnsi="Times New Roman" w:cs="Times New Roman" w:eastAsiaTheme="minorEastAsia"/>
                <w:sz w:val="28"/>
                <w:szCs w:val="28"/>
                <w:highlight w:val="none"/>
              </w:rPr>
              <w:sym w:font="Wingdings 2" w:char="00A3"/>
            </w:r>
            <w:r>
              <w:rPr>
                <w:rFonts w:hint="default" w:ascii="Times New Roman" w:hAnsi="Times New Roman" w:cs="Times New Roman" w:eastAsiaTheme="minorEastAsia"/>
                <w:sz w:val="28"/>
                <w:szCs w:val="28"/>
                <w:highlight w:val="none"/>
              </w:rPr>
              <w:t xml:space="preserve">单价  </w:t>
            </w:r>
            <w:r>
              <w:rPr>
                <w:rFonts w:hint="default" w:ascii="Times New Roman" w:hAnsi="Times New Roman" w:cs="Times New Roman" w:eastAsiaTheme="minorEastAsia"/>
                <w:sz w:val="28"/>
                <w:szCs w:val="28"/>
                <w:highlight w:val="none"/>
              </w:rPr>
              <w:sym w:font="Wingdings 2" w:char="00A3"/>
            </w:r>
            <w:r>
              <w:rPr>
                <w:rFonts w:hint="default" w:ascii="Times New Roman" w:hAnsi="Times New Roman" w:cs="Times New Roman" w:eastAsiaTheme="minorEastAsia"/>
                <w:sz w:val="28"/>
                <w:szCs w:val="28"/>
                <w:highlight w:val="none"/>
              </w:rPr>
              <w:t xml:space="preserve">费率  </w:t>
            </w:r>
            <w:r>
              <w:rPr>
                <w:rFonts w:hint="default" w:ascii="Times New Roman" w:hAnsi="Times New Roman" w:cs="Times New Roman" w:eastAsiaTheme="minorEastAsia"/>
                <w:sz w:val="28"/>
                <w:szCs w:val="28"/>
                <w:highlight w:val="none"/>
              </w:rPr>
              <w:sym w:font="Wingdings 2" w:char="00A3"/>
            </w:r>
            <w:r>
              <w:rPr>
                <w:rFonts w:hint="default" w:ascii="Times New Roman" w:hAnsi="Times New Roman" w:cs="Times New Roman" w:eastAsiaTheme="minorEastAsia"/>
                <w:sz w:val="28"/>
                <w:szCs w:val="28"/>
                <w:highlight w:val="none"/>
              </w:rPr>
              <w:t>折扣</w:t>
            </w:r>
            <w:r>
              <w:rPr>
                <w:rFonts w:hint="default" w:ascii="Times New Roman" w:hAnsi="Times New Roman" w:cs="Times New Roman" w:eastAsiaTheme="minorEastAsia"/>
                <w:sz w:val="28"/>
                <w:szCs w:val="28"/>
                <w:highlight w:val="none"/>
                <w:lang w:val="en-US" w:eastAsia="zh-CN"/>
              </w:rPr>
              <w:t xml:space="preserve">   </w:t>
            </w:r>
            <w:r>
              <w:rPr>
                <w:rFonts w:hint="default" w:cs="Times New Roman" w:eastAsiaTheme="minorEastAsia"/>
                <w:sz w:val="28"/>
                <w:szCs w:val="28"/>
                <w:highlight w:val="none"/>
                <w:lang w:eastAsia="zh-CN"/>
              </w:rPr>
              <w:sym w:font="Wingdings 2" w:char="00A3"/>
            </w:r>
            <w:r>
              <w:rPr>
                <w:rFonts w:hint="default" w:cs="Times New Roman" w:eastAsiaTheme="minorEastAsia"/>
                <w:sz w:val="28"/>
                <w:szCs w:val="28"/>
                <w:highlight w:val="none"/>
                <w:lang w:val="en-US" w:eastAsia="zh-CN"/>
              </w:rPr>
              <w:t>优惠率</w:t>
            </w:r>
          </w:p>
        </w:tc>
      </w:tr>
      <w:tr w14:paraId="2DA1B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789" w:type="dxa"/>
            <w:vMerge w:val="continue"/>
            <w:vAlign w:val="center"/>
          </w:tcPr>
          <w:p w14:paraId="72CB9C0B">
            <w:pPr>
              <w:spacing w:beforeLines="0" w:afterLines="0" w:line="360" w:lineRule="auto"/>
              <w:jc w:val="center"/>
              <w:rPr>
                <w:rFonts w:hint="default" w:ascii="Times New Roman" w:hAnsi="Times New Roman" w:cs="Times New Roman" w:eastAsiaTheme="minorEastAsia"/>
                <w:sz w:val="28"/>
                <w:szCs w:val="28"/>
                <w:highlight w:val="none"/>
                <w:lang w:eastAsia="zh-CN"/>
              </w:rPr>
            </w:pPr>
          </w:p>
        </w:tc>
        <w:tc>
          <w:tcPr>
            <w:tcW w:w="1626" w:type="dxa"/>
            <w:vAlign w:val="center"/>
          </w:tcPr>
          <w:p w14:paraId="3C57A645">
            <w:pPr>
              <w:spacing w:beforeLines="0" w:afterLines="0" w:line="360" w:lineRule="auto"/>
              <w:jc w:val="center"/>
              <w:rPr>
                <w:rFonts w:hint="default" w:ascii="Times New Roman" w:hAnsi="Times New Roman"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最高限价</w:t>
            </w:r>
          </w:p>
        </w:tc>
        <w:tc>
          <w:tcPr>
            <w:tcW w:w="6766" w:type="dxa"/>
            <w:vAlign w:val="center"/>
          </w:tcPr>
          <w:p w14:paraId="2B0D76D3">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本次采购总预算：</w:t>
            </w:r>
            <w:r>
              <w:rPr>
                <w:rFonts w:hint="eastAsia" w:cs="Times New Roman" w:eastAsiaTheme="minorEastAsia"/>
                <w:sz w:val="28"/>
                <w:szCs w:val="28"/>
                <w:highlight w:val="none"/>
                <w:u w:val="single"/>
                <w:lang w:val="en-US" w:eastAsia="zh-CN"/>
              </w:rPr>
              <w:t xml:space="preserve"> 297500</w:t>
            </w:r>
            <w:r>
              <w:rPr>
                <w:rFonts w:hint="default" w:ascii="Times New Roman" w:hAnsi="Times New Roman" w:cs="Times New Roman" w:eastAsiaTheme="minorEastAsia"/>
                <w:sz w:val="28"/>
                <w:szCs w:val="28"/>
                <w:highlight w:val="none"/>
              </w:rPr>
              <w:t>元。最高限价：</w:t>
            </w:r>
            <w:r>
              <w:rPr>
                <w:rFonts w:hint="eastAsia" w:cs="Times New Roman" w:eastAsiaTheme="minorEastAsia"/>
                <w:sz w:val="28"/>
                <w:szCs w:val="28"/>
                <w:highlight w:val="none"/>
                <w:u w:val="single"/>
                <w:lang w:val="en-US" w:eastAsia="zh-CN"/>
              </w:rPr>
              <w:t>297500</w:t>
            </w:r>
            <w:r>
              <w:rPr>
                <w:rFonts w:hint="default" w:ascii="Times New Roman" w:hAnsi="Times New Roman" w:cs="Times New Roman" w:eastAsiaTheme="minorEastAsia"/>
                <w:sz w:val="28"/>
                <w:szCs w:val="28"/>
                <w:highlight w:val="none"/>
              </w:rPr>
              <w:t>元。各供应商的报价一览表超出此范围将作废标处理。</w:t>
            </w:r>
          </w:p>
        </w:tc>
      </w:tr>
      <w:tr w14:paraId="0327F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789" w:type="dxa"/>
            <w:vMerge w:val="continue"/>
            <w:vAlign w:val="center"/>
          </w:tcPr>
          <w:p w14:paraId="74FD9B15">
            <w:pPr>
              <w:spacing w:beforeLines="0" w:afterLines="0" w:line="360" w:lineRule="auto"/>
              <w:jc w:val="center"/>
              <w:rPr>
                <w:rFonts w:hint="default" w:ascii="Times New Roman" w:hAnsi="Times New Roman" w:cs="Times New Roman" w:eastAsiaTheme="minorEastAsia"/>
                <w:sz w:val="28"/>
                <w:szCs w:val="28"/>
                <w:highlight w:val="none"/>
                <w:lang w:eastAsia="zh-CN"/>
              </w:rPr>
            </w:pPr>
          </w:p>
        </w:tc>
        <w:tc>
          <w:tcPr>
            <w:tcW w:w="1626" w:type="dxa"/>
            <w:vAlign w:val="center"/>
          </w:tcPr>
          <w:p w14:paraId="78674927">
            <w:pPr>
              <w:spacing w:beforeLines="0" w:afterLines="0" w:line="360" w:lineRule="auto"/>
              <w:jc w:val="center"/>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投标人报价明显低于其他通过符合性审查投标人的报价</w:t>
            </w:r>
          </w:p>
        </w:tc>
        <w:tc>
          <w:tcPr>
            <w:tcW w:w="6766" w:type="dxa"/>
            <w:vAlign w:val="center"/>
          </w:tcPr>
          <w:p w14:paraId="42A6F383">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 xml:space="preserve">根据“财政部87号令《政府采购货物服务招标投标管理办法》”第六十条之规定：评标委员会认为投标人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p>
          <w:p w14:paraId="02D2582C">
            <w:pPr>
              <w:rPr>
                <w:rFonts w:hint="eastAsia" w:ascii="仿宋" w:hAnsi="仿宋" w:eastAsia="仿宋" w:cs="仿宋"/>
                <w:b/>
                <w:bCs/>
                <w:szCs w:val="21"/>
                <w:highlight w:val="none"/>
              </w:rPr>
            </w:pPr>
            <w:r>
              <w:rPr>
                <w:rFonts w:hint="eastAsia" w:ascii="仿宋" w:hAnsi="仿宋" w:eastAsia="仿宋" w:cs="仿宋"/>
                <w:b/>
                <w:bCs/>
                <w:szCs w:val="21"/>
                <w:highlight w:val="none"/>
                <w:lang w:val="en-US" w:eastAsia="zh-CN"/>
              </w:rPr>
              <w:t>报价合理性说明：评标委员会认为投标人的报价明显低于其他通过符合性审查投标人的报价，有可能影响货物质量或者不能诚信履约的，评审委员会应当启动异常低价投标（响应）审查程序：</w:t>
            </w:r>
          </w:p>
          <w:p w14:paraId="156376BA">
            <w:pPr>
              <w:rPr>
                <w:rFonts w:hint="eastAsia" w:ascii="仿宋" w:hAnsi="仿宋" w:eastAsia="仿宋" w:cs="仿宋"/>
                <w:b/>
                <w:bCs/>
                <w:szCs w:val="21"/>
                <w:highlight w:val="none"/>
              </w:rPr>
            </w:pPr>
            <w:r>
              <w:rPr>
                <w:rFonts w:hint="eastAsia" w:ascii="仿宋" w:hAnsi="仿宋" w:eastAsia="仿宋" w:cs="仿宋"/>
                <w:b/>
                <w:bCs/>
                <w:szCs w:val="21"/>
                <w:highlight w:val="none"/>
                <w:lang w:val="en-US" w:eastAsia="zh-CN"/>
              </w:rPr>
              <w:t>（1）投标（响应）报价低于全部通过符合性审查供应商投标（响应）报价平均值50%的，即投标（响应）报价&lt;全部通过符合性审查供应商投标（响应）报价平均值×50%；</w:t>
            </w:r>
          </w:p>
          <w:p w14:paraId="50F57E38">
            <w:pPr>
              <w:rPr>
                <w:rFonts w:hint="eastAsia" w:ascii="仿宋" w:hAnsi="仿宋" w:eastAsia="仿宋" w:cs="仿宋"/>
                <w:b/>
                <w:bCs/>
                <w:szCs w:val="21"/>
                <w:highlight w:val="none"/>
              </w:rPr>
            </w:pPr>
            <w:r>
              <w:rPr>
                <w:rFonts w:hint="eastAsia" w:ascii="仿宋" w:hAnsi="仿宋" w:eastAsia="仿宋" w:cs="仿宋"/>
                <w:b/>
                <w:bCs/>
                <w:szCs w:val="21"/>
                <w:highlight w:val="none"/>
                <w:lang w:val="en-US" w:eastAsia="zh-CN"/>
              </w:rPr>
              <w:t>（2）投标（响应）报价低于通过符合性审查的次低报价供应商投标（响应）报价50%的，即投标（响应）报价&lt;通过符合性审查的次低报价供应商投标（响应）报价×50%；</w:t>
            </w:r>
          </w:p>
          <w:p w14:paraId="2233647C">
            <w:pPr>
              <w:rPr>
                <w:rFonts w:hint="eastAsia" w:ascii="仿宋" w:hAnsi="仿宋" w:eastAsia="仿宋" w:cs="仿宋"/>
                <w:b/>
                <w:bCs/>
                <w:szCs w:val="21"/>
                <w:highlight w:val="none"/>
              </w:rPr>
            </w:pPr>
            <w:r>
              <w:rPr>
                <w:rFonts w:hint="eastAsia" w:ascii="仿宋" w:hAnsi="仿宋" w:eastAsia="仿宋" w:cs="仿宋"/>
                <w:b/>
                <w:bCs/>
                <w:szCs w:val="21"/>
                <w:highlight w:val="none"/>
                <w:lang w:val="en-US" w:eastAsia="zh-CN"/>
              </w:rPr>
              <w:t>（3）投标（响应）报价低于采购项目最高限价45%的，即投标（响应）报价&lt;采购项目最高限价×45%；</w:t>
            </w:r>
          </w:p>
          <w:p w14:paraId="1039B3FF">
            <w:pPr>
              <w:rPr>
                <w:rFonts w:hint="eastAsia" w:ascii="仿宋" w:hAnsi="仿宋" w:eastAsia="仿宋" w:cs="仿宋"/>
                <w:b/>
                <w:bCs/>
                <w:szCs w:val="21"/>
                <w:highlight w:val="none"/>
              </w:rPr>
            </w:pPr>
            <w:r>
              <w:rPr>
                <w:rFonts w:hint="eastAsia" w:ascii="仿宋" w:hAnsi="仿宋" w:eastAsia="仿宋" w:cs="仿宋"/>
                <w:b/>
                <w:bCs/>
                <w:szCs w:val="21"/>
                <w:highlight w:val="none"/>
                <w:lang w:val="en-US" w:eastAsia="zh-CN"/>
              </w:rPr>
              <w:t>（4）评审委员会基于专业判断，认为供应商报价过低，有可能影响产品质量或者不能诚信履约的其他情形。</w:t>
            </w:r>
          </w:p>
          <w:p w14:paraId="0105434F">
            <w:pPr>
              <w:rPr>
                <w:rFonts w:hint="eastAsia" w:ascii="仿宋" w:hAnsi="仿宋" w:eastAsia="仿宋" w:cs="仿宋"/>
                <w:b/>
                <w:bCs/>
                <w:szCs w:val="21"/>
                <w:highlight w:val="none"/>
              </w:rPr>
            </w:pPr>
            <w:r>
              <w:rPr>
                <w:rFonts w:hint="eastAsia" w:ascii="仿宋" w:hAnsi="仿宋" w:eastAsia="仿宋" w:cs="仿宋"/>
                <w:b/>
                <w:bCs/>
                <w:szCs w:val="21"/>
                <w:highlight w:val="none"/>
                <w:lang w:val="en-US" w:eastAsia="zh-CN"/>
              </w:rPr>
              <w:t>采购人可以结合具体项目实际情况，提高上述第1项至第3项中启动异常低价投标（响应）审查的数值标准，但是最高不得超过65%。</w:t>
            </w:r>
          </w:p>
          <w:p w14:paraId="164990BE">
            <w:pPr>
              <w:rPr>
                <w:rFonts w:hint="eastAsia" w:ascii="仿宋" w:hAnsi="仿宋" w:eastAsia="仿宋" w:cs="仿宋"/>
                <w:b/>
                <w:bCs/>
                <w:szCs w:val="21"/>
                <w:highlight w:val="none"/>
              </w:rPr>
            </w:pPr>
            <w:r>
              <w:rPr>
                <w:rFonts w:hint="eastAsia" w:ascii="仿宋" w:hAnsi="仿宋" w:eastAsia="仿宋" w:cs="仿宋"/>
                <w:b/>
                <w:bCs/>
                <w:szCs w:val="21"/>
                <w:highlight w:val="none"/>
                <w:lang w:val="en-US" w:eastAsia="zh-CN"/>
              </w:rPr>
              <w:t>相关法律法规对供应商报价有规定的，从其规定。</w:t>
            </w:r>
          </w:p>
          <w:p w14:paraId="5F024EF5">
            <w:pPr>
              <w:rPr>
                <w:rFonts w:hint="eastAsia" w:ascii="仿宋" w:hAnsi="仿宋" w:eastAsia="仿宋" w:cs="仿宋"/>
                <w:b/>
                <w:bCs/>
                <w:szCs w:val="21"/>
                <w:highlight w:val="none"/>
              </w:rPr>
            </w:pPr>
            <w:r>
              <w:rPr>
                <w:rFonts w:hint="eastAsia" w:ascii="仿宋" w:hAnsi="仿宋" w:eastAsia="仿宋" w:cs="仿宋"/>
                <w:b/>
                <w:bCs/>
                <w:szCs w:val="21"/>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C184CA8">
            <w:pPr>
              <w:spacing w:beforeLines="0" w:afterLines="0" w:line="360" w:lineRule="auto"/>
              <w:rPr>
                <w:rFonts w:hint="default" w:ascii="Times New Roman" w:hAnsi="Times New Roman" w:cs="Times New Roman" w:eastAsiaTheme="minorEastAsia"/>
                <w:sz w:val="28"/>
                <w:szCs w:val="28"/>
                <w:highlight w:val="none"/>
              </w:rPr>
            </w:pPr>
            <w:r>
              <w:rPr>
                <w:rFonts w:hint="eastAsia" w:ascii="仿宋" w:hAnsi="仿宋" w:eastAsia="仿宋" w:cs="仿宋"/>
                <w:b/>
                <w:bCs/>
                <w:szCs w:val="21"/>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29F61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789" w:type="dxa"/>
            <w:vAlign w:val="center"/>
          </w:tcPr>
          <w:p w14:paraId="7E71017A">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8</w:t>
            </w:r>
          </w:p>
        </w:tc>
        <w:tc>
          <w:tcPr>
            <w:tcW w:w="1626" w:type="dxa"/>
            <w:vAlign w:val="center"/>
          </w:tcPr>
          <w:p w14:paraId="4E954584">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投标保证金</w:t>
            </w:r>
          </w:p>
        </w:tc>
        <w:tc>
          <w:tcPr>
            <w:tcW w:w="6766" w:type="dxa"/>
            <w:vAlign w:val="center"/>
          </w:tcPr>
          <w:p w14:paraId="59E96DB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是否需要缴纳保证金：</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否</w:t>
            </w:r>
          </w:p>
          <w:p w14:paraId="4229606E">
            <w:pPr>
              <w:spacing w:beforeLines="0" w:afterLines="0" w:line="360" w:lineRule="auto"/>
              <w:rPr>
                <w:rFonts w:hint="eastAsia" w:ascii="Times New Roman" w:hAnsi="Times New Roman" w:cs="Times New Roman" w:eastAsiaTheme="minorEastAsia"/>
                <w:sz w:val="28"/>
                <w:szCs w:val="28"/>
                <w:highlight w:val="none"/>
                <w:lang w:val="en-US" w:eastAsia="zh-CN"/>
              </w:rPr>
            </w:pPr>
            <w:r>
              <w:rPr>
                <w:rFonts w:hint="eastAsia" w:ascii="Times New Roman" w:hAnsi="Times New Roman" w:cs="Times New Roman" w:eastAsiaTheme="minorEastAsia"/>
                <w:sz w:val="28"/>
                <w:szCs w:val="28"/>
                <w:highlight w:val="none"/>
                <w:lang w:val="en-US" w:eastAsia="zh-CN"/>
              </w:rPr>
              <w:t>投标保证金金额：</w:t>
            </w:r>
            <w:r>
              <w:rPr>
                <w:rFonts w:hint="eastAsia" w:cs="Times New Roman" w:eastAsiaTheme="minorEastAsia"/>
                <w:sz w:val="28"/>
                <w:szCs w:val="28"/>
                <w:highlight w:val="none"/>
                <w:lang w:val="en-US" w:eastAsia="zh-CN"/>
              </w:rPr>
              <w:t>5000</w:t>
            </w:r>
            <w:r>
              <w:rPr>
                <w:rFonts w:hint="eastAsia" w:ascii="Times New Roman" w:hAnsi="Times New Roman" w:cs="Times New Roman" w:eastAsiaTheme="minorEastAsia"/>
                <w:sz w:val="28"/>
                <w:szCs w:val="28"/>
                <w:highlight w:val="none"/>
                <w:lang w:val="en-US" w:eastAsia="zh-CN"/>
              </w:rPr>
              <w:t>元（</w:t>
            </w:r>
            <w:r>
              <w:rPr>
                <w:rFonts w:hint="eastAsia" w:cs="Times New Roman" w:eastAsiaTheme="minorEastAsia"/>
                <w:sz w:val="28"/>
                <w:szCs w:val="28"/>
                <w:highlight w:val="none"/>
                <w:lang w:val="en-US" w:eastAsia="zh-CN"/>
              </w:rPr>
              <w:t>伍仟</w:t>
            </w:r>
            <w:r>
              <w:rPr>
                <w:rFonts w:hint="eastAsia" w:ascii="Times New Roman" w:hAnsi="Times New Roman" w:cs="Times New Roman" w:eastAsiaTheme="minorEastAsia"/>
                <w:sz w:val="28"/>
                <w:szCs w:val="28"/>
                <w:highlight w:val="none"/>
                <w:lang w:val="en-US" w:eastAsia="zh-CN"/>
              </w:rPr>
              <w:t>元整）</w:t>
            </w:r>
          </w:p>
          <w:p w14:paraId="7CDBFC73">
            <w:pPr>
              <w:spacing w:beforeLines="0" w:afterLines="0" w:line="360" w:lineRule="auto"/>
              <w:rPr>
                <w:rFonts w:hint="eastAsia" w:ascii="Times New Roman" w:hAnsi="Times New Roman" w:cs="Times New Roman" w:eastAsiaTheme="minorEastAsia"/>
                <w:sz w:val="28"/>
                <w:szCs w:val="28"/>
                <w:highlight w:val="none"/>
                <w:lang w:val="en-US" w:eastAsia="zh-CN"/>
              </w:rPr>
            </w:pPr>
            <w:r>
              <w:rPr>
                <w:rFonts w:hint="eastAsia" w:ascii="Times New Roman" w:hAnsi="Times New Roman" w:cs="Times New Roman" w:eastAsiaTheme="minorEastAsia"/>
                <w:sz w:val="28"/>
                <w:szCs w:val="28"/>
                <w:highlight w:val="none"/>
                <w:lang w:val="en-US" w:eastAsia="zh-CN"/>
              </w:rPr>
              <w:t xml:space="preserve">投标保证金缴纳方式：网上银行转账、保函、支票、汇票、本票 </w:t>
            </w:r>
          </w:p>
          <w:p w14:paraId="6A0F5A74">
            <w:pPr>
              <w:spacing w:beforeLines="0" w:afterLines="0" w:line="360" w:lineRule="auto"/>
              <w:rPr>
                <w:rFonts w:hint="eastAsia" w:ascii="Times New Roman" w:hAnsi="Times New Roman" w:cs="Times New Roman" w:eastAsiaTheme="minorEastAsia"/>
                <w:sz w:val="28"/>
                <w:szCs w:val="28"/>
                <w:highlight w:val="none"/>
                <w:lang w:val="en-US" w:eastAsia="zh-CN"/>
              </w:rPr>
            </w:pPr>
            <w:r>
              <w:rPr>
                <w:rFonts w:hint="eastAsia" w:ascii="Times New Roman" w:hAnsi="Times New Roman" w:cs="Times New Roman" w:eastAsiaTheme="minorEastAsia"/>
                <w:sz w:val="28"/>
                <w:szCs w:val="28"/>
                <w:highlight w:val="none"/>
                <w:lang w:val="en-US" w:eastAsia="zh-CN"/>
              </w:rPr>
              <w:t>账户信息:按系统自动生成的收款账号信息进行缴纳。具体操作在【保证金管理】页面，选择【电子保证金(在线获取账号)】，点击【新疆保证金平台】，自动从银行获取保证金的收款户名、收款账号、收款银行信息。供应商需将保证金转入获取到的收款账号。</w:t>
            </w:r>
          </w:p>
          <w:p w14:paraId="19F1D413">
            <w:pPr>
              <w:spacing w:beforeLines="0" w:afterLines="0" w:line="360" w:lineRule="auto"/>
              <w:rPr>
                <w:rFonts w:hint="eastAsia"/>
                <w:lang w:val="en-US" w:eastAsia="zh-CN"/>
              </w:rPr>
            </w:pPr>
            <w:r>
              <w:rPr>
                <w:rFonts w:hint="eastAsia" w:ascii="Times New Roman" w:hAnsi="Times New Roman" w:cs="Times New Roman" w:eastAsiaTheme="minorEastAsia"/>
                <w:sz w:val="28"/>
                <w:szCs w:val="28"/>
                <w:highlight w:val="none"/>
                <w:lang w:val="en-US" w:eastAsia="zh-CN"/>
              </w:rPr>
              <w:t>注：1、投标保证金缴纳截止时间同开标时间。递交投标保证金时请务必注明项目名称或项目编号。 保证金以到账信息为准，应充分考虑在途时间，未按照招标文件要求提交保证金的，响应文件将按无效标处理。</w:t>
            </w:r>
          </w:p>
          <w:p w14:paraId="21370CC8">
            <w:pPr>
              <w:spacing w:beforeLines="0" w:afterLines="0" w:line="360" w:lineRule="auto"/>
              <w:rPr>
                <w:rFonts w:hint="eastAsia" w:ascii="Times New Roman" w:hAnsi="Times New Roman" w:cs="Times New Roman" w:eastAsiaTheme="minorEastAsia"/>
                <w:sz w:val="28"/>
                <w:szCs w:val="28"/>
                <w:highlight w:val="none"/>
                <w:lang w:eastAsia="zh-CN"/>
              </w:rPr>
            </w:pPr>
            <w:r>
              <w:rPr>
                <w:rFonts w:hint="eastAsia" w:ascii="Times New Roman" w:hAnsi="Times New Roman" w:cs="Times New Roman" w:eastAsiaTheme="minorEastAsia"/>
                <w:sz w:val="28"/>
                <w:szCs w:val="28"/>
                <w:highlight w:val="none"/>
                <w:lang w:eastAsia="zh-CN"/>
              </w:rPr>
              <w:t>公开招标保证金不予退还的情形：</w:t>
            </w:r>
          </w:p>
          <w:p w14:paraId="7BE446D5">
            <w:pPr>
              <w:spacing w:beforeLines="0" w:afterLines="0" w:line="360" w:lineRule="auto"/>
              <w:rPr>
                <w:rFonts w:hint="eastAsia" w:ascii="Times New Roman" w:hAnsi="Times New Roman" w:cs="Times New Roman" w:eastAsiaTheme="minorEastAsia"/>
                <w:sz w:val="28"/>
                <w:szCs w:val="28"/>
                <w:highlight w:val="none"/>
                <w:lang w:eastAsia="zh-CN"/>
              </w:rPr>
            </w:pPr>
            <w:r>
              <w:rPr>
                <w:rFonts w:hint="eastAsia" w:ascii="Times New Roman" w:hAnsi="Times New Roman" w:cs="Times New Roman" w:eastAsiaTheme="minorEastAsia"/>
                <w:sz w:val="28"/>
                <w:szCs w:val="28"/>
                <w:highlight w:val="none"/>
                <w:lang w:eastAsia="zh-CN"/>
              </w:rPr>
              <w:t>□无</w:t>
            </w:r>
          </w:p>
          <w:p w14:paraId="47B2030C">
            <w:pPr>
              <w:spacing w:beforeLines="0" w:afterLines="0" w:line="360" w:lineRule="auto"/>
              <w:rPr>
                <w:rFonts w:hint="eastAsia" w:ascii="Times New Roman" w:hAnsi="Times New Roman" w:cs="Times New Roman" w:eastAsiaTheme="minorEastAsia"/>
                <w:sz w:val="28"/>
                <w:szCs w:val="28"/>
                <w:highlight w:val="none"/>
                <w:lang w:eastAsia="zh-CN"/>
              </w:rPr>
            </w:pPr>
            <w:r>
              <w:rPr>
                <w:rFonts w:hint="eastAsia" w:ascii="Times New Roman" w:hAnsi="Times New Roman" w:cs="Times New Roman" w:eastAsiaTheme="minorEastAsia"/>
                <w:sz w:val="28"/>
                <w:szCs w:val="28"/>
                <w:highlight w:val="none"/>
                <w:lang w:eastAsia="zh-CN"/>
              </w:rPr>
              <w:t>☑有，具体情形：</w:t>
            </w:r>
          </w:p>
          <w:p w14:paraId="7B6C2790">
            <w:pPr>
              <w:spacing w:beforeLines="0" w:afterLines="0" w:line="360" w:lineRule="auto"/>
              <w:rPr>
                <w:rFonts w:hint="eastAsia" w:ascii="Times New Roman" w:hAnsi="Times New Roman" w:cs="Times New Roman" w:eastAsiaTheme="minorEastAsia"/>
                <w:sz w:val="28"/>
                <w:szCs w:val="28"/>
                <w:highlight w:val="none"/>
                <w:lang w:eastAsia="zh-CN"/>
              </w:rPr>
            </w:pPr>
            <w:r>
              <w:rPr>
                <w:rFonts w:hint="eastAsia" w:ascii="Times New Roman" w:hAnsi="Times New Roman" w:cs="Times New Roman" w:eastAsiaTheme="minorEastAsia"/>
                <w:sz w:val="28"/>
                <w:szCs w:val="28"/>
                <w:highlight w:val="none"/>
                <w:lang w:eastAsia="zh-CN"/>
              </w:rPr>
              <w:t>根据《政府采购非招标采购方式管理办法》（财政部令第74号）第二十条、《政府采购货物和服务招标投标管理办法》（财政部令第87号）第二十三条等相关规定，政府采购中投标保证金不予退还的法定情形主要有以下几种：</w:t>
            </w:r>
          </w:p>
          <w:p w14:paraId="04796FA6">
            <w:pPr>
              <w:spacing w:beforeLines="0" w:afterLines="0" w:line="360" w:lineRule="auto"/>
              <w:rPr>
                <w:rFonts w:hint="eastAsia" w:ascii="Times New Roman" w:hAnsi="Times New Roman" w:cs="Times New Roman" w:eastAsiaTheme="minorEastAsia"/>
                <w:sz w:val="28"/>
                <w:szCs w:val="28"/>
                <w:highlight w:val="none"/>
                <w:lang w:eastAsia="zh-CN"/>
              </w:rPr>
            </w:pPr>
            <w:r>
              <w:rPr>
                <w:rFonts w:hint="eastAsia" w:ascii="Times New Roman" w:hAnsi="Times New Roman" w:cs="Times New Roman" w:eastAsiaTheme="minorEastAsia"/>
                <w:sz w:val="28"/>
                <w:szCs w:val="28"/>
                <w:highlight w:val="none"/>
                <w:lang w:eastAsia="zh-CN"/>
              </w:rPr>
              <w:t>• 投标截止后撤回响应文件：供应商在提交投标（响应）文件截止时间后撤回投标（响应）文件，破坏了投标的严肃性和稳定性，影响采购活动正常进行，其投标保证金不予退还。</w:t>
            </w:r>
          </w:p>
          <w:p w14:paraId="0E3C0136">
            <w:pPr>
              <w:spacing w:beforeLines="0" w:afterLines="0" w:line="360" w:lineRule="auto"/>
              <w:rPr>
                <w:rFonts w:hint="eastAsia" w:ascii="Times New Roman" w:hAnsi="Times New Roman" w:cs="Times New Roman" w:eastAsiaTheme="minorEastAsia"/>
                <w:sz w:val="28"/>
                <w:szCs w:val="28"/>
                <w:highlight w:val="none"/>
                <w:lang w:eastAsia="zh-CN"/>
              </w:rPr>
            </w:pPr>
            <w:r>
              <w:rPr>
                <w:rFonts w:hint="eastAsia" w:ascii="Times New Roman" w:hAnsi="Times New Roman" w:cs="Times New Roman" w:eastAsiaTheme="minorEastAsia"/>
                <w:sz w:val="28"/>
                <w:szCs w:val="28"/>
                <w:highlight w:val="none"/>
                <w:lang w:eastAsia="zh-CN"/>
              </w:rPr>
              <w:t>• 提供虚假材料：若供应商在投标（响应）文件中提供虚假材料，企图以不正当手段谋取中标，这种行为违反了诚实信用原则，投标保证金将不予退还</w:t>
            </w:r>
          </w:p>
          <w:p w14:paraId="7CFF6504">
            <w:pPr>
              <w:spacing w:beforeLines="0" w:afterLines="0" w:line="360" w:lineRule="auto"/>
              <w:rPr>
                <w:rFonts w:hint="eastAsia" w:ascii="Times New Roman" w:hAnsi="Times New Roman" w:cs="Times New Roman" w:eastAsiaTheme="minorEastAsia"/>
                <w:sz w:val="28"/>
                <w:szCs w:val="28"/>
                <w:highlight w:val="none"/>
                <w:lang w:eastAsia="zh-CN"/>
              </w:rPr>
            </w:pPr>
            <w:r>
              <w:rPr>
                <w:rFonts w:hint="eastAsia" w:ascii="Times New Roman" w:hAnsi="Times New Roman" w:cs="Times New Roman" w:eastAsiaTheme="minorEastAsia"/>
                <w:sz w:val="28"/>
                <w:szCs w:val="28"/>
                <w:highlight w:val="none"/>
                <w:lang w:eastAsia="zh-CN"/>
              </w:rPr>
              <w:t>• 中标后不签订合同：除因不可抗力或采购文件认可的情形外，成交供应商应与采购人签订合同。若成交供应商无正当理由不与采购人签订合同，损害了采购人利益，干扰了采购秩序，其投标保证金不予退还。</w:t>
            </w:r>
          </w:p>
          <w:p w14:paraId="5C88ED3F">
            <w:pPr>
              <w:spacing w:beforeLines="0" w:afterLines="0" w:line="360" w:lineRule="auto"/>
              <w:rPr>
                <w:rFonts w:hint="default" w:ascii="Times New Roman" w:hAnsi="Times New Roman" w:cs="Times New Roman" w:eastAsiaTheme="minorEastAsia"/>
                <w:sz w:val="28"/>
                <w:szCs w:val="28"/>
                <w:highlight w:val="none"/>
              </w:rPr>
            </w:pPr>
            <w:r>
              <w:rPr>
                <w:rFonts w:hint="eastAsia" w:ascii="Times New Roman" w:hAnsi="Times New Roman" w:cs="Times New Roman" w:eastAsiaTheme="minorEastAsia"/>
                <w:sz w:val="28"/>
                <w:szCs w:val="28"/>
                <w:highlight w:val="none"/>
                <w:lang w:eastAsia="zh-CN"/>
              </w:rPr>
              <w:t>• 恶意串通：供应商与采购人、其他供应商或者采购代理机构恶意串通，属于严重的违规行为，破坏了公平竞争的市场环境，一旦查实，投标保证金将不予退还。</w:t>
            </w:r>
          </w:p>
        </w:tc>
      </w:tr>
      <w:tr w14:paraId="1DD1F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789" w:type="dxa"/>
            <w:vAlign w:val="center"/>
          </w:tcPr>
          <w:p w14:paraId="28E0B42D">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9</w:t>
            </w:r>
          </w:p>
        </w:tc>
        <w:tc>
          <w:tcPr>
            <w:tcW w:w="1626" w:type="dxa"/>
            <w:vAlign w:val="center"/>
          </w:tcPr>
          <w:p w14:paraId="2C51426B">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投标有效期</w:t>
            </w:r>
          </w:p>
        </w:tc>
        <w:tc>
          <w:tcPr>
            <w:tcW w:w="6766" w:type="dxa"/>
            <w:vAlign w:val="center"/>
          </w:tcPr>
          <w:p w14:paraId="1FBC988D">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自</w:t>
            </w:r>
            <w:r>
              <w:rPr>
                <w:rFonts w:hint="default" w:ascii="Times New Roman" w:hAnsi="Times New Roman" w:cs="Times New Roman" w:eastAsiaTheme="minorEastAsia"/>
                <w:sz w:val="28"/>
                <w:szCs w:val="28"/>
                <w:highlight w:val="none"/>
              </w:rPr>
              <w:t>提交投标文件</w:t>
            </w:r>
            <w:r>
              <w:rPr>
                <w:rFonts w:hint="default" w:ascii="Times New Roman" w:hAnsi="Times New Roman" w:cs="Times New Roman" w:eastAsiaTheme="minorEastAsia"/>
                <w:sz w:val="28"/>
                <w:szCs w:val="28"/>
                <w:highlight w:val="none"/>
                <w:lang w:eastAsia="zh-CN"/>
              </w:rPr>
              <w:t>的</w:t>
            </w:r>
            <w:r>
              <w:rPr>
                <w:rFonts w:hint="default" w:ascii="Times New Roman" w:hAnsi="Times New Roman" w:cs="Times New Roman" w:eastAsiaTheme="minorEastAsia"/>
                <w:sz w:val="28"/>
                <w:szCs w:val="28"/>
                <w:highlight w:val="none"/>
              </w:rPr>
              <w:t>截止之日起</w:t>
            </w:r>
            <w:r>
              <w:rPr>
                <w:rFonts w:hint="default" w:ascii="Times New Roman" w:hAnsi="Times New Roman" w:cs="Times New Roman" w:eastAsiaTheme="minorEastAsia"/>
                <w:sz w:val="28"/>
                <w:szCs w:val="28"/>
                <w:highlight w:val="none"/>
                <w:lang w:eastAsia="zh-CN"/>
              </w:rPr>
              <w:t>不少于</w:t>
            </w:r>
            <w:r>
              <w:rPr>
                <w:rFonts w:hint="eastAsia" w:cs="Times New Roman" w:eastAsiaTheme="minorEastAsia"/>
                <w:sz w:val="28"/>
                <w:szCs w:val="28"/>
                <w:highlight w:val="none"/>
                <w:u w:val="single"/>
                <w:lang w:val="en-US" w:eastAsia="zh-CN"/>
              </w:rPr>
              <w:t>90个</w:t>
            </w:r>
            <w:r>
              <w:rPr>
                <w:rFonts w:hint="default" w:ascii="Times New Roman" w:hAnsi="Times New Roman" w:cs="Times New Roman" w:eastAsiaTheme="minorEastAsia"/>
                <w:sz w:val="28"/>
                <w:szCs w:val="28"/>
                <w:highlight w:val="none"/>
              </w:rPr>
              <w:t>自然日</w:t>
            </w:r>
            <w:r>
              <w:rPr>
                <w:rFonts w:hint="default" w:ascii="Times New Roman" w:hAnsi="Times New Roman" w:cs="Times New Roman" w:eastAsiaTheme="minorEastAsia"/>
                <w:sz w:val="28"/>
                <w:szCs w:val="28"/>
                <w:highlight w:val="none"/>
                <w:lang w:eastAsia="zh-CN"/>
              </w:rPr>
              <w:t>。</w:t>
            </w:r>
          </w:p>
        </w:tc>
      </w:tr>
      <w:tr w14:paraId="197D0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789" w:type="dxa"/>
            <w:vAlign w:val="center"/>
          </w:tcPr>
          <w:p w14:paraId="1FA49C43">
            <w:pPr>
              <w:spacing w:beforeLines="0" w:afterLines="0" w:line="360" w:lineRule="auto"/>
              <w:jc w:val="center"/>
              <w:rPr>
                <w:rFonts w:hint="default" w:ascii="Times New Roman" w:hAnsi="Times New Roman" w:cs="Times New Roman" w:eastAsiaTheme="minorEastAsia"/>
                <w:sz w:val="28"/>
                <w:szCs w:val="28"/>
                <w:highlight w:val="none"/>
                <w:lang w:val="en-US" w:eastAsia="zh-CN"/>
              </w:rPr>
            </w:pPr>
            <w:r>
              <w:rPr>
                <w:rFonts w:hint="default" w:cs="Times New Roman" w:eastAsiaTheme="minorEastAsia"/>
                <w:sz w:val="28"/>
                <w:szCs w:val="28"/>
                <w:highlight w:val="none"/>
                <w:lang w:val="en-US" w:eastAsia="zh-CN"/>
              </w:rPr>
              <w:t>1</w:t>
            </w:r>
            <w:r>
              <w:rPr>
                <w:rFonts w:hint="default" w:ascii="Times New Roman" w:hAnsi="Times New Roman" w:cs="Times New Roman" w:eastAsiaTheme="minorEastAsia"/>
                <w:sz w:val="28"/>
                <w:szCs w:val="28"/>
                <w:highlight w:val="none"/>
                <w:lang w:val="en-US" w:eastAsia="zh-CN"/>
              </w:rPr>
              <w:t>0</w:t>
            </w:r>
          </w:p>
        </w:tc>
        <w:tc>
          <w:tcPr>
            <w:tcW w:w="1626" w:type="dxa"/>
            <w:vAlign w:val="center"/>
          </w:tcPr>
          <w:p w14:paraId="251C8994">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cs="Times New Roman" w:eastAsiaTheme="minorEastAsia"/>
                <w:sz w:val="28"/>
                <w:szCs w:val="28"/>
                <w:highlight w:val="none"/>
                <w:lang w:eastAsia="zh-CN"/>
              </w:rPr>
              <w:t>资格审查</w:t>
            </w:r>
          </w:p>
        </w:tc>
        <w:tc>
          <w:tcPr>
            <w:tcW w:w="6766" w:type="dxa"/>
            <w:vAlign w:val="center"/>
          </w:tcPr>
          <w:p w14:paraId="22FFDF9D">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sym w:font="Wingdings 2" w:char="0052"/>
            </w:r>
            <w:r>
              <w:rPr>
                <w:rFonts w:hint="default" w:cs="Times New Roman" w:eastAsiaTheme="minorEastAsia"/>
                <w:sz w:val="28"/>
                <w:szCs w:val="28"/>
                <w:highlight w:val="none"/>
                <w:lang w:eastAsia="zh-CN"/>
              </w:rPr>
              <w:t>采购人审查</w:t>
            </w:r>
            <w:r>
              <w:rPr>
                <w:rFonts w:hint="default" w:ascii="Times New Roman" w:hAnsi="Times New Roman" w:cs="Times New Roman" w:eastAsiaTheme="minorEastAsia"/>
                <w:sz w:val="28"/>
                <w:szCs w:val="28"/>
                <w:highlight w:val="none"/>
              </w:rPr>
              <w:t xml:space="preserve">  </w:t>
            </w:r>
          </w:p>
          <w:p w14:paraId="6FE84EF6">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rPr>
              <w:sym w:font="Wingdings 2" w:char="00A3"/>
            </w:r>
            <w:r>
              <w:rPr>
                <w:rFonts w:hint="default" w:cs="Times New Roman" w:eastAsiaTheme="minorEastAsia"/>
                <w:sz w:val="28"/>
                <w:szCs w:val="28"/>
                <w:highlight w:val="none"/>
                <w:lang w:eastAsia="zh-CN"/>
              </w:rPr>
              <w:t>采购人和采购代理机构共同审查</w:t>
            </w:r>
          </w:p>
          <w:p w14:paraId="5752EA72">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rPr>
              <w:sym w:font="Wingdings 2" w:char="00A3"/>
            </w:r>
            <w:r>
              <w:rPr>
                <w:rFonts w:hint="default" w:cs="Times New Roman" w:eastAsiaTheme="minorEastAsia"/>
                <w:sz w:val="28"/>
                <w:szCs w:val="28"/>
                <w:highlight w:val="none"/>
                <w:lang w:eastAsia="zh-CN"/>
              </w:rPr>
              <w:t>采购人委托采购代理机构审查</w:t>
            </w:r>
          </w:p>
        </w:tc>
      </w:tr>
      <w:tr w14:paraId="34BD05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789" w:type="dxa"/>
            <w:vAlign w:val="center"/>
          </w:tcPr>
          <w:p w14:paraId="0E4B8A9A">
            <w:pPr>
              <w:spacing w:beforeLines="0" w:afterLines="0" w:line="360" w:lineRule="auto"/>
              <w:jc w:val="center"/>
              <w:rPr>
                <w:rFonts w:hint="default" w:ascii="Times New Roman" w:hAnsi="Times New Roman" w:cs="Times New Roman" w:eastAsiaTheme="minorEastAsia"/>
                <w:sz w:val="28"/>
                <w:szCs w:val="28"/>
                <w:highlight w:val="none"/>
                <w:lang w:val="en-US" w:eastAsia="zh-CN"/>
              </w:rPr>
            </w:pPr>
            <w:r>
              <w:rPr>
                <w:rFonts w:hint="default" w:cs="Times New Roman" w:eastAsiaTheme="minorEastAsia"/>
                <w:sz w:val="28"/>
                <w:szCs w:val="28"/>
                <w:highlight w:val="none"/>
                <w:lang w:val="en-US" w:eastAsia="zh-CN"/>
              </w:rPr>
              <w:t>11</w:t>
            </w:r>
          </w:p>
        </w:tc>
        <w:tc>
          <w:tcPr>
            <w:tcW w:w="1626" w:type="dxa"/>
            <w:vAlign w:val="center"/>
          </w:tcPr>
          <w:p w14:paraId="3ABB5204">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评标方法</w:t>
            </w:r>
          </w:p>
        </w:tc>
        <w:tc>
          <w:tcPr>
            <w:tcW w:w="6766" w:type="dxa"/>
            <w:vAlign w:val="center"/>
          </w:tcPr>
          <w:p w14:paraId="613A4AA6">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rPr>
              <w:sym w:font="Wingdings 2" w:char="0052"/>
            </w:r>
            <w:r>
              <w:rPr>
                <w:rFonts w:hint="default" w:ascii="Times New Roman" w:hAnsi="Times New Roman" w:cs="Times New Roman" w:eastAsiaTheme="minorEastAsia"/>
                <w:sz w:val="28"/>
                <w:szCs w:val="28"/>
                <w:highlight w:val="none"/>
                <w:lang w:eastAsia="zh-CN"/>
              </w:rPr>
              <w:t>综合评分法</w:t>
            </w:r>
            <w:r>
              <w:rPr>
                <w:rFonts w:hint="default" w:ascii="Times New Roman" w:hAnsi="Times New Roman" w:cs="Times New Roman" w:eastAsiaTheme="minorEastAsia"/>
                <w:sz w:val="28"/>
                <w:szCs w:val="28"/>
                <w:highlight w:val="none"/>
              </w:rPr>
              <w:t xml:space="preserve">  </w:t>
            </w:r>
            <w:r>
              <w:rPr>
                <w:rFonts w:hint="default" w:ascii="Times New Roman" w:hAnsi="Times New Roman" w:cs="Times New Roman" w:eastAsiaTheme="minorEastAsia"/>
                <w:sz w:val="28"/>
                <w:szCs w:val="28"/>
                <w:highlight w:val="none"/>
              </w:rPr>
              <w:sym w:font="Wingdings 2" w:char="00A3"/>
            </w:r>
            <w:r>
              <w:rPr>
                <w:rFonts w:hint="default" w:ascii="Times New Roman" w:hAnsi="Times New Roman" w:cs="Times New Roman" w:eastAsiaTheme="minorEastAsia"/>
                <w:sz w:val="28"/>
                <w:szCs w:val="28"/>
                <w:highlight w:val="none"/>
                <w:lang w:eastAsia="zh-CN"/>
              </w:rPr>
              <w:t>最低评标价法</w:t>
            </w:r>
          </w:p>
          <w:p w14:paraId="60E9DAE0">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（具体评标标准详见第</w:t>
            </w:r>
            <w:r>
              <w:rPr>
                <w:rFonts w:hint="default" w:cs="Times New Roman" w:eastAsiaTheme="minorEastAsia"/>
                <w:sz w:val="28"/>
                <w:szCs w:val="28"/>
                <w:highlight w:val="none"/>
                <w:lang w:eastAsia="zh-CN"/>
              </w:rPr>
              <w:t>五</w:t>
            </w:r>
            <w:r>
              <w:rPr>
                <w:rFonts w:hint="default" w:ascii="Times New Roman" w:hAnsi="Times New Roman" w:cs="Times New Roman" w:eastAsiaTheme="minorEastAsia"/>
                <w:sz w:val="28"/>
                <w:szCs w:val="28"/>
                <w:highlight w:val="none"/>
                <w:lang w:eastAsia="zh-CN"/>
              </w:rPr>
              <w:t>章）</w:t>
            </w:r>
          </w:p>
        </w:tc>
      </w:tr>
      <w:tr w14:paraId="300B2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789" w:type="dxa"/>
            <w:vAlign w:val="center"/>
          </w:tcPr>
          <w:p w14:paraId="125E95FC">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12</w:t>
            </w:r>
          </w:p>
        </w:tc>
        <w:tc>
          <w:tcPr>
            <w:tcW w:w="1626" w:type="dxa"/>
            <w:vAlign w:val="center"/>
          </w:tcPr>
          <w:p w14:paraId="40FA08F7">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确定中标人</w:t>
            </w:r>
          </w:p>
        </w:tc>
        <w:tc>
          <w:tcPr>
            <w:tcW w:w="6766" w:type="dxa"/>
            <w:vAlign w:val="center"/>
          </w:tcPr>
          <w:p w14:paraId="3B4D41A1">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是否委托评标委员会</w:t>
            </w:r>
            <w:r>
              <w:rPr>
                <w:rFonts w:hint="eastAsia" w:ascii="Times New Roman" w:hAnsi="Times New Roman" w:cs="Times New Roman" w:eastAsiaTheme="minorEastAsia"/>
                <w:sz w:val="28"/>
                <w:szCs w:val="28"/>
                <w:highlight w:val="none"/>
                <w:lang w:eastAsia="zh-CN"/>
              </w:rPr>
              <w:t>直接</w:t>
            </w:r>
            <w:r>
              <w:rPr>
                <w:rFonts w:hint="default" w:ascii="Times New Roman" w:hAnsi="Times New Roman" w:cs="Times New Roman" w:eastAsiaTheme="minorEastAsia"/>
                <w:sz w:val="28"/>
                <w:szCs w:val="28"/>
                <w:highlight w:val="none"/>
                <w:lang w:eastAsia="zh-CN"/>
              </w:rPr>
              <w:t>确定中标人：</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否</w:t>
            </w:r>
          </w:p>
          <w:p w14:paraId="1FE9FE82">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中标候选人并列的，由</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采购人</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采购人委托评标委员会</w:t>
            </w:r>
            <w:r>
              <w:rPr>
                <w:rFonts w:hint="default"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eastAsia="zh-CN"/>
              </w:rPr>
              <w:t>按照以下方式确定中标人</w:t>
            </w:r>
            <w:r>
              <w:rPr>
                <w:rFonts w:hint="eastAsia" w:cs="Times New Roman" w:eastAsiaTheme="minorEastAsia"/>
                <w:sz w:val="28"/>
                <w:szCs w:val="28"/>
                <w:highlight w:val="none"/>
                <w:lang w:eastAsia="zh-CN"/>
              </w:rPr>
              <w:t>：</w:t>
            </w:r>
          </w:p>
          <w:p w14:paraId="1BDC3375">
            <w:pPr>
              <w:spacing w:beforeLines="0" w:afterLines="0" w:line="360" w:lineRule="auto"/>
              <w:rPr>
                <w:rFonts w:hint="default" w:ascii="Times New Roman" w:hAnsi="Times New Roman" w:cs="Times New Roman" w:eastAsiaTheme="minorEastAsia"/>
                <w:sz w:val="28"/>
                <w:szCs w:val="28"/>
                <w:highlight w:val="none"/>
                <w:u w:val="single"/>
                <w:lang w:val="en-US" w:eastAsia="zh-CN"/>
              </w:rPr>
            </w:pP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u w:val="single"/>
                <w:lang w:val="en-US" w:eastAsia="zh-CN"/>
              </w:rPr>
              <w:t>得分相同的，按投标报价由低到高顺序排列。得分且投标报价相同的并列。投标文件满足招标文件全部实质性要求，且按照评审因素的量化指标评审得分最高的投标人为排名第一的中标候选人</w:t>
            </w:r>
            <w:r>
              <w:rPr>
                <w:rFonts w:hint="eastAsia" w:cs="Times New Roman" w:eastAsiaTheme="minorEastAsia"/>
                <w:sz w:val="28"/>
                <w:szCs w:val="28"/>
                <w:highlight w:val="none"/>
                <w:u w:val="single"/>
                <w:lang w:val="en-US" w:eastAsia="zh-CN"/>
              </w:rPr>
              <w:t>。</w:t>
            </w:r>
          </w:p>
          <w:p w14:paraId="620E6BDD">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随机抽取确定中标人。</w:t>
            </w:r>
          </w:p>
        </w:tc>
      </w:tr>
      <w:tr w14:paraId="5A645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789" w:type="dxa"/>
            <w:vAlign w:val="center"/>
          </w:tcPr>
          <w:p w14:paraId="3854EF4E">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w:t>
            </w:r>
            <w:r>
              <w:rPr>
                <w:rFonts w:hint="default" w:ascii="Times New Roman" w:hAnsi="Times New Roman" w:cs="Times New Roman" w:eastAsiaTheme="minorEastAsia"/>
                <w:sz w:val="28"/>
                <w:szCs w:val="28"/>
                <w:highlight w:val="none"/>
                <w:lang w:eastAsia="zh-CN"/>
              </w:rPr>
              <w:t>3</w:t>
            </w:r>
          </w:p>
        </w:tc>
        <w:tc>
          <w:tcPr>
            <w:tcW w:w="1626" w:type="dxa"/>
            <w:vAlign w:val="center"/>
          </w:tcPr>
          <w:p w14:paraId="0C09BE36">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分包</w:t>
            </w:r>
          </w:p>
        </w:tc>
        <w:tc>
          <w:tcPr>
            <w:tcW w:w="6766" w:type="dxa"/>
            <w:vAlign w:val="center"/>
          </w:tcPr>
          <w:p w14:paraId="2E541FE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本项目的非主体、非关键性工作是否允许分包：</w:t>
            </w:r>
          </w:p>
          <w:p w14:paraId="4DA64B3B">
            <w:pPr>
              <w:spacing w:beforeLines="0" w:afterLines="0" w:line="360" w:lineRule="auto"/>
              <w:ind w:firstLine="560" w:firstLineChars="20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是</w:t>
            </w:r>
            <w:r>
              <w:rPr>
                <w:rFonts w:hint="eastAsia"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否</w:t>
            </w:r>
          </w:p>
          <w:p w14:paraId="246B4CE5">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（如选择“是”）分包具体要求：</w:t>
            </w:r>
          </w:p>
          <w:p w14:paraId="72B4CD53">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1</w:t>
            </w:r>
            <w:r>
              <w:rPr>
                <w:rFonts w:hint="default" w:ascii="Times New Roman" w:hAnsi="Times New Roman" w:cs="Times New Roman" w:eastAsiaTheme="minorEastAsia"/>
                <w:sz w:val="28"/>
                <w:szCs w:val="28"/>
                <w:highlight w:val="none"/>
                <w:lang w:eastAsia="zh-CN"/>
              </w:rPr>
              <w:t>）可以分包履行的具体内容：</w:t>
            </w:r>
          </w:p>
          <w:p w14:paraId="60718A86">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2</w:t>
            </w:r>
            <w:r>
              <w:rPr>
                <w:rFonts w:hint="default" w:ascii="Times New Roman" w:hAnsi="Times New Roman" w:cs="Times New Roman" w:eastAsiaTheme="minorEastAsia"/>
                <w:sz w:val="28"/>
                <w:szCs w:val="28"/>
                <w:highlight w:val="none"/>
                <w:lang w:eastAsia="zh-CN"/>
              </w:rPr>
              <w:t>）允许分包的金额或者比例：</w:t>
            </w:r>
          </w:p>
          <w:p w14:paraId="7D718807">
            <w:pPr>
              <w:spacing w:beforeLines="0" w:afterLines="0" w:line="360" w:lineRule="auto"/>
              <w:rPr>
                <w:rFonts w:hint="default" w:ascii="Times New Roman" w:hAnsi="Times New Roman" w:cs="Times New Roman" w:eastAsiaTheme="minorEastAsia"/>
                <w:sz w:val="28"/>
                <w:szCs w:val="28"/>
                <w:highlight w:val="none"/>
                <w:u w:val="single"/>
              </w:rPr>
            </w:pP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3</w:t>
            </w:r>
            <w:r>
              <w:rPr>
                <w:rFonts w:hint="default" w:ascii="Times New Roman" w:hAnsi="Times New Roman" w:cs="Times New Roman" w:eastAsiaTheme="minorEastAsia"/>
                <w:sz w:val="28"/>
                <w:szCs w:val="28"/>
                <w:highlight w:val="none"/>
                <w:lang w:eastAsia="zh-CN"/>
              </w:rPr>
              <w:t>）其他要求（如有）：</w:t>
            </w:r>
          </w:p>
        </w:tc>
      </w:tr>
      <w:tr w14:paraId="3DE25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789" w:type="dxa"/>
            <w:vAlign w:val="center"/>
          </w:tcPr>
          <w:p w14:paraId="6C1CA3CC">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w:t>
            </w:r>
            <w:r>
              <w:rPr>
                <w:rFonts w:hint="default" w:ascii="Times New Roman" w:hAnsi="Times New Roman" w:cs="Times New Roman" w:eastAsiaTheme="minorEastAsia"/>
                <w:sz w:val="28"/>
                <w:szCs w:val="28"/>
                <w:highlight w:val="none"/>
                <w:lang w:eastAsia="zh-CN"/>
              </w:rPr>
              <w:t>4</w:t>
            </w:r>
          </w:p>
        </w:tc>
        <w:tc>
          <w:tcPr>
            <w:tcW w:w="1626" w:type="dxa"/>
            <w:vAlign w:val="center"/>
          </w:tcPr>
          <w:p w14:paraId="75594A0D">
            <w:pPr>
              <w:widowControl/>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询问</w:t>
            </w:r>
          </w:p>
        </w:tc>
        <w:tc>
          <w:tcPr>
            <w:tcW w:w="6766" w:type="dxa"/>
            <w:vAlign w:val="center"/>
          </w:tcPr>
          <w:p w14:paraId="2BECDD0A">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询问送达形式：投标人对政府采购活动事项有疑问的，可依法提出询问，并按《投标人须知资料表》载明的形式送达采购人或采购代理机构。</w:t>
            </w:r>
          </w:p>
          <w:p w14:paraId="14692E31">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采购人或采购代理机构对供应商依法提出的询问，在3个工作日内作出答复，但答复的内容不得涉及商业秘密。</w:t>
            </w:r>
          </w:p>
          <w:p w14:paraId="55240EF5">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询问联系部门及人员：新疆元通利合工程咨询有限公司</w:t>
            </w:r>
          </w:p>
          <w:p w14:paraId="1CE29C11">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询问联系电话：0996-2222267</w:t>
            </w:r>
          </w:p>
          <w:p w14:paraId="588E14BC">
            <w:pPr>
              <w:widowControl/>
              <w:spacing w:beforeLines="0" w:afterLines="0" w:line="360" w:lineRule="auto"/>
              <w:jc w:val="left"/>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询问联系地址：新疆巴州库尔勒市交通西路艾尚酒店八楼809室</w:t>
            </w:r>
          </w:p>
        </w:tc>
      </w:tr>
      <w:tr w14:paraId="4995D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789" w:type="dxa"/>
            <w:vAlign w:val="center"/>
          </w:tcPr>
          <w:p w14:paraId="362BB76D">
            <w:pPr>
              <w:spacing w:beforeLines="0" w:afterLines="0" w:line="360" w:lineRule="auto"/>
              <w:jc w:val="center"/>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15</w:t>
            </w:r>
          </w:p>
        </w:tc>
        <w:tc>
          <w:tcPr>
            <w:tcW w:w="1626" w:type="dxa"/>
            <w:vAlign w:val="center"/>
          </w:tcPr>
          <w:p w14:paraId="6B637C39">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质疑</w:t>
            </w:r>
          </w:p>
        </w:tc>
        <w:tc>
          <w:tcPr>
            <w:tcW w:w="6766" w:type="dxa"/>
            <w:vAlign w:val="center"/>
          </w:tcPr>
          <w:p w14:paraId="26B9815D">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是否要求投标人</w:t>
            </w:r>
            <w:r>
              <w:rPr>
                <w:rFonts w:hint="default" w:ascii="Times New Roman" w:hAnsi="Times New Roman" w:cs="Times New Roman" w:eastAsiaTheme="minorEastAsia"/>
                <w:b/>
                <w:bCs/>
                <w:sz w:val="28"/>
                <w:szCs w:val="28"/>
                <w:highlight w:val="none"/>
                <w:lang w:eastAsia="zh-CN"/>
              </w:rPr>
              <w:t>在法定质疑期内一次性提出针对同一采购程序环节</w:t>
            </w:r>
            <w:r>
              <w:rPr>
                <w:rFonts w:hint="default" w:ascii="Times New Roman" w:hAnsi="Times New Roman" w:cs="Times New Roman" w:eastAsiaTheme="minorEastAsia"/>
                <w:sz w:val="28"/>
                <w:szCs w:val="28"/>
                <w:highlight w:val="none"/>
                <w:lang w:eastAsia="zh-CN"/>
              </w:rPr>
              <w:t>的质疑：</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否</w:t>
            </w:r>
          </w:p>
          <w:p w14:paraId="46062430">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1、供应商认为采购文件、采购过程、中标或者成交结果使自己的权益受到损害的，可以在知道或者应知其权益受到损害之日起7个工作日内，以书面形式向采购人、采购代理机构提出质疑。</w:t>
            </w:r>
          </w:p>
          <w:p w14:paraId="045789CB">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2、提出质疑的供应商（以下简称质疑供应商）应当是参与所质疑项目采购活动的供应商。</w:t>
            </w:r>
          </w:p>
          <w:p w14:paraId="77CA52A1">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3、对采购文件提出质疑的，应当在获取采购文件或者采购文件公告期限届满之日起7个工作日内提出。</w:t>
            </w:r>
          </w:p>
          <w:p w14:paraId="44A37080">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4、供应商提出质疑应当提交质疑函和必要的证明材料。质疑函应当包括下列内容：</w:t>
            </w:r>
          </w:p>
          <w:p w14:paraId="4DB0C889">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　　（一）供应商的姓名或者名称、地址、邮编、联系人及联系电话；</w:t>
            </w:r>
          </w:p>
          <w:p w14:paraId="21FF23F9">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　　（二）质疑项目的名称、编号；</w:t>
            </w:r>
          </w:p>
          <w:p w14:paraId="105DDDD7">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　　（三）具体、明确的质疑事项和与质疑事项相关的请求；</w:t>
            </w:r>
          </w:p>
          <w:p w14:paraId="698AC166">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　　（四）事实依据；</w:t>
            </w:r>
          </w:p>
          <w:p w14:paraId="25C3D5D1">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　　（五）必要的法律依据；</w:t>
            </w:r>
          </w:p>
          <w:p w14:paraId="5DCDD43E">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　　（六）提出质疑的日期。</w:t>
            </w:r>
          </w:p>
          <w:p w14:paraId="06A9ABB7">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供应商为自然人的，应当由本人签字；供应商为法人或者其他组织的，应当由法定代表人、主要负责人，或者其授权代表签字或者盖章，并加盖公章。</w:t>
            </w:r>
          </w:p>
          <w:p w14:paraId="103BF1AA">
            <w:pPr>
              <w:widowControl/>
              <w:spacing w:beforeLines="0" w:afterLines="0" w:line="360" w:lineRule="auto"/>
              <w:jc w:val="left"/>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采购人、采购代理机构应当在收到质疑函后7个工作日内作出答复，并以书面形式通知质疑供应商和其他有关供应商。</w:t>
            </w:r>
          </w:p>
          <w:p w14:paraId="7184DB4C">
            <w:pPr>
              <w:widowControl/>
              <w:spacing w:beforeLines="0" w:afterLines="0" w:line="360" w:lineRule="auto"/>
              <w:jc w:val="left"/>
              <w:rPr>
                <w:rFonts w:hint="default"/>
                <w:lang w:eastAsia="zh-CN"/>
              </w:rPr>
            </w:pPr>
            <w:r>
              <w:rPr>
                <w:rFonts w:hint="default" w:ascii="Times New Roman" w:hAnsi="Times New Roman" w:cs="Times New Roman" w:eastAsiaTheme="minorEastAsia"/>
                <w:sz w:val="28"/>
                <w:szCs w:val="28"/>
                <w:highlight w:val="none"/>
                <w:lang w:eastAsia="zh-CN"/>
              </w:rPr>
              <w:t>5、接受质疑函的方式：书面形式递交（书面形式包括：纸质版或电子邮件等方式）。</w:t>
            </w:r>
          </w:p>
        </w:tc>
      </w:tr>
      <w:tr w14:paraId="73F6C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06" w:hRule="atLeast"/>
        </w:trPr>
        <w:tc>
          <w:tcPr>
            <w:tcW w:w="789" w:type="dxa"/>
            <w:vAlign w:val="center"/>
          </w:tcPr>
          <w:p w14:paraId="22B9D9ED">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w:t>
            </w:r>
            <w:r>
              <w:rPr>
                <w:rFonts w:hint="default" w:ascii="Times New Roman" w:hAnsi="Times New Roman" w:cs="Times New Roman" w:eastAsiaTheme="minorEastAsia"/>
                <w:sz w:val="28"/>
                <w:szCs w:val="28"/>
                <w:highlight w:val="none"/>
                <w:lang w:eastAsia="zh-CN"/>
              </w:rPr>
              <w:t>6</w:t>
            </w:r>
          </w:p>
        </w:tc>
        <w:tc>
          <w:tcPr>
            <w:tcW w:w="1626" w:type="dxa"/>
            <w:vAlign w:val="center"/>
          </w:tcPr>
          <w:p w14:paraId="74BD7AA4">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代理费用</w:t>
            </w:r>
          </w:p>
        </w:tc>
        <w:tc>
          <w:tcPr>
            <w:tcW w:w="6766" w:type="dxa"/>
            <w:vAlign w:val="center"/>
          </w:tcPr>
          <w:p w14:paraId="741FE555">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是否收取代理费用：</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否</w:t>
            </w:r>
          </w:p>
          <w:p w14:paraId="6AC890E3">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（如选择“是”）代理费用收费对象：</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采购人</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中标人</w:t>
            </w:r>
          </w:p>
          <w:p w14:paraId="4DB98902">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收取标准：</w:t>
            </w:r>
          </w:p>
          <w:p w14:paraId="5A4AEC50">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1、代理报酬的计算方法：参照原国家计委《招标代理服务收费管理暂行办法》（计加盖[2002]1980号）、国家发展改革委办公厅《关于招标代理服务收费有关问题的通知》（发改办价格[2003]857号）和国家发展改革委《关于降低部分建设项目收费标准规范收费行为等有关问题的通知》（发改价格[2011]534号）规定，以中标金额为基准计算收取。中标金额在5亿元以上的代理服务费实行收费上限，服务类代理服务费上限为300万元。</w:t>
            </w:r>
          </w:p>
          <w:p w14:paraId="435E1E8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2、代理报酬的收取金额：中标金额的1.5%；</w:t>
            </w:r>
          </w:p>
          <w:p w14:paraId="326D89BA">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3、代理报酬支付方式：由中标人支付</w:t>
            </w:r>
          </w:p>
          <w:p w14:paraId="25F5DD1A">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4、代理报酬的支付时间：由中标人领取中标通知书时支付</w:t>
            </w:r>
            <w:r>
              <w:rPr>
                <w:rFonts w:hint="eastAsia" w:cs="Times New Roman" w:eastAsiaTheme="minorEastAsia"/>
                <w:sz w:val="28"/>
                <w:szCs w:val="28"/>
                <w:highlight w:val="none"/>
                <w:lang w:eastAsia="zh-CN"/>
              </w:rPr>
              <w:t>。</w:t>
            </w:r>
          </w:p>
          <w:p w14:paraId="2F804316">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针对招标代理服务费，如中标人需我司开具“增值税专用发票”的，在投标时须同时提交开具“增值税专用发票”的相关财务信息材料（在税务部门备案的信息）并加盖公章，包括：单位名称、纳税人识别号、营业地址及联系电话、开户银行及账号，以及一般纳税人证明，否则将开具“增值税普通发票”；由于投标人没有及时提交上述资料而导致无法开具“增值税专用发票”的，后果由投标人自行承担。</w:t>
            </w:r>
          </w:p>
          <w:p w14:paraId="7B651008">
            <w:pPr>
              <w:spacing w:beforeLines="0" w:afterLines="0" w:line="360" w:lineRule="auto"/>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招标代理费缴纳账户：</w:t>
            </w:r>
          </w:p>
          <w:p w14:paraId="3A2EE04B">
            <w:pPr>
              <w:spacing w:beforeLines="0" w:afterLines="0" w:line="480" w:lineRule="exact"/>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账户名称：新疆元通利合工程咨询有限公司</w:t>
            </w:r>
          </w:p>
          <w:p w14:paraId="654FF604">
            <w:pPr>
              <w:spacing w:beforeLines="0" w:afterLines="0" w:line="480" w:lineRule="exact"/>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开户银行：昆仑银行股份有限公司库尔勒分行</w:t>
            </w:r>
          </w:p>
          <w:p w14:paraId="04978F55">
            <w:pPr>
              <w:spacing w:beforeLines="0" w:afterLines="0" w:line="480" w:lineRule="exact"/>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银行账号：88812100174880000019</w:t>
            </w:r>
          </w:p>
          <w:p w14:paraId="06F7762D">
            <w:pPr>
              <w:spacing w:beforeLines="0" w:afterLines="0" w:line="360" w:lineRule="auto"/>
              <w:rPr>
                <w:rFonts w:hint="default"/>
              </w:rPr>
            </w:pPr>
            <w:r>
              <w:rPr>
                <w:rFonts w:hint="eastAsia" w:ascii="宋体" w:hAnsi="宋体" w:eastAsia="宋体" w:cs="宋体"/>
                <w:b/>
                <w:bCs/>
                <w:color w:val="auto"/>
                <w:kern w:val="2"/>
                <w:sz w:val="28"/>
                <w:szCs w:val="28"/>
                <w:highlight w:val="none"/>
                <w:lang w:val="en-US" w:eastAsia="zh-CN" w:bidi="ar-SA"/>
              </w:rPr>
              <w:t>银行行号：313888011009</w:t>
            </w:r>
          </w:p>
        </w:tc>
      </w:tr>
      <w:tr w14:paraId="646DD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789" w:type="dxa"/>
            <w:vAlign w:val="center"/>
          </w:tcPr>
          <w:p w14:paraId="0C405525">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w:t>
            </w:r>
            <w:r>
              <w:rPr>
                <w:rFonts w:hint="default" w:ascii="Times New Roman" w:hAnsi="Times New Roman" w:cs="Times New Roman" w:eastAsiaTheme="minorEastAsia"/>
                <w:sz w:val="28"/>
                <w:szCs w:val="28"/>
                <w:highlight w:val="none"/>
                <w:lang w:eastAsia="zh-CN"/>
              </w:rPr>
              <w:t>7</w:t>
            </w:r>
          </w:p>
        </w:tc>
        <w:tc>
          <w:tcPr>
            <w:tcW w:w="1626" w:type="dxa"/>
            <w:vAlign w:val="center"/>
          </w:tcPr>
          <w:p w14:paraId="6C4AB60E">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履约保证金</w:t>
            </w:r>
          </w:p>
        </w:tc>
        <w:tc>
          <w:tcPr>
            <w:tcW w:w="6766" w:type="dxa"/>
            <w:vAlign w:val="center"/>
          </w:tcPr>
          <w:p w14:paraId="0F647520">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是否需要</w:t>
            </w:r>
            <w:r>
              <w:rPr>
                <w:rFonts w:hint="default" w:cs="Times New Roman" w:eastAsiaTheme="minorEastAsia"/>
                <w:sz w:val="28"/>
                <w:szCs w:val="28"/>
                <w:highlight w:val="none"/>
                <w:lang w:eastAsia="zh-CN"/>
              </w:rPr>
              <w:t>缴纳</w:t>
            </w:r>
            <w:r>
              <w:rPr>
                <w:rFonts w:hint="default" w:ascii="Times New Roman" w:hAnsi="Times New Roman" w:cs="Times New Roman" w:eastAsiaTheme="minorEastAsia"/>
                <w:sz w:val="28"/>
                <w:szCs w:val="28"/>
                <w:highlight w:val="none"/>
                <w:lang w:eastAsia="zh-CN"/>
              </w:rPr>
              <w:t>履约保证金：</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否</w:t>
            </w:r>
          </w:p>
          <w:p w14:paraId="50FB0DED">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（若选择“是”）履约保证金</w:t>
            </w:r>
            <w:r>
              <w:rPr>
                <w:rFonts w:hint="default" w:cs="Times New Roman" w:eastAsiaTheme="minorEastAsia"/>
                <w:sz w:val="28"/>
                <w:szCs w:val="28"/>
                <w:highlight w:val="none"/>
                <w:lang w:eastAsia="zh-CN"/>
              </w:rPr>
              <w:t>缴纳</w:t>
            </w:r>
            <w:r>
              <w:rPr>
                <w:rFonts w:hint="default" w:ascii="Times New Roman" w:hAnsi="Times New Roman" w:cs="Times New Roman" w:eastAsiaTheme="minorEastAsia"/>
                <w:sz w:val="28"/>
                <w:szCs w:val="28"/>
                <w:highlight w:val="none"/>
                <w:lang w:eastAsia="zh-CN"/>
              </w:rPr>
              <w:t>要求：</w:t>
            </w:r>
          </w:p>
          <w:p w14:paraId="577E6AC1">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1</w:t>
            </w:r>
            <w:r>
              <w:rPr>
                <w:rFonts w:hint="default" w:ascii="Times New Roman" w:hAnsi="Times New Roman" w:cs="Times New Roman" w:eastAsiaTheme="minorEastAsia"/>
                <w:sz w:val="28"/>
                <w:szCs w:val="28"/>
                <w:highlight w:val="none"/>
                <w:lang w:eastAsia="zh-CN"/>
              </w:rPr>
              <w:t>）</w:t>
            </w:r>
            <w:r>
              <w:rPr>
                <w:rFonts w:hint="default" w:cs="Times New Roman" w:eastAsiaTheme="minorEastAsia"/>
                <w:sz w:val="28"/>
                <w:szCs w:val="28"/>
                <w:highlight w:val="none"/>
                <w:lang w:eastAsia="zh-CN"/>
              </w:rPr>
              <w:t>缴纳金额：</w:t>
            </w:r>
          </w:p>
          <w:p w14:paraId="7E753942">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cs="Times New Roman" w:eastAsiaTheme="minorEastAsia"/>
                <w:sz w:val="28"/>
                <w:szCs w:val="28"/>
                <w:highlight w:val="none"/>
                <w:lang w:eastAsia="zh-CN"/>
              </w:rPr>
              <w:t>（</w:t>
            </w:r>
            <w:r>
              <w:rPr>
                <w:rFonts w:hint="default" w:cs="Times New Roman" w:eastAsiaTheme="minorEastAsia"/>
                <w:sz w:val="28"/>
                <w:szCs w:val="28"/>
                <w:highlight w:val="none"/>
                <w:lang w:val="en-US" w:eastAsia="zh-CN"/>
              </w:rPr>
              <w:t>2</w:t>
            </w:r>
            <w:r>
              <w:rPr>
                <w:rFonts w:hint="default" w:cs="Times New Roman" w:eastAsiaTheme="minorEastAsia"/>
                <w:sz w:val="28"/>
                <w:szCs w:val="28"/>
                <w:highlight w:val="none"/>
                <w:lang w:eastAsia="zh-CN"/>
              </w:rPr>
              <w:t>）缴纳</w:t>
            </w:r>
            <w:r>
              <w:rPr>
                <w:rFonts w:hint="default" w:ascii="Times New Roman" w:hAnsi="Times New Roman" w:cs="Times New Roman" w:eastAsiaTheme="minorEastAsia"/>
                <w:sz w:val="28"/>
                <w:szCs w:val="28"/>
                <w:highlight w:val="none"/>
                <w:lang w:eastAsia="zh-CN"/>
              </w:rPr>
              <w:t>时间：</w:t>
            </w:r>
          </w:p>
          <w:p w14:paraId="07589406">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w:t>
            </w:r>
            <w:r>
              <w:rPr>
                <w:rFonts w:hint="default" w:cs="Times New Roman" w:eastAsiaTheme="minorEastAsia"/>
                <w:sz w:val="28"/>
                <w:szCs w:val="28"/>
                <w:highlight w:val="none"/>
                <w:lang w:val="en-US" w:eastAsia="zh-CN"/>
              </w:rPr>
              <w:t>3</w:t>
            </w:r>
            <w:r>
              <w:rPr>
                <w:rFonts w:hint="default" w:ascii="Times New Roman" w:hAnsi="Times New Roman" w:cs="Times New Roman" w:eastAsiaTheme="minorEastAsia"/>
                <w:sz w:val="28"/>
                <w:szCs w:val="28"/>
                <w:highlight w:val="none"/>
                <w:lang w:eastAsia="zh-CN"/>
              </w:rPr>
              <w:t>）</w:t>
            </w:r>
            <w:r>
              <w:rPr>
                <w:rFonts w:hint="default" w:cs="Times New Roman" w:eastAsiaTheme="minorEastAsia"/>
                <w:sz w:val="28"/>
                <w:szCs w:val="28"/>
                <w:highlight w:val="none"/>
                <w:lang w:eastAsia="zh-CN"/>
              </w:rPr>
              <w:t>缴纳</w:t>
            </w:r>
            <w:r>
              <w:rPr>
                <w:rFonts w:hint="default" w:ascii="Times New Roman" w:hAnsi="Times New Roman" w:cs="Times New Roman" w:eastAsiaTheme="minorEastAsia"/>
                <w:sz w:val="28"/>
                <w:szCs w:val="28"/>
                <w:highlight w:val="none"/>
                <w:lang w:eastAsia="zh-CN"/>
              </w:rPr>
              <w:t>方式：</w:t>
            </w:r>
          </w:p>
          <w:p w14:paraId="0C437AA7">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w:t>
            </w:r>
            <w:r>
              <w:rPr>
                <w:rFonts w:hint="default" w:cs="Times New Roman" w:eastAsiaTheme="minorEastAsia"/>
                <w:sz w:val="28"/>
                <w:szCs w:val="28"/>
                <w:highlight w:val="none"/>
                <w:lang w:val="en-US" w:eastAsia="zh-CN"/>
              </w:rPr>
              <w:t>4</w:t>
            </w:r>
            <w:r>
              <w:rPr>
                <w:rFonts w:hint="default" w:ascii="Times New Roman" w:hAnsi="Times New Roman" w:cs="Times New Roman" w:eastAsiaTheme="minorEastAsia"/>
                <w:sz w:val="28"/>
                <w:szCs w:val="28"/>
                <w:highlight w:val="none"/>
                <w:lang w:eastAsia="zh-CN"/>
              </w:rPr>
              <w:t>）退还方式：</w:t>
            </w:r>
          </w:p>
          <w:p w14:paraId="230E71A1">
            <w:pPr>
              <w:spacing w:beforeLines="0" w:afterLines="0" w:line="360" w:lineRule="auto"/>
              <w:rPr>
                <w:rFonts w:hint="default" w:ascii="Times New Roman" w:hAnsi="Times New Roman" w:cs="Times New Roman" w:eastAsiaTheme="minorEastAsia"/>
                <w:i/>
                <w:sz w:val="28"/>
                <w:szCs w:val="28"/>
                <w:highlight w:val="none"/>
              </w:rPr>
            </w:pPr>
            <w:r>
              <w:rPr>
                <w:rFonts w:hint="default" w:ascii="Times New Roman" w:hAnsi="Times New Roman" w:cs="Times New Roman" w:eastAsiaTheme="minorEastAsia"/>
                <w:sz w:val="28"/>
                <w:szCs w:val="28"/>
                <w:highlight w:val="none"/>
                <w:lang w:eastAsia="zh-CN"/>
              </w:rPr>
              <w:t>（</w:t>
            </w:r>
            <w:r>
              <w:rPr>
                <w:rFonts w:hint="default" w:cs="Times New Roman" w:eastAsiaTheme="minorEastAsia"/>
                <w:sz w:val="28"/>
                <w:szCs w:val="28"/>
                <w:highlight w:val="none"/>
                <w:lang w:val="en-US" w:eastAsia="zh-CN"/>
              </w:rPr>
              <w:t>5</w:t>
            </w:r>
            <w:r>
              <w:rPr>
                <w:rFonts w:hint="default" w:ascii="Times New Roman" w:hAnsi="Times New Roman" w:cs="Times New Roman" w:eastAsiaTheme="minorEastAsia"/>
                <w:sz w:val="28"/>
                <w:szCs w:val="28"/>
                <w:highlight w:val="none"/>
                <w:lang w:eastAsia="zh-CN"/>
              </w:rPr>
              <w:t>）其他要求（如有）：</w:t>
            </w:r>
          </w:p>
        </w:tc>
      </w:tr>
      <w:tr w14:paraId="2FF7B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789" w:type="dxa"/>
            <w:vAlign w:val="center"/>
          </w:tcPr>
          <w:p w14:paraId="0B6BBFDE">
            <w:pPr>
              <w:spacing w:beforeLines="0" w:afterLines="0" w:line="360" w:lineRule="auto"/>
              <w:jc w:val="center"/>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18</w:t>
            </w:r>
          </w:p>
        </w:tc>
        <w:tc>
          <w:tcPr>
            <w:tcW w:w="1626" w:type="dxa"/>
            <w:vAlign w:val="center"/>
          </w:tcPr>
          <w:p w14:paraId="2B4CAA47">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实质性要求</w:t>
            </w:r>
          </w:p>
        </w:tc>
        <w:tc>
          <w:tcPr>
            <w:tcW w:w="6766" w:type="dxa"/>
            <w:vAlign w:val="center"/>
          </w:tcPr>
          <w:p w14:paraId="295C8CD9">
            <w:pPr>
              <w:spacing w:beforeLines="0" w:afterLines="0" w:line="360" w:lineRule="auto"/>
              <w:rPr>
                <w:rFonts w:hint="default" w:ascii="Times New Roman" w:hAnsi="Times New Roman" w:cs="Times New Roman" w:eastAsiaTheme="minorEastAsia"/>
                <w:b/>
                <w:bCs/>
                <w:i/>
                <w:iCs/>
                <w:sz w:val="28"/>
                <w:szCs w:val="28"/>
                <w:highlight w:val="none"/>
                <w:lang w:eastAsia="zh-CN"/>
              </w:rPr>
            </w:pPr>
            <w:r>
              <w:rPr>
                <w:rFonts w:hint="default" w:ascii="Times New Roman" w:hAnsi="Times New Roman" w:cs="Times New Roman" w:eastAsiaTheme="minorEastAsia"/>
                <w:b w:val="0"/>
                <w:bCs w:val="0"/>
                <w:i w:val="0"/>
                <w:iCs w:val="0"/>
                <w:sz w:val="28"/>
                <w:szCs w:val="28"/>
                <w:highlight w:val="none"/>
                <w:lang w:eastAsia="zh-CN"/>
              </w:rPr>
              <w:t>本招标文件中标注“</w:t>
            </w:r>
            <w:r>
              <w:rPr>
                <w:rFonts w:hint="default" w:cs="Times New Roman" w:eastAsiaTheme="minorEastAsia"/>
                <w:b w:val="0"/>
                <w:bCs w:val="0"/>
                <w:i w:val="0"/>
                <w:iCs w:val="0"/>
                <w:sz w:val="28"/>
                <w:szCs w:val="28"/>
                <w:highlight w:val="none"/>
                <w:lang w:val="en-US" w:eastAsia="zh-CN"/>
              </w:rPr>
              <w:t xml:space="preserve"> ★</w:t>
            </w:r>
            <w:r>
              <w:rPr>
                <w:rFonts w:hint="default" w:ascii="Times New Roman" w:hAnsi="Times New Roman" w:cs="Times New Roman" w:eastAsiaTheme="minorEastAsia"/>
                <w:b w:val="0"/>
                <w:bCs w:val="0"/>
                <w:i w:val="0"/>
                <w:iCs w:val="0"/>
                <w:sz w:val="28"/>
                <w:szCs w:val="28"/>
                <w:highlight w:val="none"/>
                <w:lang w:eastAsia="zh-CN"/>
              </w:rPr>
              <w:t>”</w:t>
            </w:r>
            <w:r>
              <w:rPr>
                <w:rFonts w:hint="default" w:cs="Times New Roman" w:eastAsiaTheme="minorEastAsia"/>
                <w:b w:val="0"/>
                <w:bCs w:val="0"/>
                <w:i w:val="0"/>
                <w:iCs w:val="0"/>
                <w:sz w:val="28"/>
                <w:szCs w:val="28"/>
                <w:highlight w:val="none"/>
                <w:lang w:eastAsia="zh-CN"/>
              </w:rPr>
              <w:t>的</w:t>
            </w:r>
            <w:r>
              <w:rPr>
                <w:rFonts w:hint="default" w:ascii="Times New Roman" w:hAnsi="Times New Roman" w:cs="Times New Roman" w:eastAsiaTheme="minorEastAsia"/>
                <w:b w:val="0"/>
                <w:bCs w:val="0"/>
                <w:i w:val="0"/>
                <w:iCs w:val="0"/>
                <w:sz w:val="28"/>
                <w:szCs w:val="28"/>
                <w:highlight w:val="none"/>
                <w:lang w:eastAsia="zh-CN"/>
              </w:rPr>
              <w:t>为实质性要求。投标人应当在投标文件中进行实质性响应，否则作无效投标处理。</w:t>
            </w:r>
          </w:p>
        </w:tc>
      </w:tr>
      <w:tr w14:paraId="7EBE3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789" w:type="dxa"/>
            <w:vAlign w:val="center"/>
          </w:tcPr>
          <w:p w14:paraId="73E43961">
            <w:pPr>
              <w:spacing w:beforeLines="0" w:afterLines="0" w:line="360" w:lineRule="auto"/>
              <w:jc w:val="center"/>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1</w:t>
            </w:r>
            <w:r>
              <w:rPr>
                <w:rFonts w:hint="default" w:ascii="Times New Roman" w:hAnsi="Times New Roman" w:cs="Times New Roman" w:eastAsiaTheme="minorEastAsia"/>
                <w:sz w:val="28"/>
                <w:szCs w:val="28"/>
                <w:highlight w:val="none"/>
                <w:lang w:val="en-US" w:eastAsia="zh-CN"/>
              </w:rPr>
              <w:t>9</w:t>
            </w:r>
          </w:p>
        </w:tc>
        <w:tc>
          <w:tcPr>
            <w:tcW w:w="1626" w:type="dxa"/>
            <w:vAlign w:val="center"/>
          </w:tcPr>
          <w:p w14:paraId="1AED19C6">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投标文件上传</w:t>
            </w:r>
          </w:p>
        </w:tc>
        <w:tc>
          <w:tcPr>
            <w:tcW w:w="6766" w:type="dxa"/>
            <w:vAlign w:val="center"/>
          </w:tcPr>
          <w:p w14:paraId="6C98CB62">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使用政府采购云平台投标文件制作工具，制作完成需将加密投标文件在投标截止时间前上传至政采云平台对应位置。</w:t>
            </w:r>
          </w:p>
        </w:tc>
      </w:tr>
      <w:tr w14:paraId="6E3D46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789" w:type="dxa"/>
            <w:vAlign w:val="center"/>
          </w:tcPr>
          <w:p w14:paraId="344835E5">
            <w:pPr>
              <w:spacing w:beforeLines="0" w:afterLines="0" w:line="360" w:lineRule="auto"/>
              <w:jc w:val="center"/>
              <w:rPr>
                <w:rFonts w:hint="default" w:ascii="Times New Roman" w:hAnsi="Times New Roman"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20</w:t>
            </w:r>
          </w:p>
        </w:tc>
        <w:tc>
          <w:tcPr>
            <w:tcW w:w="1626" w:type="dxa"/>
            <w:vAlign w:val="center"/>
          </w:tcPr>
          <w:p w14:paraId="1BA4E73E">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投标文件</w:t>
            </w:r>
          </w:p>
          <w:p w14:paraId="1151C604">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递交地点</w:t>
            </w:r>
          </w:p>
        </w:tc>
        <w:tc>
          <w:tcPr>
            <w:tcW w:w="6766" w:type="dxa"/>
            <w:vAlign w:val="center"/>
          </w:tcPr>
          <w:p w14:paraId="3BE31FA5">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1、本项目采用不见面开标，投标文件上传：政采云平台</w:t>
            </w:r>
          </w:p>
          <w:p w14:paraId="26995358">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2、地址：政采云平台</w:t>
            </w:r>
          </w:p>
          <w:p w14:paraId="6786859D">
            <w:pPr>
              <w:spacing w:beforeLines="0" w:afterLines="0" w:line="360" w:lineRule="auto"/>
              <w:rPr>
                <w:rFonts w:hint="default" w:ascii="Times New Roman" w:hAnsi="Times New Roman" w:cs="Times New Roman" w:eastAsiaTheme="minorEastAsia"/>
                <w:sz w:val="28"/>
                <w:szCs w:val="28"/>
                <w:highlight w:val="none"/>
                <w:u w:val="single"/>
                <w:lang w:eastAsia="zh-CN"/>
              </w:rPr>
            </w:pPr>
            <w:r>
              <w:rPr>
                <w:rFonts w:hint="default" w:ascii="Times New Roman" w:hAnsi="Times New Roman" w:cs="Times New Roman" w:eastAsiaTheme="minorEastAsia"/>
                <w:sz w:val="28"/>
                <w:szCs w:val="28"/>
                <w:highlight w:val="none"/>
                <w:lang w:eastAsia="zh-CN"/>
              </w:rPr>
              <w:t>3、供应商备份文件可自愿在</w:t>
            </w:r>
            <w:r>
              <w:rPr>
                <w:rFonts w:hint="default" w:ascii="Times New Roman" w:hAnsi="Times New Roman" w:cs="Times New Roman" w:eastAsiaTheme="minorEastAsia"/>
                <w:sz w:val="28"/>
                <w:szCs w:val="28"/>
                <w:highlight w:val="none"/>
                <w:u w:val="single"/>
                <w:lang w:eastAsia="zh-CN"/>
              </w:rPr>
              <w:t>202</w:t>
            </w:r>
            <w:r>
              <w:rPr>
                <w:rFonts w:hint="eastAsia" w:cs="Times New Roman" w:eastAsiaTheme="minorEastAsia"/>
                <w:sz w:val="28"/>
                <w:szCs w:val="28"/>
                <w:highlight w:val="none"/>
                <w:u w:val="single"/>
                <w:lang w:val="en-US" w:eastAsia="zh-CN"/>
              </w:rPr>
              <w:t>6</w:t>
            </w:r>
            <w:r>
              <w:rPr>
                <w:rFonts w:hint="default" w:ascii="Times New Roman" w:hAnsi="Times New Roman" w:cs="Times New Roman" w:eastAsiaTheme="minorEastAsia"/>
                <w:sz w:val="28"/>
                <w:szCs w:val="28"/>
                <w:highlight w:val="none"/>
                <w:u w:val="single"/>
                <w:lang w:eastAsia="zh-CN"/>
              </w:rPr>
              <w:t>年</w:t>
            </w:r>
            <w:r>
              <w:rPr>
                <w:rFonts w:hint="eastAsia" w:cs="Times New Roman" w:eastAsiaTheme="minorEastAsia"/>
                <w:sz w:val="28"/>
                <w:szCs w:val="28"/>
                <w:highlight w:val="none"/>
                <w:u w:val="single"/>
                <w:lang w:val="en-US" w:eastAsia="zh-CN"/>
              </w:rPr>
              <w:t>06</w:t>
            </w:r>
            <w:r>
              <w:rPr>
                <w:rFonts w:hint="default" w:ascii="Times New Roman" w:hAnsi="Times New Roman" w:cs="Times New Roman" w:eastAsiaTheme="minorEastAsia"/>
                <w:sz w:val="28"/>
                <w:szCs w:val="28"/>
                <w:highlight w:val="none"/>
                <w:u w:val="single"/>
                <w:lang w:eastAsia="zh-CN"/>
              </w:rPr>
              <w:t>月</w:t>
            </w:r>
            <w:r>
              <w:rPr>
                <w:rFonts w:hint="eastAsia" w:cs="Times New Roman" w:eastAsiaTheme="minorEastAsia"/>
                <w:sz w:val="28"/>
                <w:szCs w:val="28"/>
                <w:highlight w:val="none"/>
                <w:u w:val="single"/>
                <w:lang w:val="en-US" w:eastAsia="zh-CN"/>
              </w:rPr>
              <w:t>05</w:t>
            </w:r>
            <w:r>
              <w:rPr>
                <w:rFonts w:hint="default" w:ascii="Times New Roman" w:hAnsi="Times New Roman" w:cs="Times New Roman" w:eastAsiaTheme="minorEastAsia"/>
                <w:sz w:val="28"/>
                <w:szCs w:val="28"/>
                <w:highlight w:val="none"/>
                <w:u w:val="single"/>
                <w:lang w:eastAsia="zh-CN"/>
              </w:rPr>
              <w:t>日</w:t>
            </w:r>
            <w:r>
              <w:rPr>
                <w:rFonts w:hint="eastAsia" w:cs="Times New Roman" w:eastAsiaTheme="minorEastAsia"/>
                <w:sz w:val="28"/>
                <w:szCs w:val="28"/>
                <w:highlight w:val="none"/>
                <w:u w:val="single"/>
                <w:lang w:val="en-US" w:eastAsia="zh-CN"/>
              </w:rPr>
              <w:t>10</w:t>
            </w:r>
            <w:r>
              <w:rPr>
                <w:rFonts w:hint="default" w:ascii="Times New Roman" w:hAnsi="Times New Roman" w:cs="Times New Roman" w:eastAsiaTheme="minorEastAsia"/>
                <w:sz w:val="28"/>
                <w:szCs w:val="28"/>
                <w:highlight w:val="none"/>
                <w:u w:val="single"/>
                <w:lang w:eastAsia="zh-CN"/>
              </w:rPr>
              <w:t>时</w:t>
            </w:r>
            <w:r>
              <w:rPr>
                <w:rFonts w:hint="eastAsia" w:cs="Times New Roman" w:eastAsiaTheme="minorEastAsia"/>
                <w:sz w:val="28"/>
                <w:szCs w:val="28"/>
                <w:highlight w:val="none"/>
                <w:u w:val="single"/>
                <w:lang w:val="en-US" w:eastAsia="zh-CN"/>
              </w:rPr>
              <w:t>3</w:t>
            </w:r>
            <w:r>
              <w:rPr>
                <w:rFonts w:hint="default" w:ascii="Times New Roman" w:hAnsi="Times New Roman" w:cs="Times New Roman" w:eastAsiaTheme="minorEastAsia"/>
                <w:sz w:val="28"/>
                <w:szCs w:val="28"/>
                <w:highlight w:val="none"/>
                <w:u w:val="single"/>
                <w:lang w:eastAsia="zh-CN"/>
              </w:rPr>
              <w:t>0分前（北京时间）</w:t>
            </w:r>
          </w:p>
          <w:p w14:paraId="47E241A3">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以U盘邮寄</w:t>
            </w:r>
            <w:r>
              <w:rPr>
                <w:rFonts w:hint="eastAsia" w:cs="Times New Roman" w:eastAsiaTheme="minorEastAsia"/>
                <w:sz w:val="28"/>
                <w:szCs w:val="28"/>
                <w:highlight w:val="none"/>
                <w:lang w:val="en-US" w:eastAsia="zh-CN"/>
              </w:rPr>
              <w:t>李女士</w:t>
            </w:r>
            <w:r>
              <w:rPr>
                <w:rFonts w:hint="default" w:ascii="Times New Roman" w:hAnsi="Times New Roman" w:cs="Times New Roman" w:eastAsiaTheme="minorEastAsia"/>
                <w:sz w:val="28"/>
                <w:szCs w:val="28"/>
                <w:highlight w:val="none"/>
                <w:lang w:eastAsia="zh-CN"/>
              </w:rPr>
              <w:t>，邮箱号：</w:t>
            </w:r>
            <w:r>
              <w:rPr>
                <w:rFonts w:hint="eastAsia" w:cs="Times New Roman" w:eastAsiaTheme="minorEastAsia"/>
                <w:sz w:val="28"/>
                <w:szCs w:val="28"/>
                <w:highlight w:val="none"/>
                <w:lang w:val="en-US" w:eastAsia="zh-CN"/>
              </w:rPr>
              <w:t xml:space="preserve">441828223 </w:t>
            </w:r>
            <w:r>
              <w:rPr>
                <w:rFonts w:hint="default" w:ascii="Times New Roman" w:hAnsi="Times New Roman" w:cs="Times New Roman" w:eastAsiaTheme="minorEastAsia"/>
                <w:sz w:val="28"/>
                <w:szCs w:val="28"/>
                <w:highlight w:val="none"/>
                <w:lang w:eastAsia="zh-CN"/>
              </w:rPr>
              <w:t>@qq.com）。</w:t>
            </w:r>
          </w:p>
          <w:p w14:paraId="651EB3FE">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注：</w:t>
            </w:r>
          </w:p>
          <w:p w14:paraId="6846A6BB">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（1）与加密标书同时生成的备份标书，在出现异常情况进行异常处理时使用。比如当加密标书无法正常解密时，可以在开启标书信息前，通过异常处理上传备份标书。</w:t>
            </w:r>
          </w:p>
          <w:p w14:paraId="4A2A5B9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（2）平台会校验标书一致性及标书身份识别，切勿手动修改标书。</w:t>
            </w:r>
          </w:p>
          <w:p w14:paraId="1159ACE8">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（3）供应商生成的后缀格式为.bfbs的备份标书是无法查看的，主要是为了在开标解密时异常处理使用。</w:t>
            </w:r>
          </w:p>
          <w:p w14:paraId="3240160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（4）凡因个人原因无法正常解密投标文件（且没提供备份文件至采购代理机构），致使供应商无法参与评标，供应商自行承担后果。</w:t>
            </w:r>
          </w:p>
          <w:p w14:paraId="04C229B4">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电报、电话、传真、电子邮件等形式的投标概不接受。</w:t>
            </w:r>
          </w:p>
          <w:p w14:paraId="5AF21660">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4、开标结束后五天内将纸制文件按要求，一式2份，邮寄至：新疆巴州库尔勒市交通西路艾尚酒店八楼80</w:t>
            </w:r>
            <w:r>
              <w:rPr>
                <w:rFonts w:hint="eastAsia" w:cs="Times New Roman" w:eastAsiaTheme="minorEastAsia"/>
                <w:sz w:val="28"/>
                <w:szCs w:val="28"/>
                <w:highlight w:val="none"/>
                <w:lang w:val="en-US" w:eastAsia="zh-CN"/>
              </w:rPr>
              <w:t>9</w:t>
            </w:r>
            <w:r>
              <w:rPr>
                <w:rFonts w:hint="default" w:ascii="Times New Roman" w:hAnsi="Times New Roman" w:cs="Times New Roman" w:eastAsiaTheme="minorEastAsia"/>
                <w:sz w:val="28"/>
                <w:szCs w:val="28"/>
                <w:highlight w:val="none"/>
                <w:lang w:eastAsia="zh-CN"/>
              </w:rPr>
              <w:t>室。</w:t>
            </w:r>
          </w:p>
        </w:tc>
      </w:tr>
      <w:tr w14:paraId="37B8DB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789" w:type="dxa"/>
            <w:vAlign w:val="center"/>
          </w:tcPr>
          <w:p w14:paraId="371720E6">
            <w:pPr>
              <w:spacing w:beforeLines="0" w:afterLines="0" w:line="360" w:lineRule="auto"/>
              <w:jc w:val="center"/>
              <w:rPr>
                <w:rFonts w:hint="default"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21</w:t>
            </w:r>
          </w:p>
        </w:tc>
        <w:tc>
          <w:tcPr>
            <w:tcW w:w="1626" w:type="dxa"/>
            <w:vAlign w:val="center"/>
          </w:tcPr>
          <w:p w14:paraId="315D3C3F">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是否适用本国产品标准</w:t>
            </w:r>
          </w:p>
        </w:tc>
        <w:tc>
          <w:tcPr>
            <w:tcW w:w="6766" w:type="dxa"/>
            <w:vAlign w:val="center"/>
          </w:tcPr>
          <w:p w14:paraId="33CB7B70">
            <w:pPr>
              <w:spacing w:beforeLines="0" w:afterLines="0" w:line="360" w:lineRule="auto"/>
              <w:jc w:val="both"/>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sym w:font="Wingdings 2" w:char="0052"/>
            </w:r>
            <w:r>
              <w:rPr>
                <w:rFonts w:hint="default" w:ascii="Times New Roman" w:hAnsi="Times New Roman" w:cs="Times New Roman" w:eastAsiaTheme="minorEastAsia"/>
                <w:sz w:val="28"/>
                <w:szCs w:val="28"/>
                <w:highlight w:val="none"/>
                <w:lang w:eastAsia="zh-CN"/>
              </w:rPr>
              <w:t>是</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sym w:font="Wingdings 2" w:char="00A3"/>
            </w:r>
            <w:r>
              <w:rPr>
                <w:rFonts w:hint="default" w:ascii="Times New Roman" w:hAnsi="Times New Roman" w:cs="Times New Roman" w:eastAsiaTheme="minorEastAsia"/>
                <w:sz w:val="28"/>
                <w:szCs w:val="28"/>
                <w:highlight w:val="none"/>
                <w:lang w:eastAsia="zh-CN"/>
              </w:rPr>
              <w:t>否</w:t>
            </w:r>
          </w:p>
          <w:p w14:paraId="5A1DBE82">
            <w:pPr>
              <w:spacing w:beforeLines="0" w:afterLines="0" w:line="360" w:lineRule="auto"/>
              <w:jc w:val="center"/>
              <w:rPr>
                <w:rFonts w:hint="default" w:ascii="Times New Roman" w:hAnsi="Times New Roman" w:cs="Times New Roman" w:eastAsiaTheme="minorEastAsia"/>
                <w:sz w:val="28"/>
                <w:szCs w:val="28"/>
                <w:highlight w:val="none"/>
                <w:lang w:eastAsia="zh-CN"/>
              </w:rPr>
            </w:pPr>
            <w:r>
              <w:rPr>
                <w:rFonts w:hint="eastAsia" w:ascii="Times New Roman" w:hAnsi="Times New Roman" w:cs="Times New Roman" w:eastAsiaTheme="minorEastAsia"/>
                <w:sz w:val="28"/>
                <w:szCs w:val="28"/>
                <w:highlight w:val="none"/>
                <w:lang w:val="en-US" w:eastAsia="zh-CN"/>
              </w:rPr>
              <w:t>价格评审优惠对本国产品的报价给予20%的价格扣除</w:t>
            </w:r>
            <w:r>
              <w:rPr>
                <w:rFonts w:hint="eastAsia" w:cs="Times New Roman" w:eastAsiaTheme="minorEastAsia"/>
                <w:sz w:val="28"/>
                <w:szCs w:val="28"/>
                <w:highlight w:val="none"/>
                <w:lang w:val="en-US" w:eastAsia="zh-CN"/>
              </w:rPr>
              <w:t>。</w:t>
            </w:r>
          </w:p>
        </w:tc>
      </w:tr>
      <w:tr w14:paraId="529D7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789" w:type="dxa"/>
            <w:vAlign w:val="center"/>
          </w:tcPr>
          <w:p w14:paraId="1587AF1F">
            <w:pPr>
              <w:spacing w:beforeLines="0" w:afterLines="0" w:line="360" w:lineRule="auto"/>
              <w:jc w:val="center"/>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备注</w:t>
            </w:r>
          </w:p>
        </w:tc>
        <w:tc>
          <w:tcPr>
            <w:tcW w:w="8392" w:type="dxa"/>
            <w:gridSpan w:val="2"/>
            <w:vAlign w:val="center"/>
          </w:tcPr>
          <w:p w14:paraId="1FAC96C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1、请投标单位提前自学线上开标流程；投标截止时间当天，线上开标环节，投标文件解密时长30分钟，投标供应商请自备笔记本电脑及CA锁进行投标文件解密以及操作投标事项，请投标人提前调试好在线参标电脑各项配置。</w:t>
            </w:r>
          </w:p>
          <w:p w14:paraId="10EAD6F4">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2、招标文件中采购清单、技术需求等如有偏差，如有疑义请澄清中及时提出；否则视为充分理解招标文件各项要求。</w:t>
            </w:r>
          </w:p>
          <w:p w14:paraId="41F4CB4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3、本次采用政府采购云平台线上招标、投标，请各潜在投标人及时办理CA锁和学习政府采购云平台线上投标相关知识。请在政府采购云平台登录后，进行下载招标文件。请各投标人获取招标文件后及时关注云平台答疑文件获取栏目。具体相关事宜见政府采购云平台。本项目采用资格后审，请投标人仔细阅读招标文件和各项要求，制作文件及相关资料过程中，若因投标人资格条件不符、提供资料不全等原因导致投标文件予以退还，责任自负。</w:t>
            </w:r>
          </w:p>
          <w:p w14:paraId="1E78E548">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4、投标文件中有弄虚作假的内容，其投标文件作废。</w:t>
            </w:r>
          </w:p>
          <w:p w14:paraId="32D310D8">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5、招标文件中如有内容冲突的地方，以投标</w:t>
            </w:r>
            <w:r>
              <w:rPr>
                <w:rFonts w:hint="eastAsia" w:cs="Times New Roman" w:eastAsiaTheme="minorEastAsia"/>
                <w:sz w:val="28"/>
                <w:szCs w:val="28"/>
                <w:highlight w:val="none"/>
                <w:lang w:val="en-US" w:eastAsia="zh-CN"/>
              </w:rPr>
              <w:t>人</w:t>
            </w:r>
            <w:r>
              <w:rPr>
                <w:rFonts w:hint="default" w:ascii="Times New Roman" w:hAnsi="Times New Roman" w:cs="Times New Roman" w:eastAsiaTheme="minorEastAsia"/>
                <w:sz w:val="28"/>
                <w:szCs w:val="28"/>
                <w:highlight w:val="none"/>
                <w:lang w:eastAsia="zh-CN"/>
              </w:rPr>
              <w:t>须知要求为准。</w:t>
            </w:r>
          </w:p>
        </w:tc>
      </w:tr>
    </w:tbl>
    <w:p w14:paraId="753788FE">
      <w:pPr>
        <w:spacing w:line="360" w:lineRule="auto"/>
        <w:ind w:left="0" w:leftChars="0" w:firstLine="0" w:firstLineChars="0"/>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b/>
          <w:bCs/>
          <w:sz w:val="28"/>
          <w:szCs w:val="28"/>
          <w:highlight w:val="none"/>
          <w:lang w:eastAsia="zh-CN"/>
        </w:rPr>
        <w:br w:type="page"/>
      </w:r>
    </w:p>
    <w:p w14:paraId="72D108AB">
      <w:pPr>
        <w:pStyle w:val="23"/>
        <w:spacing w:line="360" w:lineRule="auto"/>
        <w:ind w:left="0" w:leftChars="0" w:firstLine="0" w:firstLineChars="0"/>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b/>
          <w:bCs/>
          <w:sz w:val="28"/>
          <w:szCs w:val="28"/>
          <w:highlight w:val="none"/>
          <w:lang w:eastAsia="zh-CN"/>
        </w:rPr>
        <w:t>二、</w:t>
      </w:r>
      <w:r>
        <w:rPr>
          <w:rFonts w:hint="eastAsia" w:ascii="Times New Roman" w:hAnsi="Times New Roman" w:cs="Times New Roman" w:eastAsiaTheme="minorEastAsia"/>
          <w:b/>
          <w:bCs/>
          <w:sz w:val="28"/>
          <w:szCs w:val="28"/>
          <w:highlight w:val="none"/>
          <w:lang w:eastAsia="zh-CN"/>
        </w:rPr>
        <w:t>投标人</w:t>
      </w:r>
      <w:r>
        <w:rPr>
          <w:rFonts w:hint="default" w:ascii="Times New Roman" w:hAnsi="Times New Roman" w:cs="Times New Roman" w:eastAsiaTheme="minorEastAsia"/>
          <w:b/>
          <w:bCs/>
          <w:sz w:val="28"/>
          <w:szCs w:val="28"/>
          <w:highlight w:val="none"/>
          <w:lang w:eastAsia="zh-CN"/>
        </w:rPr>
        <w:t>须知</w:t>
      </w:r>
    </w:p>
    <w:p w14:paraId="2E8E8C73">
      <w:pPr>
        <w:spacing w:beforeLines="0" w:afterLines="0" w:line="360" w:lineRule="auto"/>
        <w:jc w:val="center"/>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eastAsia="zh-CN"/>
        </w:rPr>
        <w:t>（一）</w:t>
      </w:r>
      <w:r>
        <w:rPr>
          <w:rFonts w:hint="default" w:ascii="Times New Roman" w:hAnsi="Times New Roman" w:cs="Times New Roman" w:eastAsiaTheme="minorEastAsia"/>
          <w:b/>
          <w:bCs/>
          <w:sz w:val="28"/>
          <w:szCs w:val="28"/>
          <w:highlight w:val="none"/>
        </w:rPr>
        <w:t>总则</w:t>
      </w:r>
    </w:p>
    <w:p w14:paraId="540552A9">
      <w:pPr>
        <w:spacing w:beforeLines="0" w:afterLines="0" w:line="360" w:lineRule="auto"/>
        <w:jc w:val="left"/>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1.采购人、采购代理机构</w:t>
      </w:r>
      <w:r>
        <w:rPr>
          <w:rFonts w:hint="default" w:ascii="Times New Roman" w:hAnsi="Times New Roman" w:cs="Times New Roman" w:eastAsiaTheme="minorEastAsia"/>
          <w:b/>
          <w:bCs/>
          <w:sz w:val="28"/>
          <w:szCs w:val="28"/>
          <w:highlight w:val="none"/>
          <w:lang w:eastAsia="zh-CN"/>
        </w:rPr>
        <w:t>、</w:t>
      </w:r>
      <w:r>
        <w:rPr>
          <w:rFonts w:hint="default" w:ascii="Times New Roman" w:hAnsi="Times New Roman" w:cs="Times New Roman" w:eastAsiaTheme="minorEastAsia"/>
          <w:b/>
          <w:bCs/>
          <w:sz w:val="28"/>
          <w:szCs w:val="28"/>
          <w:highlight w:val="none"/>
        </w:rPr>
        <w:t>投标</w:t>
      </w:r>
      <w:r>
        <w:rPr>
          <w:rFonts w:hint="default" w:ascii="Times New Roman" w:hAnsi="Times New Roman" w:cs="Times New Roman" w:eastAsiaTheme="minorEastAsia"/>
          <w:b/>
          <w:bCs/>
          <w:sz w:val="28"/>
          <w:szCs w:val="28"/>
          <w:highlight w:val="none"/>
          <w:lang w:eastAsia="zh-CN"/>
        </w:rPr>
        <w:t>人、联合体</w:t>
      </w:r>
    </w:p>
    <w:p w14:paraId="3CBEA60B">
      <w:pPr>
        <w:tabs>
          <w:tab w:val="left" w:pos="142"/>
        </w:tabs>
        <w:spacing w:beforeLines="0" w:afterLines="0" w:line="360" w:lineRule="auto"/>
        <w:ind w:left="0" w:hanging="826" w:hangingChars="295"/>
        <w:jc w:val="left"/>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1.1</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采购人是指依法进行政府采购的国家机关、事业单位、团体组织。</w:t>
      </w:r>
    </w:p>
    <w:p w14:paraId="39580747">
      <w:pPr>
        <w:tabs>
          <w:tab w:val="left" w:pos="142"/>
        </w:tabs>
        <w:spacing w:beforeLines="0" w:afterLines="0" w:line="360" w:lineRule="auto"/>
        <w:ind w:left="0" w:hanging="6" w:firstLineChars="0"/>
        <w:jc w:val="left"/>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1.2</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采购代理机构是指集中采购机构或从事采购代理业务的社会中介机构。</w:t>
      </w:r>
    </w:p>
    <w:p w14:paraId="59F03FD9">
      <w:pPr>
        <w:tabs>
          <w:tab w:val="left" w:pos="142"/>
        </w:tabs>
        <w:spacing w:beforeLines="0" w:afterLines="0" w:line="360" w:lineRule="auto"/>
        <w:ind w:left="0" w:hanging="6" w:firstLineChars="0"/>
        <w:jc w:val="left"/>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1.3</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人（也称“供应商”“投标供应商”“申请人”等）</w:t>
      </w:r>
      <w:r>
        <w:rPr>
          <w:rFonts w:hint="default" w:ascii="Times New Roman" w:hAnsi="Times New Roman" w:cs="Times New Roman" w:eastAsiaTheme="minorEastAsia"/>
          <w:sz w:val="28"/>
          <w:szCs w:val="28"/>
          <w:highlight w:val="none"/>
        </w:rPr>
        <w:t>是指</w:t>
      </w:r>
      <w:r>
        <w:rPr>
          <w:rFonts w:hint="default" w:ascii="Times New Roman" w:hAnsi="Times New Roman" w:cs="Times New Roman" w:eastAsiaTheme="minorEastAsia"/>
          <w:sz w:val="28"/>
          <w:szCs w:val="28"/>
          <w:highlight w:val="none"/>
          <w:lang w:eastAsia="zh-CN"/>
        </w:rPr>
        <w:t>向采购人提供货物、工程或者服务的</w:t>
      </w:r>
      <w:r>
        <w:rPr>
          <w:rFonts w:hint="default" w:ascii="Times New Roman" w:hAnsi="Times New Roman" w:cs="Times New Roman" w:eastAsiaTheme="minorEastAsia"/>
          <w:sz w:val="28"/>
          <w:szCs w:val="28"/>
          <w:highlight w:val="none"/>
        </w:rPr>
        <w:t>的法人、</w:t>
      </w:r>
      <w:r>
        <w:rPr>
          <w:rFonts w:hint="default" w:ascii="Times New Roman" w:hAnsi="Times New Roman" w:cs="Times New Roman" w:eastAsiaTheme="minorEastAsia"/>
          <w:sz w:val="28"/>
          <w:szCs w:val="28"/>
          <w:highlight w:val="none"/>
          <w:lang w:eastAsia="zh-CN"/>
        </w:rPr>
        <w:t>其他</w:t>
      </w:r>
      <w:r>
        <w:rPr>
          <w:rFonts w:hint="default" w:ascii="Times New Roman" w:hAnsi="Times New Roman" w:cs="Times New Roman" w:eastAsiaTheme="minorEastAsia"/>
          <w:sz w:val="28"/>
          <w:szCs w:val="28"/>
          <w:highlight w:val="none"/>
        </w:rPr>
        <w:t>组织或者自然人。</w:t>
      </w:r>
    </w:p>
    <w:p w14:paraId="52659E45">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1.4 联合体是指两个以上的自然人、法人或者其他组织组成一个联合体，以一个供应商的身份共同参与政府采购。</w:t>
      </w:r>
    </w:p>
    <w:p w14:paraId="5EC5D26F">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2.政府采购政策</w:t>
      </w:r>
      <w:r>
        <w:rPr>
          <w:rFonts w:hint="default" w:ascii="Times New Roman" w:hAnsi="Times New Roman" w:cs="Times New Roman" w:eastAsiaTheme="minorEastAsia"/>
          <w:b/>
          <w:bCs/>
          <w:i/>
          <w:iCs/>
          <w:sz w:val="28"/>
          <w:szCs w:val="28"/>
          <w:highlight w:val="none"/>
          <w:lang w:val="en-US" w:eastAsia="zh-CN"/>
        </w:rPr>
        <w:t>（包括但不限于下列具体政策要求）</w:t>
      </w:r>
    </w:p>
    <w:p w14:paraId="0FCB1E6C">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 xml:space="preserve">    2.1 采购本国货物、工程和服务</w:t>
      </w:r>
    </w:p>
    <w:p w14:paraId="431F7153">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2.1.1 政府采购应当采购本国货物、工程和服务。但有《中华人民共和国政府采购法》第十条规定情形的除外。</w:t>
      </w:r>
    </w:p>
    <w:p w14:paraId="6DC0F16B">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2.1.2 采购人需要采购的产品在中国境内无法获取或者无法以合理的商业条件获取，以及法律法规另有规定确需采购进口产品的，应当在采购活动开始前获得财政部门核准后。在采购活动开始前没有获得财政部门同意而开展采购活动的，视同为拒绝采购进口产品，应当在采购文件中明确作出不允许进口产品参加的规定。未在采购文件中明确规定不允许进口产品参加的，视为拒绝进口产品参加。</w:t>
      </w:r>
    </w:p>
    <w:p w14:paraId="1B805FA5">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2.1.3 财政部门审核同意购买进口产品的，应当在采购文件中明确规定可以采购进口产品，但如果因信息不对称等原因，仍有满足需求的国内产品要求参与采购竞争的，采购人及其委托的采购代理机构不得对其加以限制，应当按照公平竞争原则实施采购。</w:t>
      </w:r>
    </w:p>
    <w:p w14:paraId="70B9A765">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2.1.4 采购人及其委托的采购代理机构在采购进口产品的采购文件中应当载明优先采购向我国企业转让技术、与我国企业签订消化吸收再创新方案的供应商的进口产品。</w:t>
      </w:r>
    </w:p>
    <w:p w14:paraId="6C735FD9">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 xml:space="preserve">    2.2 中小企业、监狱企业及残疾人福利性单位</w:t>
      </w:r>
    </w:p>
    <w:p w14:paraId="306317F4">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2.2.1 中小企业是指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2210389">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2.2.1.1 供应商提供的货物、工程或者服务符合下列情形的，享受中小企业扶持政策：</w:t>
      </w:r>
    </w:p>
    <w:p w14:paraId="4AB7504D">
      <w:pPr>
        <w:spacing w:beforeLines="0" w:afterLines="0" w:line="360" w:lineRule="auto"/>
        <w:ind w:firstLine="56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（1）在货物采购项目中，货物由中小企业制造，即货物由中小企业生产且使用该中小企业商号或者注册商标；</w:t>
      </w:r>
    </w:p>
    <w:p w14:paraId="4EB79F82">
      <w:pPr>
        <w:spacing w:beforeLines="0" w:afterLines="0" w:line="360" w:lineRule="auto"/>
        <w:ind w:firstLine="56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（2）在工程采购项目中，工程由中小企业承建，即工程施工单位为中小企业；</w:t>
      </w:r>
    </w:p>
    <w:p w14:paraId="7F062B14">
      <w:pPr>
        <w:spacing w:beforeLines="0" w:afterLines="0" w:line="360" w:lineRule="auto"/>
        <w:ind w:firstLine="56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（3）在服务采购项目中，服务由中小企业承接，即提供服务的人员为中小企业依照《中华人民共和国劳动合同法》订立劳动合同的从业人员。</w:t>
      </w:r>
    </w:p>
    <w:p w14:paraId="34891DE4">
      <w:pPr>
        <w:spacing w:beforeLines="0" w:afterLines="0" w:line="360" w:lineRule="auto"/>
        <w:ind w:firstLine="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2.2.1.2 在货物采购项目中，供应商提供的货物既有中小企业制造货物，也有大型企业制造货物的，不享受中小企业扶持政策。</w:t>
      </w:r>
    </w:p>
    <w:p w14:paraId="0A9FCD30">
      <w:pPr>
        <w:spacing w:beforeLines="0" w:afterLines="0" w:line="360" w:lineRule="auto"/>
        <w:ind w:firstLine="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2.2.1.3 以联合体形式参加政府采购活动，联合体各方均为中小企业的，联合体视同中小企业。其中，联合体各方均为小微企业的，联合体视同小微企业。</w:t>
      </w:r>
    </w:p>
    <w:p w14:paraId="1E2DBDC8">
      <w:pPr>
        <w:spacing w:beforeLines="0" w:afterLines="0" w:line="360" w:lineRule="auto"/>
        <w:ind w:firstLine="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2.2.1.4 中小企业参加政府采购，应当出具《政府采购促进中小企业发展管理办法》（财库</w:t>
      </w:r>
      <w:r>
        <w:rPr>
          <w:rFonts w:hint="default" w:ascii="Times New Roman" w:hAnsi="Times New Roman" w:eastAsia="仿宋_GB2312" w:cs="Times New Roman"/>
          <w:sz w:val="28"/>
          <w:szCs w:val="28"/>
          <w:highlight w:val="none"/>
          <w:lang w:val="en-US" w:eastAsia="zh-CN"/>
        </w:rPr>
        <w:t>〔2020〕46号</w:t>
      </w:r>
      <w:r>
        <w:rPr>
          <w:rFonts w:hint="default" w:ascii="Times New Roman" w:hAnsi="Times New Roman" w:cs="Times New Roman" w:eastAsiaTheme="minorEastAsia"/>
          <w:sz w:val="28"/>
          <w:szCs w:val="28"/>
          <w:highlight w:val="none"/>
          <w:lang w:val="en-US" w:eastAsia="zh-CN"/>
        </w:rPr>
        <w:t>）规定的《中小企业声明函》，否则不得享受相关中小企业扶持政策。任何单位和个人不得要求供应商提供《中小企业声明函》之外的中小企业身份证明文件。</w:t>
      </w:r>
    </w:p>
    <w:p w14:paraId="76219D3B">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2.2.3 在政府采购活动中，监狱企业视同小型、微型企业，享受预留份额、评审中价格扣除等政府采购促进中小企业发展的政府采购政策。监狱企业参加政府采购活动时，应当提供由省级以上监狱管理局、戒毒管理局（含新疆生产建设兵团）出具的属于监狱企业的证明文件。</w:t>
      </w:r>
    </w:p>
    <w:p w14:paraId="09EE2931">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2.2.4 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关于促进</w:t>
      </w:r>
      <w:r>
        <w:rPr>
          <w:rFonts w:hint="default" w:cs="Times New Roman" w:eastAsiaTheme="minorEastAsia"/>
          <w:sz w:val="28"/>
          <w:szCs w:val="28"/>
          <w:highlight w:val="none"/>
          <w:lang w:val="en-US" w:eastAsia="zh-CN"/>
        </w:rPr>
        <w:t>残疾人</w:t>
      </w:r>
      <w:r>
        <w:rPr>
          <w:rFonts w:hint="default" w:ascii="Times New Roman" w:hAnsi="Times New Roman" w:cs="Times New Roman" w:eastAsiaTheme="minorEastAsia"/>
          <w:sz w:val="28"/>
          <w:szCs w:val="28"/>
          <w:highlight w:val="none"/>
          <w:lang w:val="en-US" w:eastAsia="zh-CN"/>
        </w:rPr>
        <w:t>就业政府采购政策的通知》（财库</w:t>
      </w:r>
      <w:r>
        <w:rPr>
          <w:rFonts w:hint="default" w:ascii="Times New Roman" w:hAnsi="Times New Roman" w:eastAsia="仿宋_GB2312" w:cs="Times New Roman"/>
          <w:sz w:val="28"/>
          <w:szCs w:val="28"/>
          <w:highlight w:val="none"/>
          <w:lang w:val="en-US" w:eastAsia="zh-CN"/>
        </w:rPr>
        <w:t>〔2017〕141号</w:t>
      </w:r>
      <w:r>
        <w:rPr>
          <w:rFonts w:hint="default" w:ascii="Times New Roman" w:hAnsi="Times New Roman" w:cs="Times New Roman" w:eastAsiaTheme="minorEastAsia"/>
          <w:sz w:val="28"/>
          <w:szCs w:val="28"/>
          <w:highlight w:val="none"/>
          <w:lang w:val="en-US" w:eastAsia="zh-CN"/>
        </w:rPr>
        <w:t>）规定的《</w:t>
      </w:r>
      <w:r>
        <w:rPr>
          <w:rFonts w:hint="default" w:cs="Times New Roman" w:eastAsiaTheme="minorEastAsia"/>
          <w:sz w:val="28"/>
          <w:szCs w:val="28"/>
          <w:highlight w:val="none"/>
          <w:lang w:val="en-US" w:eastAsia="zh-CN"/>
        </w:rPr>
        <w:t>残疾人</w:t>
      </w:r>
      <w:r>
        <w:rPr>
          <w:rFonts w:hint="default" w:ascii="Times New Roman" w:hAnsi="Times New Roman" w:cs="Times New Roman" w:eastAsiaTheme="minorEastAsia"/>
          <w:sz w:val="28"/>
          <w:szCs w:val="28"/>
          <w:highlight w:val="none"/>
          <w:lang w:val="en-US" w:eastAsia="zh-CN"/>
        </w:rPr>
        <w:t>福利性单位声明函》，并对声明的真实性负责。任何单位或者个人在政府采购活动中均不得要求</w:t>
      </w:r>
      <w:r>
        <w:rPr>
          <w:rFonts w:hint="default" w:cs="Times New Roman" w:eastAsiaTheme="minorEastAsia"/>
          <w:sz w:val="28"/>
          <w:szCs w:val="28"/>
          <w:highlight w:val="none"/>
          <w:lang w:val="en-US" w:eastAsia="zh-CN"/>
        </w:rPr>
        <w:t>残疾人</w:t>
      </w:r>
      <w:r>
        <w:rPr>
          <w:rFonts w:hint="default" w:ascii="Times New Roman" w:hAnsi="Times New Roman" w:cs="Times New Roman" w:eastAsiaTheme="minorEastAsia"/>
          <w:sz w:val="28"/>
          <w:szCs w:val="28"/>
          <w:highlight w:val="none"/>
          <w:lang w:val="en-US" w:eastAsia="zh-CN"/>
        </w:rPr>
        <w:t>福利性单位提供其他证明声明函内容的材料。</w:t>
      </w:r>
    </w:p>
    <w:p w14:paraId="6B95A22F">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 xml:space="preserve">    2.3 政府采购节能产品、环境标志产品</w:t>
      </w:r>
    </w:p>
    <w:p w14:paraId="17C05777">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2.3.1 政府采购节能产品、环境标志产品实施品目清单管理。财政部、发展改革委、生态环境部等部门根据产品节能环保性能、技术水平和市场成熟程度等因素，确定实施政府采购优先采购和强制采购的产品类别及所依据的相关标准规范，以品目清单的形式发布并适时调整。</w:t>
      </w:r>
    </w:p>
    <w:p w14:paraId="76582670">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2.3.2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513D759B">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2.3.3 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C4D9D35">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 xml:space="preserve">    2.4 采购需求标准</w:t>
      </w:r>
    </w:p>
    <w:p w14:paraId="2C3BD6A0">
      <w:pPr>
        <w:spacing w:beforeLines="0" w:afterLines="0" w:line="360" w:lineRule="auto"/>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2.4.1 </w:t>
      </w:r>
      <w:r>
        <w:rPr>
          <w:rFonts w:hint="default" w:ascii="Times New Roman" w:hAnsi="Times New Roman" w:cs="Times New Roman" w:eastAsiaTheme="minorEastAsia"/>
          <w:b w:val="0"/>
          <w:bCs w:val="0"/>
          <w:sz w:val="28"/>
          <w:szCs w:val="28"/>
          <w:highlight w:val="none"/>
          <w:lang w:val="en-US" w:eastAsia="zh-CN"/>
        </w:rPr>
        <w:t>本项目如涉及台式计算机、便携式计算机、一体式计算机、工作站、通用服务器、操作系统、数据库采购的，应按照《台式计算机政府采购需求标准（2023年版）》（财库〔2023〕29号）、《便携式计算机政府采购需求标准（2023年版）》（财库〔2023〕30号）、《一体式计算机政府采购需求标准（2023年版）》（财库〔2023〕31号）、《工作站政府采购需求标准（2023年版）》（财库〔2023〕32号）、《通用服务器政府采购需求标准（2023年版）》（财库〔2023〕33号）、《操作系统政府采购需求标准（2023年版）》（财库〔2023〕34号）、《数据库政府采购需求标准（2023年版）》（财库〔2023〕35号）实施相关采购活动。</w:t>
      </w:r>
    </w:p>
    <w:p w14:paraId="1F793AEA">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 xml:space="preserve">    2.4.2 本项目如涉及办公场所类物业管理服务采购的，可参考使用《物业管理服务政府采购需求标准（办公场所类）（试行）</w:t>
      </w:r>
      <w:r>
        <w:rPr>
          <w:rFonts w:hint="default" w:ascii="Times New Roman" w:hAnsi="Times New Roman" w:cs="Times New Roman" w:eastAsiaTheme="minorEastAsia"/>
          <w:sz w:val="28"/>
          <w:szCs w:val="28"/>
          <w:highlight w:val="none"/>
          <w:lang w:val="en-US" w:eastAsia="zh-CN"/>
        </w:rPr>
        <w:t>》（财办库</w:t>
      </w:r>
      <w:r>
        <w:rPr>
          <w:rFonts w:hint="default" w:ascii="Times New Roman" w:hAnsi="Times New Roman" w:eastAsia="仿宋_GB2312" w:cs="Times New Roman"/>
          <w:sz w:val="28"/>
          <w:szCs w:val="28"/>
          <w:highlight w:val="none"/>
          <w:lang w:val="en-US" w:eastAsia="zh-CN"/>
        </w:rPr>
        <w:t>〔2024〕113号</w:t>
      </w:r>
      <w:r>
        <w:rPr>
          <w:rFonts w:hint="default" w:ascii="Times New Roman" w:hAnsi="Times New Roman" w:cs="Times New Roman" w:eastAsiaTheme="minorEastAsia"/>
          <w:sz w:val="28"/>
          <w:szCs w:val="28"/>
          <w:highlight w:val="none"/>
          <w:lang w:val="en-US" w:eastAsia="zh-CN"/>
        </w:rPr>
        <w:t>）。</w:t>
      </w:r>
    </w:p>
    <w:p w14:paraId="7CBE3BE3">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2.4.3 本项目如涉及数据中心相关设备、运维服务采购的，应按照《绿色数据中心政府采购需求标准（试行）》（财库</w:t>
      </w:r>
      <w:r>
        <w:rPr>
          <w:rFonts w:hint="default" w:ascii="Times New Roman" w:hAnsi="Times New Roman" w:eastAsia="仿宋_GB2312" w:cs="Times New Roman"/>
          <w:sz w:val="28"/>
          <w:szCs w:val="28"/>
          <w:highlight w:val="none"/>
          <w:lang w:val="en-US" w:eastAsia="zh-CN"/>
        </w:rPr>
        <w:t>〔2023〕7号</w:t>
      </w:r>
      <w:r>
        <w:rPr>
          <w:rFonts w:hint="default" w:ascii="Times New Roman" w:hAnsi="Times New Roman" w:cs="Times New Roman" w:eastAsiaTheme="minorEastAsia"/>
          <w:sz w:val="28"/>
          <w:szCs w:val="28"/>
          <w:highlight w:val="none"/>
          <w:lang w:val="en-US" w:eastAsia="zh-CN"/>
        </w:rPr>
        <w:t>）实施相关采购活动。</w:t>
      </w:r>
    </w:p>
    <w:p w14:paraId="505B4A4D">
      <w:pPr>
        <w:spacing w:beforeLines="0" w:afterLines="0" w:line="360" w:lineRule="auto"/>
        <w:ind w:firstLine="56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2.4.4 本项目如涉及商品包装和快递包装采购的，可参考《商品包装政府采购需求标准（试行）》和《快递包装政府采购需求标准（试行）》（财办库</w:t>
      </w:r>
      <w:r>
        <w:rPr>
          <w:rFonts w:hint="default" w:ascii="Times New Roman" w:hAnsi="Times New Roman" w:eastAsia="仿宋_GB2312" w:cs="Times New Roman"/>
          <w:sz w:val="28"/>
          <w:szCs w:val="28"/>
          <w:highlight w:val="none"/>
          <w:lang w:val="en-US" w:eastAsia="zh-CN"/>
        </w:rPr>
        <w:t>〔2020〕123号</w:t>
      </w:r>
      <w:r>
        <w:rPr>
          <w:rFonts w:hint="default" w:ascii="Times New Roman" w:hAnsi="Times New Roman" w:cs="Times New Roman" w:eastAsiaTheme="minorEastAsia"/>
          <w:sz w:val="28"/>
          <w:szCs w:val="28"/>
          <w:highlight w:val="none"/>
          <w:lang w:val="en-US" w:eastAsia="zh-CN"/>
        </w:rPr>
        <w:t>），积极推广应用。</w:t>
      </w:r>
    </w:p>
    <w:p w14:paraId="014B1402">
      <w:pPr>
        <w:spacing w:beforeLines="0" w:afterLines="0" w:line="360" w:lineRule="auto"/>
        <w:ind w:firstLine="560" w:firstLineChars="20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2.4.5 本项目如涉及专利商标代理服务、可参考《专利商标代理服务政府采购需求标准（试行）》（财办库</w:t>
      </w:r>
      <w:r>
        <w:rPr>
          <w:rFonts w:hint="default" w:ascii="Times New Roman" w:hAnsi="Times New Roman" w:eastAsia="仿宋_GB2312" w:cs="Times New Roman"/>
          <w:sz w:val="28"/>
          <w:szCs w:val="28"/>
          <w:highlight w:val="none"/>
          <w:lang w:val="en-US" w:eastAsia="zh-CN"/>
        </w:rPr>
        <w:t>〔2024〕275号</w:t>
      </w:r>
      <w:r>
        <w:rPr>
          <w:rFonts w:hint="default" w:ascii="Times New Roman" w:hAnsi="Times New Roman" w:cs="Times New Roman" w:eastAsiaTheme="minorEastAsia"/>
          <w:sz w:val="28"/>
          <w:szCs w:val="28"/>
          <w:highlight w:val="none"/>
          <w:lang w:val="en-US" w:eastAsia="zh-CN"/>
        </w:rPr>
        <w:t>）。</w:t>
      </w:r>
    </w:p>
    <w:p w14:paraId="5151FBFD">
      <w:pPr>
        <w:spacing w:beforeLines="0" w:afterLines="0" w:line="360" w:lineRule="auto"/>
        <w:ind w:firstLine="0"/>
        <w:rPr>
          <w:rFonts w:hint="default" w:eastAsiaTheme="minorEastAsia"/>
          <w:sz w:val="28"/>
          <w:szCs w:val="28"/>
          <w:highlight w:val="none"/>
          <w:lang w:val="en-US" w:eastAsia="zh-CN"/>
        </w:rPr>
      </w:pPr>
      <w:r>
        <w:rPr>
          <w:rFonts w:hint="default" w:eastAsiaTheme="minorEastAsia"/>
          <w:sz w:val="28"/>
          <w:szCs w:val="28"/>
          <w:highlight w:val="none"/>
          <w:lang w:val="en-US" w:eastAsia="zh-CN"/>
        </w:rPr>
        <w:t xml:space="preserve">    2.4.</w:t>
      </w:r>
      <w:r>
        <w:rPr>
          <w:rFonts w:hint="default" w:ascii="Times New Roman" w:hAnsi="Times New Roman" w:cs="Times New Roman" w:eastAsiaTheme="minorEastAsia"/>
          <w:sz w:val="28"/>
          <w:szCs w:val="28"/>
          <w:highlight w:val="none"/>
          <w:lang w:val="en-US" w:eastAsia="zh-CN"/>
        </w:rPr>
        <w:t>6</w:t>
      </w:r>
      <w:r>
        <w:rPr>
          <w:rFonts w:hint="default" w:eastAsiaTheme="minorEastAsia"/>
          <w:sz w:val="28"/>
          <w:szCs w:val="28"/>
          <w:highlight w:val="none"/>
          <w:lang w:val="en-US" w:eastAsia="zh-CN"/>
        </w:rPr>
        <w:t xml:space="preserve"> 本项目涉及的采购标的，如有应当或者可参考的政府采购需求标准，应按照相关政策要求执行。</w:t>
      </w:r>
    </w:p>
    <w:p w14:paraId="02B54D21">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3.投标费用</w:t>
      </w:r>
    </w:p>
    <w:p w14:paraId="0FA3B0DD">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无论</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的</w:t>
      </w:r>
      <w:r>
        <w:rPr>
          <w:rFonts w:hint="default" w:ascii="Times New Roman" w:hAnsi="Times New Roman" w:cs="Times New Roman" w:eastAsiaTheme="minorEastAsia"/>
          <w:sz w:val="28"/>
          <w:szCs w:val="28"/>
          <w:highlight w:val="none"/>
        </w:rPr>
        <w:t>结果如何，</w:t>
      </w:r>
      <w:r>
        <w:rPr>
          <w:rFonts w:hint="default" w:ascii="Times New Roman" w:hAnsi="Times New Roman" w:cs="Times New Roman" w:eastAsiaTheme="minorEastAsia"/>
          <w:sz w:val="28"/>
          <w:szCs w:val="28"/>
          <w:highlight w:val="none"/>
          <w:lang w:val="en-US" w:eastAsia="zh-CN"/>
        </w:rPr>
        <w:t>投标人应自行承担其所有与准备和参加投标有关的费用</w:t>
      </w:r>
      <w:r>
        <w:rPr>
          <w:rFonts w:hint="default" w:ascii="Times New Roman" w:hAnsi="Times New Roman" w:cs="Times New Roman" w:eastAsiaTheme="minorEastAsia"/>
          <w:sz w:val="28"/>
          <w:szCs w:val="28"/>
          <w:highlight w:val="none"/>
        </w:rPr>
        <w:t>。</w:t>
      </w:r>
    </w:p>
    <w:p w14:paraId="55FE2D7D">
      <w:pPr>
        <w:spacing w:beforeLines="0" w:afterLines="0" w:line="360" w:lineRule="auto"/>
        <w:jc w:val="center"/>
        <w:rPr>
          <w:rFonts w:hint="default" w:ascii="Times New Roman" w:hAnsi="Times New Roman" w:cs="Times New Roman" w:eastAsiaTheme="minorEastAsia"/>
          <w:sz w:val="28"/>
          <w:szCs w:val="28"/>
          <w:highlight w:val="none"/>
        </w:rPr>
      </w:pPr>
    </w:p>
    <w:p w14:paraId="5A053ACF">
      <w:pPr>
        <w:spacing w:beforeLines="0" w:afterLines="0" w:line="360" w:lineRule="auto"/>
        <w:jc w:val="center"/>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（二）招标文件</w:t>
      </w:r>
    </w:p>
    <w:p w14:paraId="2C6625E7">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4.招标文件构成</w:t>
      </w:r>
    </w:p>
    <w:p w14:paraId="695B2CA1">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b/>
          <w:bCs/>
          <w:sz w:val="28"/>
          <w:szCs w:val="28"/>
          <w:highlight w:val="none"/>
          <w:lang w:val="en-US" w:eastAsia="zh-CN"/>
        </w:rPr>
        <w:t xml:space="preserve">  4.1 招标文件包括以下部分：</w:t>
      </w:r>
    </w:p>
    <w:p w14:paraId="7537ED0E">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第一章 投标邀请</w:t>
      </w:r>
    </w:p>
    <w:p w14:paraId="39D1F4F4">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 xml:space="preserve">第二章 </w:t>
      </w:r>
      <w:r>
        <w:rPr>
          <w:rFonts w:hint="eastAsia" w:ascii="Times New Roman" w:hAnsi="Times New Roman" w:cs="Times New Roman" w:eastAsiaTheme="minorEastAsia"/>
          <w:sz w:val="28"/>
          <w:szCs w:val="28"/>
          <w:highlight w:val="none"/>
          <w:lang w:eastAsia="zh-CN"/>
        </w:rPr>
        <w:t>投标人</w:t>
      </w:r>
      <w:r>
        <w:rPr>
          <w:rFonts w:hint="default" w:ascii="Times New Roman" w:hAnsi="Times New Roman" w:cs="Times New Roman" w:eastAsiaTheme="minorEastAsia"/>
          <w:sz w:val="28"/>
          <w:szCs w:val="28"/>
          <w:highlight w:val="none"/>
        </w:rPr>
        <w:t>须知</w:t>
      </w:r>
    </w:p>
    <w:p w14:paraId="5568460C">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第</w:t>
      </w:r>
      <w:r>
        <w:rPr>
          <w:rFonts w:hint="default" w:ascii="Times New Roman" w:hAnsi="Times New Roman" w:cs="Times New Roman" w:eastAsiaTheme="minorEastAsia"/>
          <w:sz w:val="28"/>
          <w:szCs w:val="28"/>
          <w:highlight w:val="none"/>
          <w:lang w:eastAsia="zh-CN"/>
        </w:rPr>
        <w:t>三</w:t>
      </w:r>
      <w:r>
        <w:rPr>
          <w:rFonts w:hint="default" w:ascii="Times New Roman" w:hAnsi="Times New Roman" w:cs="Times New Roman" w:eastAsiaTheme="minorEastAsia"/>
          <w:sz w:val="28"/>
          <w:szCs w:val="28"/>
          <w:highlight w:val="none"/>
        </w:rPr>
        <w:t>章 采购需求</w:t>
      </w:r>
    </w:p>
    <w:p w14:paraId="309441DA">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第</w:t>
      </w:r>
      <w:r>
        <w:rPr>
          <w:rFonts w:hint="default" w:ascii="Times New Roman" w:hAnsi="Times New Roman" w:cs="Times New Roman" w:eastAsiaTheme="minorEastAsia"/>
          <w:sz w:val="28"/>
          <w:szCs w:val="28"/>
          <w:highlight w:val="none"/>
          <w:lang w:eastAsia="zh-CN"/>
        </w:rPr>
        <w:t>四</w:t>
      </w:r>
      <w:r>
        <w:rPr>
          <w:rFonts w:hint="default" w:ascii="Times New Roman" w:hAnsi="Times New Roman" w:cs="Times New Roman" w:eastAsiaTheme="minorEastAsia"/>
          <w:sz w:val="28"/>
          <w:szCs w:val="28"/>
          <w:highlight w:val="none"/>
        </w:rPr>
        <w:t>章 资格审查</w:t>
      </w:r>
    </w:p>
    <w:p w14:paraId="4E4FA18E">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第</w:t>
      </w:r>
      <w:r>
        <w:rPr>
          <w:rFonts w:hint="default" w:ascii="Times New Roman" w:hAnsi="Times New Roman" w:cs="Times New Roman" w:eastAsiaTheme="minorEastAsia"/>
          <w:sz w:val="28"/>
          <w:szCs w:val="28"/>
          <w:highlight w:val="none"/>
          <w:lang w:eastAsia="zh-CN"/>
        </w:rPr>
        <w:t>五</w:t>
      </w:r>
      <w:r>
        <w:rPr>
          <w:rFonts w:hint="default" w:ascii="Times New Roman" w:hAnsi="Times New Roman" w:cs="Times New Roman" w:eastAsiaTheme="minorEastAsia"/>
          <w:sz w:val="28"/>
          <w:szCs w:val="28"/>
          <w:highlight w:val="none"/>
        </w:rPr>
        <w:t>章 评标</w:t>
      </w:r>
      <w:r>
        <w:rPr>
          <w:rFonts w:hint="default" w:ascii="Times New Roman" w:hAnsi="Times New Roman" w:cs="Times New Roman" w:eastAsiaTheme="minorEastAsia"/>
          <w:sz w:val="28"/>
          <w:szCs w:val="28"/>
          <w:highlight w:val="none"/>
          <w:lang w:eastAsia="zh-CN"/>
        </w:rPr>
        <w:t>程序</w:t>
      </w:r>
    </w:p>
    <w:p w14:paraId="03410759">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第</w:t>
      </w:r>
      <w:r>
        <w:rPr>
          <w:rFonts w:hint="default" w:ascii="Times New Roman" w:hAnsi="Times New Roman" w:cs="Times New Roman" w:eastAsiaTheme="minorEastAsia"/>
          <w:sz w:val="28"/>
          <w:szCs w:val="28"/>
          <w:highlight w:val="none"/>
          <w:lang w:eastAsia="zh-CN"/>
        </w:rPr>
        <w:t>六</w:t>
      </w:r>
      <w:r>
        <w:rPr>
          <w:rFonts w:hint="default" w:ascii="Times New Roman" w:hAnsi="Times New Roman" w:cs="Times New Roman" w:eastAsiaTheme="minorEastAsia"/>
          <w:sz w:val="28"/>
          <w:szCs w:val="28"/>
          <w:highlight w:val="none"/>
        </w:rPr>
        <w:t xml:space="preserve">章 </w:t>
      </w:r>
      <w:r>
        <w:rPr>
          <w:rFonts w:hint="default" w:ascii="Times New Roman" w:hAnsi="Times New Roman" w:cs="Times New Roman" w:eastAsiaTheme="minorEastAsia"/>
          <w:sz w:val="28"/>
          <w:szCs w:val="28"/>
          <w:highlight w:val="none"/>
          <w:lang w:eastAsia="zh-CN"/>
        </w:rPr>
        <w:t>拟签订的合同文本</w:t>
      </w:r>
    </w:p>
    <w:p w14:paraId="66C242F0">
      <w:pPr>
        <w:spacing w:beforeLines="0" w:afterLines="0" w:line="360" w:lineRule="auto"/>
        <w:ind w:left="0" w:hanging="1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第</w:t>
      </w:r>
      <w:r>
        <w:rPr>
          <w:rFonts w:hint="default" w:ascii="Times New Roman" w:hAnsi="Times New Roman" w:cs="Times New Roman" w:eastAsiaTheme="minorEastAsia"/>
          <w:sz w:val="28"/>
          <w:szCs w:val="28"/>
          <w:highlight w:val="none"/>
          <w:lang w:eastAsia="zh-CN"/>
        </w:rPr>
        <w:t>七</w:t>
      </w:r>
      <w:r>
        <w:rPr>
          <w:rFonts w:hint="default" w:ascii="Times New Roman" w:hAnsi="Times New Roman" w:cs="Times New Roman" w:eastAsiaTheme="minorEastAsia"/>
          <w:sz w:val="28"/>
          <w:szCs w:val="28"/>
          <w:highlight w:val="none"/>
        </w:rPr>
        <w:t>章 投标文件格式</w:t>
      </w:r>
    </w:p>
    <w:p w14:paraId="5B6F477C">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4.2 投标人应认真阅读招标文件的全部内容</w:t>
      </w:r>
      <w:r>
        <w:rPr>
          <w:rFonts w:hint="default" w:cs="Times New Roman" w:eastAsiaTheme="minorEastAsia"/>
          <w:sz w:val="28"/>
          <w:szCs w:val="28"/>
          <w:highlight w:val="none"/>
          <w:lang w:val="en-US" w:eastAsia="zh-CN"/>
        </w:rPr>
        <w:t>，并</w:t>
      </w:r>
      <w:r>
        <w:rPr>
          <w:rFonts w:hint="default" w:ascii="Times New Roman" w:hAnsi="Times New Roman" w:cs="Times New Roman" w:eastAsiaTheme="minorEastAsia"/>
          <w:sz w:val="28"/>
          <w:szCs w:val="28"/>
          <w:highlight w:val="none"/>
          <w:lang w:val="en-US" w:eastAsia="zh-CN"/>
        </w:rPr>
        <w:t>按照招标文件要求提交投标文件并保证所提供的全体资料的合法性和真实性</w:t>
      </w:r>
      <w:r>
        <w:rPr>
          <w:rFonts w:hint="default" w:cs="Times New Roman" w:eastAsiaTheme="minorEastAsia"/>
          <w:sz w:val="28"/>
          <w:szCs w:val="28"/>
          <w:highlight w:val="none"/>
          <w:lang w:val="en-US" w:eastAsia="zh-CN"/>
        </w:rPr>
        <w:t>。投标人应</w:t>
      </w:r>
      <w:r>
        <w:rPr>
          <w:rFonts w:hint="default" w:ascii="Times New Roman" w:hAnsi="Times New Roman" w:cs="Times New Roman" w:eastAsiaTheme="minorEastAsia"/>
          <w:sz w:val="28"/>
          <w:szCs w:val="28"/>
          <w:highlight w:val="none"/>
          <w:lang w:val="en-US" w:eastAsia="zh-CN"/>
        </w:rPr>
        <w:t>对招标文件做出实质性响应，否则</w:t>
      </w:r>
      <w:r>
        <w:rPr>
          <w:rFonts w:hint="default" w:ascii="Times New Roman" w:hAnsi="Times New Roman" w:cs="Times New Roman" w:eastAsiaTheme="minorEastAsia"/>
          <w:b/>
          <w:bCs/>
          <w:sz w:val="28"/>
          <w:szCs w:val="28"/>
          <w:highlight w:val="none"/>
          <w:lang w:val="en-US" w:eastAsia="zh-CN"/>
        </w:rPr>
        <w:t>投标无效</w:t>
      </w:r>
      <w:r>
        <w:rPr>
          <w:rFonts w:hint="default" w:ascii="Times New Roman" w:hAnsi="Times New Roman" w:cs="Times New Roman" w:eastAsiaTheme="minorEastAsia"/>
          <w:sz w:val="28"/>
          <w:szCs w:val="28"/>
          <w:highlight w:val="none"/>
          <w:lang w:val="en-US" w:eastAsia="zh-CN"/>
        </w:rPr>
        <w:t>。</w:t>
      </w:r>
    </w:p>
    <w:p w14:paraId="27B3CD96">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4.3 招标文件不得以供应商的所有制形式、组织形式或者股权结构等对供应商实施差别待遇或者歧视待遇，不得对民营企业设置不平等条款，不得对内资企业和外资企业在中国境内生产的产品区别对待。</w:t>
      </w:r>
    </w:p>
    <w:p w14:paraId="11507031">
      <w:pPr>
        <w:spacing w:beforeLines="0" w:afterLines="0" w:line="360" w:lineRule="auto"/>
        <w:ind w:left="0" w:hanging="10" w:firstLineChars="0"/>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b/>
          <w:bCs/>
          <w:sz w:val="28"/>
          <w:szCs w:val="28"/>
          <w:highlight w:val="none"/>
          <w:lang w:val="en-US" w:eastAsia="zh-CN"/>
        </w:rPr>
        <w:t xml:space="preserve"> 4.4 招标文件应落实性别平等政策要求，不得设置任何形式的性别歧视。</w:t>
      </w:r>
    </w:p>
    <w:p w14:paraId="71007D86">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5.招标文件的澄清与修改</w:t>
      </w:r>
    </w:p>
    <w:p w14:paraId="368E2334">
      <w:pPr>
        <w:spacing w:beforeLines="0" w:afterLines="0" w:line="360" w:lineRule="auto"/>
        <w:ind w:left="0" w:hanging="1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5.1</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采购人</w:t>
      </w:r>
      <w:r>
        <w:rPr>
          <w:rFonts w:hint="default" w:ascii="Times New Roman" w:hAnsi="Times New Roman" w:cs="Times New Roman" w:eastAsiaTheme="minorEastAsia"/>
          <w:sz w:val="28"/>
          <w:szCs w:val="28"/>
          <w:highlight w:val="none"/>
          <w:lang w:eastAsia="zh-CN"/>
        </w:rPr>
        <w:t>及其委托的</w:t>
      </w:r>
      <w:r>
        <w:rPr>
          <w:rFonts w:hint="default" w:ascii="Times New Roman" w:hAnsi="Times New Roman" w:cs="Times New Roman" w:eastAsiaTheme="minorEastAsia"/>
          <w:sz w:val="28"/>
          <w:szCs w:val="28"/>
          <w:highlight w:val="none"/>
        </w:rPr>
        <w:t>采购代理机构可以对已发出的招标文件等进行必要的澄清或者修改，但不得改变采购标的和资格条件。澄清或者修改应当在原公告发布媒体上发布澄清公告。澄清或者修改的内容为招标文件的组成部分。投标</w:t>
      </w:r>
      <w:r>
        <w:rPr>
          <w:rFonts w:hint="default"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及时关注本项目原公告发布媒体上发布的澄清公告或修改内容。</w:t>
      </w:r>
    </w:p>
    <w:p w14:paraId="5A15A0E3">
      <w:pPr>
        <w:spacing w:beforeLines="0" w:afterLines="0" w:line="360" w:lineRule="auto"/>
        <w:ind w:left="0" w:firstLine="0" w:firstLineChars="0"/>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b/>
          <w:bCs/>
          <w:sz w:val="28"/>
          <w:szCs w:val="28"/>
          <w:highlight w:val="none"/>
        </w:rPr>
        <w:t>5.2</w:t>
      </w:r>
      <w:r>
        <w:rPr>
          <w:rFonts w:hint="default" w:ascii="Times New Roman" w:hAnsi="Times New Roman" w:cs="Times New Roman" w:eastAsiaTheme="minorEastAsia"/>
          <w:b/>
          <w:bCs/>
          <w:sz w:val="28"/>
          <w:szCs w:val="28"/>
          <w:highlight w:val="none"/>
          <w:lang w:val="en-US" w:eastAsia="zh-CN"/>
        </w:rPr>
        <w:t xml:space="preserve"> </w:t>
      </w:r>
      <w:r>
        <w:rPr>
          <w:rFonts w:hint="default" w:ascii="Times New Roman" w:hAnsi="Times New Roman" w:cs="Times New Roman" w:eastAsiaTheme="minorEastAsia"/>
          <w:b/>
          <w:bCs/>
          <w:sz w:val="28"/>
          <w:szCs w:val="28"/>
          <w:highlight w:val="none"/>
        </w:rPr>
        <w:t>招标文件中有不一致的，有澄清的部分以最终的澄清更正内容为准；未澄清的，以</w:t>
      </w:r>
      <w:r>
        <w:rPr>
          <w:rFonts w:hint="eastAsia" w:ascii="Times New Roman" w:hAnsi="Times New Roman" w:cs="Times New Roman" w:eastAsiaTheme="minorEastAsia"/>
          <w:b/>
          <w:bCs/>
          <w:sz w:val="28"/>
          <w:szCs w:val="28"/>
          <w:highlight w:val="none"/>
          <w:lang w:eastAsia="zh-CN"/>
        </w:rPr>
        <w:t>《投标人</w:t>
      </w:r>
      <w:r>
        <w:rPr>
          <w:rFonts w:hint="default" w:ascii="Times New Roman" w:hAnsi="Times New Roman" w:cs="Times New Roman" w:eastAsiaTheme="minorEastAsia"/>
          <w:b/>
          <w:bCs/>
          <w:sz w:val="28"/>
          <w:szCs w:val="28"/>
          <w:highlight w:val="none"/>
        </w:rPr>
        <w:t>须知前附表</w:t>
      </w:r>
      <w:r>
        <w:rPr>
          <w:rFonts w:hint="eastAsia" w:ascii="Times New Roman" w:hAnsi="Times New Roman" w:cs="Times New Roman" w:eastAsiaTheme="minorEastAsia"/>
          <w:b/>
          <w:bCs/>
          <w:sz w:val="28"/>
          <w:szCs w:val="28"/>
          <w:highlight w:val="none"/>
          <w:lang w:eastAsia="zh-CN"/>
        </w:rPr>
        <w:t>》</w:t>
      </w:r>
      <w:r>
        <w:rPr>
          <w:rFonts w:hint="default" w:ascii="Times New Roman" w:hAnsi="Times New Roman" w:cs="Times New Roman" w:eastAsiaTheme="minorEastAsia"/>
          <w:b/>
          <w:bCs/>
          <w:sz w:val="28"/>
          <w:szCs w:val="28"/>
          <w:highlight w:val="none"/>
        </w:rPr>
        <w:t>为准；</w:t>
      </w:r>
      <w:r>
        <w:rPr>
          <w:rFonts w:hint="eastAsia" w:ascii="Times New Roman" w:hAnsi="Times New Roman" w:cs="Times New Roman" w:eastAsiaTheme="minorEastAsia"/>
          <w:b/>
          <w:bCs/>
          <w:sz w:val="28"/>
          <w:szCs w:val="28"/>
          <w:highlight w:val="none"/>
          <w:lang w:eastAsia="zh-CN"/>
        </w:rPr>
        <w:t>《投标人</w:t>
      </w:r>
      <w:r>
        <w:rPr>
          <w:rFonts w:hint="default" w:ascii="Times New Roman" w:hAnsi="Times New Roman" w:cs="Times New Roman" w:eastAsiaTheme="minorEastAsia"/>
          <w:b/>
          <w:bCs/>
          <w:sz w:val="28"/>
          <w:szCs w:val="28"/>
          <w:highlight w:val="none"/>
        </w:rPr>
        <w:t>须知前附表</w:t>
      </w:r>
      <w:r>
        <w:rPr>
          <w:rFonts w:hint="eastAsia" w:ascii="Times New Roman" w:hAnsi="Times New Roman" w:cs="Times New Roman" w:eastAsiaTheme="minorEastAsia"/>
          <w:b/>
          <w:bCs/>
          <w:sz w:val="28"/>
          <w:szCs w:val="28"/>
          <w:highlight w:val="none"/>
          <w:lang w:eastAsia="zh-CN"/>
        </w:rPr>
        <w:t>》</w:t>
      </w:r>
      <w:r>
        <w:rPr>
          <w:rFonts w:hint="default" w:ascii="Times New Roman" w:hAnsi="Times New Roman" w:cs="Times New Roman" w:eastAsiaTheme="minorEastAsia"/>
          <w:b/>
          <w:bCs/>
          <w:sz w:val="28"/>
          <w:szCs w:val="28"/>
          <w:highlight w:val="none"/>
        </w:rPr>
        <w:t>不涉及的内容，以编排在后的最后描述为准。</w:t>
      </w:r>
    </w:p>
    <w:p w14:paraId="6E6E7F78">
      <w:pPr>
        <w:pStyle w:val="23"/>
        <w:spacing w:beforeLines="0" w:after="0" w:afterLines="0" w:line="360" w:lineRule="auto"/>
        <w:ind w:left="0" w:leftChars="0"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5.3</w:t>
      </w:r>
      <w:r>
        <w:rPr>
          <w:rFonts w:hint="default" w:ascii="Times New Roman" w:hAnsi="Times New Roman" w:cs="Times New Roman" w:eastAsiaTheme="minorEastAsia"/>
          <w:sz w:val="28"/>
          <w:szCs w:val="28"/>
          <w:highlight w:val="none"/>
          <w:lang w:val="en-US" w:eastAsia="zh-CN"/>
        </w:rPr>
        <w:t xml:space="preserve"> 澄清或者修改的内容可能影响投标文件编制的，采购人及其委托的采购代理机构应当在投标截止时间至少15日前，以书面形式通知所有获取招标文件的潜在投标人；不足15日的，采购人及其委托的采购代理机构应当顺延提交投标文件的截止时间。</w:t>
      </w:r>
    </w:p>
    <w:p w14:paraId="60E5E182">
      <w:pPr>
        <w:spacing w:beforeLines="0" w:afterLines="0" w:line="360" w:lineRule="auto"/>
        <w:rPr>
          <w:rFonts w:hint="default" w:ascii="Times New Roman" w:hAnsi="Times New Roman" w:cs="Times New Roman" w:eastAsiaTheme="minorEastAsia"/>
          <w:sz w:val="28"/>
          <w:szCs w:val="28"/>
          <w:highlight w:val="none"/>
        </w:rPr>
      </w:pPr>
    </w:p>
    <w:p w14:paraId="63A9CAC3">
      <w:pPr>
        <w:spacing w:beforeLines="0" w:afterLines="0" w:line="360" w:lineRule="auto"/>
        <w:jc w:val="center"/>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（三）投标文件的编制</w:t>
      </w:r>
    </w:p>
    <w:p w14:paraId="59E309A6">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6</w:t>
      </w:r>
      <w:r>
        <w:rPr>
          <w:rFonts w:hint="default" w:ascii="Times New Roman" w:hAnsi="Times New Roman" w:cs="Times New Roman" w:eastAsiaTheme="minorEastAsia"/>
          <w:b/>
          <w:bCs/>
          <w:sz w:val="28"/>
          <w:szCs w:val="28"/>
          <w:highlight w:val="none"/>
        </w:rPr>
        <w:t>.投标范围及文字、计量单位要求</w:t>
      </w:r>
    </w:p>
    <w:p w14:paraId="2AE96D29">
      <w:pPr>
        <w:spacing w:beforeLines="0" w:afterLines="0" w:line="360" w:lineRule="auto"/>
        <w:ind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6</w:t>
      </w:r>
      <w:r>
        <w:rPr>
          <w:rFonts w:hint="default" w:ascii="Times New Roman" w:hAnsi="Times New Roman" w:cs="Times New Roman" w:eastAsiaTheme="minorEastAsia"/>
          <w:sz w:val="28"/>
          <w:szCs w:val="28"/>
          <w:highlight w:val="none"/>
        </w:rPr>
        <w:t>.1</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w:t>
      </w:r>
      <w:r>
        <w:rPr>
          <w:rFonts w:hint="default" w:ascii="Times New Roman" w:hAnsi="Times New Roman" w:cs="Times New Roman" w:eastAsiaTheme="minorEastAsia"/>
          <w:sz w:val="28"/>
          <w:szCs w:val="28"/>
          <w:highlight w:val="none"/>
        </w:rPr>
        <w:t>应当</w:t>
      </w:r>
      <w:r>
        <w:rPr>
          <w:rFonts w:hint="default" w:ascii="Times New Roman" w:hAnsi="Times New Roman" w:cs="Times New Roman" w:eastAsiaTheme="minorEastAsia"/>
          <w:sz w:val="28"/>
          <w:szCs w:val="28"/>
          <w:highlight w:val="none"/>
          <w:lang w:eastAsia="zh-CN"/>
        </w:rPr>
        <w:t>按照</w:t>
      </w:r>
      <w:r>
        <w:rPr>
          <w:rFonts w:hint="default" w:ascii="Times New Roman" w:hAnsi="Times New Roman" w:cs="Times New Roman" w:eastAsiaTheme="minorEastAsia"/>
          <w:sz w:val="28"/>
          <w:szCs w:val="28"/>
          <w:highlight w:val="none"/>
        </w:rPr>
        <w:t>招标文件</w:t>
      </w:r>
      <w:r>
        <w:rPr>
          <w:rFonts w:hint="default" w:ascii="Times New Roman" w:hAnsi="Times New Roman" w:cs="Times New Roman" w:eastAsiaTheme="minorEastAsia"/>
          <w:sz w:val="28"/>
          <w:szCs w:val="28"/>
          <w:highlight w:val="none"/>
          <w:lang w:eastAsia="zh-CN"/>
        </w:rPr>
        <w:t>的要求编制投标文件。投标文件应当对招标文件提出的要求和条件做出明确响应，</w:t>
      </w:r>
      <w:r>
        <w:rPr>
          <w:rFonts w:hint="default" w:ascii="Times New Roman" w:hAnsi="Times New Roman" w:cs="Times New Roman" w:eastAsiaTheme="minorEastAsia"/>
          <w:sz w:val="28"/>
          <w:szCs w:val="28"/>
          <w:highlight w:val="none"/>
        </w:rPr>
        <w:t>如仅响应部分内容，</w:t>
      </w:r>
      <w:r>
        <w:rPr>
          <w:rFonts w:hint="default" w:ascii="Times New Roman" w:hAnsi="Times New Roman" w:cs="Times New Roman" w:eastAsiaTheme="minorEastAsia"/>
          <w:b/>
          <w:bCs/>
          <w:sz w:val="28"/>
          <w:szCs w:val="28"/>
          <w:highlight w:val="none"/>
          <w:lang w:eastAsia="zh-CN"/>
        </w:rPr>
        <w:t>投标无效</w:t>
      </w:r>
      <w:r>
        <w:rPr>
          <w:rFonts w:hint="default" w:ascii="Times New Roman" w:hAnsi="Times New Roman" w:cs="Times New Roman" w:eastAsiaTheme="minorEastAsia"/>
          <w:sz w:val="28"/>
          <w:szCs w:val="28"/>
          <w:highlight w:val="none"/>
        </w:rPr>
        <w:t>。</w:t>
      </w:r>
    </w:p>
    <w:p w14:paraId="31D3D449">
      <w:pPr>
        <w:spacing w:beforeLines="0" w:afterLines="0" w:line="360" w:lineRule="auto"/>
        <w:ind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6</w:t>
      </w:r>
      <w:r>
        <w:rPr>
          <w:rFonts w:hint="default" w:ascii="Times New Roman" w:hAnsi="Times New Roman" w:cs="Times New Roman" w:eastAsiaTheme="minorEastAsia"/>
          <w:sz w:val="28"/>
          <w:szCs w:val="28"/>
          <w:highlight w:val="none"/>
        </w:rPr>
        <w:t>.2</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b/>
          <w:bCs/>
          <w:sz w:val="28"/>
          <w:szCs w:val="28"/>
          <w:highlight w:val="none"/>
        </w:rPr>
        <w:t>无论招标文件中是否</w:t>
      </w:r>
      <w:r>
        <w:rPr>
          <w:rFonts w:hint="default" w:ascii="Times New Roman" w:hAnsi="Times New Roman" w:cs="Times New Roman" w:eastAsiaTheme="minorEastAsia"/>
          <w:b/>
          <w:bCs/>
          <w:sz w:val="28"/>
          <w:szCs w:val="28"/>
          <w:highlight w:val="none"/>
          <w:lang w:eastAsia="zh-CN"/>
        </w:rPr>
        <w:t>有明确</w:t>
      </w:r>
      <w:r>
        <w:rPr>
          <w:rFonts w:hint="default" w:ascii="Times New Roman" w:hAnsi="Times New Roman" w:cs="Times New Roman" w:eastAsiaTheme="minorEastAsia"/>
          <w:b/>
          <w:bCs/>
          <w:sz w:val="28"/>
          <w:szCs w:val="28"/>
          <w:highlight w:val="none"/>
        </w:rPr>
        <w:t>要求，投标</w:t>
      </w:r>
      <w:r>
        <w:rPr>
          <w:rFonts w:hint="default" w:ascii="Times New Roman" w:hAnsi="Times New Roman" w:cs="Times New Roman" w:eastAsiaTheme="minorEastAsia"/>
          <w:b/>
          <w:bCs/>
          <w:sz w:val="28"/>
          <w:szCs w:val="28"/>
          <w:highlight w:val="none"/>
          <w:lang w:eastAsia="zh-CN"/>
        </w:rPr>
        <w:t>人</w:t>
      </w:r>
      <w:r>
        <w:rPr>
          <w:rFonts w:hint="default" w:ascii="Times New Roman" w:hAnsi="Times New Roman" w:cs="Times New Roman" w:eastAsiaTheme="minorEastAsia"/>
          <w:b/>
          <w:bCs/>
          <w:sz w:val="28"/>
          <w:szCs w:val="28"/>
          <w:highlight w:val="none"/>
        </w:rPr>
        <w:t>所投货物</w:t>
      </w:r>
      <w:r>
        <w:rPr>
          <w:rFonts w:hint="default" w:ascii="Times New Roman" w:hAnsi="Times New Roman" w:cs="Times New Roman" w:eastAsiaTheme="minorEastAsia"/>
          <w:b/>
          <w:bCs/>
          <w:sz w:val="28"/>
          <w:szCs w:val="28"/>
          <w:highlight w:val="none"/>
          <w:lang w:eastAsia="zh-CN"/>
        </w:rPr>
        <w:t>、提供的</w:t>
      </w:r>
      <w:r>
        <w:rPr>
          <w:rFonts w:hint="default" w:ascii="Times New Roman" w:hAnsi="Times New Roman" w:cs="Times New Roman" w:eastAsiaTheme="minorEastAsia"/>
          <w:b/>
          <w:bCs/>
          <w:sz w:val="28"/>
          <w:szCs w:val="28"/>
          <w:highlight w:val="none"/>
        </w:rPr>
        <w:t>服务</w:t>
      </w:r>
      <w:r>
        <w:rPr>
          <w:rFonts w:hint="default" w:ascii="Times New Roman" w:hAnsi="Times New Roman" w:cs="Times New Roman" w:eastAsiaTheme="minorEastAsia"/>
          <w:b/>
          <w:bCs/>
          <w:sz w:val="28"/>
          <w:szCs w:val="28"/>
          <w:highlight w:val="none"/>
          <w:lang w:eastAsia="zh-CN"/>
        </w:rPr>
        <w:t>或</w:t>
      </w:r>
      <w:r>
        <w:rPr>
          <w:rFonts w:hint="default" w:ascii="Times New Roman" w:hAnsi="Times New Roman" w:cs="Times New Roman" w:eastAsiaTheme="minorEastAsia"/>
          <w:b/>
          <w:bCs/>
          <w:sz w:val="28"/>
          <w:szCs w:val="28"/>
          <w:highlight w:val="none"/>
        </w:rPr>
        <w:t>工程均应符合国家强制性标准</w:t>
      </w:r>
      <w:r>
        <w:rPr>
          <w:rFonts w:hint="default" w:ascii="Times New Roman" w:hAnsi="Times New Roman" w:cs="Times New Roman" w:eastAsiaTheme="minorEastAsia"/>
          <w:b/>
          <w:bCs/>
          <w:sz w:val="28"/>
          <w:szCs w:val="28"/>
          <w:highlight w:val="none"/>
          <w:lang w:eastAsia="zh-CN"/>
        </w:rPr>
        <w:t>或规定</w:t>
      </w:r>
      <w:r>
        <w:rPr>
          <w:rFonts w:hint="default" w:ascii="Times New Roman" w:hAnsi="Times New Roman" w:cs="Times New Roman" w:eastAsiaTheme="minorEastAsia"/>
          <w:sz w:val="28"/>
          <w:szCs w:val="28"/>
          <w:highlight w:val="none"/>
        </w:rPr>
        <w:t>。</w:t>
      </w:r>
    </w:p>
    <w:p w14:paraId="6C6BF454">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6</w:t>
      </w:r>
      <w:r>
        <w:rPr>
          <w:rFonts w:hint="default" w:ascii="Times New Roman" w:hAnsi="Times New Roman" w:cs="Times New Roman" w:eastAsiaTheme="minorEastAsia"/>
          <w:sz w:val="28"/>
          <w:szCs w:val="28"/>
          <w:highlight w:val="none"/>
        </w:rPr>
        <w:t>.3</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除专用术语外，</w:t>
      </w:r>
      <w:r>
        <w:rPr>
          <w:rFonts w:hint="default" w:ascii="Times New Roman" w:hAnsi="Times New Roman" w:cs="Times New Roman" w:eastAsiaTheme="minorEastAsia"/>
          <w:sz w:val="28"/>
          <w:szCs w:val="28"/>
          <w:highlight w:val="none"/>
        </w:rPr>
        <w:t>投标文件应使用</w:t>
      </w:r>
      <w:r>
        <w:rPr>
          <w:rFonts w:hint="default" w:ascii="Times New Roman" w:hAnsi="Times New Roman" w:cs="Times New Roman" w:eastAsiaTheme="minorEastAsia"/>
          <w:sz w:val="28"/>
          <w:szCs w:val="28"/>
          <w:highlight w:val="none"/>
          <w:lang w:eastAsia="zh-CN"/>
        </w:rPr>
        <w:t>中文</w:t>
      </w:r>
      <w:r>
        <w:rPr>
          <w:rFonts w:hint="default" w:ascii="Times New Roman" w:hAnsi="Times New Roman" w:cs="Times New Roman" w:eastAsiaTheme="minorEastAsia"/>
          <w:sz w:val="28"/>
          <w:szCs w:val="28"/>
          <w:highlight w:val="none"/>
        </w:rPr>
        <w:t>书写(</w:t>
      </w:r>
      <w:r>
        <w:rPr>
          <w:rFonts w:hint="default" w:ascii="Times New Roman" w:hAnsi="Times New Roman" w:cs="Times New Roman" w:eastAsiaTheme="minorEastAsia"/>
          <w:sz w:val="28"/>
          <w:szCs w:val="28"/>
          <w:highlight w:val="none"/>
          <w:lang w:eastAsia="zh-CN"/>
        </w:rPr>
        <w:t>必要时，</w:t>
      </w:r>
      <w:r>
        <w:rPr>
          <w:rFonts w:hint="default" w:ascii="Times New Roman" w:hAnsi="Times New Roman" w:cs="Times New Roman" w:eastAsiaTheme="minorEastAsia"/>
          <w:sz w:val="28"/>
          <w:szCs w:val="28"/>
          <w:highlight w:val="none"/>
        </w:rPr>
        <w:t>专有</w:t>
      </w:r>
      <w:r>
        <w:rPr>
          <w:rFonts w:hint="default" w:ascii="Times New Roman" w:hAnsi="Times New Roman" w:cs="Times New Roman" w:eastAsiaTheme="minorEastAsia"/>
          <w:sz w:val="28"/>
          <w:szCs w:val="28"/>
          <w:highlight w:val="none"/>
          <w:lang w:eastAsia="zh-CN"/>
        </w:rPr>
        <w:t>术语应附有</w:t>
      </w:r>
      <w:r>
        <w:rPr>
          <w:rFonts w:hint="default" w:ascii="Times New Roman" w:hAnsi="Times New Roman" w:cs="Times New Roman" w:eastAsiaTheme="minorEastAsia"/>
          <w:sz w:val="28"/>
          <w:szCs w:val="28"/>
          <w:highlight w:val="none"/>
        </w:rPr>
        <w:t>中文解释)，并采用通用的图形符号，不得出现与常规书写格式不符的内容。</w:t>
      </w:r>
    </w:p>
    <w:p w14:paraId="6358D350">
      <w:pPr>
        <w:tabs>
          <w:tab w:val="left" w:pos="0"/>
        </w:tabs>
        <w:spacing w:beforeLines="0" w:afterLines="0" w:line="360" w:lineRule="auto"/>
        <w:ind w:left="0" w:hanging="1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6</w:t>
      </w:r>
      <w:r>
        <w:rPr>
          <w:rFonts w:hint="default" w:ascii="Times New Roman" w:hAnsi="Times New Roman" w:cs="Times New Roman" w:eastAsiaTheme="minorEastAsia"/>
          <w:sz w:val="28"/>
          <w:szCs w:val="28"/>
          <w:highlight w:val="none"/>
        </w:rPr>
        <w:t>.4</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除招标文件有特殊要求外，投标文件中所使用的计量单位，应采用中华人民共和国法定计量单位。</w:t>
      </w:r>
    </w:p>
    <w:p w14:paraId="5947DEC6">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7</w:t>
      </w:r>
      <w:r>
        <w:rPr>
          <w:rFonts w:hint="default" w:ascii="Times New Roman" w:hAnsi="Times New Roman" w:cs="Times New Roman" w:eastAsiaTheme="minorEastAsia"/>
          <w:b/>
          <w:bCs/>
          <w:sz w:val="28"/>
          <w:szCs w:val="28"/>
          <w:highlight w:val="none"/>
        </w:rPr>
        <w:t>.投标文件</w:t>
      </w:r>
      <w:r>
        <w:rPr>
          <w:rFonts w:hint="default" w:ascii="Times New Roman" w:hAnsi="Times New Roman" w:cs="Times New Roman" w:eastAsiaTheme="minorEastAsia"/>
          <w:b/>
          <w:bCs/>
          <w:sz w:val="28"/>
          <w:szCs w:val="28"/>
          <w:highlight w:val="none"/>
          <w:lang w:eastAsia="zh-CN"/>
        </w:rPr>
        <w:t>构成</w:t>
      </w:r>
    </w:p>
    <w:p w14:paraId="27075509">
      <w:pPr>
        <w:tabs>
          <w:tab w:val="left" w:pos="900"/>
          <w:tab w:val="left" w:pos="5580"/>
        </w:tabs>
        <w:spacing w:beforeLines="0" w:afterLines="0" w:line="360" w:lineRule="auto"/>
        <w:ind w:firstLine="560" w:firstLineChars="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7.1 </w:t>
      </w:r>
      <w:r>
        <w:rPr>
          <w:rFonts w:hint="default" w:ascii="Times New Roman" w:hAnsi="Times New Roman" w:cs="Times New Roman" w:eastAsiaTheme="minorEastAsia"/>
          <w:sz w:val="28"/>
          <w:szCs w:val="28"/>
          <w:highlight w:val="none"/>
          <w:lang w:eastAsia="zh-CN"/>
        </w:rPr>
        <w:t>投标文件的格式要求，详见第</w:t>
      </w:r>
      <w:r>
        <w:rPr>
          <w:rFonts w:hint="default" w:cs="Times New Roman" w:eastAsiaTheme="minorEastAsia"/>
          <w:sz w:val="28"/>
          <w:szCs w:val="28"/>
          <w:highlight w:val="none"/>
          <w:lang w:eastAsia="zh-CN"/>
        </w:rPr>
        <w:t>七</w:t>
      </w:r>
      <w:r>
        <w:rPr>
          <w:rFonts w:hint="default" w:ascii="Times New Roman" w:hAnsi="Times New Roman" w:cs="Times New Roman" w:eastAsiaTheme="minorEastAsia"/>
          <w:sz w:val="28"/>
          <w:szCs w:val="28"/>
          <w:highlight w:val="none"/>
          <w:lang w:eastAsia="zh-CN"/>
        </w:rPr>
        <w:t>章《投标文件格式》。</w:t>
      </w:r>
      <w:r>
        <w:rPr>
          <w:rFonts w:hint="default" w:ascii="Times New Roman" w:hAnsi="Times New Roman" w:cs="Times New Roman" w:eastAsiaTheme="minorEastAsia"/>
          <w:sz w:val="28"/>
          <w:szCs w:val="28"/>
          <w:highlight w:val="none"/>
          <w:lang w:eastAsia="zh-CN"/>
        </w:rPr>
        <w:br w:type="textWrapping"/>
      </w:r>
      <w:r>
        <w:rPr>
          <w:rFonts w:hint="default" w:ascii="Times New Roman" w:hAnsi="Times New Roman" w:cs="Times New Roman" w:eastAsiaTheme="minorEastAsia"/>
          <w:sz w:val="28"/>
          <w:szCs w:val="28"/>
          <w:highlight w:val="none"/>
          <w:lang w:val="en-US" w:eastAsia="zh-CN"/>
        </w:rPr>
        <w:t xml:space="preserve">    7.2 投标文件应由资格证明文件、商务技术文件等部分组成，投标人应对照招标文件要求提交涉及的相关材料及投标人认为应附的其他材料。</w:t>
      </w:r>
    </w:p>
    <w:p w14:paraId="36BEB643">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8.</w:t>
      </w:r>
      <w:r>
        <w:rPr>
          <w:rFonts w:hint="default" w:ascii="Times New Roman" w:hAnsi="Times New Roman" w:cs="Times New Roman" w:eastAsiaTheme="minorEastAsia"/>
          <w:b/>
          <w:bCs/>
          <w:sz w:val="28"/>
          <w:szCs w:val="28"/>
          <w:highlight w:val="none"/>
        </w:rPr>
        <w:t>投标报价</w:t>
      </w:r>
    </w:p>
    <w:p w14:paraId="7E2122F0">
      <w:pPr>
        <w:spacing w:beforeLines="0" w:afterLines="0" w:line="360" w:lineRule="auto"/>
        <w:ind w:left="0" w:hanging="1050" w:hangingChars="375"/>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8.1 所有投标均以人民币报价。</w:t>
      </w:r>
    </w:p>
    <w:p w14:paraId="06F08623">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8.2 投标人的报价应包括为完成本项目所发生的一切费用和税费，采购人将不再支付报价以外的任何费用。</w:t>
      </w:r>
    </w:p>
    <w:p w14:paraId="12E6E77E">
      <w:pPr>
        <w:spacing w:beforeLines="0" w:afterLines="0" w:line="360" w:lineRule="auto"/>
        <w:ind w:left="0" w:hanging="10" w:firstLineChars="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8.3 </w:t>
      </w:r>
      <w:r>
        <w:rPr>
          <w:rFonts w:hint="default" w:ascii="Times New Roman" w:hAnsi="Times New Roman" w:cs="Times New Roman" w:eastAsiaTheme="minorEastAsia"/>
          <w:sz w:val="28"/>
          <w:szCs w:val="28"/>
          <w:highlight w:val="none"/>
          <w:lang w:eastAsia="zh-CN"/>
        </w:rPr>
        <w:t>采购人不得向供应商索要或者接受其给</w:t>
      </w:r>
      <w:r>
        <w:rPr>
          <w:rStyle w:val="27"/>
          <w:rFonts w:hint="default" w:ascii="Times New Roman" w:hAnsi="Times New Roman" w:cs="Times New Roman"/>
          <w:b w:val="0"/>
          <w:sz w:val="28"/>
          <w:szCs w:val="28"/>
          <w:highlight w:val="none"/>
          <w:lang w:eastAsia="zh-CN"/>
        </w:rPr>
        <w:t>予</w:t>
      </w:r>
      <w:r>
        <w:rPr>
          <w:rFonts w:hint="default" w:ascii="Times New Roman" w:hAnsi="Times New Roman" w:cs="Times New Roman" w:eastAsiaTheme="minorEastAsia"/>
          <w:sz w:val="28"/>
          <w:szCs w:val="28"/>
          <w:highlight w:val="none"/>
          <w:lang w:eastAsia="zh-CN"/>
        </w:rPr>
        <w:t>的赠品、回扣或者与采购无关的其他商品、服务。</w:t>
      </w:r>
    </w:p>
    <w:p w14:paraId="719F883B">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9</w:t>
      </w:r>
      <w:r>
        <w:rPr>
          <w:rFonts w:hint="default" w:ascii="Times New Roman" w:hAnsi="Times New Roman" w:cs="Times New Roman" w:eastAsiaTheme="minorEastAsia"/>
          <w:b/>
          <w:bCs/>
          <w:sz w:val="28"/>
          <w:szCs w:val="28"/>
          <w:highlight w:val="none"/>
        </w:rPr>
        <w:t>.投标保证金</w:t>
      </w:r>
    </w:p>
    <w:p w14:paraId="28F7DC60">
      <w:pPr>
        <w:spacing w:beforeLines="0" w:afterLines="0" w:line="360" w:lineRule="auto"/>
        <w:ind w:left="0" w:firstLine="56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9.1 投标人应按《</w:t>
      </w:r>
      <w:r>
        <w:rPr>
          <w:rFonts w:hint="eastAsia" w:ascii="Times New Roman" w:hAnsi="Times New Roman" w:cs="Times New Roman" w:eastAsiaTheme="minorEastAsia"/>
          <w:sz w:val="28"/>
          <w:szCs w:val="28"/>
          <w:highlight w:val="none"/>
          <w:lang w:val="en-US" w:eastAsia="zh-CN"/>
        </w:rPr>
        <w:t>投标人</w:t>
      </w:r>
      <w:r>
        <w:rPr>
          <w:rFonts w:hint="default" w:ascii="Times New Roman" w:hAnsi="Times New Roman" w:cs="Times New Roman" w:eastAsiaTheme="minorEastAsia"/>
          <w:sz w:val="28"/>
          <w:szCs w:val="28"/>
          <w:highlight w:val="none"/>
          <w:lang w:val="en-US" w:eastAsia="zh-CN"/>
        </w:rPr>
        <w:t>须知前附表》中规定的金额及要求</w:t>
      </w:r>
      <w:r>
        <w:rPr>
          <w:rFonts w:hint="default" w:cs="Times New Roman" w:eastAsiaTheme="minorEastAsia"/>
          <w:sz w:val="28"/>
          <w:szCs w:val="28"/>
          <w:highlight w:val="none"/>
          <w:lang w:eastAsia="zh-CN"/>
        </w:rPr>
        <w:t>缴纳</w:t>
      </w:r>
      <w:r>
        <w:rPr>
          <w:rFonts w:hint="default" w:ascii="Times New Roman" w:hAnsi="Times New Roman" w:cs="Times New Roman" w:eastAsiaTheme="minorEastAsia"/>
          <w:sz w:val="28"/>
          <w:szCs w:val="28"/>
          <w:highlight w:val="none"/>
          <w:lang w:val="en-US" w:eastAsia="zh-CN"/>
        </w:rPr>
        <w:t>投标保证金。</w:t>
      </w:r>
    </w:p>
    <w:p w14:paraId="5D6CF1BF">
      <w:pPr>
        <w:spacing w:beforeLines="0" w:afterLines="0" w:line="360" w:lineRule="auto"/>
        <w:ind w:left="0" w:firstLine="56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9.2 </w:t>
      </w:r>
      <w:r>
        <w:rPr>
          <w:rFonts w:hint="default" w:cs="Times New Roman" w:eastAsiaTheme="minorEastAsia"/>
          <w:sz w:val="28"/>
          <w:szCs w:val="28"/>
          <w:highlight w:val="none"/>
          <w:lang w:eastAsia="zh-CN"/>
        </w:rPr>
        <w:t>缴纳</w:t>
      </w:r>
      <w:r>
        <w:rPr>
          <w:rFonts w:hint="default" w:ascii="Times New Roman" w:hAnsi="Times New Roman" w:cs="Times New Roman" w:eastAsiaTheme="minorEastAsia"/>
          <w:sz w:val="28"/>
          <w:szCs w:val="28"/>
          <w:highlight w:val="none"/>
          <w:lang w:val="en-US" w:eastAsia="zh-CN"/>
        </w:rPr>
        <w:t>投标保证金可采用的形式：政府采购法律法规接受的支票、汇票、本票或者金融机构、担保机构出具的保函等非现金形式。投标人未按照招标文件要求提交投标保证金的，</w:t>
      </w:r>
      <w:r>
        <w:rPr>
          <w:rFonts w:hint="default" w:ascii="Times New Roman" w:hAnsi="Times New Roman" w:cs="Times New Roman" w:eastAsiaTheme="minorEastAsia"/>
          <w:b/>
          <w:bCs/>
          <w:sz w:val="28"/>
          <w:szCs w:val="28"/>
          <w:highlight w:val="none"/>
          <w:lang w:val="en-US" w:eastAsia="zh-CN"/>
        </w:rPr>
        <w:t>投标无效</w:t>
      </w:r>
      <w:r>
        <w:rPr>
          <w:rFonts w:hint="default" w:ascii="Times New Roman" w:hAnsi="Times New Roman" w:cs="Times New Roman" w:eastAsiaTheme="minorEastAsia"/>
          <w:sz w:val="28"/>
          <w:szCs w:val="28"/>
          <w:highlight w:val="none"/>
          <w:lang w:val="en-US" w:eastAsia="zh-CN"/>
        </w:rPr>
        <w:t>。</w:t>
      </w:r>
    </w:p>
    <w:p w14:paraId="0DA7B19C">
      <w:pPr>
        <w:spacing w:beforeLines="0" w:afterLines="0" w:line="360" w:lineRule="auto"/>
        <w:ind w:left="0" w:firstLine="56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9.3 投标保证金到账（保函提交）截止时间同投标截止时间。</w:t>
      </w:r>
    </w:p>
    <w:p w14:paraId="64BABCFF">
      <w:pPr>
        <w:spacing w:beforeLines="0" w:afterLines="0" w:line="360" w:lineRule="auto"/>
        <w:ind w:left="0" w:firstLine="56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9.4 投标人在投标截止时间前撤回已提交的投标文件的，采购人或者采购代理机构应当自收到投标人书面撤回通知之日起5个工作日内，退还已收取的投标保证金，但因投标人自身原因导致无法及时退还的除外。</w:t>
      </w:r>
    </w:p>
    <w:p w14:paraId="0F6CEF2B">
      <w:pPr>
        <w:spacing w:beforeLines="0" w:afterLines="0" w:line="360" w:lineRule="auto"/>
        <w:ind w:left="0" w:firstLine="56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9.5 采购人或者采购代理机构应当自中标通知书发出之日起5个工作日内退还未中标人的投标保证金，自采购合同签订之日起5个工作日内退还中标人的投标保证金或者转为中标人的履约保证金。</w:t>
      </w:r>
    </w:p>
    <w:p w14:paraId="3ABE3B40">
      <w:pPr>
        <w:spacing w:beforeLines="0" w:afterLines="0" w:line="360" w:lineRule="auto"/>
        <w:ind w:left="0" w:firstLine="56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9.6 采购人或者采购代理机构逾期退还投标保证金的，除应当退还投标保证金本金外，还应当按中国人民银行同期贷款基准利率/市场报价利率LPR上浮20%后的利率支付超期资金占用费，但因投标人自身原因导致无法及时退还的除外。</w:t>
      </w:r>
    </w:p>
    <w:p w14:paraId="6296B6C0">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10.</w:t>
      </w:r>
      <w:r>
        <w:rPr>
          <w:rFonts w:hint="default" w:ascii="Times New Roman" w:hAnsi="Times New Roman" w:cs="Times New Roman" w:eastAsiaTheme="minorEastAsia"/>
          <w:b/>
          <w:bCs/>
          <w:sz w:val="28"/>
          <w:szCs w:val="28"/>
          <w:highlight w:val="none"/>
        </w:rPr>
        <w:t>投标有效期</w:t>
      </w:r>
    </w:p>
    <w:p w14:paraId="0A40F236">
      <w:pPr>
        <w:spacing w:beforeLines="0" w:afterLines="0" w:line="360" w:lineRule="auto"/>
        <w:ind w:left="0" w:hanging="1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文件应在本招标文件《</w:t>
      </w:r>
      <w:r>
        <w:rPr>
          <w:rFonts w:hint="eastAsia" w:ascii="Times New Roman" w:hAnsi="Times New Roman" w:cs="Times New Roman" w:eastAsiaTheme="minorEastAsia"/>
          <w:sz w:val="28"/>
          <w:szCs w:val="28"/>
          <w:highlight w:val="none"/>
          <w:lang w:eastAsia="zh-CN"/>
        </w:rPr>
        <w:t>投标人</w:t>
      </w:r>
      <w:r>
        <w:rPr>
          <w:rFonts w:hint="default" w:ascii="Times New Roman" w:hAnsi="Times New Roman" w:cs="Times New Roman" w:eastAsiaTheme="minorEastAsia"/>
          <w:sz w:val="28"/>
          <w:szCs w:val="28"/>
          <w:highlight w:val="none"/>
          <w:lang w:eastAsia="zh-CN"/>
        </w:rPr>
        <w:t>须知前附表》中规定的投标有效期内保持有效，</w:t>
      </w:r>
      <w:r>
        <w:rPr>
          <w:rFonts w:hint="default" w:ascii="Times New Roman" w:hAnsi="Times New Roman" w:cs="Times New Roman" w:eastAsiaTheme="minorEastAsia"/>
          <w:sz w:val="28"/>
          <w:szCs w:val="28"/>
          <w:highlight w:val="none"/>
        </w:rPr>
        <w:t>投标有效期</w:t>
      </w:r>
      <w:r>
        <w:rPr>
          <w:rFonts w:hint="default" w:ascii="Times New Roman" w:hAnsi="Times New Roman" w:cs="Times New Roman" w:eastAsiaTheme="minorEastAsia"/>
          <w:sz w:val="28"/>
          <w:szCs w:val="28"/>
          <w:highlight w:val="none"/>
          <w:lang w:eastAsia="zh-CN"/>
        </w:rPr>
        <w:t>少于招标文件规定期限的</w:t>
      </w:r>
      <w:r>
        <w:rPr>
          <w:rFonts w:hint="default" w:ascii="Times New Roman" w:hAnsi="Times New Roman" w:cs="Times New Roman" w:eastAsiaTheme="minorEastAsia"/>
          <w:sz w:val="28"/>
          <w:szCs w:val="28"/>
          <w:highlight w:val="none"/>
        </w:rPr>
        <w:t>，</w:t>
      </w:r>
      <w:r>
        <w:rPr>
          <w:rFonts w:hint="default" w:ascii="Times New Roman" w:hAnsi="Times New Roman" w:cs="Times New Roman" w:eastAsiaTheme="minorEastAsia"/>
          <w:b/>
          <w:bCs/>
          <w:sz w:val="28"/>
          <w:szCs w:val="28"/>
          <w:highlight w:val="none"/>
        </w:rPr>
        <w:t>投标无效</w:t>
      </w:r>
      <w:r>
        <w:rPr>
          <w:rFonts w:hint="default" w:ascii="Times New Roman" w:hAnsi="Times New Roman" w:cs="Times New Roman" w:eastAsiaTheme="minorEastAsia"/>
          <w:sz w:val="28"/>
          <w:szCs w:val="28"/>
          <w:highlight w:val="none"/>
        </w:rPr>
        <w:t>。</w:t>
      </w:r>
    </w:p>
    <w:p w14:paraId="0F2BA7BE">
      <w:pPr>
        <w:spacing w:beforeLines="0" w:afterLines="0" w:line="360" w:lineRule="auto"/>
        <w:rPr>
          <w:rFonts w:hint="default" w:ascii="Times New Roman" w:hAnsi="Times New Roman" w:cs="Times New Roman" w:eastAsiaTheme="minorEastAsia"/>
          <w:sz w:val="28"/>
          <w:szCs w:val="28"/>
          <w:highlight w:val="none"/>
        </w:rPr>
      </w:pPr>
    </w:p>
    <w:p w14:paraId="3CB91C66">
      <w:pPr>
        <w:spacing w:beforeLines="0" w:afterLines="0" w:line="360" w:lineRule="auto"/>
        <w:jc w:val="center"/>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（四）投标文件的</w:t>
      </w:r>
      <w:r>
        <w:rPr>
          <w:rFonts w:hint="default" w:ascii="Times New Roman" w:hAnsi="Times New Roman" w:cs="Times New Roman" w:eastAsiaTheme="minorEastAsia"/>
          <w:b/>
          <w:bCs/>
          <w:sz w:val="28"/>
          <w:szCs w:val="28"/>
          <w:highlight w:val="none"/>
          <w:lang w:eastAsia="zh-CN"/>
        </w:rPr>
        <w:t>递交</w:t>
      </w:r>
    </w:p>
    <w:p w14:paraId="3439A4C2">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eastAsia="zh-CN"/>
        </w:rPr>
        <w:t>1</w:t>
      </w:r>
      <w:r>
        <w:rPr>
          <w:rFonts w:hint="default" w:ascii="Times New Roman" w:hAnsi="Times New Roman" w:cs="Times New Roman" w:eastAsiaTheme="minorEastAsia"/>
          <w:b/>
          <w:bCs/>
          <w:sz w:val="28"/>
          <w:szCs w:val="28"/>
          <w:highlight w:val="none"/>
          <w:lang w:val="en-US" w:eastAsia="zh-CN"/>
        </w:rPr>
        <w:t>1</w:t>
      </w:r>
      <w:r>
        <w:rPr>
          <w:rFonts w:hint="default" w:ascii="Times New Roman" w:hAnsi="Times New Roman" w:cs="Times New Roman" w:eastAsiaTheme="minorEastAsia"/>
          <w:b/>
          <w:bCs/>
          <w:sz w:val="28"/>
          <w:szCs w:val="28"/>
          <w:highlight w:val="none"/>
        </w:rPr>
        <w:t>.投标文件的密封和</w:t>
      </w:r>
      <w:r>
        <w:rPr>
          <w:rFonts w:hint="default" w:ascii="Times New Roman" w:hAnsi="Times New Roman" w:cs="Times New Roman" w:eastAsiaTheme="minorEastAsia"/>
          <w:b/>
          <w:bCs/>
          <w:sz w:val="28"/>
          <w:szCs w:val="28"/>
          <w:highlight w:val="none"/>
          <w:lang w:eastAsia="zh-CN"/>
        </w:rPr>
        <w:t>递交</w:t>
      </w:r>
    </w:p>
    <w:p w14:paraId="12F9720D">
      <w:pPr>
        <w:spacing w:beforeLines="0" w:afterLines="0" w:line="360" w:lineRule="auto"/>
        <w:ind w:left="0" w:hanging="1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11.1 投标人应当在招标文件要求提交投标文件的截止时间前，将投标文件密封递交。</w:t>
      </w:r>
      <w:r>
        <w:rPr>
          <w:rFonts w:hint="default" w:ascii="Times New Roman" w:hAnsi="Times New Roman" w:cs="Times New Roman" w:eastAsiaTheme="minorEastAsia"/>
          <w:sz w:val="28"/>
          <w:szCs w:val="28"/>
          <w:highlight w:val="none"/>
        </w:rPr>
        <w:t>采购人和采购代理机构将拒绝接收在投标截止时间后</w:t>
      </w:r>
      <w:r>
        <w:rPr>
          <w:rFonts w:hint="default" w:ascii="Times New Roman" w:hAnsi="Times New Roman" w:cs="Times New Roman" w:eastAsiaTheme="minorEastAsia"/>
          <w:sz w:val="28"/>
          <w:szCs w:val="28"/>
          <w:highlight w:val="none"/>
          <w:lang w:eastAsia="zh-CN"/>
        </w:rPr>
        <w:t>递交的</w:t>
      </w:r>
      <w:r>
        <w:rPr>
          <w:rFonts w:hint="default" w:ascii="Times New Roman" w:hAnsi="Times New Roman" w:cs="Times New Roman" w:eastAsiaTheme="minorEastAsia"/>
          <w:sz w:val="28"/>
          <w:szCs w:val="28"/>
          <w:highlight w:val="none"/>
        </w:rPr>
        <w:t>投标文件。采购人或者采购代理机构不得因投标文件装订、纸张、文件排序等非实质性的格式、形式问题限制和影响供应商投标</w:t>
      </w:r>
      <w:r>
        <w:rPr>
          <w:rFonts w:hint="default" w:ascii="Times New Roman" w:hAnsi="Times New Roman" w:cs="Times New Roman" w:eastAsiaTheme="minorEastAsia"/>
          <w:sz w:val="28"/>
          <w:szCs w:val="28"/>
          <w:highlight w:val="none"/>
          <w:lang w:eastAsia="zh-CN"/>
        </w:rPr>
        <w:t>。</w:t>
      </w:r>
    </w:p>
    <w:p w14:paraId="69C8B550">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11.2 投标人在投标截止时间前，可以对所递交的投标文件进行补充、修改或者撤回。补充、修改的内容作为投标文件的组成部分。</w:t>
      </w:r>
    </w:p>
    <w:p w14:paraId="3FF7672C">
      <w:pPr>
        <w:spacing w:beforeLines="0" w:afterLines="0" w:line="360" w:lineRule="auto"/>
        <w:ind w:left="0" w:hanging="1050" w:hangingChars="375"/>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11.3 任何单位和个人不得在开标前开启投标文件。</w:t>
      </w:r>
    </w:p>
    <w:p w14:paraId="0CF1861D">
      <w:pPr>
        <w:spacing w:beforeLines="0" w:afterLines="0" w:line="360" w:lineRule="auto"/>
        <w:ind w:left="0" w:hanging="1050" w:hangingChars="375"/>
        <w:rPr>
          <w:rFonts w:hint="default" w:ascii="Times New Roman" w:hAnsi="Times New Roman" w:cs="Times New Roman" w:eastAsiaTheme="minorEastAsia"/>
          <w:sz w:val="28"/>
          <w:szCs w:val="28"/>
          <w:highlight w:val="none"/>
        </w:rPr>
      </w:pPr>
    </w:p>
    <w:p w14:paraId="60DDB882">
      <w:pPr>
        <w:spacing w:beforeLines="0" w:afterLines="0" w:line="360" w:lineRule="auto"/>
        <w:jc w:val="center"/>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（五）开标</w:t>
      </w:r>
      <w:r>
        <w:rPr>
          <w:rFonts w:hint="default" w:ascii="Times New Roman" w:hAnsi="Times New Roman" w:cs="Times New Roman" w:eastAsiaTheme="minorEastAsia"/>
          <w:b/>
          <w:bCs/>
          <w:sz w:val="28"/>
          <w:szCs w:val="28"/>
          <w:highlight w:val="none"/>
          <w:lang w:eastAsia="zh-CN"/>
        </w:rPr>
        <w:t>、资格审查</w:t>
      </w:r>
      <w:r>
        <w:rPr>
          <w:rFonts w:hint="default" w:ascii="Times New Roman" w:hAnsi="Times New Roman" w:cs="Times New Roman" w:eastAsiaTheme="minorEastAsia"/>
          <w:b/>
          <w:bCs/>
          <w:sz w:val="28"/>
          <w:szCs w:val="28"/>
          <w:highlight w:val="none"/>
        </w:rPr>
        <w:t>及评标</w:t>
      </w:r>
    </w:p>
    <w:p w14:paraId="117EA6C4">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eastAsia="zh-CN"/>
        </w:rPr>
        <w:t>1</w:t>
      </w:r>
      <w:r>
        <w:rPr>
          <w:rFonts w:hint="default" w:ascii="Times New Roman" w:hAnsi="Times New Roman" w:cs="Times New Roman" w:eastAsiaTheme="minorEastAsia"/>
          <w:b/>
          <w:bCs/>
          <w:sz w:val="28"/>
          <w:szCs w:val="28"/>
          <w:highlight w:val="none"/>
          <w:lang w:val="en-US" w:eastAsia="zh-CN"/>
        </w:rPr>
        <w:t>2.</w:t>
      </w:r>
      <w:r>
        <w:rPr>
          <w:rFonts w:hint="default" w:ascii="Times New Roman" w:hAnsi="Times New Roman" w:cs="Times New Roman" w:eastAsiaTheme="minorEastAsia"/>
          <w:b/>
          <w:bCs/>
          <w:sz w:val="28"/>
          <w:szCs w:val="28"/>
          <w:highlight w:val="none"/>
        </w:rPr>
        <w:t>开标</w:t>
      </w:r>
    </w:p>
    <w:p w14:paraId="7CEC814B">
      <w:pPr>
        <w:spacing w:beforeLines="0" w:afterLines="0" w:line="360" w:lineRule="auto"/>
        <w:ind w:left="0"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1</w:t>
      </w:r>
      <w:r>
        <w:rPr>
          <w:rFonts w:hint="default" w:ascii="Times New Roman" w:hAnsi="Times New Roman" w:cs="Times New Roman" w:eastAsiaTheme="minorEastAsia"/>
          <w:sz w:val="28"/>
          <w:szCs w:val="28"/>
          <w:highlight w:val="none"/>
          <w:lang w:val="en-US" w:eastAsia="zh-CN"/>
        </w:rPr>
        <w:t xml:space="preserve">2.1 </w:t>
      </w:r>
      <w:r>
        <w:rPr>
          <w:rFonts w:hint="default" w:ascii="Times New Roman" w:hAnsi="Times New Roman" w:cs="Times New Roman" w:eastAsiaTheme="minorEastAsia"/>
          <w:sz w:val="28"/>
          <w:szCs w:val="28"/>
          <w:highlight w:val="none"/>
          <w:lang w:eastAsia="zh-CN"/>
        </w:rPr>
        <w:t>开标应当在招标文件确定的提交投标文件截止时间的同一时间进行，投标文件的递交不得迟于规定时间。投标文件以加密形式上传至招标方指定的开标地点。截止时间之后上传的，将为无效投标，其投标将一律被拒绝</w:t>
      </w:r>
      <w:r>
        <w:rPr>
          <w:rFonts w:hint="eastAsia"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eastAsia="zh-CN"/>
        </w:rPr>
        <w:t>开标由采购人或者采购代理机构主持，</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w:t>
      </w:r>
      <w:r>
        <w:rPr>
          <w:rFonts w:hint="default" w:ascii="Times New Roman" w:hAnsi="Times New Roman" w:cs="Times New Roman" w:eastAsiaTheme="minorEastAsia"/>
          <w:sz w:val="28"/>
          <w:szCs w:val="28"/>
          <w:highlight w:val="none"/>
        </w:rPr>
        <w:t>不足3家的，</w:t>
      </w:r>
      <w:r>
        <w:rPr>
          <w:rFonts w:hint="default" w:ascii="Times New Roman" w:hAnsi="Times New Roman" w:cs="Times New Roman" w:eastAsiaTheme="minorEastAsia"/>
          <w:sz w:val="28"/>
          <w:szCs w:val="28"/>
          <w:highlight w:val="none"/>
          <w:lang w:eastAsia="zh-CN"/>
        </w:rPr>
        <w:t>不得</w:t>
      </w:r>
      <w:r>
        <w:rPr>
          <w:rFonts w:hint="default" w:ascii="Times New Roman" w:hAnsi="Times New Roman" w:cs="Times New Roman" w:eastAsiaTheme="minorEastAsia"/>
          <w:sz w:val="28"/>
          <w:szCs w:val="28"/>
          <w:highlight w:val="none"/>
        </w:rPr>
        <w:t>开标。评标委员会成员不得参加开标活动。</w:t>
      </w:r>
    </w:p>
    <w:p w14:paraId="73C87F1C">
      <w:pPr>
        <w:spacing w:beforeLines="0" w:afterLines="0" w:line="360" w:lineRule="auto"/>
        <w:ind w:left="0" w:leftChars="0" w:hanging="1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12.2 </w:t>
      </w:r>
      <w:r>
        <w:rPr>
          <w:rFonts w:hint="default" w:ascii="Times New Roman" w:hAnsi="Times New Roman" w:cs="Times New Roman" w:eastAsiaTheme="minorEastAsia"/>
          <w:sz w:val="28"/>
          <w:szCs w:val="28"/>
          <w:highlight w:val="none"/>
        </w:rPr>
        <w:t>开标时，采购人或者采购代理机构</w:t>
      </w:r>
      <w:r>
        <w:rPr>
          <w:rFonts w:hint="default" w:ascii="Times New Roman" w:hAnsi="Times New Roman" w:cs="Times New Roman" w:eastAsiaTheme="minorEastAsia"/>
          <w:sz w:val="28"/>
          <w:szCs w:val="28"/>
          <w:highlight w:val="none"/>
          <w:lang w:eastAsia="zh-CN"/>
        </w:rPr>
        <w:t>宣布</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人名称</w:t>
      </w:r>
      <w:r>
        <w:rPr>
          <w:rFonts w:hint="default" w:ascii="Times New Roman" w:hAnsi="Times New Roman" w:cs="Times New Roman" w:eastAsiaTheme="minorEastAsia"/>
          <w:sz w:val="28"/>
          <w:szCs w:val="28"/>
          <w:highlight w:val="none"/>
        </w:rPr>
        <w:t>，</w:t>
      </w:r>
      <w:r>
        <w:rPr>
          <w:rFonts w:hint="default" w:ascii="Times New Roman" w:hAnsi="Times New Roman" w:cs="Times New Roman" w:eastAsiaTheme="minorEastAsia"/>
          <w:sz w:val="28"/>
          <w:szCs w:val="28"/>
          <w:highlight w:val="none"/>
          <w:lang w:eastAsia="zh-CN"/>
        </w:rPr>
        <w:t>投标</w:t>
      </w:r>
      <w:r>
        <w:rPr>
          <w:rFonts w:hint="default" w:cs="Times New Roman" w:eastAsiaTheme="minorEastAsia"/>
          <w:sz w:val="28"/>
          <w:szCs w:val="28"/>
          <w:highlight w:val="none"/>
          <w:lang w:eastAsia="zh-CN"/>
        </w:rPr>
        <w:t>价格</w:t>
      </w:r>
      <w:r>
        <w:rPr>
          <w:rFonts w:hint="default" w:ascii="Times New Roman" w:hAnsi="Times New Roman" w:cs="Times New Roman" w:eastAsiaTheme="minorEastAsia"/>
          <w:sz w:val="28"/>
          <w:szCs w:val="28"/>
          <w:highlight w:val="none"/>
          <w:lang w:eastAsia="zh-CN"/>
        </w:rPr>
        <w:t>和招标文件规定的需要宣布的其他内容。开标过程由</w:t>
      </w:r>
      <w:r>
        <w:rPr>
          <w:rFonts w:hint="default" w:ascii="Times New Roman" w:hAnsi="Times New Roman" w:cs="Times New Roman" w:eastAsiaTheme="minorEastAsia"/>
          <w:sz w:val="28"/>
          <w:szCs w:val="28"/>
          <w:highlight w:val="none"/>
        </w:rPr>
        <w:t>采购</w:t>
      </w:r>
      <w:r>
        <w:rPr>
          <w:rFonts w:hint="default" w:ascii="Times New Roman" w:hAnsi="Times New Roman" w:cs="Times New Roman" w:eastAsiaTheme="minorEastAsia"/>
          <w:sz w:val="28"/>
          <w:szCs w:val="28"/>
          <w:highlight w:val="none"/>
          <w:lang w:eastAsia="zh-CN"/>
        </w:rPr>
        <w:t>人或者</w:t>
      </w:r>
      <w:r>
        <w:rPr>
          <w:rFonts w:hint="default" w:ascii="Times New Roman" w:hAnsi="Times New Roman" w:cs="Times New Roman" w:eastAsiaTheme="minorEastAsia"/>
          <w:sz w:val="28"/>
          <w:szCs w:val="28"/>
          <w:highlight w:val="none"/>
        </w:rPr>
        <w:t>采购代理机构</w:t>
      </w:r>
      <w:r>
        <w:rPr>
          <w:rFonts w:hint="default" w:ascii="Times New Roman" w:hAnsi="Times New Roman" w:cs="Times New Roman" w:eastAsiaTheme="minorEastAsia"/>
          <w:sz w:val="28"/>
          <w:szCs w:val="28"/>
          <w:highlight w:val="none"/>
          <w:lang w:eastAsia="zh-CN"/>
        </w:rPr>
        <w:t>负责记录</w:t>
      </w:r>
      <w:r>
        <w:rPr>
          <w:rFonts w:hint="eastAsia" w:cs="Times New Roman" w:eastAsiaTheme="minorEastAsia"/>
          <w:sz w:val="28"/>
          <w:szCs w:val="28"/>
          <w:highlight w:val="none"/>
          <w:lang w:eastAsia="zh-CN"/>
        </w:rPr>
        <w:t>。</w:t>
      </w:r>
    </w:p>
    <w:p w14:paraId="26D41C03">
      <w:pPr>
        <w:spacing w:beforeLines="0" w:afterLines="0" w:line="360" w:lineRule="auto"/>
        <w:ind w:left="0" w:hanging="10" w:firstLineChars="0"/>
        <w:rPr>
          <w:rFonts w:hint="eastAsia"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12.3</w:t>
      </w:r>
      <w:r>
        <w:rPr>
          <w:rFonts w:hint="default" w:ascii="Times New Roman" w:hAnsi="Times New Roman" w:cs="Times New Roman" w:eastAsiaTheme="minorEastAsia"/>
          <w:sz w:val="28"/>
          <w:szCs w:val="28"/>
          <w:highlight w:val="none"/>
        </w:rPr>
        <w:t xml:space="preserve"> 为了体现投标人的合法权益，和确保评标工作的公平、公正</w:t>
      </w:r>
      <w:r>
        <w:rPr>
          <w:rFonts w:hint="eastAsia"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w:t>
      </w:r>
      <w:r>
        <w:rPr>
          <w:rFonts w:hint="default" w:ascii="Times New Roman" w:hAnsi="Times New Roman" w:cs="Times New Roman" w:eastAsiaTheme="minorEastAsia"/>
          <w:sz w:val="28"/>
          <w:szCs w:val="28"/>
          <w:highlight w:val="none"/>
        </w:rPr>
        <w:t>代表对开标过程和开标记录有疑义，以及认为采购人、采购代理机构相关工作人员有需要回避的情形的，应当场提出询问或者回避申请。如现场不提请招标方申请其回避的，则视同无利害关系</w:t>
      </w:r>
      <w:r>
        <w:rPr>
          <w:rFonts w:hint="eastAsia" w:cs="Times New Roman" w:eastAsiaTheme="minorEastAsia"/>
          <w:sz w:val="28"/>
          <w:szCs w:val="28"/>
          <w:highlight w:val="none"/>
          <w:lang w:eastAsia="zh-CN"/>
        </w:rPr>
        <w:t>。</w:t>
      </w:r>
    </w:p>
    <w:p w14:paraId="322FE3CB">
      <w:pPr>
        <w:spacing w:beforeLines="0" w:afterLines="0" w:line="360" w:lineRule="auto"/>
        <w:ind w:left="0"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b/>
          <w:bCs/>
          <w:sz w:val="28"/>
          <w:szCs w:val="28"/>
          <w:highlight w:val="none"/>
          <w:lang w:val="en-US" w:eastAsia="zh-CN"/>
        </w:rPr>
        <w:t>13.资格审查</w:t>
      </w:r>
      <w:r>
        <w:rPr>
          <w:rFonts w:hint="default" w:ascii="Times New Roman" w:hAnsi="Times New Roman" w:cs="Times New Roman" w:eastAsiaTheme="minorEastAsia"/>
          <w:b/>
          <w:bCs/>
          <w:sz w:val="28"/>
          <w:szCs w:val="28"/>
          <w:highlight w:val="none"/>
        </w:rPr>
        <w:t xml:space="preserve">  </w:t>
      </w:r>
      <w:r>
        <w:rPr>
          <w:rFonts w:hint="default" w:ascii="Times New Roman" w:hAnsi="Times New Roman" w:cs="Times New Roman" w:eastAsiaTheme="minorEastAsia"/>
          <w:sz w:val="28"/>
          <w:szCs w:val="28"/>
          <w:highlight w:val="none"/>
        </w:rPr>
        <w:t xml:space="preserve">    </w:t>
      </w:r>
    </w:p>
    <w:p w14:paraId="66075158">
      <w:pPr>
        <w:spacing w:beforeLines="0" w:afterLines="0" w:line="360" w:lineRule="auto"/>
        <w:ind w:firstLine="56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13.1 开标结束后，采购人或者采购代理机构应当依法对投标人的资格进行审查，具体详见</w:t>
      </w:r>
      <w:r>
        <w:rPr>
          <w:rFonts w:hint="default" w:ascii="Times New Roman" w:hAnsi="Times New Roman" w:cs="Times New Roman" w:eastAsiaTheme="minorEastAsia"/>
          <w:sz w:val="28"/>
          <w:szCs w:val="28"/>
          <w:highlight w:val="none"/>
        </w:rPr>
        <w:t>第</w:t>
      </w:r>
      <w:r>
        <w:rPr>
          <w:rFonts w:hint="default" w:ascii="Times New Roman" w:hAnsi="Times New Roman" w:cs="Times New Roman" w:eastAsiaTheme="minorEastAsia"/>
          <w:sz w:val="28"/>
          <w:szCs w:val="28"/>
          <w:highlight w:val="none"/>
          <w:lang w:eastAsia="zh-CN"/>
        </w:rPr>
        <w:t>四</w:t>
      </w:r>
      <w:r>
        <w:rPr>
          <w:rFonts w:hint="default" w:ascii="Times New Roman" w:hAnsi="Times New Roman" w:cs="Times New Roman" w:eastAsiaTheme="minorEastAsia"/>
          <w:sz w:val="28"/>
          <w:szCs w:val="28"/>
          <w:highlight w:val="none"/>
        </w:rPr>
        <w:t>章</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rPr>
        <w:t>资格审查</w:t>
      </w:r>
      <w:r>
        <w:rPr>
          <w:rFonts w:hint="default" w:ascii="Times New Roman" w:hAnsi="Times New Roman" w:cs="Times New Roman" w:eastAsiaTheme="minorEastAsia"/>
          <w:sz w:val="28"/>
          <w:szCs w:val="28"/>
          <w:highlight w:val="none"/>
          <w:lang w:eastAsia="zh-CN"/>
        </w:rPr>
        <w:t>》。</w:t>
      </w:r>
    </w:p>
    <w:p w14:paraId="58B346E3">
      <w:pPr>
        <w:spacing w:beforeLines="0" w:afterLines="0" w:line="360" w:lineRule="auto"/>
        <w:ind w:firstLine="56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13.2 采购人、采购代理机构应</w:t>
      </w:r>
      <w:r>
        <w:rPr>
          <w:rStyle w:val="27"/>
          <w:rFonts w:hint="default" w:ascii="Times New Roman" w:hAnsi="Times New Roman" w:cs="Times New Roman"/>
          <w:b w:val="0"/>
          <w:sz w:val="28"/>
          <w:szCs w:val="28"/>
          <w:highlight w:val="none"/>
          <w:lang w:val="en-US" w:eastAsia="zh-CN"/>
        </w:rPr>
        <w:t>在采购文件中明确信用信息查询的查询渠道及截止时间、信用信息查询记录和证据留存的具体方式、信用信息的使用规则等内容，</w:t>
      </w:r>
      <w:r>
        <w:rPr>
          <w:rFonts w:hint="default" w:ascii="Times New Roman" w:hAnsi="Times New Roman" w:cs="Times New Roman" w:eastAsiaTheme="minorEastAsia"/>
          <w:sz w:val="28"/>
          <w:szCs w:val="28"/>
          <w:highlight w:val="none"/>
          <w:lang w:val="en-US" w:eastAsia="zh-CN"/>
        </w:rPr>
        <w:t>并通过</w:t>
      </w:r>
      <w:r>
        <w:rPr>
          <w:rStyle w:val="27"/>
          <w:rFonts w:hint="default" w:ascii="Times New Roman" w:hAnsi="Times New Roman" w:cs="Times New Roman"/>
          <w:b w:val="0"/>
          <w:sz w:val="28"/>
          <w:szCs w:val="28"/>
          <w:highlight w:val="none"/>
          <w:lang w:val="en-US" w:eastAsia="zh-CN"/>
        </w:rPr>
        <w:t>“信用中国”网站（www.creditchina.gov.cn）、中国政府采购网（www.ccgp.gov.cn）等渠道查询投标人的信用记录，对列入失信被执行人、重大税收违法案件当事人名单、政府采购严重违法失信行为记录名单及其他不符合《中华人民共和国政府采购法》第二十二条规定条件的供应商，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15E3C2F">
      <w:pPr>
        <w:tabs>
          <w:tab w:val="left" w:pos="2940"/>
        </w:tabs>
        <w:spacing w:beforeLines="0" w:afterLines="0" w:line="360" w:lineRule="auto"/>
        <w:ind w:left="0" w:leftChars="0" w:firstLine="280" w:firstLineChars="10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b w:val="0"/>
          <w:bCs w:val="0"/>
          <w:sz w:val="28"/>
          <w:szCs w:val="28"/>
          <w:highlight w:val="none"/>
          <w:lang w:val="en-US" w:eastAsia="zh-CN"/>
        </w:rPr>
        <w:t xml:space="preserve">  13.3 </w:t>
      </w:r>
      <w:r>
        <w:rPr>
          <w:rFonts w:hint="default" w:ascii="Times New Roman" w:hAnsi="Times New Roman" w:cs="Times New Roman" w:eastAsiaTheme="minorEastAsia"/>
          <w:sz w:val="28"/>
          <w:szCs w:val="28"/>
          <w:highlight w:val="none"/>
        </w:rPr>
        <w:t>合格投标</w:t>
      </w:r>
      <w:r>
        <w:rPr>
          <w:rFonts w:hint="default"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不足三家的，不得评标。</w:t>
      </w:r>
    </w:p>
    <w:p w14:paraId="7F579FE4">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14.评标委员会</w:t>
      </w:r>
    </w:p>
    <w:p w14:paraId="5F445A4C">
      <w:pPr>
        <w:spacing w:line="360" w:lineRule="auto"/>
        <w:ind w:firstLine="560" w:firstLineChars="20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14.1 评标委员会根据政府采购有关规定和本次采购项目的特点进行组建，并负责具体评标事务，独立履行职责。评标委员会的成员，从</w:t>
      </w:r>
      <w:r>
        <w:rPr>
          <w:rFonts w:hint="eastAsia" w:cs="Times New Roman" w:eastAsiaTheme="minorEastAsia"/>
          <w:sz w:val="28"/>
          <w:szCs w:val="28"/>
          <w:highlight w:val="none"/>
          <w:lang w:val="en-US" w:eastAsia="zh-CN"/>
        </w:rPr>
        <w:t>政采云</w:t>
      </w:r>
      <w:r>
        <w:rPr>
          <w:rFonts w:hint="default" w:ascii="Times New Roman" w:hAnsi="Times New Roman" w:cs="Times New Roman" w:eastAsiaTheme="minorEastAsia"/>
          <w:sz w:val="28"/>
          <w:szCs w:val="28"/>
          <w:highlight w:val="none"/>
          <w:lang w:val="en-US" w:eastAsia="zh-CN"/>
        </w:rPr>
        <w:t>专家库中采取随机抽取的方式确定。</w:t>
      </w:r>
      <w:r>
        <w:rPr>
          <w:rFonts w:hint="eastAsia" w:ascii="Times New Roman" w:hAnsi="Times New Roman" w:cs="Times New Roman" w:eastAsiaTheme="minorEastAsia"/>
          <w:sz w:val="28"/>
          <w:szCs w:val="28"/>
          <w:highlight w:val="none"/>
          <w:lang w:val="en-US" w:eastAsia="zh-CN"/>
        </w:rPr>
        <w:t>评标委员会由有关技术、经济等方面的专家和采购人熟悉相关业务的代表人员组成，成员为五人及以上的单数，其中技术、经济等方面的成员人数不少于成员总数的三分之二。</w:t>
      </w:r>
      <w:r>
        <w:rPr>
          <w:rFonts w:hint="default" w:ascii="Times New Roman" w:hAnsi="Times New Roman" w:cs="Times New Roman" w:eastAsiaTheme="minorEastAsia"/>
          <w:sz w:val="28"/>
          <w:szCs w:val="28"/>
          <w:highlight w:val="none"/>
          <w:lang w:val="en-US" w:eastAsia="zh-CN"/>
        </w:rPr>
        <w:t>对于技术复杂、专业性要求较高或者国家有特殊要求的招标项目，抽取的专家不能满足评标工作需要时，将采取直接确定的方式选定评标委员会的人选。</w:t>
      </w:r>
    </w:p>
    <w:p w14:paraId="71E31C0E">
      <w:pPr>
        <w:spacing w:beforeLines="0" w:afterLines="0" w:line="360" w:lineRule="auto"/>
        <w:ind w:left="0" w:hanging="11"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14.2 依法自行选定评审专家的，采购人或者采购代理机构应当查询有关信用记录，不得选定具有行贿、受贿、欺诈等不良信用记录的人员。</w:t>
      </w:r>
    </w:p>
    <w:p w14:paraId="40E4DE88">
      <w:pPr>
        <w:pStyle w:val="6"/>
        <w:spacing w:beforeLines="0" w:afterLines="0" w:line="360" w:lineRule="auto"/>
        <w:ind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14.3 </w:t>
      </w:r>
      <w:r>
        <w:rPr>
          <w:rFonts w:hint="default" w:ascii="Times New Roman" w:hAnsi="Times New Roman" w:cs="Times New Roman" w:eastAsiaTheme="minorEastAsia"/>
          <w:kern w:val="2"/>
          <w:sz w:val="28"/>
          <w:szCs w:val="28"/>
          <w:highlight w:val="none"/>
        </w:rPr>
        <w:t>评标委员会成员名称在评标结果公告前应当保密。</w:t>
      </w:r>
    </w:p>
    <w:p w14:paraId="42DF15BD">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15.评标程序</w:t>
      </w:r>
    </w:p>
    <w:p w14:paraId="578D963A">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详见第</w:t>
      </w:r>
      <w:r>
        <w:rPr>
          <w:rFonts w:hint="default" w:cs="Times New Roman" w:eastAsiaTheme="minorEastAsia"/>
          <w:sz w:val="28"/>
          <w:szCs w:val="28"/>
          <w:highlight w:val="none"/>
          <w:lang w:val="en-US" w:eastAsia="zh-CN"/>
        </w:rPr>
        <w:t>五</w:t>
      </w:r>
      <w:r>
        <w:rPr>
          <w:rFonts w:hint="default" w:ascii="Times New Roman" w:hAnsi="Times New Roman" w:cs="Times New Roman" w:eastAsiaTheme="minorEastAsia"/>
          <w:sz w:val="28"/>
          <w:szCs w:val="28"/>
          <w:highlight w:val="none"/>
          <w:lang w:val="en-US" w:eastAsia="zh-CN"/>
        </w:rPr>
        <w:t>章《评标程序》。</w:t>
      </w:r>
    </w:p>
    <w:p w14:paraId="77096DA8">
      <w:pPr>
        <w:spacing w:beforeLines="0" w:afterLines="0" w:line="360" w:lineRule="auto"/>
        <w:rPr>
          <w:rFonts w:hint="default" w:ascii="Times New Roman" w:hAnsi="Times New Roman" w:cs="Times New Roman" w:eastAsiaTheme="minorEastAsia"/>
          <w:sz w:val="28"/>
          <w:szCs w:val="28"/>
          <w:highlight w:val="none"/>
        </w:rPr>
      </w:pPr>
    </w:p>
    <w:p w14:paraId="1F3EAC9A">
      <w:pPr>
        <w:spacing w:beforeLines="0" w:afterLines="0" w:line="360" w:lineRule="auto"/>
        <w:jc w:val="center"/>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（六）确定中标</w:t>
      </w:r>
      <w:r>
        <w:rPr>
          <w:rFonts w:hint="default" w:ascii="Times New Roman" w:hAnsi="Times New Roman" w:cs="Times New Roman" w:eastAsiaTheme="minorEastAsia"/>
          <w:b/>
          <w:bCs/>
          <w:sz w:val="28"/>
          <w:szCs w:val="28"/>
          <w:highlight w:val="none"/>
          <w:lang w:eastAsia="zh-CN"/>
        </w:rPr>
        <w:t>和签订合同</w:t>
      </w:r>
    </w:p>
    <w:p w14:paraId="192CE61D">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16.确定中标人</w:t>
      </w:r>
    </w:p>
    <w:p w14:paraId="11250735">
      <w:pPr>
        <w:spacing w:beforeLines="0" w:afterLines="0" w:line="360" w:lineRule="auto"/>
        <w:ind w:firstLine="560"/>
        <w:rPr>
          <w:rFonts w:hint="default"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16</w:t>
      </w:r>
      <w:r>
        <w:rPr>
          <w:rFonts w:hint="default" w:cs="Times New Roman" w:eastAsiaTheme="minorEastAsia"/>
          <w:sz w:val="28"/>
          <w:szCs w:val="28"/>
          <w:highlight w:val="none"/>
          <w:lang w:val="en-US" w:eastAsia="zh-CN"/>
        </w:rPr>
        <w:t>.1</w:t>
      </w:r>
      <w:r>
        <w:rPr>
          <w:rFonts w:hint="default" w:ascii="Times New Roman" w:hAnsi="Times New Roman" w:cs="Times New Roman" w:eastAsiaTheme="minorEastAsia"/>
          <w:sz w:val="28"/>
          <w:szCs w:val="28"/>
          <w:highlight w:val="none"/>
          <w:lang w:val="en-US" w:eastAsia="zh-CN"/>
        </w:rPr>
        <w:t xml:space="preserve"> </w:t>
      </w:r>
      <w:r>
        <w:rPr>
          <w:rFonts w:hint="default" w:cs="Times New Roman" w:eastAsiaTheme="minorEastAsia"/>
          <w:sz w:val="28"/>
          <w:szCs w:val="28"/>
          <w:highlight w:val="none"/>
          <w:lang w:val="en-US" w:eastAsia="zh-CN"/>
        </w:rPr>
        <w:t>评审委员会根据全体评标成员签字的原始评标记录和评标结果编写评标报告。评标报告应当包括以下内容：（一）招标公告刊登的媒体名称、开标日期和地点；（二）投标人名单和评标委员会成员名单；（三）评标方法和标准；（四）开标记录和评标情况及说明，包括无效投标人名单及原因；（五）评标结果，确定的中标候选人名单或者经采购人委托直接确定的中标人；（六）其他需要说明的情况，包括评标过程中投标人根据评标委员会要求进行的澄清、说明或者补正、评标委员会成员的更换等。</w:t>
      </w:r>
    </w:p>
    <w:p w14:paraId="40F28A77">
      <w:pPr>
        <w:spacing w:beforeLines="0" w:afterLines="0" w:line="360" w:lineRule="auto"/>
        <w:ind w:firstLine="560"/>
        <w:rPr>
          <w:rFonts w:hint="default" w:ascii="Times New Roman" w:hAnsi="Times New Roman" w:cs="Times New Roman" w:eastAsiaTheme="minorEastAsia"/>
          <w:sz w:val="28"/>
          <w:szCs w:val="28"/>
          <w:highlight w:val="none"/>
        </w:rPr>
      </w:pPr>
      <w:r>
        <w:rPr>
          <w:rFonts w:hint="default" w:cs="Times New Roman" w:eastAsiaTheme="minorEastAsia"/>
          <w:sz w:val="28"/>
          <w:szCs w:val="28"/>
          <w:highlight w:val="none"/>
          <w:lang w:val="en-US" w:eastAsia="zh-CN"/>
        </w:rPr>
        <w:t xml:space="preserve">16.2 </w:t>
      </w:r>
      <w:r>
        <w:rPr>
          <w:rFonts w:hint="default" w:ascii="Times New Roman" w:hAnsi="Times New Roman" w:cs="Times New Roman" w:eastAsiaTheme="minorEastAsia"/>
          <w:sz w:val="28"/>
          <w:szCs w:val="28"/>
          <w:highlight w:val="none"/>
        </w:rPr>
        <w:t>评标报告由评标委员会全体成员签字。</w:t>
      </w:r>
      <w:r>
        <w:rPr>
          <w:rFonts w:hint="default" w:cs="Times New Roman" w:eastAsiaTheme="minorEastAsia"/>
          <w:sz w:val="28"/>
          <w:szCs w:val="28"/>
          <w:highlight w:val="none"/>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01F583AA">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val="en-US" w:eastAsia="zh-CN"/>
        </w:rPr>
        <w:t>16.3 采购人应在评标报告确定的中标候选人名单中按顺序确定中标人。中标人候选人并列的，由采购人或者采购人委托评标委员会按照招标文件规定的方式确定中标人；招标文件未规定的，采取随机抽取的方式确定。</w:t>
      </w:r>
    </w:p>
    <w:p w14:paraId="019BC178">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17.中标公告与中标通知书</w:t>
      </w:r>
    </w:p>
    <w:p w14:paraId="4DBD0681">
      <w:pPr>
        <w:spacing w:beforeLines="0" w:afterLines="0" w:line="360" w:lineRule="auto"/>
        <w:ind w:hanging="11"/>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 xml:space="preserve">    17.1 采购人或者采购代理机构应当自中标人确定之日起2个工作日内公告中标结果，</w:t>
      </w:r>
      <w:r>
        <w:rPr>
          <w:rFonts w:hint="default" w:cs="Times New Roman" w:eastAsiaTheme="minorEastAsia"/>
          <w:b w:val="0"/>
          <w:bCs w:val="0"/>
          <w:sz w:val="28"/>
          <w:szCs w:val="28"/>
          <w:highlight w:val="none"/>
          <w:lang w:val="en-US" w:eastAsia="zh-CN"/>
        </w:rPr>
        <w:t>同时</w:t>
      </w:r>
      <w:r>
        <w:rPr>
          <w:rFonts w:hint="default" w:ascii="Times New Roman" w:hAnsi="Times New Roman" w:cs="Times New Roman" w:eastAsiaTheme="minorEastAsia"/>
          <w:b w:val="0"/>
          <w:bCs w:val="0"/>
          <w:sz w:val="28"/>
          <w:szCs w:val="28"/>
          <w:highlight w:val="none"/>
          <w:lang w:val="en-US" w:eastAsia="zh-CN"/>
        </w:rPr>
        <w:t>向中标人发出中标通知书，中标公告期限为1个工作日。对未通过资格审查的投标人，采购人或者采购代理机构应当告知其未通过的原因；采用综合评分法评审的，还应当</w:t>
      </w:r>
      <w:r>
        <w:rPr>
          <w:rFonts w:hint="default" w:cs="Times New Roman" w:eastAsiaTheme="minorEastAsia"/>
          <w:b w:val="0"/>
          <w:bCs w:val="0"/>
          <w:sz w:val="28"/>
          <w:szCs w:val="28"/>
          <w:highlight w:val="none"/>
          <w:lang w:val="en-US" w:eastAsia="zh-CN"/>
        </w:rPr>
        <w:t>告知</w:t>
      </w:r>
      <w:r>
        <w:rPr>
          <w:rFonts w:hint="default" w:ascii="Times New Roman" w:hAnsi="Times New Roman" w:cs="Times New Roman" w:eastAsiaTheme="minorEastAsia"/>
          <w:b w:val="0"/>
          <w:bCs w:val="0"/>
          <w:sz w:val="28"/>
          <w:szCs w:val="28"/>
          <w:highlight w:val="none"/>
          <w:lang w:val="en-US" w:eastAsia="zh-CN"/>
        </w:rPr>
        <w:t>未中标人本人的评审得分与排序。</w:t>
      </w:r>
    </w:p>
    <w:p w14:paraId="31F314C5">
      <w:pPr>
        <w:spacing w:beforeLines="0" w:afterLines="0" w:line="360" w:lineRule="auto"/>
        <w:ind w:hanging="11"/>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17.2 中标通知书对采购人和中标人均具有法律效力。中标通知书发出后，采购人不得违法改变中标结果，中标人无正当理由不得放弃中标。</w:t>
      </w:r>
    </w:p>
    <w:p w14:paraId="71B31C4A">
      <w:pPr>
        <w:spacing w:beforeLines="0" w:afterLines="0" w:line="360" w:lineRule="auto"/>
        <w:ind w:hanging="11"/>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18.废标</w:t>
      </w:r>
    </w:p>
    <w:p w14:paraId="1B75CF90">
      <w:pPr>
        <w:spacing w:beforeLines="0" w:afterLines="0" w:line="360" w:lineRule="auto"/>
        <w:ind w:hanging="11"/>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18.1 在招标采购中，出现下列情形之一的，应予废标：</w:t>
      </w:r>
    </w:p>
    <w:p w14:paraId="7BC8E029">
      <w:pPr>
        <w:spacing w:beforeLines="0" w:afterLines="0" w:line="360" w:lineRule="auto"/>
        <w:ind w:hanging="11"/>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（1）符合专业条件的供应商或者对招标文件作实质响应的供应商不足三家的；</w:t>
      </w:r>
    </w:p>
    <w:p w14:paraId="08C5A0BC">
      <w:pPr>
        <w:spacing w:beforeLines="0" w:afterLines="0" w:line="360" w:lineRule="auto"/>
        <w:ind w:hanging="11"/>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（2）出现影响采购公正的违法、违规行为的；</w:t>
      </w:r>
    </w:p>
    <w:p w14:paraId="27AD31F2">
      <w:pPr>
        <w:spacing w:beforeLines="0" w:afterLines="0" w:line="360" w:lineRule="auto"/>
        <w:ind w:hanging="11"/>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（3）投标人的报价均超过了采购预算，采购人不能支付的；</w:t>
      </w:r>
    </w:p>
    <w:p w14:paraId="46B03245">
      <w:pPr>
        <w:spacing w:beforeLines="0" w:after="0" w:afterLines="0" w:line="360" w:lineRule="auto"/>
        <w:ind w:left="0" w:leftChars="0"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4</w:t>
      </w:r>
      <w:r>
        <w:rPr>
          <w:rFonts w:hint="default" w:ascii="Times New Roman" w:hAnsi="Times New Roman" w:cs="Times New Roman" w:eastAsiaTheme="minorEastAsia"/>
          <w:sz w:val="28"/>
          <w:szCs w:val="28"/>
          <w:highlight w:val="none"/>
          <w:lang w:eastAsia="zh-CN"/>
        </w:rPr>
        <w:t>）因重大变故，采购任务取消的。</w:t>
      </w:r>
    </w:p>
    <w:p w14:paraId="121CEC8C">
      <w:pPr>
        <w:spacing w:beforeLines="0" w:afterLines="0" w:line="360" w:lineRule="auto"/>
        <w:ind w:left="0" w:left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18.2 废标后，采购人应将废标理由通知所有投标人。</w:t>
      </w:r>
    </w:p>
    <w:p w14:paraId="468D76DF">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19</w:t>
      </w:r>
      <w:r>
        <w:rPr>
          <w:rFonts w:hint="default" w:ascii="Times New Roman" w:hAnsi="Times New Roman" w:cs="Times New Roman" w:eastAsiaTheme="minorEastAsia"/>
          <w:b/>
          <w:bCs/>
          <w:sz w:val="28"/>
          <w:szCs w:val="28"/>
          <w:highlight w:val="none"/>
        </w:rPr>
        <w:t>.签订合同</w:t>
      </w:r>
    </w:p>
    <w:p w14:paraId="6C381845">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19.1 采购人、中标人应当自中标通知书发出之日起30日内，按照招标文件和中标人投标文件的规定签订书面合同。采购人因不可抗力原因延迟签订合同的，应当自不可抗力事由消除之日起7日内完成合同签订事宜。</w:t>
      </w:r>
    </w:p>
    <w:p w14:paraId="50703B37">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19.2 采购人和中标人所签订的合同不得对招标文件确定的事项和中标人投标文件作实质性修改。采购人不得向中标人提出任何不合理的要求作为签订合同的条件。采购人和中标人之间的权利和义务，应当按照平等、自愿的原则以合同方式约定。</w:t>
      </w:r>
    </w:p>
    <w:p w14:paraId="0AF11AA1">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19.3 中标人拒绝与采购人签订合同的，采购人可以按照评审报告推荐的中标候选人名单排序，确定下一候选人为中标人，也可以重新开展政府采购活动。中标人无正当理由拒不与采购人签订政府采购合同的，依法承担法律责任。</w:t>
      </w:r>
    </w:p>
    <w:p w14:paraId="5A7C68D8">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19.4 中标人应遵守《中华人民共和国</w:t>
      </w:r>
      <w:r>
        <w:rPr>
          <w:rFonts w:hint="default" w:cs="Times New Roman" w:eastAsiaTheme="minorEastAsia"/>
          <w:sz w:val="28"/>
          <w:szCs w:val="28"/>
          <w:highlight w:val="none"/>
          <w:lang w:val="en-US" w:eastAsia="zh-CN"/>
        </w:rPr>
        <w:t>劳动</w:t>
      </w:r>
      <w:r>
        <w:rPr>
          <w:rFonts w:hint="default" w:ascii="Times New Roman" w:hAnsi="Times New Roman" w:cs="Times New Roman" w:eastAsiaTheme="minorEastAsia"/>
          <w:sz w:val="28"/>
          <w:szCs w:val="28"/>
          <w:highlight w:val="none"/>
          <w:lang w:val="en-US" w:eastAsia="zh-CN"/>
        </w:rPr>
        <w:t>合同法》有关规定和《中华人民共和国妇女权益保障法》有关要求。</w:t>
      </w:r>
    </w:p>
    <w:p w14:paraId="7C68B551">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19.</w:t>
      </w:r>
      <w:r>
        <w:rPr>
          <w:rFonts w:hint="default" w:cs="Times New Roman" w:eastAsiaTheme="minorEastAsia"/>
          <w:sz w:val="28"/>
          <w:szCs w:val="28"/>
          <w:highlight w:val="none"/>
          <w:lang w:val="en-US" w:eastAsia="zh-CN"/>
        </w:rPr>
        <w:t>5</w:t>
      </w:r>
      <w:r>
        <w:rPr>
          <w:rFonts w:hint="default" w:ascii="Times New Roman" w:hAnsi="Times New Roman" w:cs="Times New Roman" w:eastAsiaTheme="minorEastAsia"/>
          <w:sz w:val="28"/>
          <w:szCs w:val="28"/>
          <w:highlight w:val="none"/>
          <w:lang w:val="en-US" w:eastAsia="zh-CN"/>
        </w:rPr>
        <w:t xml:space="preserve"> 采购项目涉及采购标的的知识产权归属、处理的，如订购、涉及、定制开发的信息化建设项目等，应当约定知识产权的归属和处理方式。</w:t>
      </w:r>
    </w:p>
    <w:p w14:paraId="127BABAC">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19.</w:t>
      </w:r>
      <w:r>
        <w:rPr>
          <w:rFonts w:hint="default" w:cs="Times New Roman" w:eastAsiaTheme="minorEastAsia"/>
          <w:sz w:val="28"/>
          <w:szCs w:val="28"/>
          <w:highlight w:val="none"/>
          <w:lang w:val="en-US" w:eastAsia="zh-CN"/>
        </w:rPr>
        <w:t>6</w:t>
      </w:r>
      <w:r>
        <w:rPr>
          <w:rFonts w:hint="default" w:ascii="Times New Roman" w:hAnsi="Times New Roman" w:cs="Times New Roman" w:eastAsiaTheme="minorEastAsia"/>
          <w:sz w:val="28"/>
          <w:szCs w:val="28"/>
          <w:highlight w:val="none"/>
          <w:lang w:val="en-US" w:eastAsia="zh-CN"/>
        </w:rPr>
        <w:t xml:space="preserve"> 履约验收方案应当在合同中约定。履约验收方案要明确履约验收的主体、时间、方式、程序、内容和验收标准等事项。</w:t>
      </w:r>
    </w:p>
    <w:p w14:paraId="438AB131">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20.合同公告</w:t>
      </w:r>
    </w:p>
    <w:p w14:paraId="63DF6908">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 xml:space="preserve">  </w:t>
      </w:r>
      <w:r>
        <w:rPr>
          <w:rFonts w:hint="default" w:ascii="Times New Roman" w:hAnsi="Times New Roman" w:cs="Times New Roman" w:eastAsiaTheme="minorEastAsia"/>
          <w:sz w:val="28"/>
          <w:szCs w:val="28"/>
          <w:highlight w:val="none"/>
          <w:lang w:val="en-US" w:eastAsia="zh-CN"/>
        </w:rPr>
        <w:t xml:space="preserve">  20.1 采购人应当自政府采购合同签订之日起2个工作日内，将政府采购合同予以公告，但政府采购合同中涉及国家秘密、商业秘密</w:t>
      </w:r>
      <w:r>
        <w:rPr>
          <w:rFonts w:hint="default" w:cs="Times New Roman" w:eastAsiaTheme="minorEastAsia"/>
          <w:sz w:val="28"/>
          <w:szCs w:val="28"/>
          <w:highlight w:val="none"/>
          <w:lang w:val="en-US" w:eastAsia="zh-CN"/>
        </w:rPr>
        <w:t>和</w:t>
      </w:r>
      <w:r>
        <w:rPr>
          <w:rFonts w:hint="default" w:ascii="Times New Roman" w:hAnsi="Times New Roman" w:cs="Times New Roman" w:eastAsiaTheme="minorEastAsia"/>
          <w:sz w:val="28"/>
          <w:szCs w:val="28"/>
          <w:highlight w:val="none"/>
          <w:lang w:val="en-US" w:eastAsia="zh-CN"/>
        </w:rPr>
        <w:t>其他依法不得公开的的内容除外。</w:t>
      </w:r>
    </w:p>
    <w:p w14:paraId="61F2C2ED">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20.2 政府采购合同的双方当事人不得擅自变更、中止或者终止合同。政府采购合同继续履行将损害国家利益和社会公共利益的，双方当事人应当变更、中止或终止合同。</w:t>
      </w:r>
    </w:p>
    <w:p w14:paraId="76853495">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20.3 依照政府采购法确需变更政府采购合同内容的，采购人应当自合同变更之日起2个工作日内发布政府采购合同变更公告，但涉及国家秘密、商业秘密和其他依法不得公开的</w:t>
      </w:r>
      <w:r>
        <w:rPr>
          <w:rFonts w:hint="default" w:cs="Times New Roman" w:eastAsiaTheme="minorEastAsia"/>
          <w:sz w:val="28"/>
          <w:szCs w:val="28"/>
          <w:highlight w:val="none"/>
          <w:lang w:val="en-US" w:eastAsia="zh-CN"/>
        </w:rPr>
        <w:t>内容</w:t>
      </w:r>
      <w:r>
        <w:rPr>
          <w:rFonts w:hint="default" w:ascii="Times New Roman" w:hAnsi="Times New Roman" w:cs="Times New Roman" w:eastAsiaTheme="minorEastAsia"/>
          <w:sz w:val="28"/>
          <w:szCs w:val="28"/>
          <w:highlight w:val="none"/>
          <w:lang w:val="en-US" w:eastAsia="zh-CN"/>
        </w:rPr>
        <w:t>除外。</w:t>
      </w:r>
    </w:p>
    <w:p w14:paraId="099F84B9">
      <w:pPr>
        <w:spacing w:beforeLines="0" w:afterLines="0" w:line="360" w:lineRule="auto"/>
        <w:ind w:firstLine="560" w:firstLineChars="20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 xml:space="preserve"> </w:t>
      </w:r>
      <w:r>
        <w:rPr>
          <w:rFonts w:hint="default" w:ascii="Times New Roman" w:hAnsi="Times New Roman" w:cs="Times New Roman" w:eastAsiaTheme="minorEastAsia"/>
          <w:sz w:val="28"/>
          <w:szCs w:val="28"/>
          <w:highlight w:val="none"/>
          <w:lang w:val="en-US" w:eastAsia="zh-CN"/>
        </w:rPr>
        <w:t>20.4 采购人应当在政府采购合同中约定资金支付的方式、时间和条件，明确逾期支付资金的违约责任。对于有预付安排的合同，鼓励采购人将合同预付款比例提高到30%以上。</w:t>
      </w:r>
    </w:p>
    <w:p w14:paraId="3D8CBDCE">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21.</w:t>
      </w:r>
      <w:r>
        <w:rPr>
          <w:rFonts w:hint="default" w:ascii="Times New Roman" w:hAnsi="Times New Roman" w:cs="Times New Roman" w:eastAsiaTheme="minorEastAsia"/>
          <w:b/>
          <w:bCs/>
          <w:sz w:val="28"/>
          <w:szCs w:val="28"/>
          <w:highlight w:val="none"/>
        </w:rPr>
        <w:t>政府采购合同信用融资</w:t>
      </w:r>
    </w:p>
    <w:p w14:paraId="3B0D52DF">
      <w:pPr>
        <w:spacing w:beforeLines="0" w:afterLines="0" w:line="360" w:lineRule="auto"/>
        <w:ind w:left="0" w:leftChars="0"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中标</w:t>
      </w:r>
      <w:r>
        <w:rPr>
          <w:rFonts w:hint="default" w:ascii="Times New Roman" w:hAnsi="Times New Roman" w:cs="Times New Roman" w:eastAsiaTheme="minorEastAsia"/>
          <w:sz w:val="28"/>
          <w:szCs w:val="28"/>
          <w:highlight w:val="none"/>
          <w:lang w:eastAsia="zh-CN"/>
        </w:rPr>
        <w:t>人</w:t>
      </w:r>
      <w:r>
        <w:rPr>
          <w:rFonts w:hint="default" w:ascii="Times New Roman" w:hAnsi="Times New Roman" w:cs="Times New Roman" w:eastAsiaTheme="minorEastAsia"/>
          <w:sz w:val="28"/>
          <w:szCs w:val="28"/>
          <w:highlight w:val="none"/>
        </w:rPr>
        <w:t>为中小微企业的，可以在取得中标通知书后，向相关金融机构、担保机构申请政府采购融资服务。</w:t>
      </w:r>
    </w:p>
    <w:p w14:paraId="2EC2B1DE">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22</w:t>
      </w:r>
      <w:r>
        <w:rPr>
          <w:rFonts w:hint="default" w:ascii="Times New Roman" w:hAnsi="Times New Roman" w:cs="Times New Roman" w:eastAsiaTheme="minorEastAsia"/>
          <w:b/>
          <w:bCs/>
          <w:sz w:val="28"/>
          <w:szCs w:val="28"/>
          <w:highlight w:val="none"/>
        </w:rPr>
        <w:t>.</w:t>
      </w:r>
      <w:r>
        <w:rPr>
          <w:rFonts w:hint="default" w:ascii="Times New Roman" w:hAnsi="Times New Roman" w:cs="Times New Roman" w:eastAsiaTheme="minorEastAsia"/>
          <w:b/>
          <w:bCs/>
          <w:sz w:val="28"/>
          <w:szCs w:val="28"/>
          <w:highlight w:val="none"/>
          <w:lang w:eastAsia="zh-CN"/>
        </w:rPr>
        <w:t>代理费用</w:t>
      </w:r>
    </w:p>
    <w:p w14:paraId="14719C2D">
      <w:pPr>
        <w:spacing w:beforeLines="0" w:afterLines="0" w:line="360" w:lineRule="auto"/>
        <w:ind w:left="0" w:leftChars="0"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22.1 </w:t>
      </w:r>
      <w:r>
        <w:rPr>
          <w:rFonts w:hint="default" w:cs="Times New Roman" w:eastAsiaTheme="minorEastAsia"/>
          <w:sz w:val="28"/>
          <w:szCs w:val="28"/>
          <w:highlight w:val="none"/>
          <w:lang w:val="en-US" w:eastAsia="zh-CN"/>
        </w:rPr>
        <w:t>代理费用可以由中标供应商支付，也可由采购人支付。</w:t>
      </w:r>
      <w:r>
        <w:rPr>
          <w:rFonts w:hint="default" w:ascii="Times New Roman" w:hAnsi="Times New Roman" w:cs="Times New Roman" w:eastAsiaTheme="minorEastAsia"/>
          <w:sz w:val="28"/>
          <w:szCs w:val="28"/>
          <w:highlight w:val="none"/>
          <w:lang w:val="en-US" w:eastAsia="zh-CN"/>
        </w:rPr>
        <w:t>代理费用收取对象、收取方式及标准详见《</w:t>
      </w:r>
      <w:r>
        <w:rPr>
          <w:rFonts w:hint="eastAsia" w:ascii="Times New Roman" w:hAnsi="Times New Roman" w:cs="Times New Roman" w:eastAsiaTheme="minorEastAsia"/>
          <w:sz w:val="28"/>
          <w:szCs w:val="28"/>
          <w:highlight w:val="none"/>
          <w:lang w:val="en-US" w:eastAsia="zh-CN"/>
        </w:rPr>
        <w:t>投标人</w:t>
      </w:r>
      <w:r>
        <w:rPr>
          <w:rFonts w:hint="default" w:ascii="Times New Roman" w:hAnsi="Times New Roman" w:cs="Times New Roman" w:eastAsiaTheme="minorEastAsia"/>
          <w:sz w:val="28"/>
          <w:szCs w:val="28"/>
          <w:highlight w:val="none"/>
          <w:lang w:val="en-US" w:eastAsia="zh-CN"/>
        </w:rPr>
        <w:t>须知前附表》</w:t>
      </w:r>
      <w:r>
        <w:rPr>
          <w:rFonts w:hint="default" w:ascii="Times New Roman" w:hAnsi="Times New Roman" w:cs="Times New Roman" w:eastAsiaTheme="minorEastAsia"/>
          <w:sz w:val="28"/>
          <w:szCs w:val="28"/>
          <w:highlight w:val="none"/>
        </w:rPr>
        <w:t>。</w:t>
      </w:r>
      <w:r>
        <w:rPr>
          <w:rFonts w:hint="default" w:ascii="Times New Roman" w:hAnsi="Times New Roman" w:cs="Times New Roman" w:eastAsiaTheme="minorEastAsia"/>
          <w:sz w:val="28"/>
          <w:szCs w:val="28"/>
          <w:highlight w:val="none"/>
          <w:lang w:eastAsia="zh-CN"/>
        </w:rPr>
        <w:t>代理费用由中标供应商支付的，供应商报价应当包含代理费用。代理费用超过分散采购限额标准的，原则上由中标供应商支付。</w:t>
      </w:r>
    </w:p>
    <w:p w14:paraId="7C144B00">
      <w:pPr>
        <w:pStyle w:val="23"/>
        <w:spacing w:beforeLines="0" w:after="0" w:afterLines="0" w:line="360" w:lineRule="auto"/>
        <w:ind w:left="0" w:left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22.2 代理机构应当在采购文件中明示代理费用收取方式及标准，随中标结果一并公开本项目收费情况，包括具体收费标准及收费金额等。</w:t>
      </w:r>
    </w:p>
    <w:p w14:paraId="2BEF7B52">
      <w:pPr>
        <w:spacing w:beforeLines="0" w:afterLines="0" w:line="360" w:lineRule="auto"/>
        <w:ind w:left="490" w:leftChars="0" w:hanging="490" w:hangingChars="175"/>
        <w:rPr>
          <w:rFonts w:hint="default" w:ascii="Times New Roman" w:hAnsi="Times New Roman" w:cs="Times New Roman" w:eastAsiaTheme="minorEastAsia"/>
          <w:sz w:val="28"/>
          <w:szCs w:val="28"/>
          <w:highlight w:val="none"/>
        </w:rPr>
      </w:pPr>
    </w:p>
    <w:p w14:paraId="269A7D46">
      <w:pPr>
        <w:spacing w:beforeLines="0" w:afterLines="0" w:line="360" w:lineRule="auto"/>
        <w:ind w:left="0" w:leftChars="0" w:firstLine="0" w:firstLineChars="0"/>
        <w:jc w:val="center"/>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b/>
          <w:bCs/>
          <w:sz w:val="28"/>
          <w:szCs w:val="28"/>
          <w:highlight w:val="none"/>
          <w:lang w:eastAsia="zh-CN"/>
        </w:rPr>
        <w:t>（七）合同履行、验收、资金支付和档案保管</w:t>
      </w:r>
    </w:p>
    <w:p w14:paraId="78788D49">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23.合同履行</w:t>
      </w:r>
    </w:p>
    <w:p w14:paraId="54ACDB6A">
      <w:pPr>
        <w:spacing w:beforeLines="0" w:afterLines="0" w:line="360" w:lineRule="auto"/>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 xml:space="preserve">  </w:t>
      </w:r>
      <w:r>
        <w:rPr>
          <w:rFonts w:hint="default" w:ascii="Times New Roman" w:hAnsi="Times New Roman" w:cs="Times New Roman" w:eastAsiaTheme="minorEastAsia"/>
          <w:b w:val="0"/>
          <w:bCs w:val="0"/>
          <w:sz w:val="28"/>
          <w:szCs w:val="28"/>
          <w:highlight w:val="none"/>
          <w:lang w:val="en-US" w:eastAsia="zh-CN"/>
        </w:rPr>
        <w:t xml:space="preserve">  23.1 采购人与中标人应当根据合同的约定依法履行合同义务。</w:t>
      </w:r>
    </w:p>
    <w:p w14:paraId="7B07CF51">
      <w:pPr>
        <w:spacing w:beforeLines="0" w:afterLines="0" w:line="360" w:lineRule="auto"/>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 xml:space="preserve">    23.2 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0989AA1C">
      <w:pPr>
        <w:spacing w:beforeLines="0" w:afterLines="0" w:line="360" w:lineRule="auto"/>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 xml:space="preserve">    23.3 政府采购合同的履行、违约责任和解决争议的方法等适用《中华人民共和国民法典》等法律法规。</w:t>
      </w:r>
    </w:p>
    <w:p w14:paraId="79866453">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24.履约验收</w:t>
      </w:r>
    </w:p>
    <w:p w14:paraId="40EC64A6">
      <w:pPr>
        <w:spacing w:beforeLines="0" w:afterLines="0" w:line="360" w:lineRule="auto"/>
        <w:ind w:firstLine="560"/>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24.1 采购人应当根据采购项目的具体情况，自行组织项目验收或者委托采购代理机构验收。采购人委托采购代理机构进行履约验收的，应当对验收结果进行书面确认。</w:t>
      </w:r>
    </w:p>
    <w:p w14:paraId="75BA8EB0">
      <w:pPr>
        <w:spacing w:beforeLines="0" w:afterLines="0" w:line="360" w:lineRule="auto"/>
        <w:ind w:firstLine="560"/>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24.2 采购人应当按照政府采购合同规定的技术、服务、安全标准组织对供应商履约情况进行验收。验收内容要包括每一项技术和商务要求的履约情况，验收标准要包括所有客观、量化指标。不能明确客观标准、涉及主观判断的，可以通过在采购人、使用人中开展问卷调查等方式，转化为客观、量化的验收标准。履约验收的各项资料应当留档备查。</w:t>
      </w:r>
    </w:p>
    <w:p w14:paraId="364CA10F">
      <w:pPr>
        <w:spacing w:beforeLines="0" w:afterLines="0" w:line="360" w:lineRule="auto"/>
        <w:ind w:firstLine="560"/>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24.3 对于采购人和使用人分离的采购项目，应当邀请实际使用人参与验收。采购人、采购代理机构可以邀请参加本项目的其他供应商或第三方专业机构及专家参与验收，相关验收意见作为验收书的参考资料。政府向社会公众提供的公共服务项目，验收时应当邀请服务对象参与并出具意见，验收结果应当向社会公告。</w:t>
      </w:r>
    </w:p>
    <w:p w14:paraId="0477F78B">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25.资金支付</w:t>
      </w:r>
    </w:p>
    <w:p w14:paraId="2D83081B">
      <w:pPr>
        <w:spacing w:beforeLines="0" w:afterLines="0" w:line="360" w:lineRule="auto"/>
        <w:ind w:firstLine="560"/>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25.1 对于满足合同约定支付条件的，采购人应当根据采购合同的约定向供应商支付采购资金、退还履约保证金，原则上应当自收到发票后10个工作日内将资金支付到合同约定的供应商账户，鼓励采购人完善内部流程，自收到发票后1个工作日内完成资金支付事宜。</w:t>
      </w:r>
    </w:p>
    <w:p w14:paraId="39DDCA6E">
      <w:pPr>
        <w:spacing w:beforeLines="0" w:afterLines="0" w:line="360" w:lineRule="auto"/>
        <w:ind w:firstLine="560"/>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val="0"/>
          <w:bCs w:val="0"/>
          <w:sz w:val="28"/>
          <w:szCs w:val="28"/>
          <w:highlight w:val="none"/>
          <w:lang w:val="en-US" w:eastAsia="zh-CN"/>
        </w:rPr>
        <w:t>25.2 采购人和供应商对资金支付产生争议的，应当按照法律规定和合同约定及时解决，保证资金支付效率。</w:t>
      </w:r>
    </w:p>
    <w:p w14:paraId="0623E032">
      <w:pPr>
        <w:spacing w:beforeLines="0" w:afterLines="0" w:line="360" w:lineRule="auto"/>
        <w:ind w:left="0" w:leftChars="0" w:firstLine="0" w:firstLineChars="0"/>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 xml:space="preserve">26.档案保管 </w:t>
      </w:r>
      <w:r>
        <w:rPr>
          <w:rFonts w:hint="default" w:ascii="Times New Roman" w:hAnsi="Times New Roman" w:cs="Times New Roman" w:eastAsiaTheme="minorEastAsia"/>
          <w:b w:val="0"/>
          <w:bCs w:val="0"/>
          <w:sz w:val="28"/>
          <w:szCs w:val="28"/>
          <w:highlight w:val="none"/>
          <w:lang w:val="en-US" w:eastAsia="zh-CN"/>
        </w:rPr>
        <w:t xml:space="preserve">   </w:t>
      </w:r>
    </w:p>
    <w:p w14:paraId="1A2B7009">
      <w:pPr>
        <w:spacing w:beforeLines="0" w:afterLines="0" w:line="360" w:lineRule="auto"/>
        <w:ind w:left="0" w:leftChars="0" w:firstLine="0" w:firstLineChars="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b w:val="0"/>
          <w:bCs w:val="0"/>
          <w:sz w:val="28"/>
          <w:szCs w:val="28"/>
          <w:highlight w:val="none"/>
          <w:lang w:val="en-US" w:eastAsia="zh-CN"/>
        </w:rPr>
        <w:t xml:space="preserve">    </w:t>
      </w:r>
      <w:r>
        <w:rPr>
          <w:rFonts w:hint="default" w:ascii="Times New Roman" w:hAnsi="Times New Roman" w:cs="Times New Roman" w:eastAsiaTheme="minorEastAsia"/>
          <w:b w:val="0"/>
          <w:bCs w:val="0"/>
          <w:sz w:val="28"/>
          <w:szCs w:val="28"/>
          <w:highlight w:val="none"/>
          <w:lang w:eastAsia="zh-CN"/>
        </w:rPr>
        <w:t>采购人、采购代理机构对政</w:t>
      </w:r>
      <w:r>
        <w:rPr>
          <w:rFonts w:hint="default" w:ascii="Times New Roman" w:hAnsi="Times New Roman" w:cs="Times New Roman" w:eastAsiaTheme="minorEastAsia"/>
          <w:sz w:val="28"/>
          <w:szCs w:val="28"/>
          <w:highlight w:val="none"/>
          <w:lang w:eastAsia="zh-CN"/>
        </w:rPr>
        <w:t>府采购项目每项采购活动的采购文件应当妥善保存，不得伪造、变造、隐匿或者销毁。采购文件的保存期限为从采购结束之日起至少保存十五年。采购文件包括采购活动记录、采购预算、招标文件、投标文件、评标标准、评估报告、定标文件、合同文本、验收证明、质疑答复、投诉处理决定及其他有关文件。采购文件可以用电子档案方式保存。</w:t>
      </w:r>
    </w:p>
    <w:p w14:paraId="601DD8B3">
      <w:pPr>
        <w:spacing w:line="360" w:lineRule="auto"/>
        <w:rPr>
          <w:rFonts w:hint="default" w:ascii="Times New Roman" w:hAnsi="Times New Roman" w:cs="Times New Roman"/>
          <w:highlight w:val="none"/>
        </w:rPr>
      </w:pPr>
    </w:p>
    <w:p w14:paraId="33E86BFB">
      <w:pPr>
        <w:spacing w:beforeLines="0" w:afterLines="0" w:line="360" w:lineRule="auto"/>
        <w:jc w:val="center"/>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rPr>
        <w:t>（八）</w:t>
      </w:r>
      <w:r>
        <w:rPr>
          <w:rFonts w:hint="default" w:ascii="Times New Roman" w:hAnsi="Times New Roman" w:cs="Times New Roman" w:eastAsiaTheme="minorEastAsia"/>
          <w:b/>
          <w:bCs/>
          <w:sz w:val="28"/>
          <w:szCs w:val="28"/>
          <w:highlight w:val="none"/>
          <w:lang w:eastAsia="zh-CN"/>
        </w:rPr>
        <w:t>询问、</w:t>
      </w:r>
      <w:r>
        <w:rPr>
          <w:rFonts w:hint="default" w:ascii="Times New Roman" w:hAnsi="Times New Roman" w:cs="Times New Roman" w:eastAsiaTheme="minorEastAsia"/>
          <w:b/>
          <w:bCs/>
          <w:sz w:val="28"/>
          <w:szCs w:val="28"/>
          <w:highlight w:val="none"/>
        </w:rPr>
        <w:t>质疑和投诉</w:t>
      </w:r>
    </w:p>
    <w:p w14:paraId="594D53D9">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27.询问</w:t>
      </w:r>
    </w:p>
    <w:p w14:paraId="1BBAF277">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27.1 投标人对政府采购活动事项有疑问的，可依法提出询问，并按《</w:t>
      </w:r>
      <w:r>
        <w:rPr>
          <w:rFonts w:hint="eastAsia" w:ascii="Times New Roman" w:hAnsi="Times New Roman" w:cs="Times New Roman" w:eastAsiaTheme="minorEastAsia"/>
          <w:sz w:val="28"/>
          <w:szCs w:val="28"/>
          <w:highlight w:val="none"/>
          <w:lang w:val="en-US" w:eastAsia="zh-CN"/>
        </w:rPr>
        <w:t>投标人</w:t>
      </w:r>
      <w:r>
        <w:rPr>
          <w:rFonts w:hint="default" w:ascii="Times New Roman" w:hAnsi="Times New Roman" w:cs="Times New Roman" w:eastAsiaTheme="minorEastAsia"/>
          <w:sz w:val="28"/>
          <w:szCs w:val="28"/>
          <w:highlight w:val="none"/>
          <w:lang w:val="en-US" w:eastAsia="zh-CN"/>
        </w:rPr>
        <w:t>须知前附表》载明的形式送达采购人或者采购代理机构。</w:t>
      </w:r>
    </w:p>
    <w:p w14:paraId="005EF6E8">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27.2 采购人或者采购代理机构对供应商依法提出的询问，应当在3个工作日内作出答复，但答复的内容不得涉及商业秘密。</w:t>
      </w:r>
    </w:p>
    <w:p w14:paraId="35B196EF">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28</w:t>
      </w:r>
      <w:r>
        <w:rPr>
          <w:rFonts w:hint="default" w:ascii="Times New Roman" w:hAnsi="Times New Roman" w:cs="Times New Roman" w:eastAsiaTheme="minorEastAsia"/>
          <w:b/>
          <w:bCs/>
          <w:sz w:val="28"/>
          <w:szCs w:val="28"/>
          <w:highlight w:val="none"/>
        </w:rPr>
        <w:t>.质疑</w:t>
      </w:r>
    </w:p>
    <w:p w14:paraId="429B653E">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28.1 </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w:t>
      </w:r>
      <w:r>
        <w:rPr>
          <w:rFonts w:hint="default" w:ascii="Times New Roman" w:hAnsi="Times New Roman" w:cs="Times New Roman" w:eastAsiaTheme="minorEastAsia"/>
          <w:sz w:val="28"/>
          <w:szCs w:val="28"/>
          <w:highlight w:val="none"/>
        </w:rPr>
        <w:t>认为采购文件、采购过程</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rPr>
        <w:t>中标结果使自己的权益受到损害的，可以在知道或者应知其权益受到损害之日起7个工作日内，依法向采购人或其委托的采购代理机构提出质疑。</w:t>
      </w:r>
      <w:r>
        <w:rPr>
          <w:rFonts w:hint="default" w:ascii="Times New Roman" w:hAnsi="Times New Roman" w:cs="Times New Roman" w:eastAsiaTheme="minorEastAsia"/>
          <w:sz w:val="28"/>
          <w:szCs w:val="28"/>
          <w:highlight w:val="none"/>
          <w:lang w:eastAsia="zh-CN"/>
        </w:rPr>
        <w:t>采购人、采购代理机构在收到质疑函后</w:t>
      </w:r>
      <w:r>
        <w:rPr>
          <w:rFonts w:hint="default" w:ascii="Times New Roman" w:hAnsi="Times New Roman" w:cs="Times New Roman" w:eastAsiaTheme="minorEastAsia"/>
          <w:sz w:val="28"/>
          <w:szCs w:val="28"/>
          <w:highlight w:val="none"/>
          <w:lang w:val="en-US" w:eastAsia="zh-CN"/>
        </w:rPr>
        <w:t>7个工作日内作出答复。</w:t>
      </w:r>
    </w:p>
    <w:p w14:paraId="51DDB393">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28.2 </w:t>
      </w:r>
      <w:r>
        <w:rPr>
          <w:rFonts w:hint="default" w:ascii="Times New Roman" w:hAnsi="Times New Roman" w:eastAsia="宋体" w:cs="Times New Roman"/>
          <w:sz w:val="28"/>
          <w:szCs w:val="28"/>
          <w:highlight w:val="none"/>
        </w:rPr>
        <w:t>提出质疑的供应商应当是</w:t>
      </w:r>
      <w:r>
        <w:rPr>
          <w:rFonts w:hint="eastAsia" w:cs="Times New Roman"/>
          <w:sz w:val="28"/>
          <w:szCs w:val="28"/>
          <w:highlight w:val="none"/>
          <w:lang w:eastAsia="zh-CN"/>
        </w:rPr>
        <w:t>参与</w:t>
      </w:r>
      <w:r>
        <w:rPr>
          <w:rFonts w:hint="default" w:ascii="Times New Roman" w:hAnsi="Times New Roman" w:eastAsia="宋体" w:cs="Times New Roman"/>
          <w:sz w:val="28"/>
          <w:szCs w:val="28"/>
          <w:highlight w:val="none"/>
        </w:rPr>
        <w:t>所</w:t>
      </w:r>
      <w:r>
        <w:rPr>
          <w:rFonts w:hint="eastAsia" w:cs="Times New Roman"/>
          <w:sz w:val="28"/>
          <w:szCs w:val="28"/>
          <w:highlight w:val="none"/>
          <w:lang w:eastAsia="zh-CN"/>
        </w:rPr>
        <w:t>质疑</w:t>
      </w:r>
      <w:r>
        <w:rPr>
          <w:rFonts w:hint="default" w:ascii="Times New Roman" w:hAnsi="Times New Roman" w:eastAsia="宋体" w:cs="Times New Roman"/>
          <w:sz w:val="28"/>
          <w:szCs w:val="28"/>
          <w:highlight w:val="none"/>
        </w:rPr>
        <w:t>项目采购活动的供应商。潜在供应商</w:t>
      </w:r>
      <w:r>
        <w:rPr>
          <w:rFonts w:hint="eastAsia" w:cs="Times New Roman"/>
          <w:sz w:val="28"/>
          <w:szCs w:val="28"/>
          <w:highlight w:val="none"/>
          <w:lang w:eastAsia="zh-CN"/>
        </w:rPr>
        <w:t>已</w:t>
      </w:r>
      <w:r>
        <w:rPr>
          <w:rFonts w:hint="default" w:ascii="Times New Roman" w:hAnsi="Times New Roman" w:eastAsia="宋体" w:cs="Times New Roman"/>
          <w:sz w:val="28"/>
          <w:szCs w:val="28"/>
          <w:highlight w:val="none"/>
        </w:rPr>
        <w:t>依法获取</w:t>
      </w:r>
      <w:r>
        <w:rPr>
          <w:rFonts w:hint="eastAsia" w:cs="Times New Roman"/>
          <w:sz w:val="28"/>
          <w:szCs w:val="28"/>
          <w:highlight w:val="none"/>
          <w:lang w:eastAsia="zh-CN"/>
        </w:rPr>
        <w:t>其</w:t>
      </w:r>
      <w:r>
        <w:rPr>
          <w:rFonts w:hint="default" w:ascii="Times New Roman" w:hAnsi="Times New Roman" w:eastAsia="宋体" w:cs="Times New Roman"/>
          <w:sz w:val="28"/>
          <w:szCs w:val="28"/>
          <w:highlight w:val="none"/>
        </w:rPr>
        <w:t>可质疑</w:t>
      </w:r>
      <w:r>
        <w:rPr>
          <w:rFonts w:hint="eastAsia" w:cs="Times New Roman"/>
          <w:sz w:val="28"/>
          <w:szCs w:val="28"/>
          <w:highlight w:val="none"/>
          <w:lang w:eastAsia="zh-CN"/>
        </w:rPr>
        <w:t>的</w:t>
      </w:r>
      <w:r>
        <w:rPr>
          <w:rFonts w:hint="default" w:ascii="Times New Roman" w:hAnsi="Times New Roman" w:eastAsia="宋体" w:cs="Times New Roman"/>
          <w:sz w:val="28"/>
          <w:szCs w:val="28"/>
          <w:highlight w:val="none"/>
        </w:rPr>
        <w:t>采购文件的</w:t>
      </w:r>
      <w:r>
        <w:rPr>
          <w:rFonts w:hint="eastAsia" w:cs="Times New Roman"/>
          <w:sz w:val="28"/>
          <w:szCs w:val="28"/>
          <w:highlight w:val="none"/>
          <w:lang w:eastAsia="zh-CN"/>
        </w:rPr>
        <w:t>，</w:t>
      </w:r>
      <w:r>
        <w:rPr>
          <w:rFonts w:hint="default" w:ascii="Times New Roman" w:hAnsi="Times New Roman" w:eastAsia="宋体" w:cs="Times New Roman"/>
          <w:sz w:val="28"/>
          <w:szCs w:val="28"/>
          <w:highlight w:val="none"/>
        </w:rPr>
        <w:t>可以</w:t>
      </w:r>
      <w:r>
        <w:rPr>
          <w:rFonts w:hint="eastAsia" w:cs="Times New Roman"/>
          <w:sz w:val="28"/>
          <w:szCs w:val="28"/>
          <w:highlight w:val="none"/>
          <w:lang w:eastAsia="zh-CN"/>
        </w:rPr>
        <w:t>对该文件</w:t>
      </w:r>
      <w:r>
        <w:rPr>
          <w:rFonts w:hint="default" w:ascii="Times New Roman" w:hAnsi="Times New Roman" w:eastAsia="宋体" w:cs="Times New Roman"/>
          <w:sz w:val="28"/>
          <w:szCs w:val="28"/>
          <w:highlight w:val="none"/>
        </w:rPr>
        <w:t>提出质疑。</w:t>
      </w:r>
    </w:p>
    <w:p w14:paraId="38AE54AD">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28.3 </w:t>
      </w:r>
      <w:r>
        <w:rPr>
          <w:rFonts w:hint="default" w:ascii="Times New Roman" w:hAnsi="Times New Roman" w:cs="Times New Roman" w:eastAsiaTheme="minorEastAsia"/>
          <w:sz w:val="28"/>
          <w:szCs w:val="28"/>
          <w:highlight w:val="none"/>
        </w:rPr>
        <w:t>质疑供应商在法定质疑期内</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rPr>
        <w:t>针对同一采购程序环节的质疑次数应符合</w:t>
      </w:r>
      <w:r>
        <w:rPr>
          <w:rFonts w:hint="default" w:ascii="Times New Roman" w:hAnsi="Times New Roman" w:cs="Times New Roman" w:eastAsiaTheme="minorEastAsia"/>
          <w:sz w:val="28"/>
          <w:szCs w:val="28"/>
          <w:highlight w:val="none"/>
          <w:lang w:eastAsia="zh-CN"/>
        </w:rPr>
        <w:t>《</w:t>
      </w:r>
      <w:r>
        <w:rPr>
          <w:rFonts w:hint="eastAsia" w:ascii="Times New Roman" w:hAnsi="Times New Roman" w:cs="Times New Roman" w:eastAsiaTheme="minorEastAsia"/>
          <w:sz w:val="28"/>
          <w:szCs w:val="28"/>
          <w:highlight w:val="none"/>
          <w:u w:val="none"/>
          <w:lang w:eastAsia="zh-CN"/>
        </w:rPr>
        <w:t>投标人</w:t>
      </w:r>
      <w:r>
        <w:rPr>
          <w:rFonts w:hint="default" w:ascii="Times New Roman" w:hAnsi="Times New Roman" w:cs="Times New Roman" w:eastAsiaTheme="minorEastAsia"/>
          <w:sz w:val="28"/>
          <w:szCs w:val="28"/>
          <w:highlight w:val="none"/>
          <w:u w:val="none"/>
        </w:rPr>
        <w:t>须知前附表</w:t>
      </w:r>
      <w:r>
        <w:rPr>
          <w:rFonts w:hint="default" w:ascii="Times New Roman" w:hAnsi="Times New Roman" w:cs="Times New Roman" w:eastAsiaTheme="minorEastAsia"/>
          <w:sz w:val="28"/>
          <w:szCs w:val="28"/>
          <w:highlight w:val="none"/>
          <w:u w:val="none"/>
          <w:lang w:eastAsia="zh-CN"/>
        </w:rPr>
        <w:t>》</w:t>
      </w:r>
      <w:r>
        <w:rPr>
          <w:rFonts w:hint="default" w:ascii="Times New Roman" w:hAnsi="Times New Roman" w:cs="Times New Roman" w:eastAsiaTheme="minorEastAsia"/>
          <w:sz w:val="28"/>
          <w:szCs w:val="28"/>
          <w:highlight w:val="none"/>
        </w:rPr>
        <w:t>的规定。</w:t>
      </w:r>
    </w:p>
    <w:p w14:paraId="3B69DBE2">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29.</w:t>
      </w:r>
      <w:r>
        <w:rPr>
          <w:rFonts w:hint="default" w:ascii="Times New Roman" w:hAnsi="Times New Roman" w:cs="Times New Roman" w:eastAsiaTheme="minorEastAsia"/>
          <w:b/>
          <w:bCs/>
          <w:sz w:val="28"/>
          <w:szCs w:val="28"/>
          <w:highlight w:val="none"/>
        </w:rPr>
        <w:t>投诉</w:t>
      </w:r>
    </w:p>
    <w:p w14:paraId="6158F857">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29.1 </w:t>
      </w:r>
      <w:r>
        <w:rPr>
          <w:rFonts w:hint="default" w:ascii="Times New Roman" w:hAnsi="Times New Roman" w:cs="Times New Roman" w:eastAsiaTheme="minorEastAsia"/>
          <w:sz w:val="28"/>
          <w:szCs w:val="28"/>
          <w:highlight w:val="none"/>
        </w:rPr>
        <w:t>质疑供应商对采购人、采购代理机构的答复不满意，或者采购人、采购代理机构未在规定时间内作出答复的，可以在答复期满后15个工作日内向同级财政部门提起投诉。</w:t>
      </w:r>
    </w:p>
    <w:p w14:paraId="175D6482">
      <w:pPr>
        <w:spacing w:beforeLines="0" w:afterLines="0" w:line="360" w:lineRule="auto"/>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w:t>
      </w:r>
    </w:p>
    <w:p w14:paraId="6F075BAE">
      <w:pPr>
        <w:spacing w:beforeLines="0" w:afterLines="0" w:line="360" w:lineRule="auto"/>
        <w:jc w:val="center"/>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b/>
          <w:bCs/>
          <w:sz w:val="28"/>
          <w:szCs w:val="28"/>
          <w:highlight w:val="none"/>
          <w:lang w:eastAsia="zh-CN"/>
        </w:rPr>
        <w:t>（九）保密及回避要求</w:t>
      </w:r>
    </w:p>
    <w:p w14:paraId="6805B3E2">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30.保密要求</w:t>
      </w:r>
    </w:p>
    <w:p w14:paraId="31FCEBAB">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30.1 </w:t>
      </w:r>
      <w:r>
        <w:rPr>
          <w:rFonts w:hint="default" w:ascii="Times New Roman" w:hAnsi="Times New Roman" w:cs="Times New Roman" w:eastAsiaTheme="minorEastAsia"/>
          <w:sz w:val="28"/>
          <w:szCs w:val="28"/>
          <w:highlight w:val="none"/>
          <w:lang w:eastAsia="zh-CN"/>
        </w:rPr>
        <w:t>采购人、采购代理机构应当采取必要措施，保证评标在严格保密的情况下进行。除采购人代表、评标现场组织人员外，采购人的其他工作人员以及与评标工作无关的人员不得进入评标现场</w:t>
      </w:r>
      <w:r>
        <w:rPr>
          <w:rFonts w:hint="default" w:ascii="Times New Roman" w:hAnsi="Times New Roman" w:cs="Times New Roman" w:eastAsiaTheme="minorEastAsia"/>
          <w:sz w:val="28"/>
          <w:szCs w:val="28"/>
          <w:highlight w:val="none"/>
        </w:rPr>
        <w:t>。</w:t>
      </w:r>
    </w:p>
    <w:p w14:paraId="034CE9EB">
      <w:pPr>
        <w:spacing w:beforeLines="0" w:afterLines="0" w:line="360" w:lineRule="auto"/>
        <w:jc w:val="both"/>
        <w:rPr>
          <w:rFonts w:hint="default" w:ascii="Times New Roman" w:hAnsi="Times New Roman" w:cs="Times New Roman"/>
          <w:b/>
          <w:bCs/>
          <w:sz w:val="28"/>
          <w:szCs w:val="28"/>
          <w:highlight w:val="none"/>
        </w:rPr>
      </w:pPr>
      <w:r>
        <w:rPr>
          <w:rFonts w:hint="default" w:ascii="Times New Roman" w:hAnsi="Times New Roman" w:cs="Times New Roman" w:eastAsiaTheme="minorEastAsia"/>
          <w:sz w:val="28"/>
          <w:szCs w:val="28"/>
          <w:highlight w:val="none"/>
          <w:lang w:val="en-US" w:eastAsia="zh-CN"/>
        </w:rPr>
        <w:t xml:space="preserve">    30.2 </w:t>
      </w:r>
      <w:r>
        <w:rPr>
          <w:rFonts w:hint="default" w:ascii="Times New Roman" w:hAnsi="Times New Roman" w:cs="Times New Roman" w:eastAsiaTheme="minorEastAsia"/>
          <w:sz w:val="28"/>
          <w:szCs w:val="28"/>
          <w:highlight w:val="none"/>
          <w:lang w:eastAsia="zh-CN"/>
        </w:rPr>
        <w:t>有关人员对评标情况以及在评标过程中获悉的国家秘密、商业秘密负有保密责任</w:t>
      </w:r>
      <w:r>
        <w:rPr>
          <w:rFonts w:hint="default" w:ascii="Times New Roman" w:hAnsi="Times New Roman" w:cs="Times New Roman" w:eastAsiaTheme="minorEastAsia"/>
          <w:sz w:val="28"/>
          <w:szCs w:val="28"/>
          <w:highlight w:val="none"/>
        </w:rPr>
        <w:t>。</w:t>
      </w:r>
    </w:p>
    <w:p w14:paraId="6BA2FABD">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val="en-US" w:eastAsia="zh-CN"/>
        </w:rPr>
        <w:t>31.回避要求</w:t>
      </w:r>
    </w:p>
    <w:p w14:paraId="7FBD2E5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31.1 </w:t>
      </w:r>
      <w:r>
        <w:rPr>
          <w:rFonts w:hint="default" w:ascii="Times New Roman" w:hAnsi="Times New Roman" w:cs="Times New Roman" w:eastAsiaTheme="minorEastAsia"/>
          <w:sz w:val="28"/>
          <w:szCs w:val="28"/>
          <w:highlight w:val="none"/>
          <w:lang w:eastAsia="zh-CN"/>
        </w:rPr>
        <w:t>政府采购活动中，采购人员及相关人员与投标人有下列利害关系之一的，应当回避：</w:t>
      </w:r>
    </w:p>
    <w:p w14:paraId="674329CB">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（1）参加采购活动前3年内与投标人存在劳动关系；</w:t>
      </w:r>
    </w:p>
    <w:p w14:paraId="4B63D263">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（2）参加采购活动前3年内担任投标人的董事、监事；</w:t>
      </w:r>
    </w:p>
    <w:p w14:paraId="7B5E5A1C">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3</w:t>
      </w:r>
      <w:r>
        <w:rPr>
          <w:rFonts w:hint="default" w:ascii="Times New Roman" w:hAnsi="Times New Roman" w:cs="Times New Roman" w:eastAsiaTheme="minorEastAsia"/>
          <w:sz w:val="28"/>
          <w:szCs w:val="28"/>
          <w:highlight w:val="none"/>
          <w:lang w:eastAsia="zh-CN"/>
        </w:rPr>
        <w:t>）参加采购活动前3年内是投标人的控股股东或者实际控制人；</w:t>
      </w:r>
    </w:p>
    <w:p w14:paraId="72A4D81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4</w:t>
      </w:r>
      <w:r>
        <w:rPr>
          <w:rFonts w:hint="default" w:ascii="Times New Roman" w:hAnsi="Times New Roman" w:cs="Times New Roman" w:eastAsiaTheme="minorEastAsia"/>
          <w:sz w:val="28"/>
          <w:szCs w:val="28"/>
          <w:highlight w:val="none"/>
          <w:lang w:eastAsia="zh-CN"/>
        </w:rPr>
        <w:t>）与投标人的法定代表人或者负责人有夫妻、直系血亲、三代以内旁系血亲或者近姻亲关系；</w:t>
      </w:r>
    </w:p>
    <w:p w14:paraId="4A516052">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5</w:t>
      </w:r>
      <w:r>
        <w:rPr>
          <w:rFonts w:hint="default" w:ascii="Times New Roman" w:hAnsi="Times New Roman" w:cs="Times New Roman" w:eastAsiaTheme="minorEastAsia"/>
          <w:sz w:val="28"/>
          <w:szCs w:val="28"/>
          <w:highlight w:val="none"/>
          <w:lang w:eastAsia="zh-CN"/>
        </w:rPr>
        <w:t>）与投标人有其他可能影响政府采购活动公平、公正进行的关系。</w:t>
      </w:r>
    </w:p>
    <w:p w14:paraId="04149254">
      <w:pPr>
        <w:spacing w:beforeLines="0" w:afterLines="0" w:line="360" w:lineRule="auto"/>
        <w:ind w:firstLine="560" w:firstLineChars="20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投标人认为采购人员及相关人员与其他投标人有利害关系的，可以向代理机构书面提出回避申请，并说明理由。代理机构应及时询问被申请回避人员，有利害关系的被申请回避人员应当回避。</w:t>
      </w:r>
    </w:p>
    <w:p w14:paraId="51CA881E">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31.2 </w:t>
      </w:r>
      <w:r>
        <w:rPr>
          <w:rFonts w:hint="default" w:ascii="Times New Roman" w:hAnsi="Times New Roman" w:cs="Times New Roman" w:eastAsiaTheme="minorEastAsia"/>
          <w:sz w:val="28"/>
          <w:szCs w:val="28"/>
          <w:highlight w:val="none"/>
          <w:lang w:eastAsia="zh-CN"/>
        </w:rPr>
        <w:t>评审专家与参加采购活动的供应商存在下列利害关系之一的,应当回避:</w:t>
      </w:r>
    </w:p>
    <w:p w14:paraId="58A59C73">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lang w:val="en-US" w:eastAsia="zh-CN"/>
        </w:rPr>
        <w:t>1</w:t>
      </w:r>
      <w:r>
        <w:rPr>
          <w:rFonts w:hint="default" w:ascii="Times New Roman" w:hAnsi="Times New Roman" w:cs="Times New Roman" w:eastAsiaTheme="minorEastAsia"/>
          <w:sz w:val="28"/>
          <w:szCs w:val="28"/>
          <w:highlight w:val="none"/>
          <w:lang w:eastAsia="zh-CN"/>
        </w:rPr>
        <w:t>）参加采购活动前三年内,与供应商存在劳动关系,或者担任过供应商的董事、监事,或者是供应商的控股股东或实际控制人;</w:t>
      </w:r>
    </w:p>
    <w:p w14:paraId="7373B08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（2）</w:t>
      </w:r>
      <w:r>
        <w:rPr>
          <w:rFonts w:hint="default" w:ascii="Times New Roman" w:hAnsi="Times New Roman" w:cs="Times New Roman" w:eastAsiaTheme="minorEastAsia"/>
          <w:sz w:val="28"/>
          <w:szCs w:val="28"/>
          <w:highlight w:val="none"/>
          <w:lang w:eastAsia="zh-CN"/>
        </w:rPr>
        <w:t>与供应商的法定代表人或者负责人有夫妻、直系血亲、三代以内旁系血亲或者近姻亲关系;</w:t>
      </w:r>
    </w:p>
    <w:p w14:paraId="75FA2A43">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（3）</w:t>
      </w:r>
      <w:r>
        <w:rPr>
          <w:rFonts w:hint="default" w:ascii="Times New Roman" w:hAnsi="Times New Roman" w:cs="Times New Roman" w:eastAsiaTheme="minorEastAsia"/>
          <w:sz w:val="28"/>
          <w:szCs w:val="28"/>
          <w:highlight w:val="none"/>
          <w:lang w:eastAsia="zh-CN"/>
        </w:rPr>
        <w:t>与供应商有其他可能影响政府采购活动公平、公正进行的关系。</w:t>
      </w:r>
    </w:p>
    <w:p w14:paraId="49D2581D">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评审专家发现本人与参加采购活动的供应商有利害关系的,应当主动提出回避。采购人或者采购代理机构发现评审专家与参加采购活动的供应商有利害关系的,应当要求其回避。</w:t>
      </w:r>
    </w:p>
    <w:p w14:paraId="0F022A9F">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31.3 </w:t>
      </w:r>
      <w:r>
        <w:rPr>
          <w:rFonts w:hint="default" w:ascii="Times New Roman" w:hAnsi="Times New Roman" w:cs="Times New Roman" w:eastAsiaTheme="minorEastAsia"/>
          <w:sz w:val="28"/>
          <w:szCs w:val="28"/>
          <w:highlight w:val="none"/>
          <w:lang w:eastAsia="zh-CN"/>
        </w:rPr>
        <w:t>各级财政部门政府采购监督管理工作人员,不得作为评审专家参与政府采购项目的评审活动。</w:t>
      </w:r>
    </w:p>
    <w:p w14:paraId="5F327D88">
      <w:pPr>
        <w:spacing w:beforeLines="0" w:afterLines="0" w:line="360" w:lineRule="auto"/>
        <w:jc w:val="both"/>
        <w:rPr>
          <w:rFonts w:hint="default" w:ascii="Times New Roman" w:hAnsi="Times New Roman" w:cs="Times New Roman" w:eastAsiaTheme="minorEastAsia"/>
          <w:sz w:val="28"/>
          <w:szCs w:val="28"/>
          <w:highlight w:val="none"/>
          <w:lang w:eastAsia="zh-CN"/>
        </w:rPr>
      </w:pPr>
    </w:p>
    <w:p w14:paraId="08FE7EAA">
      <w:pPr>
        <w:spacing w:beforeLines="0" w:afterLines="0" w:line="360" w:lineRule="auto"/>
        <w:jc w:val="both"/>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br w:type="page"/>
      </w:r>
    </w:p>
    <w:p w14:paraId="2CD7D2A3">
      <w:pPr>
        <w:spacing w:beforeLines="0" w:afterLines="0" w:line="360" w:lineRule="auto"/>
        <w:jc w:val="center"/>
        <w:rPr>
          <w:rFonts w:hint="default" w:ascii="Times New Roman" w:hAnsi="Times New Roman" w:cs="Times New Roman"/>
          <w:b/>
          <w:bCs/>
          <w:sz w:val="32"/>
          <w:szCs w:val="32"/>
          <w:highlight w:val="none"/>
        </w:rPr>
      </w:pPr>
      <w:r>
        <w:rPr>
          <w:rFonts w:hint="default" w:ascii="Times New Roman" w:hAnsi="Times New Roman" w:cs="Times New Roman"/>
          <w:b/>
          <w:bCs/>
          <w:sz w:val="32"/>
          <w:szCs w:val="32"/>
          <w:highlight w:val="none"/>
        </w:rPr>
        <w:t>第</w:t>
      </w:r>
      <w:r>
        <w:rPr>
          <w:rFonts w:hint="default" w:ascii="Times New Roman" w:hAnsi="Times New Roman" w:cs="Times New Roman"/>
          <w:b/>
          <w:bCs/>
          <w:sz w:val="32"/>
          <w:szCs w:val="32"/>
          <w:highlight w:val="none"/>
          <w:lang w:eastAsia="zh-CN"/>
        </w:rPr>
        <w:t>三</w:t>
      </w:r>
      <w:r>
        <w:rPr>
          <w:rFonts w:hint="default" w:ascii="Times New Roman" w:hAnsi="Times New Roman" w:cs="Times New Roman"/>
          <w:b/>
          <w:bCs/>
          <w:sz w:val="32"/>
          <w:szCs w:val="32"/>
          <w:highlight w:val="none"/>
        </w:rPr>
        <w:t>章 采购需求</w:t>
      </w:r>
    </w:p>
    <w:p w14:paraId="3CD5F683">
      <w:pPr>
        <w:numPr>
          <w:ilvl w:val="0"/>
          <w:numId w:val="3"/>
        </w:numPr>
        <w:spacing w:beforeLines="0" w:afterLines="0" w:line="360" w:lineRule="auto"/>
        <w:ind w:firstLine="562" w:firstLineChars="200"/>
        <w:rPr>
          <w:rFonts w:hint="default"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项目背景或项目概述</w:t>
      </w:r>
      <w:r>
        <w:rPr>
          <w:rFonts w:hint="default" w:eastAsia="宋体" w:cs="Times New Roman"/>
          <w:b/>
          <w:bCs/>
          <w:sz w:val="28"/>
          <w:szCs w:val="28"/>
          <w:highlight w:val="none"/>
          <w:lang w:val="en-US" w:eastAsia="zh-CN"/>
        </w:rPr>
        <w:t xml:space="preserve"> </w:t>
      </w:r>
    </w:p>
    <w:p w14:paraId="7F67E860">
      <w:pPr>
        <w:pStyle w:val="48"/>
        <w:pageBreakBefore w:val="0"/>
        <w:widowControl w:val="0"/>
        <w:kinsoku/>
        <w:wordWrap/>
        <w:overflowPunct/>
        <w:topLinePunct w:val="0"/>
        <w:bidi w:val="0"/>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国务院办公厅 2021 年底发布了</w:t>
      </w:r>
      <w:r>
        <w:rPr>
          <w:rFonts w:hint="eastAsia" w:ascii="宋体" w:hAnsi="宋体" w:eastAsia="宋体" w:cs="宋体"/>
          <w:sz w:val="28"/>
          <w:szCs w:val="28"/>
          <w:lang w:eastAsia="zh-CN"/>
        </w:rPr>
        <w:t>《</w:t>
      </w:r>
      <w:r>
        <w:rPr>
          <w:rFonts w:hint="eastAsia" w:ascii="宋体" w:hAnsi="宋体" w:eastAsia="宋体" w:cs="宋体"/>
          <w:sz w:val="28"/>
          <w:szCs w:val="28"/>
        </w:rPr>
        <w:t>“十四五”特殊教育发展提升行动计划</w:t>
      </w:r>
      <w:r>
        <w:rPr>
          <w:rFonts w:hint="eastAsia" w:ascii="宋体" w:hAnsi="宋体" w:eastAsia="宋体" w:cs="宋体"/>
          <w:sz w:val="28"/>
          <w:szCs w:val="28"/>
          <w:lang w:eastAsia="zh-CN"/>
        </w:rPr>
        <w:t>》</w:t>
      </w:r>
      <w:r>
        <w:rPr>
          <w:rFonts w:hint="eastAsia" w:ascii="宋体" w:hAnsi="宋体" w:eastAsia="宋体" w:cs="宋体"/>
          <w:sz w:val="28"/>
          <w:szCs w:val="28"/>
        </w:rPr>
        <w:t>，明确提出特殊教育是教育事业的重要组成部分，是建设高质量教育体系的重要内容，是衡量社会文明进步的重要标志。党的十八大以来，国家组织实施了两期特殊教育提升计划，特殊教育普及水平、保障条件和教育质量得到显著提升， 但还存在发展不平衡不充分等问题，仍是教育领域的薄弱环节。</w:t>
      </w:r>
    </w:p>
    <w:p w14:paraId="3532964F">
      <w:pPr>
        <w:pStyle w:val="48"/>
        <w:pageBreakBefore w:val="0"/>
        <w:widowControl w:val="0"/>
        <w:kinsoku/>
        <w:wordWrap/>
        <w:overflowPunct/>
        <w:topLinePunct w:val="0"/>
        <w:bidi w:val="0"/>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结构教学法根据儿童的学习特点，有组织、有系统地安排学习环境、学习材料及学习程序，让儿童按照设计好的结构从中学习的一种教育方法。它的基本思想是把教学空间、教学设备、时间设置、交往方式、教学手段等方面做系统安排，形成一种模式，使教学的各种因素有机结合，全方位地帮助</w:t>
      </w:r>
      <w:r>
        <w:rPr>
          <w:rFonts w:hint="eastAsia" w:ascii="宋体" w:hAnsi="宋体" w:eastAsia="宋体" w:cs="宋体"/>
          <w:sz w:val="28"/>
          <w:szCs w:val="28"/>
          <w:lang w:eastAsia="zh-CN"/>
        </w:rPr>
        <w:t>特殊</w:t>
      </w:r>
      <w:r>
        <w:rPr>
          <w:rFonts w:hint="eastAsia" w:ascii="宋体" w:hAnsi="宋体" w:eastAsia="宋体" w:cs="宋体"/>
          <w:sz w:val="28"/>
          <w:szCs w:val="28"/>
        </w:rPr>
        <w:t>儿童进行学习。而即优化区域教育资源，建立训教结合的新模式，更是作为工作的切入点，大胆创新与探索，也是对“十四五”特殊教育发展提升行动计划的有效落实。</w:t>
      </w:r>
    </w:p>
    <w:p w14:paraId="64D2333E">
      <w:pPr>
        <w:pStyle w:val="48"/>
        <w:pageBreakBefore w:val="0"/>
        <w:widowControl w:val="0"/>
        <w:kinsoku/>
        <w:wordWrap/>
        <w:overflowPunct/>
        <w:topLinePunct w:val="0"/>
        <w:bidi w:val="0"/>
        <w:snapToGrid/>
        <w:spacing w:line="36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二、功能室说明</w:t>
      </w:r>
    </w:p>
    <w:p w14:paraId="13BA7956">
      <w:pPr>
        <w:pStyle w:val="48"/>
        <w:pageBreakBefore w:val="0"/>
        <w:widowControl w:val="0"/>
        <w:kinsoku/>
        <w:wordWrap/>
        <w:overflowPunct/>
        <w:topLinePunct w:val="0"/>
        <w:bidi w:val="0"/>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本功能室以建立完善的儿童信息管理为目标，以《孤独症儿童发展评估表》为评估依据，为机构教学和康复训练提供一个科学方案。将孤独症儿童信息化管理、发展性评估和个别化康复训练计划的制定相结合，为孤独症儿童的发展评估提供一整套科学的解决方案和平台。</w:t>
      </w:r>
    </w:p>
    <w:p w14:paraId="429072B6">
      <w:pPr>
        <w:pStyle w:val="48"/>
        <w:pageBreakBefore w:val="0"/>
        <w:widowControl w:val="0"/>
        <w:kinsoku/>
        <w:wordWrap/>
        <w:overflowPunct/>
        <w:topLinePunct w:val="0"/>
        <w:bidi w:val="0"/>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配置</w:t>
      </w:r>
      <w:r>
        <w:rPr>
          <w:rFonts w:hint="eastAsia" w:ascii="宋体" w:hAnsi="宋体" w:eastAsia="宋体" w:cs="宋体"/>
          <w:sz w:val="28"/>
          <w:szCs w:val="28"/>
          <w:lang w:eastAsia="zh-CN"/>
        </w:rPr>
        <w:t>系统将评估与教育康复训练相结合，在充分分析发展水平、优势和不足的基础上，制定针对性的训练目标和训练计划，并对训练效果进行动态评估，以便及时调整训练目标和计划，保证教育康复训练的科学性和有效性。系统以语言学、认知心理学、社会学、生理学及广泛发育障碍儿童的心理发展理论为基础，将心理评估、生态评估及功能性评估等评估方法进行整合，采用观察、测试、访谈等方法，凭借一系列的评估材料对孤独症儿童及其它广泛发育障碍儿童的发展现状及康复需要进行评估和训练，通过发展性的8大评估模块，</w:t>
      </w:r>
      <w:r>
        <w:rPr>
          <w:rFonts w:hint="eastAsia" w:ascii="宋体" w:hAnsi="宋体" w:eastAsia="宋体" w:cs="宋体"/>
          <w:sz w:val="28"/>
          <w:szCs w:val="28"/>
          <w:lang w:val="en-US" w:eastAsia="zh-CN"/>
        </w:rPr>
        <w:t>系统可自动得出相对应的训练建议方案，为开展针对性的教育康复提供依据。</w:t>
      </w:r>
    </w:p>
    <w:p w14:paraId="74ACE633">
      <w:pPr>
        <w:pStyle w:val="48"/>
        <w:pageBreakBefore w:val="0"/>
        <w:widowControl w:val="0"/>
        <w:kinsoku/>
        <w:wordWrap/>
        <w:overflowPunct/>
        <w:topLinePunct w:val="0"/>
        <w:bidi w:val="0"/>
        <w:snapToGrid/>
        <w:spacing w:line="360" w:lineRule="auto"/>
        <w:ind w:firstLine="562" w:firstLineChars="200"/>
        <w:textAlignment w:val="auto"/>
        <w:rPr>
          <w:rFonts w:hint="eastAsia" w:ascii="宋体" w:hAnsi="宋体" w:eastAsia="宋体" w:cs="宋体"/>
          <w:b/>
          <w:bCs/>
          <w:sz w:val="28"/>
          <w:szCs w:val="28"/>
          <w:lang w:val="en-US" w:eastAsia="zh-CN"/>
        </w:rPr>
      </w:pPr>
      <w:r>
        <w:rPr>
          <w:rFonts w:hint="eastAsia" w:hAnsi="宋体" w:eastAsia="宋体" w:cs="宋体"/>
          <w:b/>
          <w:bCs/>
          <w:sz w:val="28"/>
          <w:szCs w:val="28"/>
          <w:lang w:val="en-US" w:eastAsia="zh-CN"/>
        </w:rPr>
        <w:t>三、</w:t>
      </w:r>
      <w:r>
        <w:rPr>
          <w:rFonts w:hint="eastAsia" w:ascii="宋体" w:hAnsi="宋体" w:eastAsia="宋体" w:cs="宋体"/>
          <w:b/>
          <w:bCs/>
          <w:sz w:val="28"/>
          <w:szCs w:val="28"/>
          <w:lang w:val="en-US" w:eastAsia="zh-CN"/>
        </w:rPr>
        <w:t>项目目标</w:t>
      </w:r>
    </w:p>
    <w:p w14:paraId="7752DE85">
      <w:pPr>
        <w:pStyle w:val="48"/>
        <w:pageBreakBefore w:val="0"/>
        <w:widowControl w:val="0"/>
        <w:kinsoku/>
        <w:wordWrap/>
        <w:overflowPunct/>
        <w:topLinePunct w:val="0"/>
        <w:bidi w:val="0"/>
        <w:snapToGrid/>
        <w:spacing w:line="360" w:lineRule="auto"/>
        <w:ind w:firstLine="560" w:firstLineChars="200"/>
        <w:textAlignment w:val="auto"/>
        <w:rPr>
          <w:rFonts w:hint="eastAsia" w:eastAsia="宋体" w:cs="Times New Roman"/>
          <w:b/>
          <w:bCs/>
          <w:sz w:val="28"/>
          <w:szCs w:val="28"/>
          <w:highlight w:val="none"/>
          <w:lang w:val="en-US" w:eastAsia="zh-CN"/>
        </w:rPr>
      </w:pPr>
      <w:r>
        <w:rPr>
          <w:rFonts w:hint="eastAsia" w:ascii="宋体" w:hAnsi="宋体" w:eastAsia="宋体" w:cs="宋体"/>
          <w:sz w:val="28"/>
          <w:szCs w:val="28"/>
          <w:lang w:val="en-US" w:eastAsia="zh-CN"/>
        </w:rPr>
        <w:t>建立全新的训教结合的新模式，是我校在新的时期内全面转型的新尝试， 运用多种智能化科技手段，采用训教结合的模式颠覆传统的教育理念，形成具有区域先进水平的新优势，运用训教与智能相结合的方式，把教育与训练创造性的融于一体。丰富了提升我校的特殊教育方式方法，打开了特殊教育新思路。从而提升我校在区域内的软实力，建立口碑、打造品牌，形成统一的训教结合新标准，让我省训教结合向规范化、标准化、模式化方向发展。为特殊儿童教育事业可持续健康发展做出贡献。</w:t>
      </w:r>
    </w:p>
    <w:p w14:paraId="7B9188C1">
      <w:pPr>
        <w:numPr>
          <w:ilvl w:val="0"/>
          <w:numId w:val="0"/>
        </w:numPr>
        <w:spacing w:beforeLines="0" w:afterLines="0" w:line="360" w:lineRule="auto"/>
        <w:ind w:left="560" w:leftChars="0"/>
        <w:rPr>
          <w:rFonts w:hint="default" w:ascii="Times New Roman" w:hAnsi="Times New Roman" w:eastAsia="宋体" w:cs="Times New Roman"/>
          <w:b/>
          <w:bCs/>
          <w:i/>
          <w:iCs/>
          <w:sz w:val="28"/>
          <w:szCs w:val="28"/>
          <w:highlight w:val="none"/>
        </w:rPr>
      </w:pPr>
      <w:r>
        <w:rPr>
          <w:rFonts w:hint="eastAsia" w:cs="Times New Roman"/>
          <w:b/>
          <w:bCs/>
          <w:sz w:val="28"/>
          <w:szCs w:val="28"/>
          <w:highlight w:val="none"/>
          <w:lang w:val="en-US" w:eastAsia="zh-CN"/>
        </w:rPr>
        <w:t>四</w:t>
      </w:r>
      <w:r>
        <w:rPr>
          <w:rFonts w:hint="default" w:ascii="Times New Roman" w:hAnsi="Times New Roman" w:eastAsia="宋体" w:cs="Times New Roman"/>
          <w:b/>
          <w:bCs/>
          <w:sz w:val="28"/>
          <w:szCs w:val="28"/>
          <w:highlight w:val="none"/>
        </w:rPr>
        <w:t>、商务</w:t>
      </w:r>
      <w:r>
        <w:rPr>
          <w:rFonts w:hint="default" w:ascii="Times New Roman" w:hAnsi="Times New Roman" w:eastAsia="宋体" w:cs="Times New Roman"/>
          <w:b/>
          <w:bCs/>
          <w:sz w:val="28"/>
          <w:szCs w:val="28"/>
          <w:highlight w:val="none"/>
          <w:lang w:eastAsia="zh-CN"/>
        </w:rPr>
        <w:t>要求</w:t>
      </w:r>
    </w:p>
    <w:p w14:paraId="345C8F32">
      <w:pPr>
        <w:spacing w:beforeLines="0" w:afterLines="0" w:line="360" w:lineRule="auto"/>
        <w:ind w:firstLine="0" w:firstLineChars="0"/>
        <w:jc w:val="both"/>
        <w:rPr>
          <w:rFonts w:hint="default" w:ascii="Times New Roman" w:hAnsi="Times New Roman" w:eastAsia="宋体" w:cs="Times New Roman"/>
          <w:iCs w:val="0"/>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iCs w:val="0"/>
          <w:sz w:val="28"/>
          <w:szCs w:val="28"/>
          <w:highlight w:val="none"/>
        </w:rPr>
        <w:t xml:space="preserve">采购标的交付（实施）的时间（期限）：合同签订之日起 </w:t>
      </w:r>
      <w:r>
        <w:rPr>
          <w:rFonts w:hint="eastAsia" w:eastAsia="宋体" w:cs="Times New Roman"/>
          <w:iCs w:val="0"/>
          <w:sz w:val="28"/>
          <w:szCs w:val="28"/>
          <w:highlight w:val="none"/>
          <w:lang w:val="en-US" w:eastAsia="zh-CN"/>
        </w:rPr>
        <w:t>25个工作日内</w:t>
      </w:r>
      <w:r>
        <w:rPr>
          <w:rFonts w:hint="default" w:ascii="Times New Roman" w:hAnsi="Times New Roman" w:eastAsia="宋体" w:cs="Times New Roman"/>
          <w:iCs w:val="0"/>
          <w:sz w:val="28"/>
          <w:szCs w:val="28"/>
          <w:highlight w:val="none"/>
        </w:rPr>
        <w:t xml:space="preserve">   </w:t>
      </w:r>
      <w:r>
        <w:rPr>
          <w:rFonts w:hint="default" w:ascii="Times New Roman" w:hAnsi="Times New Roman" w:eastAsia="宋体" w:cs="Times New Roman"/>
          <w:iCs w:val="0"/>
          <w:sz w:val="28"/>
          <w:szCs w:val="28"/>
          <w:highlight w:val="none"/>
        </w:rPr>
        <w:t xml:space="preserve">    </w:t>
      </w:r>
    </w:p>
    <w:p w14:paraId="41FEA8F8">
      <w:pPr>
        <w:spacing w:beforeLines="0" w:afterLines="0" w:line="360" w:lineRule="auto"/>
        <w:ind w:firstLine="0" w:firstLineChars="0"/>
        <w:jc w:val="both"/>
        <w:rPr>
          <w:rFonts w:hint="default" w:ascii="Times New Roman" w:hAnsi="Times New Roman" w:eastAsia="宋体" w:cs="Times New Roman"/>
          <w:iCs w:val="0"/>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iCs w:val="0"/>
          <w:sz w:val="28"/>
          <w:szCs w:val="28"/>
          <w:highlight w:val="none"/>
        </w:rPr>
        <w:t>采购标的交付</w:t>
      </w:r>
      <w:r>
        <w:rPr>
          <w:rFonts w:hint="eastAsia" w:eastAsia="宋体" w:cs="Times New Roman"/>
          <w:iCs w:val="0"/>
          <w:sz w:val="28"/>
          <w:szCs w:val="28"/>
          <w:highlight w:val="none"/>
          <w:lang w:eastAsia="zh-CN"/>
        </w:rPr>
        <w:t>完成</w:t>
      </w:r>
      <w:r>
        <w:rPr>
          <w:rFonts w:hint="default" w:ascii="Times New Roman" w:hAnsi="Times New Roman" w:eastAsia="宋体" w:cs="Times New Roman"/>
          <w:iCs w:val="0"/>
          <w:sz w:val="28"/>
          <w:szCs w:val="28"/>
          <w:highlight w:val="none"/>
        </w:rPr>
        <w:t>地点（范围）：</w:t>
      </w:r>
      <w:r>
        <w:rPr>
          <w:rFonts w:hint="eastAsia" w:eastAsia="宋体" w:cs="Times New Roman"/>
          <w:iCs w:val="0"/>
          <w:sz w:val="28"/>
          <w:szCs w:val="28"/>
          <w:highlight w:val="none"/>
          <w:lang w:val="en-US" w:eastAsia="zh-CN"/>
        </w:rPr>
        <w:t>采购单位指定地点</w:t>
      </w:r>
      <w:r>
        <w:rPr>
          <w:rFonts w:hint="default" w:ascii="Times New Roman" w:hAnsi="Times New Roman" w:eastAsia="宋体" w:cs="Times New Roman"/>
          <w:iCs w:val="0"/>
          <w:sz w:val="28"/>
          <w:szCs w:val="28"/>
          <w:highlight w:val="none"/>
        </w:rPr>
        <w:t xml:space="preserve">                 </w:t>
      </w:r>
    </w:p>
    <w:p w14:paraId="6B75F706">
      <w:pPr>
        <w:spacing w:beforeLines="0" w:afterLines="0" w:line="360" w:lineRule="auto"/>
        <w:ind w:firstLine="0" w:firstLineChars="0"/>
        <w:jc w:val="both"/>
        <w:rPr>
          <w:rFonts w:hint="default" w:eastAsia="宋体" w:cs="Times New Roman"/>
          <w:iCs w:val="0"/>
          <w:sz w:val="28"/>
          <w:szCs w:val="28"/>
          <w:highlight w:val="none"/>
          <w:lang w:val="en-US" w:eastAsia="zh-CN"/>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iCs w:val="0"/>
          <w:sz w:val="28"/>
          <w:szCs w:val="28"/>
          <w:highlight w:val="none"/>
        </w:rPr>
        <w:t>付款条件（进度和方式）：合同签订后支付合同金额的</w:t>
      </w:r>
      <w:r>
        <w:rPr>
          <w:rFonts w:hint="eastAsia" w:cs="Times New Roman"/>
          <w:iCs w:val="0"/>
          <w:sz w:val="28"/>
          <w:szCs w:val="28"/>
          <w:highlight w:val="none"/>
          <w:lang w:val="en-US" w:eastAsia="zh-CN"/>
        </w:rPr>
        <w:t>5</w:t>
      </w:r>
      <w:r>
        <w:rPr>
          <w:rFonts w:hint="eastAsia" w:eastAsia="宋体" w:cs="Times New Roman"/>
          <w:iCs w:val="0"/>
          <w:sz w:val="28"/>
          <w:szCs w:val="28"/>
          <w:highlight w:val="none"/>
          <w:lang w:val="en-US" w:eastAsia="zh-CN"/>
        </w:rPr>
        <w:t>0</w:t>
      </w:r>
      <w:r>
        <w:rPr>
          <w:rFonts w:hint="default" w:ascii="Times New Roman" w:hAnsi="Times New Roman" w:eastAsia="宋体" w:cs="Times New Roman"/>
          <w:iCs w:val="0"/>
          <w:sz w:val="28"/>
          <w:szCs w:val="28"/>
          <w:highlight w:val="none"/>
        </w:rPr>
        <w:t>%，货到验收合格后支付合同金额的</w:t>
      </w:r>
      <w:r>
        <w:rPr>
          <w:rFonts w:hint="eastAsia" w:cs="Times New Roman"/>
          <w:iCs w:val="0"/>
          <w:sz w:val="28"/>
          <w:szCs w:val="28"/>
          <w:highlight w:val="none"/>
          <w:lang w:val="en-US" w:eastAsia="zh-CN"/>
        </w:rPr>
        <w:t>30</w:t>
      </w:r>
      <w:r>
        <w:rPr>
          <w:rFonts w:hint="default" w:ascii="Times New Roman" w:hAnsi="Times New Roman" w:eastAsia="宋体" w:cs="Times New Roman"/>
          <w:iCs w:val="0"/>
          <w:sz w:val="28"/>
          <w:szCs w:val="28"/>
          <w:highlight w:val="none"/>
        </w:rPr>
        <w:t>%</w:t>
      </w:r>
      <w:r>
        <w:rPr>
          <w:rFonts w:hint="eastAsia" w:eastAsia="宋体" w:cs="Times New Roman"/>
          <w:iCs w:val="0"/>
          <w:sz w:val="28"/>
          <w:szCs w:val="28"/>
          <w:highlight w:val="none"/>
          <w:lang w:eastAsia="zh-CN"/>
        </w:rPr>
        <w:t>，</w:t>
      </w:r>
      <w:r>
        <w:rPr>
          <w:rFonts w:hint="eastAsia" w:cs="Times New Roman"/>
          <w:iCs w:val="0"/>
          <w:sz w:val="28"/>
          <w:szCs w:val="28"/>
          <w:highlight w:val="none"/>
          <w:lang w:val="en-US" w:eastAsia="zh-CN"/>
        </w:rPr>
        <w:t>设备安装调试完毕并最终验收合格后支付合同金额的20%</w:t>
      </w:r>
      <w:r>
        <w:rPr>
          <w:rFonts w:hint="eastAsia" w:eastAsia="宋体" w:cs="Times New Roman"/>
          <w:iCs w:val="0"/>
          <w:sz w:val="28"/>
          <w:szCs w:val="28"/>
          <w:highlight w:val="none"/>
          <w:lang w:val="en-US" w:eastAsia="zh-CN"/>
        </w:rPr>
        <w:t>。</w:t>
      </w:r>
    </w:p>
    <w:p w14:paraId="4F15E1FD">
      <w:pPr>
        <w:spacing w:beforeLines="0" w:afterLines="0" w:line="360" w:lineRule="auto"/>
        <w:ind w:firstLine="0" w:firstLineChars="0"/>
        <w:jc w:val="both"/>
        <w:rPr>
          <w:rFonts w:hint="default" w:ascii="Times New Roman" w:hAnsi="Times New Roman" w:eastAsia="宋体" w:cs="Times New Roman"/>
          <w:sz w:val="28"/>
          <w:szCs w:val="28"/>
          <w:highlight w:val="none"/>
        </w:rPr>
      </w:pPr>
      <w:r>
        <w:rPr>
          <w:rFonts w:hint="default"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rPr>
        <w:t>□履约保证金：</w:t>
      </w:r>
      <w:r>
        <w:rPr>
          <w:rFonts w:hint="eastAsia" w:eastAsia="宋体" w:cs="Times New Roman"/>
          <w:sz w:val="28"/>
          <w:szCs w:val="28"/>
          <w:highlight w:val="none"/>
          <w:lang w:eastAsia="zh-CN"/>
        </w:rPr>
        <w:t>无</w:t>
      </w:r>
      <w:r>
        <w:rPr>
          <w:rFonts w:hint="default" w:ascii="Times New Roman" w:hAnsi="Times New Roman" w:eastAsia="宋体" w:cs="Times New Roman"/>
          <w:iCs w:val="0"/>
          <w:sz w:val="28"/>
          <w:szCs w:val="28"/>
          <w:highlight w:val="none"/>
        </w:rPr>
        <w:t xml:space="preserve">          </w:t>
      </w:r>
    </w:p>
    <w:p w14:paraId="022519C7">
      <w:pPr>
        <w:spacing w:beforeLines="0" w:afterLines="0" w:line="360" w:lineRule="auto"/>
        <w:ind w:firstLine="0" w:firstLineChars="0"/>
        <w:jc w:val="both"/>
        <w:rPr>
          <w:rFonts w:hint="default" w:ascii="Times New Roman" w:hAnsi="Times New Roman" w:eastAsia="宋体" w:cs="Times New Roman"/>
          <w:iCs w:val="0"/>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iCs w:val="0"/>
          <w:sz w:val="28"/>
          <w:szCs w:val="28"/>
          <w:highlight w:val="none"/>
        </w:rPr>
        <w:t xml:space="preserve">包装和运输：须满足《关于印发〈商品包装政府采购需求标准（试行）〉、〈快递包装政府采购需求标准（试行）〉的通知》（财办库﹝2020﹞123 号）                           </w:t>
      </w:r>
    </w:p>
    <w:p w14:paraId="768EEB27">
      <w:pPr>
        <w:spacing w:beforeLines="0" w:afterLines="0" w:line="360" w:lineRule="auto"/>
        <w:ind w:firstLine="0" w:firstLineChars="0"/>
        <w:jc w:val="both"/>
        <w:rPr>
          <w:rFonts w:hint="default" w:ascii="Times New Roman" w:hAnsi="Times New Roman" w:eastAsia="宋体" w:cs="Times New Roman"/>
          <w:iCs w:val="0"/>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iCs w:val="0"/>
          <w:sz w:val="28"/>
          <w:szCs w:val="28"/>
          <w:highlight w:val="none"/>
        </w:rPr>
        <w:t>售后服务：从验收合格并正常使用之日起算：质保期</w:t>
      </w:r>
      <w:r>
        <w:rPr>
          <w:rFonts w:hint="eastAsia" w:cs="Times New Roman"/>
          <w:iCs w:val="0"/>
          <w:sz w:val="28"/>
          <w:szCs w:val="28"/>
          <w:highlight w:val="none"/>
          <w:lang w:val="en-US" w:eastAsia="zh-CN"/>
        </w:rPr>
        <w:t>1</w:t>
      </w:r>
      <w:r>
        <w:rPr>
          <w:rFonts w:hint="default" w:ascii="Times New Roman" w:hAnsi="Times New Roman" w:eastAsia="宋体" w:cs="Times New Roman"/>
          <w:iCs w:val="0"/>
          <w:sz w:val="28"/>
          <w:szCs w:val="28"/>
          <w:highlight w:val="none"/>
        </w:rPr>
        <w:t xml:space="preserve">年                                </w:t>
      </w:r>
    </w:p>
    <w:p w14:paraId="0ED15D71">
      <w:pPr>
        <w:spacing w:beforeLines="0" w:afterLines="0" w:line="360" w:lineRule="auto"/>
        <w:ind w:firstLine="0" w:firstLineChars="0"/>
        <w:jc w:val="both"/>
        <w:rPr>
          <w:rFonts w:hint="default" w:ascii="Times New Roman" w:hAnsi="Times New Roman" w:eastAsia="宋体" w:cs="Times New Roman"/>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iCs w:val="0"/>
          <w:sz w:val="28"/>
          <w:szCs w:val="28"/>
          <w:highlight w:val="none"/>
        </w:rPr>
        <w:t>安装调试：</w:t>
      </w:r>
      <w:r>
        <w:rPr>
          <w:rFonts w:hint="eastAsia" w:eastAsia="宋体" w:cs="Times New Roman"/>
          <w:iCs w:val="0"/>
          <w:sz w:val="28"/>
          <w:szCs w:val="28"/>
          <w:highlight w:val="none"/>
          <w:lang w:eastAsia="zh-CN"/>
        </w:rPr>
        <w:t>到货后</w:t>
      </w:r>
      <w:r>
        <w:rPr>
          <w:rFonts w:hint="eastAsia" w:cs="Times New Roman"/>
          <w:iCs w:val="0"/>
          <w:sz w:val="28"/>
          <w:szCs w:val="28"/>
          <w:highlight w:val="none"/>
          <w:lang w:val="en-US" w:eastAsia="zh-CN"/>
        </w:rPr>
        <w:t>2</w:t>
      </w:r>
      <w:r>
        <w:rPr>
          <w:rFonts w:hint="eastAsia" w:eastAsia="宋体" w:cs="Times New Roman"/>
          <w:iCs w:val="0"/>
          <w:sz w:val="28"/>
          <w:szCs w:val="28"/>
          <w:highlight w:val="none"/>
          <w:lang w:val="en-US" w:eastAsia="zh-CN"/>
        </w:rPr>
        <w:t>5个工作日内完成安装调试</w:t>
      </w:r>
      <w:r>
        <w:rPr>
          <w:rFonts w:hint="default" w:ascii="Times New Roman" w:hAnsi="Times New Roman" w:eastAsia="宋体" w:cs="Times New Roman"/>
          <w:iCs w:val="0"/>
          <w:sz w:val="28"/>
          <w:szCs w:val="28"/>
          <w:highlight w:val="none"/>
        </w:rPr>
        <w:t xml:space="preserve"> </w:t>
      </w:r>
      <w:r>
        <w:rPr>
          <w:rFonts w:hint="default" w:ascii="Times New Roman" w:hAnsi="Times New Roman" w:eastAsia="宋体" w:cs="Times New Roman"/>
          <w:iCs w:val="0"/>
          <w:sz w:val="28"/>
          <w:szCs w:val="28"/>
          <w:highlight w:val="none"/>
        </w:rPr>
        <w:t xml:space="preserve">                               </w:t>
      </w:r>
    </w:p>
    <w:p w14:paraId="750B3E8F">
      <w:pPr>
        <w:spacing w:beforeLines="0" w:afterLines="0" w:line="360" w:lineRule="auto"/>
        <w:ind w:firstLine="0" w:firstLineChars="0"/>
        <w:jc w:val="both"/>
        <w:rPr>
          <w:rFonts w:hint="default" w:ascii="Times New Roman" w:hAnsi="Times New Roman" w:eastAsia="宋体" w:cs="Times New Roman"/>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sz w:val="28"/>
          <w:szCs w:val="28"/>
          <w:highlight w:val="none"/>
        </w:rPr>
        <w:t>交付标准和方法（验收标准）：</w:t>
      </w:r>
      <w:r>
        <w:rPr>
          <w:rFonts w:hint="eastAsia" w:eastAsia="宋体" w:cs="Times New Roman"/>
          <w:sz w:val="28"/>
          <w:szCs w:val="28"/>
          <w:highlight w:val="none"/>
          <w:lang w:eastAsia="zh-CN"/>
        </w:rPr>
        <w:t>①品牌型号规格参数及数量与合同一致；②质量合格证明；③外观与包装完整性，外观无破损、变形、划痕、锈蚀等，包装须符合运输要求（防潮、防震、防压、防尘）</w:t>
      </w:r>
      <w:r>
        <w:rPr>
          <w:rFonts w:hint="default" w:ascii="Times New Roman" w:hAnsi="Times New Roman" w:eastAsia="宋体" w:cs="Times New Roman"/>
          <w:sz w:val="28"/>
          <w:szCs w:val="28"/>
          <w:highlight w:val="none"/>
        </w:rPr>
        <w:t xml:space="preserve">              </w:t>
      </w:r>
    </w:p>
    <w:p w14:paraId="04476756">
      <w:pPr>
        <w:spacing w:beforeLines="0" w:afterLines="0" w:line="360" w:lineRule="auto"/>
        <w:ind w:firstLine="0" w:firstLineChars="0"/>
        <w:jc w:val="both"/>
        <w:rPr>
          <w:rFonts w:hint="default" w:ascii="Times New Roman" w:hAnsi="Times New Roman" w:eastAsia="宋体" w:cs="Times New Roman"/>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sz w:val="28"/>
          <w:szCs w:val="28"/>
          <w:highlight w:val="none"/>
        </w:rPr>
        <w:t>质量保修范围和保修期：</w:t>
      </w:r>
      <w:r>
        <w:rPr>
          <w:rFonts w:hint="eastAsia" w:eastAsia="宋体" w:cs="Times New Roman"/>
          <w:sz w:val="28"/>
          <w:szCs w:val="28"/>
          <w:highlight w:val="none"/>
          <w:lang w:eastAsia="zh-CN"/>
        </w:rPr>
        <w:t>该项目清单中包含的所有内容</w:t>
      </w:r>
      <w:r>
        <w:rPr>
          <w:rFonts w:hint="eastAsia"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 xml:space="preserve">                     </w:t>
      </w:r>
    </w:p>
    <w:p w14:paraId="19AAE769">
      <w:pPr>
        <w:spacing w:beforeLines="0" w:afterLines="0" w:line="360" w:lineRule="auto"/>
        <w:ind w:firstLine="0" w:firstLineChars="0"/>
        <w:jc w:val="both"/>
        <w:rPr>
          <w:rFonts w:hint="default" w:ascii="Times New Roman" w:hAnsi="Times New Roman" w:eastAsia="宋体" w:cs="Times New Roman"/>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iCs w:val="0"/>
          <w:sz w:val="28"/>
          <w:szCs w:val="28"/>
          <w:highlight w:val="none"/>
        </w:rPr>
        <w:t>培训：</w:t>
      </w:r>
      <w:r>
        <w:rPr>
          <w:rFonts w:hint="eastAsia" w:eastAsia="宋体" w:cs="Times New Roman"/>
          <w:iCs w:val="0"/>
          <w:sz w:val="28"/>
          <w:szCs w:val="28"/>
          <w:highlight w:val="none"/>
          <w:lang w:eastAsia="zh-CN"/>
        </w:rPr>
        <w:t>安装调试完成后进行一次设备操作的培训、每季度进行一次日常维护、确保买方人员能正常使用。</w:t>
      </w:r>
      <w:r>
        <w:rPr>
          <w:rFonts w:hint="default" w:ascii="Times New Roman" w:hAnsi="Times New Roman" w:eastAsia="宋体" w:cs="Times New Roman"/>
          <w:iCs w:val="0"/>
          <w:sz w:val="28"/>
          <w:szCs w:val="28"/>
          <w:highlight w:val="none"/>
        </w:rPr>
        <w:t xml:space="preserve">                                        </w:t>
      </w:r>
      <w:r>
        <w:rPr>
          <w:rFonts w:hint="default" w:ascii="Times New Roman" w:hAnsi="Times New Roman" w:eastAsia="宋体" w:cs="Times New Roman"/>
          <w:sz w:val="28"/>
          <w:szCs w:val="28"/>
          <w:highlight w:val="none"/>
        </w:rPr>
        <w:t xml:space="preserve">         </w:t>
      </w:r>
    </w:p>
    <w:p w14:paraId="4E345421">
      <w:pPr>
        <w:spacing w:beforeLines="0" w:afterLines="0" w:line="360" w:lineRule="auto"/>
        <w:ind w:firstLine="0" w:firstLineChars="0"/>
        <w:jc w:val="both"/>
        <w:rPr>
          <w:rFonts w:hint="default" w:ascii="Times New Roman" w:hAnsi="Times New Roman" w:eastAsia="宋体" w:cs="Times New Roman"/>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sz w:val="28"/>
          <w:szCs w:val="28"/>
          <w:highlight w:val="none"/>
        </w:rPr>
        <w:t>国家标准、行业标准、地方标准等标准、规范：</w:t>
      </w:r>
      <w:r>
        <w:rPr>
          <w:rFonts w:hint="eastAsia" w:eastAsia="宋体" w:cs="Times New Roman"/>
          <w:sz w:val="28"/>
          <w:szCs w:val="28"/>
          <w:highlight w:val="none"/>
          <w:lang w:eastAsia="zh-CN"/>
        </w:rPr>
        <w:t>符合国家、行业、地方标准</w:t>
      </w:r>
      <w:r>
        <w:rPr>
          <w:rFonts w:hint="default" w:ascii="Times New Roman" w:hAnsi="Times New Roman" w:eastAsia="宋体" w:cs="Times New Roman"/>
          <w:sz w:val="28"/>
          <w:szCs w:val="28"/>
          <w:highlight w:val="none"/>
        </w:rPr>
        <w:t xml:space="preserve">     </w:t>
      </w:r>
    </w:p>
    <w:p w14:paraId="103E7D30">
      <w:pPr>
        <w:spacing w:beforeLines="0" w:afterLines="0" w:line="360" w:lineRule="auto"/>
        <w:ind w:firstLine="0" w:firstLineChars="0"/>
        <w:jc w:val="both"/>
        <w:rPr>
          <w:rFonts w:hint="default" w:ascii="Times New Roman" w:hAnsi="Times New Roman" w:eastAsia="宋体" w:cs="Times New Roman"/>
          <w:sz w:val="28"/>
          <w:szCs w:val="28"/>
          <w:highlight w:val="none"/>
        </w:rPr>
      </w:pPr>
      <w:r>
        <w:rPr>
          <w:rFonts w:hint="default" w:eastAsia="宋体" w:cs="Times New Roman"/>
          <w:sz w:val="28"/>
          <w:szCs w:val="28"/>
          <w:highlight w:val="none"/>
          <w:lang w:val="en-US" w:eastAsia="zh-CN"/>
        </w:rPr>
        <w:t xml:space="preserve">    </w:t>
      </w:r>
      <w:r>
        <w:rPr>
          <w:rFonts w:hint="eastAsia" w:eastAsia="宋体" w:cs="Times New Roman"/>
          <w:sz w:val="28"/>
          <w:szCs w:val="28"/>
          <w:highlight w:val="none"/>
          <w:lang w:eastAsia="zh-CN"/>
        </w:rPr>
        <w:t>☑</w:t>
      </w:r>
      <w:r>
        <w:rPr>
          <w:rFonts w:hint="default" w:ascii="Times New Roman" w:hAnsi="Times New Roman" w:eastAsia="宋体" w:cs="Times New Roman"/>
          <w:sz w:val="28"/>
          <w:szCs w:val="28"/>
          <w:highlight w:val="none"/>
        </w:rPr>
        <w:t>涉及运行维护、升级更新、备品备件及耗材等要求：</w:t>
      </w:r>
      <w:r>
        <w:rPr>
          <w:rFonts w:hint="eastAsia" w:eastAsia="宋体" w:cs="Times New Roman"/>
          <w:sz w:val="28"/>
          <w:szCs w:val="28"/>
          <w:highlight w:val="none"/>
          <w:lang w:eastAsia="zh-CN"/>
        </w:rPr>
        <w:t>保证质保期内提供备件，关键设备储备一定数量的应急备件，确保快速更换。</w:t>
      </w:r>
    </w:p>
    <w:p w14:paraId="05298917">
      <w:pPr>
        <w:spacing w:beforeLines="0" w:afterLines="0" w:line="360" w:lineRule="auto"/>
        <w:ind w:firstLine="560" w:firstLineChars="0"/>
        <w:jc w:val="both"/>
        <w:rPr>
          <w:rFonts w:hint="default" w:ascii="Times New Roman" w:hAnsi="Times New Roman" w:eastAsia="宋体" w:cs="Times New Roman"/>
          <w:sz w:val="28"/>
          <w:szCs w:val="28"/>
          <w:highlight w:val="none"/>
        </w:rPr>
      </w:pPr>
      <w:r>
        <w:rPr>
          <w:rFonts w:hint="eastAsia" w:eastAsia="宋体" w:cs="Times New Roman"/>
          <w:sz w:val="28"/>
          <w:szCs w:val="28"/>
          <w:highlight w:val="none"/>
          <w:lang w:eastAsia="zh-CN"/>
        </w:rPr>
        <w:t>☑</w:t>
      </w:r>
      <w:r>
        <w:rPr>
          <w:rFonts w:hint="default" w:ascii="Times New Roman" w:hAnsi="Times New Roman" w:eastAsia="宋体" w:cs="Times New Roman"/>
          <w:sz w:val="28"/>
          <w:szCs w:val="28"/>
          <w:highlight w:val="none"/>
        </w:rPr>
        <w:t>其他商务</w:t>
      </w:r>
      <w:r>
        <w:rPr>
          <w:rFonts w:hint="default" w:ascii="Times New Roman" w:hAnsi="Times New Roman" w:eastAsia="宋体" w:cs="Times New Roman"/>
          <w:sz w:val="28"/>
          <w:szCs w:val="28"/>
          <w:highlight w:val="none"/>
          <w:lang w:eastAsia="zh-CN"/>
        </w:rPr>
        <w:t>要求</w:t>
      </w:r>
      <w:r>
        <w:rPr>
          <w:rFonts w:hint="default" w:ascii="Times New Roman" w:hAnsi="Times New Roman" w:eastAsia="宋体" w:cs="Times New Roman"/>
          <w:sz w:val="28"/>
          <w:szCs w:val="28"/>
          <w:highlight w:val="none"/>
        </w:rPr>
        <w:t>：</w:t>
      </w:r>
    </w:p>
    <w:p w14:paraId="7682EB05">
      <w:pPr>
        <w:spacing w:beforeLines="0" w:afterLines="0" w:line="360" w:lineRule="auto"/>
        <w:ind w:firstLine="560" w:firstLineChars="200"/>
        <w:rPr>
          <w:rFonts w:hint="default" w:ascii="Times New Roman" w:hAnsi="Times New Roman" w:eastAsia="宋体" w:cs="Times New Roman"/>
          <w:sz w:val="28"/>
          <w:szCs w:val="28"/>
          <w:highlight w:val="none"/>
          <w:lang w:eastAsia="zh-CN"/>
        </w:rPr>
      </w:pPr>
      <w:r>
        <w:rPr>
          <w:rFonts w:hint="eastAsia"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、任何以没有看清楚招标文件或将不符合采购方要求的产品篡改功能、参数后参与投标的供应商均视为恶意报价，并上报监管部门严肃处理。</w:t>
      </w:r>
    </w:p>
    <w:p w14:paraId="5D2C8532">
      <w:pPr>
        <w:spacing w:beforeLines="0" w:afterLines="0" w:line="360" w:lineRule="auto"/>
        <w:ind w:firstLine="560" w:firstLineChars="200"/>
        <w:rPr>
          <w:rFonts w:hint="default" w:ascii="Times New Roman" w:hAnsi="Times New Roman" w:eastAsia="宋体" w:cs="Times New Roman"/>
          <w:sz w:val="28"/>
          <w:szCs w:val="28"/>
          <w:highlight w:val="none"/>
          <w:lang w:eastAsia="zh-CN"/>
        </w:rPr>
      </w:pPr>
      <w:r>
        <w:rPr>
          <w:rFonts w:hint="eastAsia"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eastAsia="zh-CN"/>
        </w:rPr>
        <w:t>、成交供应商产品交付时，需对技术参数各项功能逐条进行验收并且达到合格标准，若有不符合项，采购人拒绝签收，供应商向采购人支付赔偿，采购人上报采购活动监督部门该供应商虚假响应，并取消中标资格。</w:t>
      </w:r>
    </w:p>
    <w:p w14:paraId="5AE64BEC">
      <w:pPr>
        <w:spacing w:beforeLines="0" w:afterLines="0" w:line="360" w:lineRule="auto"/>
        <w:ind w:firstLine="560" w:firstLineChars="200"/>
        <w:rPr>
          <w:rFonts w:hint="default" w:ascii="Times New Roman" w:hAnsi="Times New Roman" w:eastAsia="宋体" w:cs="Times New Roman"/>
          <w:sz w:val="28"/>
          <w:szCs w:val="28"/>
          <w:highlight w:val="none"/>
          <w:lang w:eastAsia="zh-CN"/>
        </w:rPr>
      </w:pPr>
      <w:r>
        <w:rPr>
          <w:rFonts w:hint="eastAsia"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eastAsia="zh-CN"/>
        </w:rPr>
        <w:t>、投标人承诺中标后签订合同前，须提供所投产品实物、技术参数中要求的检测报告和相关证明文件的原件备查、测试，同时投标人对已提交的材料的真实性负责，如投标人提供虚假材料谋取中标，根据招投标法，没收投标保证金并承担相应法律责任。</w:t>
      </w:r>
    </w:p>
    <w:p w14:paraId="2A2C8279">
      <w:pPr>
        <w:spacing w:beforeLines="0" w:afterLines="0" w:line="360" w:lineRule="auto"/>
        <w:ind w:firstLine="560" w:firstLineChars="200"/>
        <w:rPr>
          <w:rFonts w:hint="default" w:ascii="Times New Roman" w:hAnsi="Times New Roman" w:eastAsia="宋体" w:cs="Times New Roman"/>
          <w:sz w:val="28"/>
          <w:szCs w:val="28"/>
          <w:highlight w:val="none"/>
          <w:lang w:eastAsia="zh-CN"/>
        </w:rPr>
      </w:pPr>
      <w:r>
        <w:rPr>
          <w:rFonts w:hint="eastAsia" w:eastAsia="宋体" w:cs="Times New Roman"/>
          <w:sz w:val="28"/>
          <w:szCs w:val="28"/>
          <w:highlight w:val="none"/>
          <w:lang w:val="en-US" w:eastAsia="zh-CN"/>
        </w:rPr>
        <w:t>4</w:t>
      </w:r>
      <w:r>
        <w:rPr>
          <w:rFonts w:hint="default" w:ascii="Times New Roman" w:hAnsi="Times New Roman" w:eastAsia="宋体" w:cs="Times New Roman"/>
          <w:sz w:val="28"/>
          <w:szCs w:val="28"/>
          <w:highlight w:val="none"/>
          <w:lang w:eastAsia="zh-CN"/>
        </w:rPr>
        <w:t>、质保责任范围：覆盖内容：需明确包含“因材料缺陷、工艺问题、设计漏洞导致的性能不达标或故障”，排除“人为损坏、不可抗力、正常磨损”等情况；</w:t>
      </w:r>
    </w:p>
    <w:p w14:paraId="119DF6C6">
      <w:pPr>
        <w:spacing w:beforeLines="0" w:afterLines="0" w:line="360" w:lineRule="auto"/>
        <w:rPr>
          <w:rFonts w:hint="default" w:ascii="Times New Roman" w:hAnsi="Times New Roman" w:eastAsia="宋体" w:cs="Times New Roman"/>
          <w:b/>
          <w:bCs/>
          <w:sz w:val="28"/>
          <w:szCs w:val="28"/>
          <w:highlight w:val="none"/>
          <w:lang w:eastAsia="zh-CN"/>
        </w:rPr>
      </w:pPr>
      <w:r>
        <w:rPr>
          <w:rFonts w:hint="eastAsia" w:eastAsia="宋体" w:cs="Times New Roman"/>
          <w:b/>
          <w:bCs/>
          <w:sz w:val="28"/>
          <w:szCs w:val="28"/>
          <w:highlight w:val="none"/>
          <w:lang w:val="en-US" w:eastAsia="zh-CN"/>
        </w:rPr>
        <w:t>五</w:t>
      </w:r>
      <w:r>
        <w:rPr>
          <w:rFonts w:hint="default" w:ascii="Times New Roman" w:hAnsi="Times New Roman" w:eastAsia="宋体" w:cs="Times New Roman"/>
          <w:b/>
          <w:bCs/>
          <w:sz w:val="28"/>
          <w:szCs w:val="28"/>
          <w:highlight w:val="none"/>
        </w:rPr>
        <w:t>、技术</w:t>
      </w:r>
      <w:r>
        <w:rPr>
          <w:rFonts w:hint="default" w:ascii="Times New Roman" w:hAnsi="Times New Roman" w:eastAsia="宋体" w:cs="Times New Roman"/>
          <w:b/>
          <w:bCs/>
          <w:sz w:val="28"/>
          <w:szCs w:val="28"/>
          <w:highlight w:val="none"/>
          <w:lang w:eastAsia="zh-CN"/>
        </w:rPr>
        <w:t>要求</w:t>
      </w:r>
    </w:p>
    <w:p w14:paraId="00553293">
      <w:pPr>
        <w:pStyle w:val="2"/>
        <w:rPr>
          <w:rFonts w:hint="default" w:ascii="Times New Roman" w:hAnsi="Times New Roman" w:eastAsia="宋体" w:cs="Times New Roman"/>
          <w:b/>
          <w:bCs/>
          <w:sz w:val="28"/>
          <w:szCs w:val="28"/>
          <w:highlight w:val="none"/>
          <w:lang w:eastAsia="zh-CN"/>
        </w:rPr>
      </w:pPr>
    </w:p>
    <w:p w14:paraId="559BE657">
      <w:pPr>
        <w:pStyle w:val="3"/>
        <w:rPr>
          <w:rFonts w:hint="default" w:ascii="Times New Roman" w:hAnsi="Times New Roman" w:eastAsia="宋体" w:cs="Times New Roman"/>
          <w:b/>
          <w:bCs/>
          <w:sz w:val="28"/>
          <w:szCs w:val="28"/>
          <w:highlight w:val="none"/>
          <w:lang w:eastAsia="zh-CN"/>
        </w:rPr>
      </w:pPr>
    </w:p>
    <w:p w14:paraId="49A56254">
      <w:pPr>
        <w:pStyle w:val="3"/>
        <w:rPr>
          <w:rFonts w:hint="default" w:ascii="Times New Roman" w:hAnsi="Times New Roman" w:eastAsia="宋体" w:cs="Times New Roman"/>
          <w:b/>
          <w:bCs/>
          <w:sz w:val="28"/>
          <w:szCs w:val="28"/>
          <w:highlight w:val="none"/>
          <w:lang w:eastAsia="zh-CN"/>
        </w:rPr>
      </w:pPr>
    </w:p>
    <w:p w14:paraId="47E6B462">
      <w:pPr>
        <w:pStyle w:val="3"/>
        <w:rPr>
          <w:rFonts w:hint="default" w:ascii="Times New Roman" w:hAnsi="Times New Roman" w:eastAsia="宋体" w:cs="Times New Roman"/>
          <w:b/>
          <w:bCs/>
          <w:sz w:val="28"/>
          <w:szCs w:val="28"/>
          <w:highlight w:val="none"/>
          <w:lang w:eastAsia="zh-CN"/>
        </w:rPr>
      </w:pPr>
    </w:p>
    <w:p w14:paraId="73D3FEB8">
      <w:pPr>
        <w:pStyle w:val="3"/>
        <w:rPr>
          <w:rFonts w:hint="default" w:ascii="Times New Roman" w:hAnsi="Times New Roman" w:eastAsia="宋体" w:cs="Times New Roman"/>
          <w:b/>
          <w:bCs/>
          <w:sz w:val="28"/>
          <w:szCs w:val="28"/>
          <w:highlight w:val="none"/>
          <w:lang w:eastAsia="zh-CN"/>
        </w:rPr>
      </w:pPr>
    </w:p>
    <w:p w14:paraId="3F999792">
      <w:pPr>
        <w:pStyle w:val="3"/>
        <w:rPr>
          <w:rFonts w:hint="default" w:ascii="Times New Roman" w:hAnsi="Times New Roman" w:eastAsia="宋体" w:cs="Times New Roman"/>
          <w:b/>
          <w:bCs/>
          <w:sz w:val="28"/>
          <w:szCs w:val="28"/>
          <w:highlight w:val="none"/>
          <w:lang w:eastAsia="zh-CN"/>
        </w:rPr>
      </w:pPr>
    </w:p>
    <w:p w14:paraId="3494F19E">
      <w:pPr>
        <w:pStyle w:val="3"/>
        <w:rPr>
          <w:rFonts w:hint="default" w:ascii="Times New Roman" w:hAnsi="Times New Roman" w:eastAsia="宋体" w:cs="Times New Roman"/>
          <w:b/>
          <w:bCs/>
          <w:sz w:val="28"/>
          <w:szCs w:val="28"/>
          <w:highlight w:val="none"/>
          <w:lang w:eastAsia="zh-CN"/>
        </w:rPr>
      </w:pPr>
    </w:p>
    <w:p w14:paraId="60B2326D">
      <w:pPr>
        <w:pStyle w:val="3"/>
        <w:rPr>
          <w:rFonts w:hint="default" w:ascii="Times New Roman" w:hAnsi="Times New Roman" w:eastAsia="宋体" w:cs="Times New Roman"/>
          <w:b/>
          <w:bCs/>
          <w:sz w:val="28"/>
          <w:szCs w:val="28"/>
          <w:highlight w:val="none"/>
          <w:lang w:eastAsia="zh-CN"/>
        </w:rPr>
      </w:pPr>
    </w:p>
    <w:tbl>
      <w:tblPr>
        <w:tblStyle w:val="24"/>
        <w:tblW w:w="6035" w:type="pct"/>
        <w:tblInd w:w="-13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7"/>
        <w:gridCol w:w="976"/>
        <w:gridCol w:w="6666"/>
        <w:gridCol w:w="615"/>
        <w:gridCol w:w="577"/>
        <w:gridCol w:w="1786"/>
      </w:tblGrid>
      <w:tr w14:paraId="02743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DC1286">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43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CF0EB5">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rPr>
            </w:pPr>
            <w:r>
              <w:rPr>
                <w:rFonts w:hint="eastAsia" w:ascii="宋体" w:hAnsi="宋体" w:eastAsia="宋体" w:cs="宋体"/>
                <w:b/>
                <w:bCs/>
                <w:i w:val="0"/>
                <w:iCs w:val="0"/>
                <w:color w:val="000000"/>
                <w:kern w:val="0"/>
                <w:sz w:val="22"/>
                <w:szCs w:val="22"/>
                <w:highlight w:val="none"/>
                <w:u w:val="none"/>
                <w:lang w:val="en-US" w:eastAsia="zh-CN" w:bidi="ar"/>
              </w:rPr>
              <w:t>产品</w:t>
            </w:r>
            <w:r>
              <w:rPr>
                <w:rFonts w:hint="eastAsia" w:ascii="宋体" w:hAnsi="宋体" w:cs="宋体"/>
                <w:b/>
                <w:bCs/>
                <w:i w:val="0"/>
                <w:iCs w:val="0"/>
                <w:color w:val="000000"/>
                <w:kern w:val="0"/>
                <w:sz w:val="22"/>
                <w:szCs w:val="22"/>
                <w:highlight w:val="none"/>
                <w:u w:val="none"/>
                <w:lang w:val="en-US" w:eastAsia="zh-CN" w:bidi="ar"/>
              </w:rPr>
              <w:t xml:space="preserve"> 名称</w:t>
            </w:r>
          </w:p>
        </w:tc>
        <w:tc>
          <w:tcPr>
            <w:tcW w:w="297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DCB4B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功能参数</w:t>
            </w:r>
          </w:p>
        </w:tc>
        <w:tc>
          <w:tcPr>
            <w:tcW w:w="27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374FB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25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45DFA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79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D66AB2">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rPr>
            </w:pPr>
            <w:r>
              <w:rPr>
                <w:rFonts w:hint="eastAsia" w:ascii="宋体" w:hAnsi="宋体" w:eastAsia="宋体" w:cs="宋体"/>
                <w:b/>
                <w:bCs/>
                <w:i w:val="0"/>
                <w:iCs w:val="0"/>
                <w:color w:val="000000"/>
                <w:kern w:val="0"/>
                <w:sz w:val="22"/>
                <w:szCs w:val="22"/>
                <w:highlight w:val="none"/>
                <w:u w:val="none"/>
                <w:lang w:val="en-US" w:eastAsia="zh-CN" w:bidi="ar"/>
              </w:rPr>
              <w:t>参考</w:t>
            </w:r>
            <w:r>
              <w:rPr>
                <w:rFonts w:hint="eastAsia" w:ascii="宋体" w:hAnsi="宋体" w:cs="宋体"/>
                <w:b/>
                <w:bCs/>
                <w:i w:val="0"/>
                <w:iCs w:val="0"/>
                <w:color w:val="000000"/>
                <w:kern w:val="0"/>
                <w:sz w:val="22"/>
                <w:szCs w:val="22"/>
                <w:highlight w:val="none"/>
                <w:u w:val="none"/>
                <w:lang w:val="en-US" w:eastAsia="zh-CN" w:bidi="ar"/>
              </w:rPr>
              <w:t>图片</w:t>
            </w:r>
          </w:p>
        </w:tc>
      </w:tr>
      <w:tr w14:paraId="7CA2D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3" w:hRule="atLeast"/>
        </w:trPr>
        <w:tc>
          <w:tcPr>
            <w:tcW w:w="266" w:type="pct"/>
            <w:tcBorders>
              <w:top w:val="single" w:color="auto" w:sz="4" w:space="0"/>
              <w:left w:val="single" w:color="000000" w:sz="4" w:space="0"/>
              <w:bottom w:val="single" w:color="000000" w:sz="4" w:space="0"/>
              <w:right w:val="single" w:color="000000" w:sz="4" w:space="0"/>
            </w:tcBorders>
            <w:noWrap/>
            <w:vAlign w:val="center"/>
          </w:tcPr>
          <w:p w14:paraId="61989CD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35" w:type="pct"/>
            <w:tcBorders>
              <w:top w:val="single" w:color="auto" w:sz="4" w:space="0"/>
              <w:left w:val="single" w:color="000000" w:sz="4" w:space="0"/>
              <w:bottom w:val="single" w:color="000000" w:sz="4" w:space="0"/>
              <w:right w:val="single" w:color="000000" w:sz="4" w:space="0"/>
            </w:tcBorders>
            <w:noWrap w:val="0"/>
            <w:vAlign w:val="center"/>
          </w:tcPr>
          <w:p w14:paraId="2AB25E2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特殊儿童智力评估系统</w:t>
            </w:r>
          </w:p>
        </w:tc>
        <w:tc>
          <w:tcPr>
            <w:tcW w:w="2971" w:type="pct"/>
            <w:tcBorders>
              <w:top w:val="single" w:color="auto" w:sz="4" w:space="0"/>
              <w:left w:val="single" w:color="000000" w:sz="4" w:space="0"/>
              <w:bottom w:val="single" w:color="000000" w:sz="4" w:space="0"/>
              <w:right w:val="single" w:color="000000" w:sz="4" w:space="0"/>
            </w:tcBorders>
            <w:noWrap w:val="0"/>
            <w:vAlign w:val="center"/>
          </w:tcPr>
          <w:p w14:paraId="13F4E237">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特殊儿童智力、认知、言语等各方面综合能力评估的重要工具；严格按照韦氏量表操作设计, 适应4-16岁少年儿童智力评估需要；采用点对点控制技术，具有抗干扰能力强, 通讯及时等特点；通用性强, 数据存储量大, 支持100000条以上的测试数据存储；可以适应于学校、医院等单位。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适用范围：适用于听障儿童、语言发育迟缓、精神发育迟滞、自闭症、脑瘫等各类有语言认知障碍的特殊人群，应用于各级残联康复机构、各级特殊教育机构、各类康复训练机构。</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采用权威量表：韦氏儿童智力量表和韦氏幼儿量表；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适应不同年龄层次青少年：4-16周岁； 测试内容：包括言语测验和操作测验各六个；含有一整套操作实用教材； </w:t>
            </w:r>
          </w:p>
          <w:p w14:paraId="04647D0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两大模块：分为主试端和儿童端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测试功能：分为儿童测试和幼儿测试两种不同的测试试题；</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个案管理功能：管理儿童及幼儿的个人信息和测试记录； 用户管理功能：管理用户的个人信息和单位信息；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报告管理功能：进行报告的查询及报告打印；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评估报告：评估报告自动生成，结果全面、准确、科学； 指导建议功能：结果客观反映个体各方面能力，并提供发展及培育建议。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适用对象：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4-16岁正常儿童及智障、自闭症等特殊儿童。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系统硬件组成：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1、电脑主机、键盘、鼠标 2、液晶触摸显示器 3、彩色打印机 4、专业拾音麦克风 6、有源音箱 7、工作台车</w:t>
            </w:r>
          </w:p>
        </w:tc>
        <w:tc>
          <w:tcPr>
            <w:tcW w:w="274" w:type="pct"/>
            <w:tcBorders>
              <w:top w:val="single" w:color="auto" w:sz="4" w:space="0"/>
              <w:left w:val="single" w:color="000000" w:sz="4" w:space="0"/>
              <w:bottom w:val="single" w:color="000000" w:sz="4" w:space="0"/>
              <w:right w:val="single" w:color="000000" w:sz="4" w:space="0"/>
            </w:tcBorders>
            <w:noWrap/>
            <w:vAlign w:val="center"/>
          </w:tcPr>
          <w:p w14:paraId="1DD0F3A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257" w:type="pct"/>
            <w:tcBorders>
              <w:top w:val="single" w:color="auto" w:sz="4" w:space="0"/>
              <w:left w:val="single" w:color="000000" w:sz="4" w:space="0"/>
              <w:bottom w:val="single" w:color="000000" w:sz="4" w:space="0"/>
              <w:right w:val="single" w:color="000000" w:sz="4" w:space="0"/>
            </w:tcBorders>
            <w:noWrap/>
            <w:vAlign w:val="center"/>
          </w:tcPr>
          <w:p w14:paraId="5FBA1EB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796" w:type="pct"/>
            <w:tcBorders>
              <w:top w:val="single" w:color="auto" w:sz="4" w:space="0"/>
              <w:left w:val="single" w:color="000000" w:sz="4" w:space="0"/>
              <w:bottom w:val="single" w:color="000000" w:sz="4" w:space="0"/>
              <w:right w:val="single" w:color="000000" w:sz="4" w:space="0"/>
            </w:tcBorders>
            <w:noWrap/>
            <w:vAlign w:val="center"/>
          </w:tcPr>
          <w:p w14:paraId="60F8F04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25400</wp:posOffset>
                  </wp:positionH>
                  <wp:positionV relativeFrom="paragraph">
                    <wp:posOffset>1936750</wp:posOffset>
                  </wp:positionV>
                  <wp:extent cx="978535" cy="846455"/>
                  <wp:effectExtent l="0" t="0" r="12065" b="10795"/>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15"/>
                          <a:stretch>
                            <a:fillRect/>
                          </a:stretch>
                        </pic:blipFill>
                        <pic:spPr>
                          <a:xfrm>
                            <a:off x="0" y="0"/>
                            <a:ext cx="978535" cy="846455"/>
                          </a:xfrm>
                          <a:prstGeom prst="rect">
                            <a:avLst/>
                          </a:prstGeom>
                          <a:noFill/>
                          <a:ln>
                            <a:noFill/>
                          </a:ln>
                        </pic:spPr>
                      </pic:pic>
                    </a:graphicData>
                  </a:graphic>
                </wp:anchor>
              </w:drawing>
            </w:r>
          </w:p>
        </w:tc>
      </w:tr>
      <w:tr w14:paraId="6055A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4" w:hRule="atLeast"/>
        </w:trPr>
        <w:tc>
          <w:tcPr>
            <w:tcW w:w="266" w:type="pct"/>
            <w:tcBorders>
              <w:top w:val="single" w:color="000000" w:sz="4" w:space="0"/>
              <w:left w:val="single" w:color="000000" w:sz="4" w:space="0"/>
              <w:bottom w:val="single" w:color="000000" w:sz="4" w:space="0"/>
              <w:right w:val="single" w:color="000000" w:sz="4" w:space="0"/>
            </w:tcBorders>
            <w:noWrap/>
            <w:vAlign w:val="center"/>
          </w:tcPr>
          <w:p w14:paraId="2E82713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14:paraId="204D3152">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儿童孤独症测评系统</w:t>
            </w:r>
            <w:r>
              <w:rPr>
                <w:rFonts w:hint="eastAsia" w:ascii="宋体" w:hAnsi="宋体" w:cs="宋体"/>
                <w:i w:val="0"/>
                <w:iCs w:val="0"/>
                <w:color w:val="000000"/>
                <w:kern w:val="0"/>
                <w:sz w:val="22"/>
                <w:szCs w:val="22"/>
                <w:highlight w:val="none"/>
                <w:u w:val="none"/>
                <w:lang w:val="en-US" w:eastAsia="zh-CN" w:bidi="ar"/>
              </w:rPr>
              <w:t>（核心产品）</w:t>
            </w:r>
          </w:p>
        </w:tc>
        <w:tc>
          <w:tcPr>
            <w:tcW w:w="2971" w:type="pct"/>
            <w:tcBorders>
              <w:top w:val="single" w:color="000000" w:sz="4" w:space="0"/>
              <w:left w:val="single" w:color="000000" w:sz="4" w:space="0"/>
              <w:bottom w:val="single" w:color="000000" w:sz="4" w:space="0"/>
              <w:right w:val="single" w:color="000000" w:sz="4" w:space="0"/>
            </w:tcBorders>
            <w:noWrap w:val="0"/>
            <w:vAlign w:val="center"/>
          </w:tcPr>
          <w:p w14:paraId="0381FE44">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儿童孤独症测评系统是将特殊儿童评估与教育康复训练相结合，在充分分析发展水平、优势和不足的基础上，制定针对性的训练目标和训练计划，并对训练效果进行动态评估，以便及时调整训练目标和计划，保证教育康复训练的科学性和有效性。系统支持账号登录及人脸登录、登录后界面显示使用者的头像、姓名及在线状态、点击其功能图标可直接更改用户信息、屏幕保护锁屏及退出系统；为便于操作使用，各界面均设有全屏模式/退出全屏模式、一键返回主页及消息提示功能图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1、建档资料：</w:t>
            </w:r>
          </w:p>
          <w:p w14:paraId="4D85C9FF">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7035165</wp:posOffset>
                  </wp:positionH>
                  <wp:positionV relativeFrom="paragraph">
                    <wp:posOffset>273050</wp:posOffset>
                  </wp:positionV>
                  <wp:extent cx="1169035" cy="1166495"/>
                  <wp:effectExtent l="0" t="0" r="12065" b="14605"/>
                  <wp:wrapNone/>
                  <wp:docPr id="17" name="ID_339FE4F1FAC34C0983CF70D750899497"/>
                  <wp:cNvGraphicFramePr/>
                  <a:graphic xmlns:a="http://schemas.openxmlformats.org/drawingml/2006/main">
                    <a:graphicData uri="http://schemas.openxmlformats.org/drawingml/2006/picture">
                      <pic:pic xmlns:pic="http://schemas.openxmlformats.org/drawingml/2006/picture">
                        <pic:nvPicPr>
                          <pic:cNvPr id="17" name="ID_339FE4F1FAC34C0983CF70D750899497"/>
                          <pic:cNvPicPr/>
                        </pic:nvPicPr>
                        <pic:blipFill>
                          <a:blip r:embed="rId16"/>
                          <a:stretch>
                            <a:fillRect/>
                          </a:stretch>
                        </pic:blipFill>
                        <pic:spPr>
                          <a:xfrm>
                            <a:off x="0" y="0"/>
                            <a:ext cx="1169035" cy="11664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1.1姓名、学籍号、头像上传、身份证号、出生日期、性别、所属机构、班级、教学形式、残疾证有/无及残疾证编号录入、7大障碍类型选择、障碍等级、现居住省份、城市、区/县、街道/镇寸、现居备注、监护人、与学生关系、紧急联系人电话、紧急联系人住址及其他说明，以卡片模块化方式呈现，系统自动生成对应的档案编号，一键保存档案和打印档案；</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1.2生产史（不少于7项）、可能障碍原因（不少于9项）、伴随症状（不少于16项）、服用药物（不少于2项）、成长史（不少于2类6项）、生理状况（不少于3类9项）、神经精神状况（不少于6类）、特殊病史及其他；</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1.3家庭成员（称谓、姓名、出生日期、教育程度、职业、残疾是否、备注）、家庭生态（不少于17项）、学校生活环境调查（不少于12项）、小区生活环境调查（不少于12项）；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包含感官功能/健康状况（不少于7项)、知觉动作能力（不少于19项)、生活自理能力（不少于4类20项)、沟通能力（不少于5类19项)、社会适应（情绪、人际、行为不少于20项)；认知/学业能力（不少于4类20项)、学习行为特征（不少于30项)、学习现状描述、学习优势及限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1.5可按照姓名、机构、学号查询学生档案信息，其查询界面多人显示以卡片式方式呈现，每个卡片信息包含学生头像、姓名、性别、班级、所在机构等基础信息，点击查看资料可一键查看学生所有档案信息，数据较多时系统自动分页显示并统计数据量，可根据其菜单选择上一页、下一页、首页或尾页查询（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2、专业评估：</w:t>
            </w:r>
          </w:p>
          <w:p w14:paraId="66DD875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发展性评估-新建学生测评、系统自动生成测评单号（字母与数字组成）及评测日期、学生基础测评信息（姓名、头像、所在机构、班级、残障类型、性别）、摘要及备注、测评内容，采用自适应评分界面，根据不同量表的记分制（如0-1-2 /P-E-F三色/1-2-3-4），实时显示阈值提示，树状导航呈现IEP长期目标短期目标关联项，AI标红预警未完成评测（如“❌3项待评”），支持云端断点续评, 同时地显示整体测评进度，评测时提示记分说明及评测操作说明；动态关联IEP生成器推送未达标目标，跨次评估计算干预有效性 ，测评过程可根据实际情况在对应卡片内上传多个图片、音频、视频，测评完成可一键保存测评及打印测评；测评内容由感知觉评估表（不少于53项）、粗大动作评估表（不少于72项）、精细动作评估表（不少于66项）、语言与沟通评估表（不少于79项）、认知评估表（不少于55项）、社会交往评估表（不少于47项）、生活自理评估表（不少于67项）、情绪行为评估表（不少于52项）八个评估领域组成，每个评估领域都是一个评估的独立体，评估时不受其它评估领域的影响。初步完成评估，系统会以雷达分析图及柱状图的方式呈现其数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2.2基础测评-新建学生测评、系统自动生成测评单号（字母与数字组成）及评测日期、学生基础测评信息（姓名、头像、所在机构、班级、残障类型、性别）、摘要及备注、测评内容（计分说明、分值、评估操作说明），树状导航呈现IEP长期目标短期目标关联项，AI标红预警未完成评测（如“3项待评”），支持云端断点续评, 同时地显示整体测评进度，测评过程可根据实际情况在对应卡片内上传多个图片、音频、视频，测评完成可一键保存测评及打印测评；评估模块中包含运动（不少于98项）、感知（不少于87项）、认知（不少于80项）、语言与沟通（不少于119项）、社会适应（不少于84项）；ABC量表评估：感觉能力S（不少于10项）、交往能力R（不少于11项）、运动能力B（不少于12项）、语言能力L（不少于13项）、自我照顾能力S（不少于11项）；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专项个别化定制：新增个别化计划、系统自动生成单号（字母、数字等组成），直观显示学生头像、姓名、性别、机构、班级、残疾类型；计划主题涵盖评估类别、评估表、评估版本、评估单号、评估日期、计划开始与结束日期、创建人、摘要及备注；计划项目涵盖整体计划精度、每个计划项目均设有训练要求（掌握程度、反应量标、时效标尺），通过进度预警矩阵（绿/橙/红三色标）实时追踪达标率，方案可以通过当前学生信息(年龄、性别、障碍类型等)及本次评测值AI大模型辅助编写教案（学情分析，教学目标、教学难点，教学准备，教学过程） ，通过AI引擎实现专项个别化计划的智能构建与动态优化，驱动从评估诊断到教学执行的闭环进化，可以打印预览，导出pdf word, excel等；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IEP训练计划：据专项个别化计划，制定训练互动训练计划，根据不同的评估量表针对性做互动训练计划，可以修改课表，将IEP目标转化为动态化、游戏化、可追踪的每日训练内容，实现从计划到执行的智能转化闭环，基于IEP训练目标，AI自动调用 「训练资源库」 匹配；自动生成IEP课标、次日课表根据当日训练结果自动调整，也直接修改课标、下单训练内容（投标文件中需提供该功能的证明材料，包括但不限于彩页或功能截图等材料）；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灵动观测：该模块设有仪表仓动态显示卡片，含专注度和放松度仪表式动态显示图标，佩戴脑波检测头环，系统头环图标亮起代表连接成功，点击开始观察，系统自动生成2种颜色波动的管控曲线，训练师可实时了解其学生的脑力状态。可随时停止观察，观测结束后生成报表并可导出其监测数据便于训练师教学研究，同时对于测评及训练是否有效提供科学的评判依据（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特教AI助手（智体文案）：以卡片式方式展现特教百科、教案（科目、课程名称、教学要点及其他信息补充）、康复训练活动（需要训练的能力领域、康复训练时长、注意事项）、活动通知（名称、时间、活动要点介绍）、公众号（名称、内容要点、其他信息）、活动策划（活动名称、时间及要点）、活动总结（活动名称、时间及要点）、环境创设方案（教室名称及其他说明）、万能文案模块，点击对应卡片可以一键运行AI自动生成所需文案，同时也可以在搜索框提出问题直接进项AI对话，也可以搜索历史对话主题进项二次AI对话或删除（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7、综合资源库：</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7.1 学习能力</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7.1</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1注意力训练分为初级、中级和高级，具体内容含0.5米+手中无物+注视、 0.5米+手中无物+注视+回应、 1米+手中无物+注视、1米+手中有物+注视、 1米+手中有物+眼神+泛化人物、1米+手中有物+眼神+泛化人物环境、听词做动作、听指令做动作、正听反说、听记数列、听指令做动作、找漏洞、听觉译码、复述句子、听词做动作、听觉干扰、听觉排序、听觉译码、正听反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7.1</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2模仿能力分为初级、中级和高级，具体内容含拍球、抛接球、堆积木、梳头、拉开窗帘、踢球、拍手点头、跺跺脚、单脚站、螃蟹折纸、大嘴折纸、星星折纸、轮船折纸、舞蹈:最美的光、舞蹈:糖果屋里的小老虎、舞蹈:你笑起来真好看、舞蹈:无敌小可爱、社交礼仪:礼貌敲门、社交礼仪:收拾玩具好习惯、社交礼仪:不要投喂打扰动物、社交礼仪:这样吃饭不礼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7.1</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3指令遵循分为初级、中级和高级，具体内容含听指令、跳跳跳、拍水果、双人传球、风吹、大风吹红绿灯游戏等；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7.2认知思维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7.2</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1逻辑推理分为初级、中级和高级，具体内容含形状配对、颜色配对、实物关联、影子匹配、数量对应、部分与整体匹配、季节关联、因果关系；排序事件:三排列、排序事件:五排列、排序事件:六排列；解决实际问题；</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7.2</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2概念理解分为初级、中级和高级，具体内容含颜色与形状配对、对比物品、声音比对、简单分类、数量感知-仿说数字、数量感知-点数1-10、数量感知-按数取物；规律延伸(ABAB)、空间方位、功能关联、数字与实物对应（1-5）；时间顺序、测量与比较、假设推理、事物来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7.2</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3问题解决分为初级、中级和高级，具体内容含试误行为、单一维度关注；简单策略、语言辅助；动作预测、事件推理。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7.3语言沟通</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7.3</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1表达性语言分为初级、中级和高级，具体内容含命名、仿说、会话、讲述；词汇扩展、简单句；比喻句、沟通理解；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7.3</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2言语构音分为初级、中级和高级，具体内容含气吸训练；长音发声训练、短音发声训练、大声发声训练、小声发声训练；构音一阶、构音二阶、构音三阶、构音四阶、构音五阶、构音六阶；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7.3</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3社交语言分为初级、中级和高级，具体内容含食物指认、蔬菜指认、水果指认、动物指认、日常用品指认、身体器官指认；一步指令、二步指令、三步指令；提问、应答。</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7.4社交互动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7.4</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1基础社交分为初级、中级和高级，具体内容含眼神、简单指令回应；功能性语言、功能性手势请求、简单问答（1-2轮）；多回合对话（持续3-5轮）、理解社交潜规则；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7.4</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2非语言沟通分为初级，具体内容含手势、轮流行为；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7.4</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3群体适应分为初级、中级和高级，具体内容含跟随集体行动；小组合作；组织团队活动。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7.5情绪情感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7.5</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1情绪识别分为初级、中级和高级，具体内容含识别情绪表情、识别情绪声音；表情配对、识别正向表情、识别负向表情；情绪处景泛化、情绪泛化配对；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7.5</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2情绪表达分为初级、中级和高级，具体内容含识别情绪肢体、同情景不同反应；情绪与处境表达单组、情绪与处境表达多组；情绪因果；</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7.5</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3情绪调节分为初级、中级和高级，具体内容含音乐放松、放松动作；视觉提示调节、自我应对；情绪泡泡、猜猜我有多爱你、我勇敢了。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7.6学业能力</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7.6</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1基础学科分为初级、中级和高级，具体内容含数数字、描数字、描字母、简笔上色；简单加减、朗读句子、控笔简图；简单数学应用、阅读短文；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7.6</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2学习策略分为初级、中级和高级，具体内容含目标设定与环境管理、行为强化与简单分类；基础社交与语言训练、任务分解与多属性分类；语言与抽象思维提升、独立学习能力培养、复杂分类与泛化技能。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7.7行为常态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7.7</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1替代行为分为初级、中级和高级，具体内容含用指物/图片交换代替哭闹、简单语言替代拍打行为、挥手代替推人、使用“等待卡”替代抢夺；轮流游戏替代独占玩具、语言请求代替发脾气；谈判妥协替代固执坚持、抽象思维替代刻板思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7.7</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2环境适应分为初级、中级和高级，具体内容含熟悉固定教室环境、单光源适应训练、固定路线行走、单一触觉体验、固定座位就餐；声音优先级训练、气味辨识游戏、简单场景切换、小组轮流活动；超市自主购物、跨场景物品管理、突发事件演练、多模态环境处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7.7</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3自我管理分为初级、中级和高级，具体内容含物品归位、等待短时间、回应姓名、简单指令执行；处理轻微挫败、公共场所安静行走、延迟满足训练、应对环境变化；制定每日计划、解决同伴冲突、拒绝不当要求、反思与目标设定。</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7.8生活能力</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7.8</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1个人护理分为初级、中级和高级，具体内容含刷牙、洗脸、穿衣服、脱裤子、脱T恤、洗手；吃饭、扣扣子、穿袜子、上厕所；独立使用公共卫生间、处理衣物污渍、搭配季节衣物、使用吹风机；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7.8</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2家务技能分为初级、中级和高级，具体内容含擦桌子、扫垃圾、拖地、叠衣服；叠被子、套枕头、餐后收拾、超市购物协助；使用洗衣机、种植蔬菜、规划简单菜单、管理零花钱；</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7.8</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3社区生活分为初级、中级和高级，具体内容含认识社区场所、安全过马路、简单打招呼、乘坐电梯；乘坐公共交通、简单问路、餐厅点餐、电话求助；就医、取钱、使用社区服务、社区就业体验。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综合教学资源库：资源数量不少于800件，内容有小巧手、小板凳、正确刷牙、正确握笔姿势、尊敬老师、食-煮面条、正确使用电热水壶、正确使用筷子、S形平衡木、七彩云、上下转盘88轨道、不织布花-太阳花、不织布花-康乃馨、丝网花-向日葵、丝网花-小雏菊、丝网花-玫瑰花、丝网花-百合花、前后平衡台、双人协力踩踏车、发音练习、四分之一圆、团队协力板、山水画、牛仔很忙、蚕宝宝、小猪、彩虹桥、月光、蝴蝶、诚实的小孩、动物小世界、妈妈的爱、小小的船、捉兔、滑滑梯、数鸭子、相思、礼貌歌、风儿和风筝等；资源类别分为智障、听障、视障、专题、教学理念、教学介绍、教学课程、教学视频、工具等；                                                                                    仪器配置：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触屏一体机一台：不低于i5-520M 处理器（双核四线程、主频2.40 GHz，3M 高速缓存），固态硬盘不低于128GB、不低于4G内存、高性能集成显卡、Wi-Fi模块、USB2.0接口、不小于21.5寸触摸显示屏。工作台车一台。</w:t>
            </w:r>
          </w:p>
        </w:tc>
        <w:tc>
          <w:tcPr>
            <w:tcW w:w="274" w:type="pct"/>
            <w:tcBorders>
              <w:top w:val="single" w:color="000000" w:sz="4" w:space="0"/>
              <w:left w:val="single" w:color="000000" w:sz="4" w:space="0"/>
              <w:bottom w:val="single" w:color="000000" w:sz="4" w:space="0"/>
              <w:right w:val="single" w:color="000000" w:sz="4" w:space="0"/>
            </w:tcBorders>
            <w:noWrap/>
            <w:vAlign w:val="center"/>
          </w:tcPr>
          <w:p w14:paraId="36F6889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257" w:type="pct"/>
            <w:tcBorders>
              <w:top w:val="single" w:color="000000" w:sz="4" w:space="0"/>
              <w:left w:val="single" w:color="000000" w:sz="4" w:space="0"/>
              <w:bottom w:val="single" w:color="000000" w:sz="4" w:space="0"/>
              <w:right w:val="single" w:color="000000" w:sz="4" w:space="0"/>
            </w:tcBorders>
            <w:noWrap/>
            <w:vAlign w:val="center"/>
          </w:tcPr>
          <w:p w14:paraId="6C25498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796" w:type="pct"/>
            <w:tcBorders>
              <w:top w:val="single" w:color="000000" w:sz="4" w:space="0"/>
              <w:left w:val="single" w:color="000000" w:sz="4" w:space="0"/>
              <w:bottom w:val="single" w:color="000000" w:sz="4" w:space="0"/>
              <w:right w:val="single" w:color="000000" w:sz="4" w:space="0"/>
            </w:tcBorders>
            <w:noWrap/>
            <w:vAlign w:val="center"/>
          </w:tcPr>
          <w:p w14:paraId="3829A3B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p w14:paraId="264C460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p w14:paraId="2E77573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p w14:paraId="4845CA4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p w14:paraId="087B375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highlight w:val="none"/>
              </w:rPr>
              <w:drawing>
                <wp:inline distT="0" distB="0" distL="114300" distR="114300">
                  <wp:extent cx="962025" cy="88582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962025" cy="8858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3046095</wp:posOffset>
                  </wp:positionH>
                  <wp:positionV relativeFrom="paragraph">
                    <wp:posOffset>-2647315</wp:posOffset>
                  </wp:positionV>
                  <wp:extent cx="637540" cy="576580"/>
                  <wp:effectExtent l="0" t="0" r="10160" b="13970"/>
                  <wp:wrapNone/>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6"/>
                          <a:stretch>
                            <a:fillRect/>
                          </a:stretch>
                        </pic:blipFill>
                        <pic:spPr>
                          <a:xfrm>
                            <a:off x="0" y="0"/>
                            <a:ext cx="637540" cy="5765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2893695</wp:posOffset>
                  </wp:positionH>
                  <wp:positionV relativeFrom="paragraph">
                    <wp:posOffset>-2799715</wp:posOffset>
                  </wp:positionV>
                  <wp:extent cx="637540" cy="576580"/>
                  <wp:effectExtent l="0" t="0" r="10160" b="13970"/>
                  <wp:wrapNone/>
                  <wp:docPr id="1" name="图片 5"/>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16"/>
                          <a:stretch>
                            <a:fillRect/>
                          </a:stretch>
                        </pic:blipFill>
                        <pic:spPr>
                          <a:xfrm>
                            <a:off x="0" y="0"/>
                            <a:ext cx="637540" cy="576580"/>
                          </a:xfrm>
                          <a:prstGeom prst="rect">
                            <a:avLst/>
                          </a:prstGeom>
                          <a:noFill/>
                          <a:ln>
                            <a:noFill/>
                          </a:ln>
                        </pic:spPr>
                      </pic:pic>
                    </a:graphicData>
                  </a:graphic>
                </wp:anchor>
              </w:drawing>
            </w:r>
          </w:p>
        </w:tc>
      </w:tr>
      <w:tr w14:paraId="6A23D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3"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36C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C9719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言语语言智能数字化康复云平台（标准版）</w:t>
            </w:r>
          </w:p>
        </w:tc>
        <w:tc>
          <w:tcPr>
            <w:tcW w:w="297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ACE1C6">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▲具有国家版权局颁发的软件著作权登记证书，证书复印件盖投标人公章有效。</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本产品适用于言语语言障碍、发育迟缓、听力障碍、孤独症谱系障碍等儿童的言语语言功能的评估与康复训练。在专业测评、IEP方案、训练学习、数据建档、周期管理、跟进指导等方面，提供专业便捷的一站式服务。涵盖几乎所有的言语语言障碍，可进行言语语言能力评估和康复训练，包括语言发育迟缓评估（S-S法）和康复、OPT口肌定位测评和训练、普通话构音清晰度测评和训练。康复训练涵盖听觉基础、言语构音、语言理解、语言表达4大领域13个子板块，共10万组以上训练内容，基于游戏化、智能化的形式进行康复训练，从而提升工作效率与体验，提高专业服务的水平与质量，减轻康复管理负担。</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一、康复档案管理：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1、老师管理：用户单位负责人可添加、编辑、删除老师账号；用户单位负责人可查看用户单位老师所关联的使用者以及档案信息。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2、档案列表：可添加查看使用者账号，查看包括基本信息、康复周期信息、强化周期信息、档案操作等档案信息。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（1）基本信息：可查看使用者的姓名、家长、手机号、关联老师；</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（2）语言训练周期信息：可查看康复周期的范围、轮次、状态，以及康复训练进度、康复课程进度、老师阶段跟进次数、课程学习反馈次数；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（3）构音训练周期信息：可查看康复周期的范围、轮次、状态，以及康复训练进度、康复课程进度、老师阶段跟进次数、课程学习反馈次数；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（4）口肌训练周期信息：可查看康复周期的范围、轮次、状态，以及康复训练进度、康复课程进度、老师阶段跟进次数、课程学习反馈次数；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（5）档案查询：可按使用者姓名、家长姓名、家长手机号、老师姓名、康复模式、康复周期范围、标签等进行查询；</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（6）操作：可添加使用者，输入使用者姓名、家长手机号及验证码完成关联并自动创建账号；可点击查看档案详情、更换老师；</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1、档案详情：可一站式查看使用者档案、家长档案、周期信息，进行阶段跟进与反馈回复等。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（1）使用者档案：包括姓名、性别、出生年月、身高、体重、带养方式、障碍类别、检测证明、已选机构、康复方式、矫正时长、更新时间等信息；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（2）家长档案：包括姓名、称谓、出生年月、职业、联系电话等信息；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（3）测评标签：可查看不同周期轮次记录的档案标签，可切换不同周期轮次进行查看；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（4）语言训练周期信息：可查看康复周期的范围、轮次、状态，以及康复训练进度、康复课程进度、老师阶段跟进次数、课程学习反馈次数；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（5）构音训练周期信息：可查看康复周期的范围、轮次、状态，以及康复训练进度、康复课程进度、老师阶段跟进次数、课程学习反馈次数；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（6）口肌训练周期信息：可查看康复周期的范围、轮次、状态，以及康复训练进度、康复课程进度、老师阶段跟进次数、课程学习反馈次数；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学习记录：可查看不同轮次康复训练、康复课程的学习记录，按日期维度展示当日学习的学习项、学习时间、学习时长、得分等信息，支持按日期正序或倒序排列展示；支持按学习项名称、日期、学习类型等筛选；支持查看学习记录的实操视频与学习反馈；</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康复课表：可按领域展示需要学习内容，领域包括词句理解、词句表达、构音语音、语言认知、语用、读写。支持做修改以及泛化训练（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二、康复测评模块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1、S-S法（CRRC版）测评：包括选择标签、测评引导、测评题目、测评报告等。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选择标签：包含二胎及以上、有自闭症倾向、逻辑表达有问题、有刻板行为、说话没有逻辑、嗓音有障碍、没有指令、不喜欢说话、不会使用恰当语言、不会阅读绘本、不会指认、自言自语、口吃、早产儿、暴躁、结巴、记忆力较差、睡眠质量差、语言模仿能力差、情绪语言较差、专注力很差、喜欢大声说话、喜欢说叠词、喜欢哭泣、喜欢大声尖叫、字词不会发音、容易读错行等共计27个标签，可多选并记录到康复档案中；</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（2）测评引导：包括测评说明、流程引导等信息，选择使用者出生年月后可点击确认开始测评；</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测评题目：包括言语理解、言语表达、交流态度等板块，语言理解板块有拖拽题、选择题两种类型，语言表达和态度交流板块主要是选择题；测评题包含文字题干、语音报题、动效提示、操作引导、图文选项、测评进度、倒计时等信息；其中语言理解板块共计136个测评题、9个预备题，语言表达板块共计71个测评题题，交流态度共计7个测评题，每道题都包含语音播报题干，动效提示总计不少于30个；可以根据不同预备题、阶段通过结果、分组通过结果，自动跳题匹配相应的板块、阶段、分组的题目；语言理解和语言表达板块每个阶段和分组都对应不同的通过标准；不同阶段的测评结果分别对应不同区间的测评年龄、评估方面、评估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测评范围：语言理解板块包括事物基础概念、事物符号、词句、语法规则等评估方面；语言表达板块包括事物的符号、词句、日常生活问题、语法规则等评估方面；交流态度板块包括注视行动、视线交流、回应招呼、表现感情、表达需求、回答问题等评估方面；</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（5）语言理解的评估项：事物基础概念方面包括机能性操作、匹配、选择等评估项。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2、康复测评报告：包括总体评价、板块测评结果、评估项通过情况、评估项得分比例等信息。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（1）板块总体评价：包括言语理解、言语表达、交流态度等板块能力测评年龄阶段、题量、总分、得分、评估方面、评估项测评结果、评估项评语等；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评估方面：语言理解板块包括事物基础概念、事物符号、词句、语法规则等评估方面；语言表达板块包括事物的符号、词句、日常生活问题、语法规则等评估方面；交流态度板块包括注视行动、视线交流、回应招呼、表现感情、表达需求、回答问题等评估方面；</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语言理解的评估项：事物基础概念方面包括机能性操作、匹配、选择等评估项；事物符号方面包括手势符号、言语符号、事物名称、身体部位词汇、动词词汇、大小词汇、颜色词汇等评估项；词句方面包括二词句的动作+对象、二词句的主语+动作、二词句的大小+事物、二词句的颜色+事物、三词句的主语+动作+对象、三词句的大小+颜色+事物等评估项；语法规则方面语序、被动语态等评估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3、康复档案：包括使用者档案、家长档案，填写提交后可进入确认康复周期页面。</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（1）使用者档案：包括姓名、性别、出生年月、身高、体重、带养方式、障碍类别、医院检测证明、已选机构、康复方式、矫正时长、测评标签等信息。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（2）家长档案：包括姓名、称谓、出生年月、职业、联系电话等信息。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康复周期：可查看康复周期和学习有效期的天数和范围，康复周期默认从确认方案后第5天开始规划30个日期，学习有效期默认从确认方案后开始60天有效；确认周期后，自动匹配康复训练和康复课程的学习内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三、康复训练模块：根据评估结果自动生成个案的康复训练内容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康复训练内容：包括安坐、看物、呼名反应、肢体动作、操作物品、其他模仿、听者反应7个板块，共计145个学习项，其中安坐、看物、呼名反应的学习项需要根据规划按顺序学习；其他板块的学习项则不必按顺序，可以任选板块和学习项；在周期的学习有效期内，都可以重复学习康复训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（1）安坐：教学示范视频+文字指导形式，包括不同时长的安坐训练，包含4个训练项。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看物：教学示范视频+文字指导形式，训练内容为不同距离和不同范围，包含11个不同距离、13个不同范围的训练项。（3）呼名反应：教学示范视频+文字指导形式，训练内容为不同距离下的呼名反应，包含7个训练项。（4）肢体动作：教学示范视频+文字指导形式，包含15个一步动作模仿、15个二步动作模仿的训练项。（5）操作物品：教学示范视频+文字指导形式，包含15个一步操作模仿、15个二步操作模仿的训练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2、康复训练列表与详情：可查看康复训练总体进度与板块训练的进度，可点击查看训练项的完成状态；在训练详情中，可查看训练程序指南、训练说明、注意事项等信息。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3、句型训练功能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简单句：包含主谓句、主谓宾、给字句、比字句、把字句、被字句、单重否定句、是非问句、选择问句、特指问句10个句型，总共36个句式和10000个例句，训练内容为每回合随机生成，每个句式有不少于20种词汇搭配，且具备图片填空与仿说训练功能容为每回合随机生成，每个句式有不少于20种词汇搭配，且具备图片填空与仿说训练功能（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复合句：包含并列关系、承接关系、递进关系、选择关系、因果关系、转折关系、条件关系、让步关系、目的关系9个句型，总共57个句式和440000个例句，训练内容为每回合随机生成，每个句式有不少于20种词汇搭配，且具备图片填空与仿说训练功能（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4、听觉记忆训练功能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一项记忆：分为低阶、高阶两个阶段，每个阶段有不少于5个难度级别，总共包含30000个不同的词汇组合，训练内容为每回合训练随机生成，拥有语速调节和背景噪声功能，且不少于3档语速、3种信噪比与4类背景噪声（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二项记忆：分为低阶、高阶两个阶段，每个阶段有不少于5个难度级别，总共包含730000个不同的词汇组合，训练内容为每回合训练随机生成，拥有语速调节和背景噪声功能，且不少于3档语速、3种信噪比与4类背景噪声（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三项记忆：分为低阶、高阶两个阶段，每个阶段有不少于10个难度级别，总共包含38200000个不同的词汇组合，训练内容为每回合训练随机生成，拥有语速调节和背景噪声功能，且不少于3档语速、3种信噪比与4类背景噪声（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四项记忆：分为低阶、高阶两个阶段，每个阶段有不少于8个难度级别，总共包含33000000个不同的词汇组合，训练内容为每回合训练随机生成，拥有语速调节和背景噪声功能，且不少于3档语速、3种信噪比与4类背景噪声（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四、康复课程模块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康复地图：可查看30个自然日的学习内容、数量以及完成进度，需根据规划按顺序学习，可点击查看每个周期日规划包含的学习内容、板块分类、学习项以及完成进度；可点击进入学习详情页；学习完成后可点击查看学习总结（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2、学习详情页：可查看训练内容与说明，可录制实操视频、预览视频、重新录制、查看视频时长；可提交学习反馈，添加文字内容、语音录制、上传附件。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学习内容：包括语感、语义、语音、语用4个板块，涉及前语言唤醒、声音辨识、语音辨识、词汇理解、句子理解、发声、发音视频、构音、呼吸、词汇运用、仿说训练、复合句运用、简单句运用等13个方面，不少于490个学习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（1）语感板块：包括前语言唤醒、声音辨识、语音辨识等3个方面，涉及16类71个学习项；其中前语言唤醒包含9个学习项、声音辨识包含46个学习项、语音辨识包含16个学习项；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（2）语义板块：包括词汇理解、句子理解等2个方面，涉及13类共计93个学习项；其中词汇理解包含15个学习项、句子理解包含78个学习项；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（3）语音板块：包括发声、发音视频、构音、呼吸等4个方面，涉及13类共计158个学习项；其中发声包含1个学习项、发音视频包含51个学习项、构音包含103个学习项、呼吸包含3个学习项；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课程报告：可查看在本轮周期整体学习涉及的板块、分类、学习项数量、训练题量、学习时长累计等，以及每个板块学习涉及的分类、学习项数量、学习项分类占比、训练题量、学习时长累计、学习次数最多的5个学习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2、康复课程学习总结：完成康复课程或周期结束后可查看学习的总体分析、板块解析、巩固建议。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总体分析：可查看本轮周期学习情况的整体评级以及各板块学习累计时长；可查看语感、语义、语音、语用4个板块学习情况的整体得分，测评年龄与实际生理年龄的差距；可查看板块学习时长覆盖情况并形成雷达图呈现，包括前语言唤醒、声音辨识、语音辨识、词汇理解、句子理解、发声、发音视频、构音、呼吸、词汇运用、仿说训练、复合句运用、简单句运用等13个方面；</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强化训练模块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1、OPT强化测评：包括强化测评引导、测评题目、测评报告等。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（1）强化测评引导：包括测评介绍、流程引导、准备事项及视频说明等信息，可点击确认开始测评；</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（2）测评题目：包括题干内容、指导视频、测评选项、测评进度、倒计时等信息，其中包含70道题、61个指导视频；可以根据不同的测评选项结果自动跳题匹配测评题目；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（3）测评范围：包括口腔感知觉、喂食、下颌运动、唇运动、舌运动、呼吸、其他等7个板块的评估，其中包含64个具体评估项；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（4）测评完成：自动根据选项、得分、能力评估项等生成测评报告和强化训练IEP计划以及训练内容；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2、测评报告：包括总体评价、板块测评结果、雷达图、评估方面、评估项等。可打印报告、可点击重新测评、可点击查看IEP。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（1）总体评价：包括测评总体得分以及口腔感知觉能力、喂食能力、下颌运动能力、唇运动能力、舌运动能力、呼吸能力等方面测评的得分及雷达图；</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（2）评估方面：口腔感知觉能力包括低敏、高敏、混合、波动、触觉防御、正常等方面；喂食能力包括用勺进食能力、咀嚼能力、喝水能力；下颌运动能力包括咬肌肌力、下颌稳定性、下颌运动综合能力；</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喂食能力的评估项：包括用勺进食意识、接受糊状食物、接受侧置糊状食物、接受正置糊状食物、接受啜饮糊状食物、咀嚼意识、接受左侧咀嚼、接受右侧咀嚼、接受双侧咀嚼、接受吸管喝水、接受吸管喝水浓稠饮品、接受杯子喝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下颌运动能力的评估项：包括左侧、右侧、双侧分别咬住红T咬胶、黄T咬胶、紫P咬胶、绿P咬胶、2号棒、3号棒、4号棒、5号棒、6号棒、7号棒；分别咬住1号、2号下颌骨锻炼器的3号位、2号位、1号位，以及口腔自然咬合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3、IEP计划：包括口腔感知觉、喂食训练、下颌运动康复训练、唇运动康复训练、舌运动康复训练、呼吸康复训练、其他康复训练等板块，48个训练项。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（1）口腔感知觉：其中包含低敏、高敏、混合、波动、触觉防御等方面的建议训练；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喂食训练：其中包括勺子喂食康复训练、口腔感知觉康复训练、唇闭合康复训练、舌后缩康复训练、圆唇康复训练、咬肌肌力康复训练、吸管层次康复训练、杯子饮水层次康复训练等方面；其中包含勺子侧置喂食、勺子前置喂食、勺子啜饮、改善口腔感知觉、唇闭合训练、舌后缩训练、圆唇训练、提高咬肌肌力、吸管层次康复训练、杯子进饮等训练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下颌运动康复训练：其中包括咬胶层次康复训练、下颌综合康复训练、下颌稳定性康复训练等方面；其中包含提高左侧咬肌肌力、红T咬胶训练、黄T咬胶训练、紫P咬胶训练、绿P咬胶训练、提高右侧咬肌肌力、咬肌肌力和稳定性训练、下颌稳定训练、2号咬牙棒、3号咬牙棒、4号咬牙棒、5号咬牙棒、6号咬牙棒、7号咬牙棒、1号下颌骨锻炼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（4）唇运动康复训练：其中包括唇肌肌力训练、唇闭合康复训练、唇齿接触康复训练方面；其中包含提高唇肌肌力、唇齿接触训练等训练项；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舌运动康复训练：其中包括舌前伸康复训练、舌尖左移动康复训练、舌尖右移动康复训练、舌尖左右移动康复训练、舌尖上抬康复训练、舌尖下压康复训练、舌尖上下运动康复训练等方面；其中包含舌前伸训练、舌尖左移训练、舌尖运动训练器、舌尖右移训练、舌尖左右移动训练、舌尖上抬训练、舌尖下压训练、舌尖上下运动等训练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（6）呼吸康复训练：其中包括腹式呼吸康复训练、泡泡层次康复训练、汽笛层次康复训练、吹气球康复训练等方面；其中包含呼吸训练、腹式呼吸训练、泡泡层次训练、汽笛层次训练、吹气球训练等训练项；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（7）其他康复训练：其中包括口腔轮替康复训练、共鸣康复训练等方面；其中包含口腔轮替训练、共鸣训练、鼻子笛、口腔-鼻腔对比等训练项；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强化训练列表：可按口腔感知觉、喂食训练、下颌运动康复训练、唇运动康复训练、舌运动康复训练、呼吸康复训练、其他康复训练等板块分别查看训练内容以及完成进度，可切换板块学习，板块中的训练项需按顺序学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6、强化训练学习总结：完成康复课程或周期结束后可查看学习的总体分析、板块解析、巩固建议。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总体分析：可查看本轮周期学习情况的整体评级以及各板块学习累计时长；可查看感知觉训练、喂食训练、唇运动康复训练、下颌运动康复训练、舌运动康复训练、呼吸康复训练、其他康复训练7个板块学习情况，根据自老师阶段反馈评价计算得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板块解析：可分栏目查看感知觉训练、喂食训练、唇运动康复训练、下颌运动康复训练、舌运动康复训练、呼吸康复训练、其他康复训练等7个板块各自的说明介绍、整体学习情况评级；可分栏目切换查看相关子板块的说明介绍、整体学习情况评级；可查看学习项的学习成长曲线，包括次序和得分；可查看学习项得分评级的学习情况占比及数量，包括优秀、良好、一般、较差，可查看具体学习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（3）巩固建议：可查看感知觉训练、喂食训练、唇运动康复训练、下颌运动康复训练、舌运动康复训练、呼吸康复训练、其他康复训练等7个板块各自建议巩固的学习项，可点击进行学习；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六、个人中心模块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个人中心：可查看康复训练、康复课程、强化训练的累计学习时长，可进入我的测评、我的学习、我的IEP、我的周期、用户反馈、系统设置等。2、我的信息：可查看和管理账号信息、使用者档案、家长档案。3、我的测评：可查看已完成的测评记录，包括测评时间、测评类型、测评分数、测评时长、测评报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我的学习：可按康复训练、康复课程、强化训练学习内容，分栏目查看学习项、完成进度、学习状态、学习次数、最近一次学习时间、学习时长；可按内容标题、学习日期、学习状态筛选；可切换周期类型与轮次、查看周期时间范围；可查看学习提交的实操视频与学习反馈以及老师对反馈的回复；在学完康复课程和强化训练后，可点击查看对应周期的学习总结；5、我的IEP：可查看老师阶段跟进发送的IEP内容和强化周期中系统自动生成的IEP内容，包括生成时间、周期类型、周期轮次，可查看详情。</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6、我的周期：可查看康复周期和强化周期的轮次并进行切换，可查看周期范围、学习有效期、学习时长总计、学习进度、学习状态等。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（1）可点击查看所有的学习记录，或点击已学状态的日期查看当天的学习记录；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（2）学习记录包括康复训练、康复课程、强化训练的学习记录流水，包括时长统计、数量统计、学习项、学习时间、学习时长、得分等学；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7、我的消息：可查看系统推送的消息提醒。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七、学习记录模块：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记录用户注册使用之后所有学习记录，包括时长，项目，频率等等。还显示远程教学模块的预约教学频次。可通过柱状图，饼状图，列表等形式展现。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八、任务管理：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任务管理具有康复训练的任务管理功能。由3个模块组成：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1、智能康复方案推荐：根据用户评估结果，系统每日智能推荐4个训练任务，也可以刷新更换同等难度训练项目；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 自定义任务：用户可以最多自行布置4个任务，点击任务图标即可直接进入训练。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 老师任务：可通过教师端最多布置4个任务给用户，可显示昨日布置的任务。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九、游戏训练模块：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言语训练：河马灰灰-h、我们的教室-sh、彩虹的颜色-s、奶奶的农场-n、各种各样的种子-z、甜甜的糖果-t、好吃的食物-ch、繁忙的菜市场-c、欢乐的万圣节-g、炎热的夏天-r、好玩的主题公园-q、快乐的节日-l、夏天的昆虫-zh、马路上的红绿灯-d、我们放风筝-f、快乐的圣诞节-j、宝宝的书包-b、三只毛毛虫-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听觉训练：听觉分辨：包括声音的长短、声音的强弱、声音的快慢、声音的频率四个方面；听觉理解：主要从单条件、双条件、三条件及看图画听故事四个方面来深入理解；听觉识别：主要从词语识别、音位对识别、语音均衡式识别三方面来进行训练；听觉察知：主要从声音的产生、感受声音、认识声音、音乐欣赏四个方面来认知声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3、语言训练：我的身体、我的家人、温馨的家、起床啦、可口的早饭、好吃的水果、美味的蔬菜、多变的形状、认识交通工具、上学啦。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主题式训练：妈妈快给我讲童话、祖国、自己的事情自己做、课桌下的纸团、小脏手、乌鸦喝水、爸爸是理发师、小小交通警、营养午餐、休闲好去处——茶楼、我会打电话、镜子中的我、棉鞋里的阳光、小猴感冒了、天气预报、水的脾气、超市、快乐过新年、识字、快乐的儿童公园、妇女节、表扬、鱼是怎么睡觉的、小小计算器、回家路上、洗袜子、保护皮肤、洒水车、我们的城市、城市美容师、小熊住山洞、你认识吗、我喜欢、爱、一起搬、小小的船、海边、天要下雨了、笔、文具的家、操场上、我的家、自己的节日、我已长大了、小水滴、尊敬长辈、看电视、睡得香、秋天到、四季等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交流辅具-卡片式电子沟通板：1.录音：用户可自选卡片进行录音，所录声音不随电池用尽或关机而消失。再次录音会覆盖该位置原有储存，本机储存芯片总录音时长为不少于16分钟。（4层页面设计）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2.模式：共分为四种模式，模式一：12键模式，模式二：4键模式，模式三：2键模式，模式四：1键模式。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3.沟通卡：配置不少于50张沟通卡片，插入卡片即可使用。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4．页面所在层设置：根据不同学生的需求我们可以设置录音和放音的所在层，页面上指示灯1/2/3/4分别对应4层页面。</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5.沟通图库：配置沟通图库优盘，专业的图库数量不少于2000份，便于老师制作个性化的沟通卡。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6.特殊开关模式：本机可使用3.5mm标准插头的特殊开关，按压特殊开关进行沟通，为肢体不便人士提供便利。</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7.巡检成句模式：插好特殊开关，按特殊按钮，进入巡检成句模式，本机开始顺序播报，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播报过程中，根据听到的想要表达的声音播报按压特殊开关，全部播报完毕后，本机按照使用者所选（特殊按钮选择位置顺序）组成整句，再次播报。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8.本沟通板可外接耳机或功放，以适用不同障碍人士要求使用。</w:t>
            </w:r>
          </w:p>
          <w:p w14:paraId="7A9A17B1">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▲交流辅具-卡片式电子沟通板用户界面要求：按照《GB∕T 28922-2012 残疾人辅助器具日常生活的环境控制系统》标准检测，环境控制系统应满足特定用户指令的功能要求，所用方式应满足感觉、认知障碍者的需求（须提供第三方检验检测机构依据上述标准检测并合格的检测报告佐证，检测报告中须标注检验检测机构资质认定标志CMA有效，检测报告扫描件盖投标人公章有效）。</w:t>
            </w:r>
          </w:p>
          <w:p w14:paraId="08FB4963">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▲交流辅具-卡片式电子沟通板用户界面要求：按照《GB∕T 28922-2012 残疾人辅助器具日常生活的环境控制系统》标准检测，如果中央单元给出多种访问方式，则不论用户使用哪种访问方式（如，触摸屏，开关），系统所有功能应可运行（须提供第三方检验检测机构依据上述标准检测并合格的检测报告佐证，检测报告中须标注检验检测机构资质认定标志CMA有效，检测报告扫描件盖投标人公章有效）。</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3D手势精细动作训练模块：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1、3D手势精细动作侦测设备，150°超宽幅空间视场，支持使用者3D体验，使用者在空间发出的任意手势命令均有响应。可追踪手部移动，实现手部指令与屏幕进行的同步。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2、手势控制精度：可捕捉十个手指及关节的全部动作及运行轨迹。控制范围：应至少满足60x60x60cm。控制范围：60cm x 60cm x 60cm，外观底座：650mm x560mm x1160mm ABS材质。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2、系统包括档案管理、评估管理、数据图表、感知手部、手部动作、手眼协调、场景训练、轻松一刻、训练成绩九个模块，涵盖手腕、手指等小肌群的精细运动功能训练。包括：</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3、档案管理：提供了教师档案管理、学生档案管理、班级管理等功能。可对使用系统的教师以及学生的信息进行增加、修改和查询，便于学生多次使用系统。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4、评估管理：量表可评估学生手部精细动作的能力。通过虚拟现实技术进行手部精细动作训练可以提供更多的个性化支持。训练可以根据用户的个人需求进行定制，例如针对特定的手部运动和活动进行训练。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5、三维虚拟现实技术为手部精细动作评估和训练提供了一种高效、个性化和可追踪的方法，可以帮助用户恢复手部功能和生活质量。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6、感知手部： 提供了包括屈伸、旋转等类型的精细化动作训练，用于提高和锻炼学生腕部关节的小肌群功能。通过对手部位置捕捉模块，实现了以手部位置控制虚拟目标物移动功能。结合日常生活场景，通过拿水果模块在对手部进行训练的同时，对受训者专注力、手眼协调方面进行综合性协同训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7、手部动作： 提供了抓、握、捏等类型的精细化动作训练，用于提高和锻炼学生手指关节的小肌群功能。结合日常生活场景，通过消防演习模拟，掌握灭火方法。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8、手眼协调：提供针对视觉跟踪和手眼协调能力的精细化动作训练，用于提高学生的手眼协调能力。结合日常生活场景，通过拿水果分拣模块，实现了日常水果摊、超市采购等生活认知功能。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场景训练：提供了包括喝果汁、射箭运动、开车旅行综合性的精细化动作训练，用于提高和锻炼学生包括手肘、腕部和手指等整个上肢的小肌群功能。喝果汁：对受训者专注力、手眼协调方面进行综合性协同训练。  射箭运动：通过手部动作捕捉模块，实现了如伸掌、握拳等手部姿势判断功能。开车旅行：实现了受训者手部方向控制的功能。直路、弯路、组合路段3种路况划分。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10、训练结果分析：每个训练结束后，系统会将训练过程中所记录的动作完成次数、完成情况等进行数据统计分析。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沟通场景覆盖：包含情绪表达、生活需求、社交互动、日常活动等24类高频场景图标，支持图标定制更换，另外包含6个定制化录音按钮，可以按压按钮进行个性化录制沟通语音，内容可以随洗随录（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一共30个图标按钮，按压可输出语音，按钮为内嵌式设计，便于学生按压，语音输出：按下按键播放对应图标场景语音，音量支持4级调节（投标文件中需提供该功能的证明材料，包括但不限于彩页或功能截图等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配置：板面不小于9.6英寸；沟通卡不少于50张；特殊开关一台。</w:t>
            </w:r>
          </w:p>
          <w:p w14:paraId="38901119">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孤独症触觉感官套件</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专为孤独症谱系儿童设计的“星语触觉感官赋能套件”，超越了传统的感官刺激，致力于在安全、丰富的触觉环境中，唤醒感知、建立连接。通过多样化触觉刺激与生活化操作设计，帮助孤独症儿童提升感官整合能力、精细动作、逻辑认知及情绪调节能力。</w:t>
            </w:r>
          </w:p>
          <w:p w14:paraId="160DD07E">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功能设计：</w:t>
            </w:r>
          </w:p>
          <w:p w14:paraId="09A8B0AB">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1.提供差异化触觉纹理（粗糙/柔软/光滑/颗粒感），刺激触觉神经发育；</w:t>
            </w:r>
          </w:p>
          <w:p w14:paraId="48831DA7">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2.增强颜色形状辨别、专注力及感官-动作协调能力；</w:t>
            </w:r>
          </w:p>
          <w:p w14:paraId="7A0A3D24">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3.促进情绪安抚与沟通表达。</w:t>
            </w:r>
          </w:p>
          <w:p w14:paraId="7A32F3AA">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配置清单：</w:t>
            </w:r>
          </w:p>
          <w:p w14:paraId="30628208">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1.日常生活感官毯：包含拉链、魔术贴、系鞋带、纽扣、座椅扣、触摸区</w:t>
            </w:r>
          </w:p>
          <w:p w14:paraId="0FD7811F">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2.感官垫：包括蛇皮圆形、抓绒梯形、羊绒五角形、地毯正方形、灯芯绒六边形、砂纸三角形、亮片心形。</w:t>
            </w:r>
          </w:p>
          <w:p w14:paraId="6D7613B8">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3.感官安全屋：尺寸120x120x120cm,材质为牛津布。</w:t>
            </w:r>
          </w:p>
          <w:p w14:paraId="327EE6F7">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4.感官灯：尺寸14x36cm，材质为塑料，具有鱼群游动，可以变换颜色。</w:t>
            </w:r>
          </w:p>
          <w:p w14:paraId="5EBB24E6">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提示系统：配置包括动物园、情绪、天气、动物、感觉、沟通、日程、食品、通讯簿及动画等内容，图文数量不少于5000份。可选1/2/4/8/12/18/24/32等格数进行模板编辑，编辑好的模板可以直接打印（投标文件中需提供该功能的证明材料，包括但不限于彩页或功能截图等材料）。</w:t>
            </w:r>
          </w:p>
          <w:p w14:paraId="160A6CD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孤独症触觉感官套件产品须符合GB6675-2014《玩具安全》系列标准（提供第三方检验检测机构依据上述标准检测并合格的检测报告，检测报告中须标注检验检测机构资质认定标志CMA有效，检测报告扫描件盖投标人公章有效），不符合做无效标处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硬件参数不低于：</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训练端一台：1.屏幕尺寸为10.1英寸，1920*1200分辨率；2.内置5100mAh电池；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3.主摄像头500w，副摄像头200w，自动对焦；4.存储：4GB+128GB。5. CPU：八核；</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教师端设备一套：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1、电脑主机：CPUI5、4GB内存、独立显卡、500GB硬盘、键盘、鼠标； 2、19寸显示器；3、有源音箱 4、19寸触屏显示器 5、彩色喷墨打印机 ；6、ABS工作台车：长1870宽610高850mm。  强化工具清单一套：海绵棒、吸管、红色T字咬胶、黄色T字咬胶、紫色P字咬胶、绿色P字咬胶、下颌骨分级调控咬牙棒、泡泡水、吹气笛、压舌板、舌尖训练器、舌尖两侧转移训练器、舌尖上压训练器、下颌骨闭合胶管、气球和鼻子笛。</w:t>
            </w:r>
          </w:p>
        </w:tc>
        <w:tc>
          <w:tcPr>
            <w:tcW w:w="2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20E0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2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71EB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7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7204C">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shd w:val="clear" w:color="auto" w:fill="FFFFFF"/>
                <w:lang w:val="en-US" w:eastAsia="zh-CN" w:bidi="ar"/>
              </w:rPr>
              <w:drawing>
                <wp:anchor distT="0" distB="0" distL="114300" distR="114300" simplePos="0" relativeHeight="251669504" behindDoc="0" locked="0" layoutInCell="1" allowOverlap="1">
                  <wp:simplePos x="0" y="0"/>
                  <wp:positionH relativeFrom="column">
                    <wp:posOffset>85725</wp:posOffset>
                  </wp:positionH>
                  <wp:positionV relativeFrom="paragraph">
                    <wp:posOffset>560705</wp:posOffset>
                  </wp:positionV>
                  <wp:extent cx="913765" cy="843280"/>
                  <wp:effectExtent l="0" t="0" r="635" b="1397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8"/>
                          <a:stretch>
                            <a:fillRect/>
                          </a:stretch>
                        </pic:blipFill>
                        <pic:spPr>
                          <a:xfrm>
                            <a:off x="0" y="0"/>
                            <a:ext cx="913765" cy="84328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highlight w:val="none"/>
                <w:u w:val="none"/>
                <w:bdr w:val="single" w:color="000000" w:sz="4" w:space="0"/>
                <w:shd w:val="clear" w:color="auto" w:fill="FFFFFF"/>
                <w:lang w:val="en-US" w:eastAsia="zh-CN" w:bidi="ar"/>
              </w:rPr>
              <w:drawing>
                <wp:anchor distT="0" distB="0" distL="114300" distR="114300" simplePos="0" relativeHeight="251668480" behindDoc="0" locked="0" layoutInCell="1" allowOverlap="1">
                  <wp:simplePos x="0" y="0"/>
                  <wp:positionH relativeFrom="column">
                    <wp:posOffset>121285</wp:posOffset>
                  </wp:positionH>
                  <wp:positionV relativeFrom="paragraph">
                    <wp:posOffset>2226310</wp:posOffset>
                  </wp:positionV>
                  <wp:extent cx="835660" cy="923925"/>
                  <wp:effectExtent l="0" t="0" r="2540" b="9525"/>
                  <wp:wrapNone/>
                  <wp:docPr id="15" name="图片_2"/>
                  <wp:cNvGraphicFramePr/>
                  <a:graphic xmlns:a="http://schemas.openxmlformats.org/drawingml/2006/main">
                    <a:graphicData uri="http://schemas.openxmlformats.org/drawingml/2006/picture">
                      <pic:pic xmlns:pic="http://schemas.openxmlformats.org/drawingml/2006/picture">
                        <pic:nvPicPr>
                          <pic:cNvPr id="15" name="图片_2"/>
                          <pic:cNvPicPr/>
                        </pic:nvPicPr>
                        <pic:blipFill>
                          <a:blip r:embed="rId19"/>
                          <a:stretch>
                            <a:fillRect/>
                          </a:stretch>
                        </pic:blipFill>
                        <pic:spPr>
                          <a:xfrm>
                            <a:off x="0" y="0"/>
                            <a:ext cx="835660" cy="923925"/>
                          </a:xfrm>
                          <a:prstGeom prst="rect">
                            <a:avLst/>
                          </a:prstGeom>
                          <a:noFill/>
                          <a:ln>
                            <a:noFill/>
                          </a:ln>
                        </pic:spPr>
                      </pic:pic>
                    </a:graphicData>
                  </a:graphic>
                </wp:anchor>
              </w:drawing>
            </w:r>
          </w:p>
        </w:tc>
      </w:tr>
      <w:tr w14:paraId="405BA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3" w:hRule="atLeast"/>
        </w:trPr>
        <w:tc>
          <w:tcPr>
            <w:tcW w:w="266" w:type="pct"/>
            <w:tcBorders>
              <w:top w:val="single" w:color="000000" w:sz="4" w:space="0"/>
              <w:left w:val="single" w:color="000000" w:sz="4" w:space="0"/>
              <w:bottom w:val="single" w:color="000000" w:sz="4" w:space="0"/>
              <w:right w:val="single" w:color="000000" w:sz="4" w:space="0"/>
            </w:tcBorders>
            <w:noWrap/>
            <w:vAlign w:val="center"/>
          </w:tcPr>
          <w:p w14:paraId="41BAFBB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14:paraId="413A684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配套桌椅</w:t>
            </w:r>
          </w:p>
        </w:tc>
        <w:tc>
          <w:tcPr>
            <w:tcW w:w="2971" w:type="pct"/>
            <w:tcBorders>
              <w:top w:val="single" w:color="000000" w:sz="4" w:space="0"/>
              <w:left w:val="single" w:color="000000" w:sz="4" w:space="0"/>
              <w:bottom w:val="single" w:color="000000" w:sz="4" w:space="0"/>
              <w:right w:val="single" w:color="000000" w:sz="4" w:space="0"/>
            </w:tcBorders>
            <w:noWrap w:val="0"/>
            <w:vAlign w:val="center"/>
          </w:tcPr>
          <w:p w14:paraId="16F6EA3C">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22"/>
                <w:szCs w:val="22"/>
                <w:highlight w:val="none"/>
                <w:u w:val="none"/>
                <w:lang w:val="en-US" w:eastAsia="zh-CN" w:bidi="ar"/>
              </w:rPr>
              <w:t>月亮桌，桌子材质橡胶木  尺寸：190*90*70cm；需求定制，满足不同年龄段学生的需求。椅子松木材质，外形尺寸：47*46*68cm 坐垫宽42cm 座面高度可调节36-47cm 脚踏高度7.5-19.4cm可调节 坐垫可10档前后调节  靠背可2档前后调节 梯形稳固结构。</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0FE760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57" w:type="pct"/>
            <w:tcBorders>
              <w:top w:val="single" w:color="000000" w:sz="4" w:space="0"/>
              <w:left w:val="single" w:color="000000" w:sz="4" w:space="0"/>
              <w:bottom w:val="single" w:color="000000" w:sz="4" w:space="0"/>
              <w:right w:val="single" w:color="000000" w:sz="4" w:space="0"/>
            </w:tcBorders>
            <w:noWrap w:val="0"/>
            <w:vAlign w:val="center"/>
          </w:tcPr>
          <w:p w14:paraId="1A5D83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265491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287020</wp:posOffset>
                  </wp:positionH>
                  <wp:positionV relativeFrom="paragraph">
                    <wp:posOffset>1132205</wp:posOffset>
                  </wp:positionV>
                  <wp:extent cx="642620" cy="452120"/>
                  <wp:effectExtent l="0" t="0" r="5080" b="5080"/>
                  <wp:wrapNone/>
                  <wp:docPr id="3" name="ID_BA9BD0C3E1F442A594BF5887738B4B34"/>
                  <wp:cNvGraphicFramePr/>
                  <a:graphic xmlns:a="http://schemas.openxmlformats.org/drawingml/2006/main">
                    <a:graphicData uri="http://schemas.openxmlformats.org/drawingml/2006/picture">
                      <pic:pic xmlns:pic="http://schemas.openxmlformats.org/drawingml/2006/picture">
                        <pic:nvPicPr>
                          <pic:cNvPr id="3" name="ID_BA9BD0C3E1F442A594BF5887738B4B34"/>
                          <pic:cNvPicPr/>
                        </pic:nvPicPr>
                        <pic:blipFill>
                          <a:blip r:embed="rId20"/>
                          <a:stretch>
                            <a:fillRect/>
                          </a:stretch>
                        </pic:blipFill>
                        <pic:spPr>
                          <a:xfrm>
                            <a:off x="0" y="0"/>
                            <a:ext cx="642620" cy="4521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398145</wp:posOffset>
                  </wp:positionH>
                  <wp:positionV relativeFrom="paragraph">
                    <wp:posOffset>201295</wp:posOffset>
                  </wp:positionV>
                  <wp:extent cx="407035" cy="514985"/>
                  <wp:effectExtent l="0" t="0" r="12065" b="18415"/>
                  <wp:wrapNone/>
                  <wp:docPr id="2" name="ID_58C2F30C8BBF47F0829200B53AD15C81"/>
                  <wp:cNvGraphicFramePr/>
                  <a:graphic xmlns:a="http://schemas.openxmlformats.org/drawingml/2006/main">
                    <a:graphicData uri="http://schemas.openxmlformats.org/drawingml/2006/picture">
                      <pic:pic xmlns:pic="http://schemas.openxmlformats.org/drawingml/2006/picture">
                        <pic:nvPicPr>
                          <pic:cNvPr id="2" name="ID_58C2F30C8BBF47F0829200B53AD15C81"/>
                          <pic:cNvPicPr/>
                        </pic:nvPicPr>
                        <pic:blipFill>
                          <a:blip r:embed="rId21"/>
                          <a:stretch>
                            <a:fillRect/>
                          </a:stretch>
                        </pic:blipFill>
                        <pic:spPr>
                          <a:xfrm>
                            <a:off x="0" y="0"/>
                            <a:ext cx="407035" cy="514985"/>
                          </a:xfrm>
                          <a:prstGeom prst="rect">
                            <a:avLst/>
                          </a:prstGeom>
                          <a:noFill/>
                          <a:ln>
                            <a:noFill/>
                          </a:ln>
                        </pic:spPr>
                      </pic:pic>
                    </a:graphicData>
                  </a:graphic>
                </wp:anchor>
              </w:drawing>
            </w:r>
          </w:p>
        </w:tc>
      </w:tr>
      <w:tr w14:paraId="1B30A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6"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595F220B">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注：</w:t>
            </w:r>
          </w:p>
          <w:p w14:paraId="164140CD">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参考图片:所附 图片仅辅助理解采购意图，不作为评审依据。图片与文字参数不一致的，以文字参数为准，以确</w:t>
            </w:r>
          </w:p>
          <w:p w14:paraId="552F023C">
            <w:pPr>
              <w:keepNext w:val="0"/>
              <w:keepLines w:val="0"/>
              <w:widowControl/>
              <w:suppressLineNumbers w:val="0"/>
              <w:jc w:val="left"/>
              <w:textAlignment w:val="center"/>
              <w:rPr>
                <w:rFonts w:hint="eastAsia"/>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保采购需求的明确性与可行性。</w:t>
            </w:r>
          </w:p>
        </w:tc>
      </w:tr>
    </w:tbl>
    <w:p w14:paraId="64C472CB">
      <w:pPr>
        <w:pStyle w:val="3"/>
        <w:ind w:left="0" w:leftChars="0" w:firstLine="0" w:firstLineChars="0"/>
        <w:rPr>
          <w:rFonts w:hint="eastAsia" w:ascii="宋体" w:hAnsi="宋体" w:eastAsia="宋体" w:cs="宋体"/>
          <w:highlight w:val="none"/>
        </w:rPr>
      </w:pPr>
    </w:p>
    <w:p w14:paraId="6DF7FFDB">
      <w:pPr>
        <w:spacing w:beforeLines="0" w:afterLines="0" w:line="360" w:lineRule="auto"/>
        <w:ind w:firstLine="560" w:firstLineChars="200"/>
        <w:rPr>
          <w:rFonts w:hint="default" w:ascii="Times New Roman" w:hAnsi="Times New Roman" w:eastAsia="宋体" w:cs="Times New Roman"/>
          <w:sz w:val="28"/>
          <w:szCs w:val="28"/>
          <w:highlight w:val="none"/>
          <w:lang w:eastAsia="zh-CN"/>
        </w:rPr>
      </w:pPr>
    </w:p>
    <w:p w14:paraId="7176591F">
      <w:pPr>
        <w:rPr>
          <w:rFonts w:hint="default" w:ascii="Times New Roman" w:hAnsi="Times New Roman" w:eastAsia="宋体" w:cs="Times New Roman"/>
          <w:sz w:val="28"/>
          <w:szCs w:val="28"/>
          <w:highlight w:val="none"/>
        </w:rPr>
      </w:pPr>
    </w:p>
    <w:p w14:paraId="08758CCF">
      <w:pPr>
        <w:pStyle w:val="2"/>
        <w:rPr>
          <w:rFonts w:hint="default"/>
        </w:rPr>
      </w:pPr>
    </w:p>
    <w:p w14:paraId="251CEC2E">
      <w:pPr>
        <w:pStyle w:val="3"/>
        <w:rPr>
          <w:rFonts w:hint="default"/>
        </w:rPr>
      </w:pPr>
    </w:p>
    <w:p w14:paraId="150E9C7B">
      <w:pPr>
        <w:pStyle w:val="3"/>
        <w:rPr>
          <w:rFonts w:hint="default"/>
        </w:rPr>
      </w:pPr>
    </w:p>
    <w:p w14:paraId="5D302116">
      <w:pPr>
        <w:pStyle w:val="3"/>
        <w:rPr>
          <w:rFonts w:hint="default"/>
        </w:rPr>
      </w:pPr>
    </w:p>
    <w:p w14:paraId="03BE59D4">
      <w:pPr>
        <w:pStyle w:val="3"/>
        <w:rPr>
          <w:rFonts w:hint="default"/>
        </w:rPr>
      </w:pPr>
    </w:p>
    <w:p w14:paraId="76F924ED">
      <w:pPr>
        <w:pStyle w:val="3"/>
        <w:rPr>
          <w:rFonts w:hint="default"/>
        </w:rPr>
      </w:pPr>
    </w:p>
    <w:p w14:paraId="3CA2904E">
      <w:pPr>
        <w:pStyle w:val="3"/>
        <w:rPr>
          <w:rFonts w:hint="default"/>
        </w:rPr>
      </w:pPr>
    </w:p>
    <w:p w14:paraId="61DF4040">
      <w:pPr>
        <w:pStyle w:val="3"/>
        <w:rPr>
          <w:rFonts w:hint="default"/>
        </w:rPr>
      </w:pPr>
    </w:p>
    <w:p w14:paraId="765895FE">
      <w:pPr>
        <w:pStyle w:val="3"/>
        <w:rPr>
          <w:rFonts w:hint="default"/>
        </w:rPr>
      </w:pPr>
    </w:p>
    <w:p w14:paraId="3C6624DB">
      <w:pPr>
        <w:pStyle w:val="3"/>
        <w:rPr>
          <w:rFonts w:hint="default"/>
        </w:rPr>
      </w:pPr>
    </w:p>
    <w:p w14:paraId="0FF227A6">
      <w:pPr>
        <w:pStyle w:val="3"/>
        <w:rPr>
          <w:rFonts w:hint="default"/>
        </w:rPr>
      </w:pPr>
    </w:p>
    <w:p w14:paraId="230833B9">
      <w:pPr>
        <w:pStyle w:val="3"/>
        <w:rPr>
          <w:rFonts w:hint="default"/>
        </w:rPr>
      </w:pPr>
    </w:p>
    <w:p w14:paraId="7639BBAC">
      <w:pPr>
        <w:pStyle w:val="3"/>
        <w:rPr>
          <w:rFonts w:hint="default"/>
        </w:rPr>
      </w:pPr>
    </w:p>
    <w:p w14:paraId="779B3B12">
      <w:pPr>
        <w:pStyle w:val="3"/>
        <w:rPr>
          <w:rFonts w:hint="default"/>
        </w:rPr>
      </w:pPr>
    </w:p>
    <w:p w14:paraId="26042B69">
      <w:pPr>
        <w:pStyle w:val="3"/>
        <w:rPr>
          <w:rFonts w:hint="default"/>
        </w:rPr>
      </w:pPr>
    </w:p>
    <w:p w14:paraId="54C695D8">
      <w:pPr>
        <w:rPr>
          <w:rFonts w:hint="default"/>
        </w:rPr>
      </w:pPr>
    </w:p>
    <w:p w14:paraId="4C1ECADF">
      <w:pPr>
        <w:rPr>
          <w:rFonts w:hint="default" w:ascii="Times New Roman" w:hAnsi="Times New Roman" w:eastAsia="宋体" w:cs="Times New Roman"/>
          <w:sz w:val="28"/>
          <w:szCs w:val="28"/>
          <w:highlight w:val="none"/>
        </w:rPr>
      </w:pPr>
    </w:p>
    <w:p w14:paraId="65E2CA72">
      <w:pPr>
        <w:rPr>
          <w:rFonts w:hint="default" w:ascii="Times New Roman" w:hAnsi="Times New Roman" w:cs="Times New Roman" w:eastAsiaTheme="minorEastAsia"/>
          <w:sz w:val="32"/>
          <w:szCs w:val="32"/>
          <w:highlight w:val="none"/>
        </w:rPr>
      </w:pPr>
    </w:p>
    <w:p w14:paraId="056F6283">
      <w:pPr>
        <w:pStyle w:val="4"/>
        <w:spacing w:before="0" w:beforeLines="0" w:after="0" w:afterLines="0" w:line="360" w:lineRule="auto"/>
        <w:jc w:val="center"/>
        <w:rPr>
          <w:rFonts w:hint="default" w:ascii="Times New Roman" w:hAnsi="Times New Roman" w:cs="Times New Roman" w:eastAsiaTheme="minorEastAsia"/>
          <w:sz w:val="32"/>
          <w:szCs w:val="32"/>
          <w:highlight w:val="none"/>
        </w:rPr>
      </w:pPr>
      <w:r>
        <w:rPr>
          <w:rFonts w:hint="default" w:ascii="Times New Roman" w:hAnsi="Times New Roman" w:cs="Times New Roman" w:eastAsiaTheme="minorEastAsia"/>
          <w:sz w:val="32"/>
          <w:szCs w:val="32"/>
          <w:highlight w:val="none"/>
        </w:rPr>
        <w:t>第</w:t>
      </w:r>
      <w:r>
        <w:rPr>
          <w:rFonts w:hint="default" w:ascii="Times New Roman" w:hAnsi="Times New Roman" w:cs="Times New Roman" w:eastAsiaTheme="minorEastAsia"/>
          <w:sz w:val="32"/>
          <w:szCs w:val="32"/>
          <w:highlight w:val="none"/>
          <w:lang w:eastAsia="zh-CN"/>
        </w:rPr>
        <w:t>四</w:t>
      </w:r>
      <w:r>
        <w:rPr>
          <w:rFonts w:hint="default" w:ascii="Times New Roman" w:hAnsi="Times New Roman" w:cs="Times New Roman" w:eastAsiaTheme="minorEastAsia"/>
          <w:sz w:val="32"/>
          <w:szCs w:val="32"/>
          <w:highlight w:val="none"/>
        </w:rPr>
        <w:t>章 资格审查</w:t>
      </w:r>
    </w:p>
    <w:p w14:paraId="3A94683B">
      <w:pPr>
        <w:spacing w:beforeLines="0" w:afterLines="0" w:line="360" w:lineRule="auto"/>
        <w:ind w:firstLine="0"/>
        <w:rPr>
          <w:rFonts w:hint="default" w:ascii="Times New Roman" w:hAnsi="Times New Roman" w:cs="Times New Roman" w:eastAsiaTheme="minorEastAsia"/>
          <w:bCs/>
          <w:sz w:val="28"/>
          <w:szCs w:val="28"/>
          <w:highlight w:val="none"/>
          <w:lang w:val="zh-CN"/>
        </w:rPr>
      </w:pPr>
    </w:p>
    <w:p w14:paraId="3D442A33">
      <w:pPr>
        <w:spacing w:beforeLines="0" w:afterLines="0" w:line="360" w:lineRule="auto"/>
        <w:ind w:firstLine="0"/>
        <w:rPr>
          <w:rFonts w:hint="default" w:ascii="Times New Roman" w:hAnsi="Times New Roman" w:cs="Times New Roman" w:eastAsiaTheme="minorEastAsia"/>
          <w:b/>
          <w:bCs w:val="0"/>
          <w:sz w:val="28"/>
          <w:szCs w:val="28"/>
          <w:highlight w:val="none"/>
          <w:lang w:val="en-US" w:eastAsia="zh-CN"/>
        </w:rPr>
      </w:pPr>
      <w:r>
        <w:rPr>
          <w:rFonts w:hint="default" w:ascii="Times New Roman" w:hAnsi="Times New Roman" w:cs="Times New Roman" w:eastAsiaTheme="minorEastAsia"/>
          <w:b/>
          <w:bCs w:val="0"/>
          <w:sz w:val="28"/>
          <w:szCs w:val="28"/>
          <w:highlight w:val="none"/>
          <w:lang w:val="en-US" w:eastAsia="zh-CN"/>
        </w:rPr>
        <w:t>一、资格审查程序</w:t>
      </w:r>
    </w:p>
    <w:p w14:paraId="339E9700">
      <w:pPr>
        <w:spacing w:beforeLines="0" w:afterLines="0" w:line="360" w:lineRule="auto"/>
        <w:ind w:firstLine="560"/>
        <w:rPr>
          <w:rFonts w:hint="default" w:ascii="Times New Roman" w:hAnsi="Times New Roman" w:cs="Times New Roman" w:eastAsiaTheme="minorEastAsia"/>
          <w:bCs/>
          <w:sz w:val="28"/>
          <w:szCs w:val="28"/>
          <w:highlight w:val="none"/>
          <w:lang w:val="en-US" w:eastAsia="zh-CN"/>
        </w:rPr>
      </w:pPr>
      <w:r>
        <w:rPr>
          <w:rFonts w:hint="default" w:ascii="Times New Roman" w:hAnsi="Times New Roman" w:cs="Times New Roman" w:eastAsiaTheme="minorEastAsia"/>
          <w:bCs/>
          <w:sz w:val="28"/>
          <w:szCs w:val="28"/>
          <w:highlight w:val="none"/>
          <w:lang w:val="en-US" w:eastAsia="zh-CN"/>
        </w:rPr>
        <w:t>1.开标结束后，根据《资格审查要求》依法对投标人的资格进行审查。</w:t>
      </w:r>
    </w:p>
    <w:p w14:paraId="5111A5C8">
      <w:pPr>
        <w:spacing w:beforeLines="0" w:afterLines="0" w:line="360" w:lineRule="auto"/>
        <w:ind w:firstLine="560"/>
        <w:rPr>
          <w:rFonts w:hint="default" w:ascii="Times New Roman" w:hAnsi="Times New Roman" w:cs="Times New Roman" w:eastAsiaTheme="minorEastAsia"/>
          <w:bCs/>
          <w:sz w:val="28"/>
          <w:szCs w:val="28"/>
          <w:highlight w:val="none"/>
          <w:lang w:val="en-US" w:eastAsia="zh-CN"/>
        </w:rPr>
      </w:pPr>
      <w:r>
        <w:rPr>
          <w:rFonts w:hint="default" w:ascii="Times New Roman" w:hAnsi="Times New Roman" w:cs="Times New Roman" w:eastAsiaTheme="minorEastAsia"/>
          <w:bCs/>
          <w:sz w:val="28"/>
          <w:szCs w:val="28"/>
          <w:highlight w:val="none"/>
          <w:lang w:val="en-US" w:eastAsia="zh-CN"/>
        </w:rPr>
        <w:t>2.投标人资格审查有任何一项不符合《资格审查要求》的，资格审查不合格，</w:t>
      </w:r>
      <w:r>
        <w:rPr>
          <w:rFonts w:hint="default" w:ascii="Times New Roman" w:hAnsi="Times New Roman" w:cs="Times New Roman" w:eastAsiaTheme="minorEastAsia"/>
          <w:b/>
          <w:bCs w:val="0"/>
          <w:sz w:val="28"/>
          <w:szCs w:val="28"/>
          <w:highlight w:val="none"/>
          <w:lang w:val="en-US" w:eastAsia="zh-CN"/>
        </w:rPr>
        <w:t>投标无效</w:t>
      </w:r>
      <w:r>
        <w:rPr>
          <w:rFonts w:hint="default" w:ascii="Times New Roman" w:hAnsi="Times New Roman" w:cs="Times New Roman" w:eastAsiaTheme="minorEastAsia"/>
          <w:bCs/>
          <w:sz w:val="28"/>
          <w:szCs w:val="28"/>
          <w:highlight w:val="none"/>
          <w:lang w:val="en-US" w:eastAsia="zh-CN"/>
        </w:rPr>
        <w:t>。</w:t>
      </w:r>
    </w:p>
    <w:p w14:paraId="29346D3F">
      <w:pPr>
        <w:spacing w:beforeLines="0" w:afterLines="0" w:line="360" w:lineRule="auto"/>
        <w:ind w:firstLine="560"/>
        <w:rPr>
          <w:rFonts w:hint="default" w:ascii="Times New Roman" w:hAnsi="Times New Roman" w:cs="Times New Roman" w:eastAsiaTheme="minorEastAsia"/>
          <w:bCs/>
          <w:sz w:val="28"/>
          <w:szCs w:val="28"/>
          <w:highlight w:val="none"/>
          <w:lang w:val="en-US" w:eastAsia="zh-CN"/>
        </w:rPr>
      </w:pPr>
      <w:r>
        <w:rPr>
          <w:rFonts w:hint="default" w:ascii="Times New Roman" w:hAnsi="Times New Roman" w:cs="Times New Roman" w:eastAsiaTheme="minorEastAsia"/>
          <w:bCs/>
          <w:sz w:val="28"/>
          <w:szCs w:val="28"/>
          <w:highlight w:val="none"/>
          <w:lang w:val="en-US" w:eastAsia="zh-CN"/>
        </w:rPr>
        <w:t>3.资格审查合格的投标人不足3家的，不得评标。</w:t>
      </w:r>
    </w:p>
    <w:p w14:paraId="0FC75F66">
      <w:pPr>
        <w:spacing w:beforeLines="0" w:afterLines="0" w:line="360" w:lineRule="auto"/>
        <w:ind w:firstLine="0"/>
        <w:rPr>
          <w:rFonts w:hint="default" w:ascii="Times New Roman" w:hAnsi="Times New Roman" w:cs="Times New Roman" w:eastAsiaTheme="minorEastAsia"/>
          <w:bCs/>
          <w:sz w:val="28"/>
          <w:szCs w:val="28"/>
          <w:highlight w:val="none"/>
          <w:lang w:val="en-US" w:eastAsia="zh-CN"/>
        </w:rPr>
      </w:pPr>
      <w:r>
        <w:rPr>
          <w:rFonts w:hint="default" w:ascii="Times New Roman" w:hAnsi="Times New Roman" w:cs="Times New Roman" w:eastAsiaTheme="minorEastAsia"/>
          <w:b/>
          <w:bCs w:val="0"/>
          <w:sz w:val="28"/>
          <w:szCs w:val="28"/>
          <w:highlight w:val="none"/>
          <w:lang w:val="en-US" w:eastAsia="zh-CN"/>
        </w:rPr>
        <w:t>二、资格审查要求</w:t>
      </w:r>
    </w:p>
    <w:tbl>
      <w:tblPr>
        <w:tblStyle w:val="24"/>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4"/>
        <w:gridCol w:w="2311"/>
        <w:gridCol w:w="6289"/>
      </w:tblGrid>
      <w:tr w14:paraId="5312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670D7EBD">
            <w:pPr>
              <w:spacing w:beforeLines="0" w:afterLines="0" w:line="360" w:lineRule="auto"/>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序号</w:t>
            </w:r>
          </w:p>
        </w:tc>
        <w:tc>
          <w:tcPr>
            <w:tcW w:w="2311" w:type="dxa"/>
            <w:noWrap w:val="0"/>
            <w:vAlign w:val="center"/>
          </w:tcPr>
          <w:p w14:paraId="20C8FA5A">
            <w:pPr>
              <w:spacing w:beforeLines="0" w:afterLines="0" w:line="360" w:lineRule="auto"/>
              <w:ind w:firstLine="0"/>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审查因素</w:t>
            </w:r>
          </w:p>
        </w:tc>
        <w:tc>
          <w:tcPr>
            <w:tcW w:w="6289" w:type="dxa"/>
            <w:noWrap w:val="0"/>
            <w:vAlign w:val="center"/>
          </w:tcPr>
          <w:p w14:paraId="6059E30C">
            <w:pPr>
              <w:spacing w:beforeLines="0" w:afterLines="0" w:line="360" w:lineRule="auto"/>
              <w:ind w:firstLine="0"/>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审查内容</w:t>
            </w:r>
          </w:p>
        </w:tc>
      </w:tr>
      <w:tr w14:paraId="23DB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24024683">
            <w:pPr>
              <w:spacing w:beforeLines="0" w:afterLines="0" w:line="360" w:lineRule="auto"/>
              <w:ind w:firstLine="0"/>
              <w:jc w:val="center"/>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1</w:t>
            </w:r>
          </w:p>
        </w:tc>
        <w:tc>
          <w:tcPr>
            <w:tcW w:w="2311" w:type="dxa"/>
            <w:noWrap w:val="0"/>
            <w:vAlign w:val="center"/>
          </w:tcPr>
          <w:p w14:paraId="6C8D46FC">
            <w:pPr>
              <w:spacing w:beforeLines="0" w:afterLines="0" w:line="360" w:lineRule="auto"/>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具有独立承担民事责任的能力</w:t>
            </w:r>
          </w:p>
        </w:tc>
        <w:tc>
          <w:tcPr>
            <w:tcW w:w="6289" w:type="dxa"/>
            <w:noWrap w:val="0"/>
            <w:vAlign w:val="center"/>
          </w:tcPr>
          <w:p w14:paraId="338FFEE7">
            <w:pPr>
              <w:spacing w:beforeLines="0" w:afterLines="0" w:line="360" w:lineRule="auto"/>
              <w:ind w:firstLine="0"/>
              <w:rPr>
                <w:rFonts w:hint="default" w:eastAsia="宋体"/>
                <w:bCs/>
                <w:sz w:val="24"/>
                <w:szCs w:val="24"/>
                <w:highlight w:val="none"/>
                <w:lang w:val="zh-CN"/>
              </w:rPr>
            </w:pPr>
            <w:r>
              <w:rPr>
                <w:rFonts w:hint="default" w:eastAsia="宋体"/>
                <w:bCs/>
                <w:sz w:val="24"/>
                <w:szCs w:val="24"/>
                <w:highlight w:val="none"/>
                <w:lang w:val="zh-CN"/>
              </w:rPr>
              <w:t>（</w:t>
            </w:r>
            <w:r>
              <w:rPr>
                <w:rFonts w:hint="default" w:eastAsia="宋体"/>
                <w:bCs/>
                <w:sz w:val="24"/>
                <w:szCs w:val="24"/>
                <w:highlight w:val="none"/>
                <w:lang w:val="zh-CN" w:eastAsia="zh-CN"/>
              </w:rPr>
              <w:t>1</w:t>
            </w:r>
            <w:r>
              <w:rPr>
                <w:rFonts w:hint="default" w:eastAsia="宋体"/>
                <w:bCs/>
                <w:sz w:val="24"/>
                <w:szCs w:val="24"/>
                <w:highlight w:val="none"/>
                <w:lang w:val="zh-CN"/>
              </w:rPr>
              <w:t>）投标人为企业（包括合伙企业）的，应提供有效的“营业执照”；</w:t>
            </w:r>
          </w:p>
          <w:p w14:paraId="65CFD1A4">
            <w:pPr>
              <w:spacing w:beforeLines="0" w:afterLines="0" w:line="360" w:lineRule="auto"/>
              <w:ind w:firstLine="0"/>
              <w:rPr>
                <w:rFonts w:hint="default" w:eastAsia="宋体"/>
                <w:bCs/>
                <w:sz w:val="24"/>
                <w:szCs w:val="24"/>
                <w:highlight w:val="none"/>
                <w:lang w:val="zh-CN"/>
              </w:rPr>
            </w:pPr>
            <w:r>
              <w:rPr>
                <w:rFonts w:hint="default" w:eastAsia="宋体"/>
                <w:bCs/>
                <w:sz w:val="24"/>
                <w:szCs w:val="24"/>
                <w:highlight w:val="none"/>
                <w:lang w:val="zh-CN"/>
              </w:rPr>
              <w:t>（</w:t>
            </w:r>
            <w:r>
              <w:rPr>
                <w:rFonts w:hint="default" w:eastAsia="宋体"/>
                <w:bCs/>
                <w:sz w:val="24"/>
                <w:szCs w:val="24"/>
                <w:highlight w:val="none"/>
                <w:lang w:val="zh-CN" w:eastAsia="zh-CN"/>
              </w:rPr>
              <w:t>2</w:t>
            </w:r>
            <w:r>
              <w:rPr>
                <w:rFonts w:hint="default" w:eastAsia="宋体"/>
                <w:bCs/>
                <w:sz w:val="24"/>
                <w:szCs w:val="24"/>
                <w:highlight w:val="none"/>
                <w:lang w:val="zh-CN"/>
              </w:rPr>
              <w:t>）投标人为事业单位的，应提供有效的“事业单位法人证书”；</w:t>
            </w:r>
          </w:p>
          <w:p w14:paraId="0FCBAB34">
            <w:pPr>
              <w:spacing w:beforeLines="0" w:afterLines="0" w:line="360" w:lineRule="auto"/>
              <w:ind w:firstLine="0"/>
              <w:rPr>
                <w:rFonts w:hint="default" w:eastAsia="宋体"/>
                <w:bCs/>
                <w:sz w:val="24"/>
                <w:szCs w:val="24"/>
                <w:highlight w:val="none"/>
                <w:lang w:val="zh-CN"/>
              </w:rPr>
            </w:pPr>
            <w:r>
              <w:rPr>
                <w:rFonts w:hint="default" w:eastAsia="宋体"/>
                <w:bCs/>
                <w:sz w:val="24"/>
                <w:szCs w:val="24"/>
                <w:highlight w:val="none"/>
                <w:lang w:val="zh-CN"/>
              </w:rPr>
              <w:t>（</w:t>
            </w:r>
            <w:r>
              <w:rPr>
                <w:rFonts w:hint="default" w:eastAsia="宋体"/>
                <w:bCs/>
                <w:sz w:val="24"/>
                <w:szCs w:val="24"/>
                <w:highlight w:val="none"/>
                <w:lang w:val="zh-CN" w:eastAsia="zh-CN"/>
              </w:rPr>
              <w:t>3</w:t>
            </w:r>
            <w:r>
              <w:rPr>
                <w:rFonts w:hint="default" w:eastAsia="宋体"/>
                <w:bCs/>
                <w:sz w:val="24"/>
                <w:szCs w:val="24"/>
                <w:highlight w:val="none"/>
                <w:lang w:val="zh-CN"/>
              </w:rPr>
              <w:t>）投标人是非企业机构的，应提供有效的“执业许可证”、“登记证书”等证明文件；</w:t>
            </w:r>
          </w:p>
          <w:p w14:paraId="110FB3CE">
            <w:pPr>
              <w:spacing w:beforeLines="0" w:afterLines="0" w:line="360" w:lineRule="auto"/>
              <w:ind w:firstLine="0"/>
              <w:rPr>
                <w:rFonts w:hint="default" w:eastAsia="宋体"/>
                <w:bCs/>
                <w:sz w:val="24"/>
                <w:szCs w:val="24"/>
                <w:highlight w:val="none"/>
                <w:lang w:val="zh-CN"/>
              </w:rPr>
            </w:pPr>
            <w:r>
              <w:rPr>
                <w:rFonts w:hint="default" w:eastAsia="宋体"/>
                <w:bCs/>
                <w:sz w:val="24"/>
                <w:szCs w:val="24"/>
                <w:highlight w:val="none"/>
                <w:lang w:val="zh-CN"/>
              </w:rPr>
              <w:t>（</w:t>
            </w:r>
            <w:r>
              <w:rPr>
                <w:rFonts w:hint="default" w:eastAsia="宋体"/>
                <w:bCs/>
                <w:sz w:val="24"/>
                <w:szCs w:val="24"/>
                <w:highlight w:val="none"/>
                <w:lang w:val="zh-CN" w:eastAsia="zh-CN"/>
              </w:rPr>
              <w:t>4</w:t>
            </w:r>
            <w:r>
              <w:rPr>
                <w:rFonts w:hint="default" w:eastAsia="宋体"/>
                <w:bCs/>
                <w:sz w:val="24"/>
                <w:szCs w:val="24"/>
                <w:highlight w:val="none"/>
                <w:lang w:val="zh-CN"/>
              </w:rPr>
              <w:t>）投标人是个体工商户的，应提供有效的“个体工商户营业执照”；</w:t>
            </w:r>
          </w:p>
          <w:p w14:paraId="11854483">
            <w:pPr>
              <w:spacing w:beforeLines="0" w:afterLines="0" w:line="360" w:lineRule="auto"/>
              <w:ind w:firstLine="0"/>
              <w:rPr>
                <w:rFonts w:hint="default"/>
                <w:sz w:val="24"/>
                <w:szCs w:val="24"/>
                <w:highlight w:val="none"/>
                <w:lang w:val="zh-CN"/>
              </w:rPr>
            </w:pPr>
            <w:r>
              <w:rPr>
                <w:rFonts w:hint="default" w:eastAsia="宋体"/>
                <w:bCs/>
                <w:sz w:val="24"/>
                <w:szCs w:val="24"/>
                <w:highlight w:val="none"/>
                <w:lang w:val="zh-CN"/>
              </w:rPr>
              <w:t>（</w:t>
            </w:r>
            <w:r>
              <w:rPr>
                <w:rFonts w:hint="default" w:eastAsia="宋体"/>
                <w:bCs/>
                <w:sz w:val="24"/>
                <w:szCs w:val="24"/>
                <w:highlight w:val="none"/>
                <w:lang w:val="zh-CN" w:eastAsia="zh-CN"/>
              </w:rPr>
              <w:t>5</w:t>
            </w:r>
            <w:r>
              <w:rPr>
                <w:rFonts w:hint="default" w:eastAsia="宋体"/>
                <w:bCs/>
                <w:sz w:val="24"/>
                <w:szCs w:val="24"/>
                <w:highlight w:val="none"/>
                <w:lang w:val="zh-CN"/>
              </w:rPr>
              <w:t>）投标人是自然人的，应提供有效的自然人身份证明。</w:t>
            </w:r>
          </w:p>
        </w:tc>
      </w:tr>
      <w:tr w14:paraId="6DD3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36D8DDEA">
            <w:pPr>
              <w:spacing w:beforeLines="0" w:afterLines="0" w:line="360" w:lineRule="auto"/>
              <w:ind w:firstLine="0"/>
              <w:jc w:val="center"/>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2</w:t>
            </w:r>
          </w:p>
        </w:tc>
        <w:tc>
          <w:tcPr>
            <w:tcW w:w="2311" w:type="dxa"/>
            <w:noWrap w:val="0"/>
            <w:vAlign w:val="center"/>
          </w:tcPr>
          <w:p w14:paraId="054129A7">
            <w:pPr>
              <w:spacing w:beforeLines="0" w:afterLines="0" w:line="360" w:lineRule="auto"/>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具有良好的商业信誉和健全的财务会计制度</w:t>
            </w:r>
          </w:p>
        </w:tc>
        <w:tc>
          <w:tcPr>
            <w:tcW w:w="6289" w:type="dxa"/>
            <w:noWrap w:val="0"/>
            <w:vAlign w:val="center"/>
          </w:tcPr>
          <w:p w14:paraId="190DB903">
            <w:pPr>
              <w:spacing w:beforeLines="0" w:afterLines="0" w:line="360" w:lineRule="auto"/>
              <w:ind w:firstLine="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具有良好的商业信誉和健全的财务会计制度：提供2023年度或2024年度经审计过的财务审计报告或财务报表（财务报表应至少包括资产负债表、利润表、现金流量表或财务状况变动表等）或银行出具的近三个月的资信证明，新成立不足一年的投标人无法提供审计报告，则需提供开户银行出具的有效的资信证明</w:t>
            </w:r>
          </w:p>
        </w:tc>
      </w:tr>
      <w:tr w14:paraId="1522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61B61D61">
            <w:pPr>
              <w:spacing w:beforeLines="0" w:afterLines="0" w:line="360" w:lineRule="auto"/>
              <w:ind w:firstLine="0"/>
              <w:jc w:val="center"/>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3</w:t>
            </w:r>
          </w:p>
        </w:tc>
        <w:tc>
          <w:tcPr>
            <w:tcW w:w="2311" w:type="dxa"/>
            <w:noWrap w:val="0"/>
            <w:vAlign w:val="center"/>
          </w:tcPr>
          <w:p w14:paraId="2C4E31ED">
            <w:pPr>
              <w:spacing w:beforeLines="0" w:afterLines="0" w:line="360" w:lineRule="auto"/>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具有履行合同所必需的设备和专业技术能力</w:t>
            </w:r>
          </w:p>
        </w:tc>
        <w:tc>
          <w:tcPr>
            <w:tcW w:w="6289" w:type="dxa"/>
            <w:noWrap w:val="0"/>
            <w:vAlign w:val="center"/>
          </w:tcPr>
          <w:p w14:paraId="28DE5628">
            <w:pPr>
              <w:spacing w:beforeLines="0" w:afterLines="0" w:line="360" w:lineRule="auto"/>
              <w:ind w:firstLine="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提供具有履行合同所必需的设备和专业技术能力的书面承诺函（可根据采购项目特点自行填写）</w:t>
            </w:r>
          </w:p>
        </w:tc>
      </w:tr>
      <w:tr w14:paraId="7188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61" w:hRule="atLeast"/>
          <w:jc w:val="center"/>
        </w:trPr>
        <w:tc>
          <w:tcPr>
            <w:tcW w:w="914" w:type="dxa"/>
            <w:noWrap w:val="0"/>
            <w:vAlign w:val="center"/>
          </w:tcPr>
          <w:p w14:paraId="39276C40">
            <w:pPr>
              <w:spacing w:beforeLines="0" w:afterLines="0" w:line="360" w:lineRule="auto"/>
              <w:ind w:firstLine="0"/>
              <w:jc w:val="center"/>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4</w:t>
            </w:r>
          </w:p>
        </w:tc>
        <w:tc>
          <w:tcPr>
            <w:tcW w:w="2311" w:type="dxa"/>
            <w:noWrap w:val="0"/>
            <w:vAlign w:val="center"/>
          </w:tcPr>
          <w:p w14:paraId="4839FD11">
            <w:pPr>
              <w:spacing w:beforeLines="0" w:afterLines="0" w:line="360" w:lineRule="auto"/>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有依法缴纳税收和社会保障资金的良好记录</w:t>
            </w:r>
          </w:p>
        </w:tc>
        <w:tc>
          <w:tcPr>
            <w:tcW w:w="6289" w:type="dxa"/>
            <w:noWrap w:val="0"/>
            <w:vAlign w:val="center"/>
          </w:tcPr>
          <w:p w14:paraId="66B859EE">
            <w:pPr>
              <w:spacing w:beforeLines="0" w:afterLines="0" w:line="360" w:lineRule="auto"/>
              <w:ind w:firstLine="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①供应商须提供响应截止日前六个月（近半年）内任意3个月的纳税证明资料（税收部门出具的完成税收缴纳证明）（注意：申报表、征集单、银行的缴纳回执单等不予认可）如依法免税或无需纳税的，应提供税收部门开具的相关证明材料证明其依法免税。（加盖单位公章）;</w:t>
            </w:r>
          </w:p>
          <w:p w14:paraId="58BE2E0B">
            <w:pPr>
              <w:spacing w:beforeLines="0" w:afterLines="0" w:line="360" w:lineRule="auto"/>
              <w:ind w:firstLine="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②供应商须提供响应截止日前六个月（近半年）内任意3个月的税收部门或社保机构出具的完成社保缴纳证明。如依法不需要缴纳社会保险费或拟缴纳暂未缴纳的，应提供相应文件予以证明。（注意：申报表、征集单、银行的缴纳回执单等不予认可。如委托其他机构代缴代扣，还需同时提供供应商与机构签署的服务合同或代缴协议，其中应明确写明第三方为供应商代缴其社会保险，否则不予认可）（加盖单位公章）</w:t>
            </w:r>
          </w:p>
        </w:tc>
      </w:tr>
      <w:tr w14:paraId="430C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7CE90498">
            <w:pPr>
              <w:spacing w:beforeLines="0" w:afterLines="0" w:line="360" w:lineRule="auto"/>
              <w:ind w:firstLine="0"/>
              <w:jc w:val="center"/>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5</w:t>
            </w:r>
          </w:p>
        </w:tc>
        <w:tc>
          <w:tcPr>
            <w:tcW w:w="2311" w:type="dxa"/>
            <w:noWrap w:val="0"/>
            <w:vAlign w:val="center"/>
          </w:tcPr>
          <w:p w14:paraId="5294D72A">
            <w:pPr>
              <w:spacing w:beforeLines="0" w:afterLines="0" w:line="360" w:lineRule="auto"/>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参加政府采购活动前三年内，在经营活动中没有重大违法记录</w:t>
            </w:r>
          </w:p>
        </w:tc>
        <w:tc>
          <w:tcPr>
            <w:tcW w:w="6289" w:type="dxa"/>
            <w:noWrap w:val="0"/>
            <w:vAlign w:val="center"/>
          </w:tcPr>
          <w:p w14:paraId="23778662">
            <w:pPr>
              <w:spacing w:beforeLines="0" w:afterLines="0" w:line="360" w:lineRule="auto"/>
              <w:ind w:firstLine="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提供符合招标文件要求的《资格承诺函》，或提供相应的证明材料。参加政府采购活动前3年内在经营活动中没有重大违法记录的书面承诺函;</w:t>
            </w:r>
          </w:p>
        </w:tc>
      </w:tr>
      <w:tr w14:paraId="1621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14B09983">
            <w:pPr>
              <w:spacing w:beforeLines="0" w:afterLines="0" w:line="360" w:lineRule="auto"/>
              <w:ind w:firstLine="0"/>
              <w:jc w:val="center"/>
              <w:rPr>
                <w:rFonts w:hint="default" w:ascii="Times New Roman" w:hAnsi="Times New Roman" w:eastAsia="宋体" w:cs="Times New Roman"/>
                <w:bCs/>
                <w:sz w:val="24"/>
                <w:szCs w:val="24"/>
                <w:highlight w:val="none"/>
                <w:lang w:val="en-US"/>
              </w:rPr>
            </w:pPr>
            <w:r>
              <w:rPr>
                <w:rFonts w:hint="default" w:ascii="Times New Roman" w:hAnsi="Times New Roman" w:eastAsia="宋体" w:cs="Times New Roman"/>
                <w:bCs/>
                <w:sz w:val="24"/>
                <w:szCs w:val="24"/>
                <w:highlight w:val="none"/>
                <w:lang w:val="en-US" w:eastAsia="zh-CN"/>
              </w:rPr>
              <w:t>6</w:t>
            </w:r>
          </w:p>
        </w:tc>
        <w:tc>
          <w:tcPr>
            <w:tcW w:w="2311" w:type="dxa"/>
            <w:noWrap w:val="0"/>
            <w:vAlign w:val="center"/>
          </w:tcPr>
          <w:p w14:paraId="7CED79A2">
            <w:pPr>
              <w:spacing w:beforeLines="0" w:afterLines="0" w:line="360" w:lineRule="auto"/>
              <w:ind w:firstLine="0"/>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投标人信用记录</w:t>
            </w:r>
          </w:p>
        </w:tc>
        <w:tc>
          <w:tcPr>
            <w:tcW w:w="6289" w:type="dxa"/>
            <w:noWrap w:val="0"/>
            <w:vAlign w:val="center"/>
          </w:tcPr>
          <w:p w14:paraId="3A2322CE">
            <w:pPr>
              <w:spacing w:beforeLines="0" w:afterLines="0" w:line="360" w:lineRule="auto"/>
              <w:ind w:firstLine="0"/>
              <w:rPr>
                <w:rFonts w:hint="default" w:ascii="Times New Roman" w:hAnsi="Times New Roman" w:eastAsia="宋体" w:cs="Times New Roman"/>
                <w:b w:val="0"/>
                <w:bCs/>
                <w:sz w:val="24"/>
                <w:szCs w:val="24"/>
                <w:highlight w:val="none"/>
                <w:lang w:val="zh-CN" w:eastAsia="zh-CN"/>
              </w:rPr>
            </w:pPr>
            <w:r>
              <w:rPr>
                <w:rFonts w:hint="default" w:ascii="Times New Roman" w:hAnsi="Times New Roman" w:eastAsia="宋体" w:cs="Times New Roman"/>
                <w:bCs/>
                <w:sz w:val="24"/>
                <w:szCs w:val="24"/>
                <w:highlight w:val="none"/>
                <w:lang w:val="zh-CN"/>
              </w:rPr>
              <w:t>查询渠道：</w:t>
            </w:r>
            <w:r>
              <w:rPr>
                <w:rStyle w:val="26"/>
                <w:rFonts w:hint="default" w:ascii="Times New Roman" w:hAnsi="Times New Roman" w:eastAsia="宋体" w:cs="Times New Roman"/>
                <w:b w:val="0"/>
                <w:bCs/>
                <w:sz w:val="24"/>
                <w:szCs w:val="24"/>
                <w:highlight w:val="none"/>
                <w:lang w:val="zh-CN" w:eastAsia="zh-CN"/>
              </w:rPr>
              <w:t>“信用中国”网站、中国政府采购网</w:t>
            </w:r>
            <w:r>
              <w:rPr>
                <w:rStyle w:val="26"/>
                <w:rFonts w:hint="default" w:eastAsia="宋体" w:cs="Times New Roman"/>
                <w:b w:val="0"/>
                <w:bCs/>
                <w:sz w:val="24"/>
                <w:szCs w:val="24"/>
                <w:highlight w:val="none"/>
                <w:lang w:val="zh-CN" w:eastAsia="zh-CN"/>
              </w:rPr>
              <w:t>等渠道</w:t>
            </w:r>
            <w:r>
              <w:rPr>
                <w:rFonts w:hint="default" w:ascii="Times New Roman" w:hAnsi="Times New Roman" w:eastAsia="宋体" w:cs="Times New Roman"/>
                <w:b w:val="0"/>
                <w:bCs/>
                <w:sz w:val="24"/>
                <w:szCs w:val="24"/>
                <w:highlight w:val="none"/>
                <w:lang w:val="zh-CN" w:eastAsia="zh-CN"/>
              </w:rPr>
              <w:t>；</w:t>
            </w:r>
          </w:p>
          <w:p w14:paraId="7DE9D688">
            <w:pPr>
              <w:spacing w:beforeLines="0" w:afterLines="0" w:line="360" w:lineRule="auto"/>
              <w:ind w:firstLine="0"/>
              <w:rPr>
                <w:rFonts w:hint="default" w:ascii="Times New Roman" w:hAnsi="Times New Roman" w:eastAsia="宋体" w:cs="Times New Roman"/>
                <w:b w:val="0"/>
                <w:bCs/>
                <w:sz w:val="24"/>
                <w:szCs w:val="24"/>
                <w:highlight w:val="none"/>
                <w:lang w:val="zh-CN" w:eastAsia="zh-CN"/>
              </w:rPr>
            </w:pPr>
            <w:r>
              <w:rPr>
                <w:rFonts w:hint="default" w:ascii="Times New Roman" w:hAnsi="Times New Roman" w:eastAsia="宋体" w:cs="Times New Roman"/>
                <w:b w:val="0"/>
                <w:bCs/>
                <w:sz w:val="24"/>
                <w:szCs w:val="24"/>
                <w:highlight w:val="none"/>
                <w:lang w:val="zh-CN" w:eastAsia="zh-CN"/>
              </w:rPr>
              <w:t>查询时点：投标截止时间以后、资格审查阶段采购人或采购代理机构的实际查询时间；</w:t>
            </w:r>
          </w:p>
          <w:p w14:paraId="4CBA8DE9">
            <w:pPr>
              <w:spacing w:beforeLines="0" w:afterLines="0" w:line="360" w:lineRule="auto"/>
              <w:ind w:firstLine="0"/>
              <w:rPr>
                <w:rFonts w:hint="default" w:ascii="Times New Roman" w:hAnsi="Times New Roman" w:eastAsia="宋体" w:cs="Times New Roman"/>
                <w:b w:val="0"/>
                <w:bCs/>
                <w:sz w:val="24"/>
                <w:szCs w:val="24"/>
                <w:highlight w:val="none"/>
                <w:lang w:val="zh-CN" w:eastAsia="zh-CN"/>
              </w:rPr>
            </w:pPr>
            <w:r>
              <w:rPr>
                <w:rFonts w:hint="default" w:ascii="Times New Roman" w:hAnsi="Times New Roman" w:eastAsia="宋体" w:cs="Times New Roman"/>
                <w:b w:val="0"/>
                <w:bCs/>
                <w:sz w:val="24"/>
                <w:szCs w:val="24"/>
                <w:highlight w:val="none"/>
                <w:lang w:val="zh-CN" w:eastAsia="zh-CN"/>
              </w:rPr>
              <w:t>信用信息查询记录和证据留存具体方式：查询结果网页打印页作为查询记录和证据，与其他采购文件一并保存；</w:t>
            </w:r>
          </w:p>
          <w:p w14:paraId="58872D26">
            <w:pPr>
              <w:spacing w:beforeLines="0" w:afterLines="0" w:line="360" w:lineRule="auto"/>
              <w:ind w:firstLine="0"/>
              <w:rPr>
                <w:rFonts w:hint="default" w:ascii="Times New Roman" w:hAnsi="Times New Roman" w:eastAsia="宋体" w:cs="Times New Roman"/>
                <w:b w:val="0"/>
                <w:bCs/>
                <w:sz w:val="24"/>
                <w:szCs w:val="24"/>
                <w:highlight w:val="none"/>
                <w:lang w:val="zh-CN" w:eastAsia="zh-CN"/>
              </w:rPr>
            </w:pPr>
            <w:r>
              <w:rPr>
                <w:rFonts w:hint="default" w:ascii="Times New Roman" w:hAnsi="Times New Roman" w:eastAsia="宋体" w:cs="Times New Roman"/>
                <w:b w:val="0"/>
                <w:bCs/>
                <w:sz w:val="24"/>
                <w:szCs w:val="24"/>
                <w:highlight w:val="none"/>
                <w:lang w:val="zh-CN" w:eastAsia="zh-CN"/>
              </w:rPr>
              <w:t>信用信息的使用原则：</w:t>
            </w:r>
            <w:r>
              <w:rPr>
                <w:rStyle w:val="26"/>
                <w:rFonts w:hint="default" w:ascii="Times New Roman" w:hAnsi="Times New Roman" w:eastAsia="宋体" w:cs="Times New Roman"/>
                <w:b w:val="0"/>
                <w:bCs/>
                <w:sz w:val="24"/>
                <w:szCs w:val="24"/>
                <w:highlight w:val="none"/>
                <w:lang w:val="zh-CN" w:eastAsia="zh-CN"/>
              </w:rPr>
              <w:t>对列入失信被执行人、重大税收违法案件当事人名单、政府采购严重违法失信行为记录名单及其他不符合《中华人民共和国政府采购法》第二十二条规定条件的供应商，</w:t>
            </w:r>
            <w:r>
              <w:rPr>
                <w:rFonts w:hint="default" w:ascii="Times New Roman" w:hAnsi="Times New Roman" w:eastAsia="宋体" w:cs="Times New Roman"/>
                <w:b/>
                <w:bCs w:val="0"/>
                <w:sz w:val="24"/>
                <w:szCs w:val="24"/>
                <w:highlight w:val="none"/>
                <w:lang w:val="zh-CN" w:eastAsia="zh-CN"/>
              </w:rPr>
              <w:t>其投标无效</w:t>
            </w:r>
            <w:r>
              <w:rPr>
                <w:rFonts w:hint="default" w:ascii="Times New Roman" w:hAnsi="Times New Roman" w:eastAsia="宋体" w:cs="Times New Roman"/>
                <w:b w:val="0"/>
                <w:bCs/>
                <w:sz w:val="24"/>
                <w:szCs w:val="24"/>
                <w:highlight w:val="none"/>
                <w:lang w:val="zh-CN" w:eastAsia="zh-CN"/>
              </w:rPr>
              <w:t>。</w:t>
            </w:r>
            <w:r>
              <w:rPr>
                <w:rStyle w:val="26"/>
                <w:rFonts w:hint="default" w:ascii="Times New Roman" w:hAnsi="Times New Roman" w:eastAsia="宋体" w:cs="Times New Roman"/>
                <w:b w:val="0"/>
                <w:bCs/>
                <w:sz w:val="24"/>
                <w:szCs w:val="24"/>
                <w:highlight w:val="none"/>
                <w:lang w:val="zh-CN" w:eastAsia="zh-CN"/>
              </w:rPr>
              <w:t>联合体</w:t>
            </w:r>
            <w:r>
              <w:rPr>
                <w:rFonts w:hint="default" w:ascii="Times New Roman" w:hAnsi="Times New Roman" w:eastAsia="宋体" w:cs="Times New Roman"/>
                <w:b w:val="0"/>
                <w:bCs/>
                <w:sz w:val="24"/>
                <w:szCs w:val="24"/>
                <w:highlight w:val="none"/>
                <w:lang w:val="zh-CN" w:eastAsia="zh-CN"/>
              </w:rPr>
              <w:t>形式投标的</w:t>
            </w:r>
            <w:r>
              <w:rPr>
                <w:rStyle w:val="26"/>
                <w:rFonts w:hint="default" w:ascii="Times New Roman" w:hAnsi="Times New Roman" w:eastAsia="宋体" w:cs="Times New Roman"/>
                <w:b w:val="0"/>
                <w:bCs/>
                <w:sz w:val="24"/>
                <w:szCs w:val="24"/>
                <w:highlight w:val="none"/>
                <w:lang w:val="zh-CN" w:eastAsia="zh-CN"/>
              </w:rPr>
              <w:t>，联合体成员存在不良信用记录的，视同联合体存在不良信用记录</w:t>
            </w:r>
            <w:r>
              <w:rPr>
                <w:rFonts w:hint="default" w:ascii="Times New Roman" w:hAnsi="Times New Roman" w:eastAsia="宋体" w:cs="Times New Roman"/>
                <w:b w:val="0"/>
                <w:bCs/>
                <w:sz w:val="24"/>
                <w:szCs w:val="24"/>
                <w:highlight w:val="none"/>
                <w:lang w:val="zh-CN" w:eastAsia="zh-CN"/>
              </w:rPr>
              <w:t>，</w:t>
            </w:r>
            <w:r>
              <w:rPr>
                <w:rFonts w:hint="default" w:ascii="Times New Roman" w:hAnsi="Times New Roman" w:eastAsia="宋体" w:cs="Times New Roman"/>
                <w:b/>
                <w:bCs w:val="0"/>
                <w:sz w:val="24"/>
                <w:szCs w:val="24"/>
                <w:highlight w:val="none"/>
                <w:lang w:val="zh-CN" w:eastAsia="zh-CN"/>
              </w:rPr>
              <w:t>其投标无效</w:t>
            </w:r>
            <w:r>
              <w:rPr>
                <w:rFonts w:hint="default" w:ascii="Times New Roman" w:hAnsi="Times New Roman" w:eastAsia="宋体" w:cs="Times New Roman"/>
                <w:b w:val="0"/>
                <w:bCs/>
                <w:sz w:val="24"/>
                <w:szCs w:val="24"/>
                <w:highlight w:val="none"/>
                <w:lang w:val="zh-CN" w:eastAsia="zh-CN"/>
              </w:rPr>
              <w:t>。</w:t>
            </w:r>
          </w:p>
          <w:p w14:paraId="17CC63DA">
            <w:pPr>
              <w:spacing w:beforeLines="0" w:afterLines="0" w:line="360" w:lineRule="auto"/>
              <w:ind w:firstLine="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
                <w:bCs w:val="0"/>
                <w:sz w:val="24"/>
                <w:szCs w:val="24"/>
                <w:highlight w:val="none"/>
                <w:lang w:val="zh-CN" w:eastAsia="zh-CN"/>
              </w:rPr>
              <w:t>（此项资格条件无须投标人提供，由采购人或采购代理机构查询）</w:t>
            </w:r>
          </w:p>
        </w:tc>
      </w:tr>
      <w:tr w14:paraId="6818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2E58C371">
            <w:pPr>
              <w:spacing w:beforeLines="0" w:afterLines="0" w:line="360" w:lineRule="auto"/>
              <w:ind w:firstLine="0"/>
              <w:jc w:val="center"/>
              <w:rPr>
                <w:rFonts w:hint="default" w:ascii="Times New Roman" w:hAnsi="Times New Roman" w:eastAsia="宋体" w:cs="Times New Roman"/>
                <w:bCs/>
                <w:sz w:val="24"/>
                <w:szCs w:val="24"/>
                <w:highlight w:val="none"/>
                <w:lang w:val="en-US"/>
              </w:rPr>
            </w:pPr>
            <w:r>
              <w:rPr>
                <w:rFonts w:hint="default" w:ascii="Times New Roman" w:hAnsi="Times New Roman" w:eastAsia="宋体" w:cs="Times New Roman"/>
                <w:bCs/>
                <w:sz w:val="24"/>
                <w:szCs w:val="24"/>
                <w:highlight w:val="none"/>
                <w:lang w:val="en-US" w:eastAsia="zh-CN"/>
              </w:rPr>
              <w:t>7</w:t>
            </w:r>
          </w:p>
        </w:tc>
        <w:tc>
          <w:tcPr>
            <w:tcW w:w="2311" w:type="dxa"/>
            <w:noWrap w:val="0"/>
            <w:vAlign w:val="center"/>
          </w:tcPr>
          <w:p w14:paraId="71067268">
            <w:pPr>
              <w:numPr>
                <w:ilvl w:val="0"/>
                <w:numId w:val="0"/>
              </w:numPr>
              <w:spacing w:beforeLines="0" w:afterLines="0" w:line="360" w:lineRule="auto"/>
              <w:ind w:firstLine="0" w:firstLineChars="0"/>
              <w:rPr>
                <w:rFonts w:hint="default" w:ascii="Times New Roman" w:hAnsi="Times New Roman" w:eastAsia="宋体" w:cs="Times New Roman"/>
                <w:bCs/>
                <w:sz w:val="24"/>
                <w:szCs w:val="24"/>
                <w:highlight w:val="none"/>
                <w:lang w:val="zh-CN"/>
              </w:rPr>
            </w:pPr>
            <w:bookmarkStart w:id="0" w:name="OLE_LINK33"/>
            <w:r>
              <w:rPr>
                <w:rFonts w:hint="default" w:ascii="Times New Roman" w:hAnsi="Times New Roman" w:eastAsia="宋体" w:cs="Times New Roman"/>
                <w:bCs/>
                <w:sz w:val="24"/>
                <w:szCs w:val="24"/>
                <w:highlight w:val="none"/>
                <w:lang w:val="zh-CN"/>
              </w:rPr>
              <w:t>法律、行政法规规定的其他条件</w:t>
            </w:r>
            <w:bookmarkEnd w:id="0"/>
          </w:p>
        </w:tc>
        <w:tc>
          <w:tcPr>
            <w:tcW w:w="6289" w:type="dxa"/>
            <w:noWrap w:val="0"/>
            <w:vAlign w:val="center"/>
          </w:tcPr>
          <w:p w14:paraId="6DEA750B">
            <w:pPr>
              <w:numPr>
                <w:ilvl w:val="0"/>
                <w:numId w:val="0"/>
              </w:numPr>
              <w:spacing w:beforeLines="0" w:afterLines="0" w:line="360" w:lineRule="auto"/>
              <w:ind w:firstLine="0" w:firstLineChars="0"/>
              <w:rPr>
                <w:rFonts w:hint="default" w:ascii="Times New Roman" w:hAnsi="Times New Roman" w:eastAsia="宋体" w:cs="Times New Roman"/>
                <w:bCs/>
                <w:sz w:val="24"/>
                <w:szCs w:val="24"/>
                <w:highlight w:val="none"/>
                <w:lang w:val="zh-CN"/>
              </w:rPr>
            </w:pPr>
            <w:r>
              <w:rPr>
                <w:rFonts w:hint="eastAsia" w:ascii="Times New Roman" w:hAnsi="Times New Roman" w:eastAsia="宋体" w:cs="Times New Roman"/>
                <w:b/>
                <w:bCs w:val="0"/>
                <w:sz w:val="24"/>
                <w:szCs w:val="24"/>
                <w:highlight w:val="none"/>
                <w:lang w:val="zh-CN"/>
              </w:rPr>
              <w:t>无</w:t>
            </w:r>
          </w:p>
        </w:tc>
      </w:tr>
      <w:tr w14:paraId="6D89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40F67DA8">
            <w:pPr>
              <w:spacing w:beforeLines="0" w:afterLines="0" w:line="360" w:lineRule="auto"/>
              <w:ind w:firstLine="0"/>
              <w:jc w:val="center"/>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8</w:t>
            </w:r>
          </w:p>
        </w:tc>
        <w:tc>
          <w:tcPr>
            <w:tcW w:w="2311" w:type="dxa"/>
            <w:noWrap w:val="0"/>
            <w:vAlign w:val="center"/>
          </w:tcPr>
          <w:p w14:paraId="676E07AB">
            <w:pPr>
              <w:spacing w:beforeLines="0" w:afterLines="0" w:line="360" w:lineRule="auto"/>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落实政府采购政策需满足的资格要求</w:t>
            </w:r>
          </w:p>
        </w:tc>
        <w:tc>
          <w:tcPr>
            <w:tcW w:w="6289" w:type="dxa"/>
            <w:noWrap w:val="0"/>
            <w:vAlign w:val="center"/>
          </w:tcPr>
          <w:p w14:paraId="2C5BAEDD">
            <w:pPr>
              <w:numPr>
                <w:ilvl w:val="0"/>
                <w:numId w:val="0"/>
              </w:numPr>
              <w:spacing w:beforeLines="0" w:afterLines="0" w:line="360" w:lineRule="auto"/>
              <w:ind w:firstLine="0" w:firstLineChars="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kern w:val="2"/>
                <w:sz w:val="24"/>
                <w:szCs w:val="24"/>
                <w:highlight w:val="none"/>
                <w:lang w:val="zh-CN" w:eastAsia="zh-CN" w:bidi="ar-SA"/>
              </w:rPr>
              <w:t>（1）</w:t>
            </w:r>
            <w:r>
              <w:rPr>
                <w:rFonts w:hint="eastAsia" w:eastAsia="宋体" w:cs="Times New Roman"/>
                <w:b/>
                <w:bCs w:val="0"/>
                <w:sz w:val="24"/>
                <w:szCs w:val="24"/>
                <w:highlight w:val="none"/>
                <w:lang w:val="zh-CN"/>
              </w:rPr>
              <w:t>供应商为中小企业，请根据要求单独上传《中小企业声明函》。格式以采购文件要求为准</w:t>
            </w:r>
            <w:r>
              <w:rPr>
                <w:rFonts w:hint="default" w:ascii="Times New Roman" w:hAnsi="Times New Roman" w:eastAsia="宋体" w:cs="Times New Roman"/>
                <w:b/>
                <w:bCs w:val="0"/>
                <w:sz w:val="24"/>
                <w:szCs w:val="24"/>
                <w:highlight w:val="none"/>
                <w:lang w:val="zh-CN"/>
              </w:rPr>
              <w:t>。</w:t>
            </w:r>
          </w:p>
          <w:p w14:paraId="2FE8CCE7">
            <w:pPr>
              <w:numPr>
                <w:ilvl w:val="0"/>
                <w:numId w:val="0"/>
              </w:numPr>
              <w:spacing w:beforeLines="0" w:afterLines="0" w:line="360" w:lineRule="auto"/>
              <w:ind w:firstLine="0" w:firstLineChars="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若本项目或采购包涉及预留份额专门面向中小企业或小微企业采购，此时建议在《资格证明文件》中提供</w:t>
            </w:r>
            <w:r>
              <w:rPr>
                <w:rFonts w:hint="eastAsia" w:eastAsia="宋体" w:cs="Times New Roman"/>
                <w:bCs/>
                <w:sz w:val="24"/>
                <w:szCs w:val="24"/>
                <w:highlight w:val="none"/>
                <w:lang w:val="zh-CN"/>
              </w:rPr>
              <w:t>，</w:t>
            </w:r>
            <w:r>
              <w:rPr>
                <w:rFonts w:hint="default" w:ascii="Times New Roman" w:hAnsi="Times New Roman" w:eastAsia="宋体" w:cs="Times New Roman"/>
                <w:bCs/>
                <w:sz w:val="24"/>
                <w:szCs w:val="24"/>
                <w:highlight w:val="none"/>
                <w:lang w:val="zh-CN"/>
              </w:rPr>
              <w:t>其中：若投标人单独投标的，应提供符合要求的《中小企业声明函》或《残疾人福利性单位声明函》或由省级以上监狱管理局、戒毒管理局（含新疆生产建设兵团）出具的属于监狱企业的证明文件。</w:t>
            </w:r>
          </w:p>
          <w:p w14:paraId="47C1010E">
            <w:pPr>
              <w:numPr>
                <w:ilvl w:val="0"/>
                <w:numId w:val="0"/>
              </w:numPr>
              <w:spacing w:beforeLines="0" w:afterLines="0" w:line="360" w:lineRule="auto"/>
              <w:ind w:firstLine="0" w:firstLineChars="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kern w:val="2"/>
                <w:sz w:val="24"/>
                <w:szCs w:val="24"/>
                <w:highlight w:val="none"/>
                <w:lang w:val="zh-CN" w:eastAsia="zh-CN" w:bidi="ar-SA"/>
              </w:rPr>
              <w:t>（2）</w:t>
            </w:r>
            <w:r>
              <w:rPr>
                <w:rFonts w:hint="default" w:ascii="Times New Roman" w:hAnsi="Times New Roman" w:eastAsia="宋体" w:cs="Times New Roman"/>
                <w:bCs/>
                <w:sz w:val="24"/>
                <w:szCs w:val="24"/>
                <w:highlight w:val="none"/>
                <w:lang w:val="zh-CN"/>
              </w:rPr>
              <w:t>若本项目或采购包接受联合体形式参加或者允许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r>
      <w:tr w14:paraId="33D7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631ACF68">
            <w:pPr>
              <w:spacing w:line="360" w:lineRule="auto"/>
              <w:jc w:val="center"/>
              <w:rPr>
                <w:rFonts w:hint="default" w:ascii="Times New Roman" w:hAnsi="Times New Roman" w:eastAsia="宋体" w:cs="Times New Roman"/>
                <w:bCs/>
                <w:sz w:val="24"/>
                <w:szCs w:val="24"/>
                <w:highlight w:val="none"/>
                <w:lang w:val="en-US" w:eastAsia="zh-CN"/>
              </w:rPr>
            </w:pPr>
            <w:r>
              <w:rPr>
                <w:rFonts w:hint="eastAsia" w:ascii="Times New Roman" w:hAnsi="Times New Roman" w:cs="Times New Roman"/>
                <w:bCs/>
                <w:sz w:val="24"/>
                <w:szCs w:val="24"/>
                <w:highlight w:val="none"/>
                <w:lang w:val="en-US" w:eastAsia="zh-CN"/>
              </w:rPr>
              <w:t>9</w:t>
            </w:r>
          </w:p>
        </w:tc>
        <w:tc>
          <w:tcPr>
            <w:tcW w:w="2311" w:type="dxa"/>
            <w:noWrap w:val="0"/>
            <w:vAlign w:val="top"/>
          </w:tcPr>
          <w:p w14:paraId="0CBFC2BF">
            <w:pPr>
              <w:spacing w:beforeLines="0" w:afterLines="0" w:line="360" w:lineRule="auto"/>
              <w:ind w:firstLine="0" w:firstLineChars="0"/>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投标保证金</w:t>
            </w:r>
          </w:p>
        </w:tc>
        <w:tc>
          <w:tcPr>
            <w:tcW w:w="6289" w:type="dxa"/>
            <w:noWrap w:val="0"/>
            <w:vAlign w:val="center"/>
          </w:tcPr>
          <w:p w14:paraId="2B2DD51D">
            <w:pPr>
              <w:spacing w:beforeLines="0" w:afterLines="0" w:line="360" w:lineRule="auto"/>
              <w:ind w:firstLine="0" w:firstLineChars="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投标保证金缴纳凭证或金融机构、担保机构出具的保函</w:t>
            </w:r>
          </w:p>
        </w:tc>
      </w:tr>
      <w:tr w14:paraId="1DAE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914" w:type="dxa"/>
            <w:noWrap w:val="0"/>
            <w:vAlign w:val="center"/>
          </w:tcPr>
          <w:p w14:paraId="55A93188">
            <w:pPr>
              <w:spacing w:beforeLines="0" w:afterLines="0" w:line="360" w:lineRule="auto"/>
              <w:ind w:firstLine="0" w:firstLineChars="0"/>
              <w:jc w:val="center"/>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val="en-US" w:eastAsia="zh-CN"/>
              </w:rPr>
              <w:t>1</w:t>
            </w:r>
            <w:r>
              <w:rPr>
                <w:rFonts w:hint="eastAsia" w:cs="Times New Roman"/>
                <w:bCs/>
                <w:sz w:val="24"/>
                <w:szCs w:val="24"/>
                <w:highlight w:val="none"/>
                <w:lang w:val="en-US" w:eastAsia="zh-CN"/>
              </w:rPr>
              <w:t>0</w:t>
            </w:r>
          </w:p>
        </w:tc>
        <w:tc>
          <w:tcPr>
            <w:tcW w:w="2311" w:type="dxa"/>
            <w:noWrap w:val="0"/>
            <w:vAlign w:val="top"/>
          </w:tcPr>
          <w:p w14:paraId="6CF6D083">
            <w:pPr>
              <w:spacing w:beforeLines="0" w:afterLines="0" w:line="360" w:lineRule="auto"/>
              <w:ind w:firstLine="0" w:firstLineChars="0"/>
              <w:jc w:val="center"/>
              <w:rPr>
                <w:rFonts w:hint="default" w:ascii="Times New Roman" w:hAnsi="Times New Roman" w:eastAsia="宋体" w:cs="Times New Roman"/>
                <w:bCs/>
                <w:sz w:val="24"/>
                <w:szCs w:val="24"/>
                <w:highlight w:val="none"/>
                <w:lang w:val="zh-CN"/>
              </w:rPr>
            </w:pPr>
          </w:p>
          <w:p w14:paraId="23DEAD75">
            <w:pPr>
              <w:spacing w:beforeLines="0" w:afterLines="0" w:line="360" w:lineRule="auto"/>
              <w:ind w:firstLine="0" w:firstLineChars="0"/>
              <w:jc w:val="center"/>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其他</w:t>
            </w:r>
          </w:p>
        </w:tc>
        <w:tc>
          <w:tcPr>
            <w:tcW w:w="6289" w:type="dxa"/>
            <w:noWrap w:val="0"/>
            <w:vAlign w:val="center"/>
          </w:tcPr>
          <w:p w14:paraId="381C56DA">
            <w:pPr>
              <w:numPr>
                <w:ilvl w:val="0"/>
                <w:numId w:val="0"/>
              </w:numPr>
              <w:spacing w:beforeLines="0" w:afterLines="0" w:line="360" w:lineRule="auto"/>
              <w:ind w:firstLine="0" w:firstLineChars="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法人参加需提供：</w:t>
            </w:r>
            <w:r>
              <w:rPr>
                <w:rFonts w:hint="eastAsia" w:eastAsia="宋体" w:cs="Times New Roman"/>
                <w:bCs/>
                <w:sz w:val="24"/>
                <w:szCs w:val="24"/>
                <w:highlight w:val="none"/>
                <w:lang w:val="zh-CN"/>
              </w:rPr>
              <w:t>法定代表人身份证明</w:t>
            </w:r>
            <w:r>
              <w:rPr>
                <w:rFonts w:hint="default" w:ascii="Times New Roman" w:hAnsi="Times New Roman" w:eastAsia="宋体" w:cs="Times New Roman"/>
                <w:bCs/>
                <w:sz w:val="24"/>
                <w:szCs w:val="24"/>
                <w:highlight w:val="none"/>
                <w:lang w:val="zh-CN"/>
              </w:rPr>
              <w:t>原件及本人身份证原件扫描件；</w:t>
            </w:r>
          </w:p>
          <w:p w14:paraId="323B2890">
            <w:pPr>
              <w:numPr>
                <w:ilvl w:val="0"/>
                <w:numId w:val="0"/>
              </w:numPr>
              <w:spacing w:beforeLines="0" w:afterLines="0" w:line="360" w:lineRule="auto"/>
              <w:ind w:firstLine="0" w:firstLineChars="0"/>
              <w:rPr>
                <w:rFonts w:hint="default" w:ascii="Times New Roman" w:hAnsi="Times New Roman" w:eastAsia="宋体" w:cs="Times New Roman"/>
                <w:bCs/>
                <w:sz w:val="24"/>
                <w:szCs w:val="24"/>
                <w:highlight w:val="none"/>
                <w:lang w:val="zh-CN"/>
              </w:rPr>
            </w:pPr>
            <w:r>
              <w:rPr>
                <w:rFonts w:hint="default" w:ascii="Times New Roman" w:hAnsi="Times New Roman" w:eastAsia="宋体" w:cs="Times New Roman"/>
                <w:bCs/>
                <w:sz w:val="24"/>
                <w:szCs w:val="24"/>
                <w:highlight w:val="none"/>
                <w:lang w:val="zh-CN"/>
              </w:rPr>
              <w:t>被授权人参加需提供：法人代表授权委托书原件及被授权人《居民身份证》原件扫描件；</w:t>
            </w:r>
          </w:p>
        </w:tc>
      </w:tr>
    </w:tbl>
    <w:p w14:paraId="44286B0C">
      <w:pPr>
        <w:widowControl/>
        <w:spacing w:beforeLines="0" w:afterLines="0" w:line="360" w:lineRule="auto"/>
        <w:jc w:val="left"/>
        <w:rPr>
          <w:rFonts w:hint="default" w:ascii="Times New Roman" w:hAnsi="Times New Roman" w:cs="Times New Roman" w:eastAsiaTheme="minorEastAsia"/>
          <w:b/>
          <w:sz w:val="28"/>
          <w:szCs w:val="28"/>
          <w:highlight w:val="none"/>
          <w:lang w:val="zh-CN"/>
        </w:rPr>
      </w:pPr>
      <w:r>
        <w:rPr>
          <w:rFonts w:hint="default" w:ascii="Times New Roman" w:hAnsi="Times New Roman" w:cs="Times New Roman" w:eastAsiaTheme="minorEastAsia"/>
          <w:b/>
          <w:sz w:val="28"/>
          <w:szCs w:val="28"/>
          <w:highlight w:val="none"/>
          <w:lang w:val="zh-CN"/>
        </w:rPr>
        <w:br w:type="page"/>
      </w:r>
    </w:p>
    <w:p w14:paraId="210558F4">
      <w:pPr>
        <w:pStyle w:val="4"/>
        <w:spacing w:before="0" w:beforeLines="0" w:after="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32"/>
          <w:szCs w:val="32"/>
          <w:highlight w:val="none"/>
        </w:rPr>
        <w:t>第</w:t>
      </w:r>
      <w:r>
        <w:rPr>
          <w:rFonts w:hint="default" w:ascii="Times New Roman" w:hAnsi="Times New Roman" w:cs="Times New Roman" w:eastAsiaTheme="minorEastAsia"/>
          <w:sz w:val="32"/>
          <w:szCs w:val="32"/>
          <w:highlight w:val="none"/>
          <w:lang w:eastAsia="zh-CN"/>
        </w:rPr>
        <w:t>五</w:t>
      </w:r>
      <w:r>
        <w:rPr>
          <w:rFonts w:hint="default" w:ascii="Times New Roman" w:hAnsi="Times New Roman" w:cs="Times New Roman" w:eastAsiaTheme="minorEastAsia"/>
          <w:sz w:val="32"/>
          <w:szCs w:val="32"/>
          <w:highlight w:val="none"/>
        </w:rPr>
        <w:t xml:space="preserve">章 </w:t>
      </w:r>
      <w:r>
        <w:rPr>
          <w:rFonts w:hint="default" w:ascii="Times New Roman" w:hAnsi="Times New Roman" w:cs="Times New Roman" w:eastAsiaTheme="minorEastAsia"/>
          <w:sz w:val="32"/>
          <w:szCs w:val="32"/>
          <w:highlight w:val="none"/>
          <w:lang w:eastAsia="zh-CN"/>
        </w:rPr>
        <w:t>评标程序</w:t>
      </w:r>
    </w:p>
    <w:p w14:paraId="326F94F8">
      <w:pPr>
        <w:pStyle w:val="2"/>
        <w:tabs>
          <w:tab w:val="clear" w:pos="567"/>
        </w:tabs>
        <w:spacing w:before="0" w:beforeLines="0" w:afterLines="0" w:line="360" w:lineRule="auto"/>
        <w:ind w:firstLine="0" w:firstLineChars="0"/>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b/>
          <w:bCs/>
          <w:sz w:val="28"/>
          <w:szCs w:val="28"/>
          <w:highlight w:val="none"/>
          <w:lang w:eastAsia="zh-CN"/>
        </w:rPr>
        <w:t>一、投标文件的符合性审查</w:t>
      </w:r>
    </w:p>
    <w:p w14:paraId="6E055456">
      <w:pPr>
        <w:pStyle w:val="2"/>
        <w:tabs>
          <w:tab w:val="clear" w:pos="567"/>
        </w:tabs>
        <w:spacing w:before="0" w:beforeLines="0" w:afterLines="0" w:line="360" w:lineRule="auto"/>
        <w:ind w:firstLine="630" w:firstLineChars="225"/>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1.评标委员会对资格审查合格的投标人的投标文件进行符合性审查，以确定其是否满足招标文件的实质性要求。</w:t>
      </w:r>
    </w:p>
    <w:p w14:paraId="3DBB46B5">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2.评标委员会根据《符合性审查要求》中规定的审查因素和审查内容，对投标人的投标文件是否实质上响应招标文件进行符合性审查。投标人有任何一项不符合《符合性审查要求》的，</w:t>
      </w:r>
      <w:r>
        <w:rPr>
          <w:rFonts w:hint="default" w:ascii="Times New Roman" w:hAnsi="Times New Roman" w:cs="Times New Roman" w:eastAsiaTheme="minorEastAsia"/>
          <w:b/>
          <w:bCs/>
          <w:sz w:val="28"/>
          <w:szCs w:val="28"/>
          <w:highlight w:val="none"/>
          <w:lang w:val="en-US" w:eastAsia="zh-CN"/>
        </w:rPr>
        <w:t>投标无效</w:t>
      </w:r>
      <w:r>
        <w:rPr>
          <w:rFonts w:hint="default" w:ascii="Times New Roman" w:hAnsi="Times New Roman" w:cs="Times New Roman" w:eastAsiaTheme="minorEastAsia"/>
          <w:sz w:val="28"/>
          <w:szCs w:val="28"/>
          <w:highlight w:val="none"/>
          <w:lang w:val="en-US" w:eastAsia="zh-CN"/>
        </w:rPr>
        <w:t>。</w:t>
      </w:r>
    </w:p>
    <w:p w14:paraId="4D7B2C79">
      <w:pPr>
        <w:spacing w:beforeLines="0" w:afterLines="0" w:line="360" w:lineRule="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3.符合性审查要求</w:t>
      </w: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928"/>
        <w:gridCol w:w="6539"/>
      </w:tblGrid>
      <w:tr w14:paraId="5C17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9DE27A1">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eastAsia="zh-CN"/>
              </w:rPr>
            </w:pPr>
            <w:r>
              <w:rPr>
                <w:rFonts w:hint="default" w:ascii="Times New Roman" w:hAnsi="Times New Roman" w:cs="Times New Roman" w:eastAsiaTheme="minorEastAsia"/>
                <w:sz w:val="28"/>
                <w:szCs w:val="28"/>
                <w:vertAlign w:val="baseline"/>
                <w:lang w:eastAsia="zh-CN"/>
              </w:rPr>
              <w:t>序号</w:t>
            </w:r>
          </w:p>
        </w:tc>
        <w:tc>
          <w:tcPr>
            <w:tcW w:w="1928" w:type="dxa"/>
            <w:vAlign w:val="center"/>
          </w:tcPr>
          <w:p w14:paraId="5FCEF3B3">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eastAsia="zh-CN"/>
              </w:rPr>
            </w:pPr>
            <w:r>
              <w:rPr>
                <w:rFonts w:hint="default" w:ascii="Times New Roman" w:hAnsi="Times New Roman" w:cs="Times New Roman" w:eastAsiaTheme="minorEastAsia"/>
                <w:sz w:val="28"/>
                <w:szCs w:val="28"/>
                <w:vertAlign w:val="baseline"/>
                <w:lang w:eastAsia="zh-CN"/>
              </w:rPr>
              <w:t>审查因素</w:t>
            </w:r>
          </w:p>
        </w:tc>
        <w:tc>
          <w:tcPr>
            <w:tcW w:w="6539" w:type="dxa"/>
          </w:tcPr>
          <w:p w14:paraId="4CD1D7CF">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eastAsia="zh-CN"/>
              </w:rPr>
            </w:pPr>
            <w:r>
              <w:rPr>
                <w:rFonts w:hint="default" w:ascii="Times New Roman" w:hAnsi="Times New Roman" w:cs="Times New Roman" w:eastAsiaTheme="minorEastAsia"/>
                <w:sz w:val="28"/>
                <w:szCs w:val="28"/>
                <w:vertAlign w:val="baseline"/>
                <w:lang w:eastAsia="zh-CN"/>
              </w:rPr>
              <w:t>审查内容</w:t>
            </w:r>
          </w:p>
        </w:tc>
      </w:tr>
      <w:tr w14:paraId="0E8D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55CEFEE">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val="en-US" w:eastAsia="zh-CN"/>
              </w:rPr>
            </w:pPr>
            <w:bookmarkStart w:id="1" w:name="OLE_LINK34" w:colFirst="1" w:colLast="2"/>
            <w:r>
              <w:rPr>
                <w:rFonts w:hint="default" w:ascii="Times New Roman" w:hAnsi="Times New Roman" w:cs="Times New Roman" w:eastAsiaTheme="minorEastAsia"/>
                <w:sz w:val="28"/>
                <w:szCs w:val="28"/>
                <w:vertAlign w:val="baseline"/>
                <w:lang w:val="en-US" w:eastAsia="zh-CN"/>
              </w:rPr>
              <w:t>1</w:t>
            </w:r>
          </w:p>
        </w:tc>
        <w:tc>
          <w:tcPr>
            <w:tcW w:w="1928" w:type="dxa"/>
            <w:vAlign w:val="center"/>
          </w:tcPr>
          <w:p w14:paraId="689DAA2C">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rPr>
            </w:pPr>
            <w:r>
              <w:rPr>
                <w:rFonts w:hint="eastAsia" w:cs="Times New Roman" w:eastAsiaTheme="minorEastAsia"/>
                <w:bCs/>
                <w:sz w:val="28"/>
                <w:szCs w:val="28"/>
                <w:highlight w:val="none"/>
                <w:lang w:val="en-US" w:eastAsia="zh-CN"/>
              </w:rPr>
              <w:t>交货期限</w:t>
            </w:r>
          </w:p>
        </w:tc>
        <w:tc>
          <w:tcPr>
            <w:tcW w:w="6539" w:type="dxa"/>
          </w:tcPr>
          <w:p w14:paraId="56FDD48A">
            <w:pPr>
              <w:pStyle w:val="23"/>
              <w:spacing w:beforeLines="0" w:after="0" w:afterLines="0" w:line="480" w:lineRule="exact"/>
              <w:ind w:left="0" w:leftChars="0" w:firstLine="0" w:firstLineChars="0"/>
              <w:jc w:val="left"/>
              <w:rPr>
                <w:rFonts w:hint="default" w:ascii="Times New Roman" w:hAnsi="Times New Roman" w:cs="Times New Roman" w:eastAsiaTheme="minorEastAsia"/>
                <w:sz w:val="28"/>
                <w:szCs w:val="28"/>
                <w:vertAlign w:val="baseline"/>
              </w:rPr>
            </w:pPr>
            <w:r>
              <w:rPr>
                <w:rFonts w:hint="eastAsia" w:ascii="Times New Roman" w:hAnsi="Times New Roman" w:cs="Times New Roman" w:eastAsiaTheme="minorEastAsia"/>
                <w:bCs/>
                <w:sz w:val="28"/>
                <w:szCs w:val="28"/>
                <w:highlight w:val="none"/>
                <w:lang w:val="zh-CN" w:eastAsia="zh-CN"/>
              </w:rPr>
              <w:t>投标文件载明的采购项目</w:t>
            </w:r>
            <w:r>
              <w:rPr>
                <w:rFonts w:hint="eastAsia" w:cs="Times New Roman" w:eastAsiaTheme="minorEastAsia"/>
                <w:bCs/>
                <w:sz w:val="28"/>
                <w:szCs w:val="28"/>
                <w:highlight w:val="none"/>
                <w:lang w:val="en-US" w:eastAsia="zh-CN"/>
              </w:rPr>
              <w:t>交货期限</w:t>
            </w:r>
            <w:r>
              <w:rPr>
                <w:rFonts w:hint="eastAsia" w:ascii="Times New Roman" w:hAnsi="Times New Roman" w:cs="Times New Roman" w:eastAsiaTheme="minorEastAsia"/>
                <w:bCs/>
                <w:sz w:val="28"/>
                <w:szCs w:val="28"/>
                <w:highlight w:val="none"/>
                <w:lang w:val="zh-CN" w:eastAsia="zh-CN"/>
              </w:rPr>
              <w:t>未超过招标文件规定期限的；</w:t>
            </w:r>
          </w:p>
        </w:tc>
      </w:tr>
      <w:tr w14:paraId="6B9F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C793050">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val="en-US" w:eastAsia="zh-CN"/>
              </w:rPr>
            </w:pPr>
            <w:r>
              <w:rPr>
                <w:rFonts w:hint="default" w:ascii="Times New Roman" w:hAnsi="Times New Roman" w:cs="Times New Roman" w:eastAsiaTheme="minorEastAsia"/>
                <w:sz w:val="28"/>
                <w:szCs w:val="28"/>
                <w:vertAlign w:val="baseline"/>
                <w:lang w:val="en-US" w:eastAsia="zh-CN"/>
              </w:rPr>
              <w:t>2</w:t>
            </w:r>
          </w:p>
        </w:tc>
        <w:tc>
          <w:tcPr>
            <w:tcW w:w="1928" w:type="dxa"/>
            <w:vAlign w:val="center"/>
          </w:tcPr>
          <w:p w14:paraId="0DCDC394">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eastAsia="zh-CN"/>
              </w:rPr>
            </w:pPr>
            <w:r>
              <w:rPr>
                <w:rFonts w:hint="default" w:ascii="Times New Roman" w:hAnsi="Times New Roman" w:cs="Times New Roman" w:eastAsiaTheme="minorEastAsia"/>
                <w:sz w:val="28"/>
                <w:szCs w:val="28"/>
                <w:vertAlign w:val="baseline"/>
                <w:lang w:eastAsia="zh-CN"/>
              </w:rPr>
              <w:t>投标函</w:t>
            </w:r>
          </w:p>
        </w:tc>
        <w:tc>
          <w:tcPr>
            <w:tcW w:w="6539" w:type="dxa"/>
          </w:tcPr>
          <w:p w14:paraId="0CC445D7">
            <w:pPr>
              <w:pStyle w:val="23"/>
              <w:spacing w:beforeLines="0" w:after="0" w:afterLines="0" w:line="480" w:lineRule="exact"/>
              <w:ind w:left="0" w:leftChars="0" w:firstLine="0" w:firstLineChars="0"/>
              <w:jc w:val="left"/>
              <w:rPr>
                <w:rFonts w:hint="default" w:ascii="Times New Roman" w:hAnsi="Times New Roman" w:cs="Times New Roman" w:eastAsiaTheme="minorEastAsia"/>
                <w:bCs/>
                <w:sz w:val="28"/>
                <w:szCs w:val="28"/>
                <w:lang w:val="zh-CN"/>
              </w:rPr>
            </w:pPr>
            <w:r>
              <w:rPr>
                <w:rFonts w:hint="default" w:ascii="Times New Roman" w:hAnsi="Times New Roman" w:cs="Times New Roman" w:eastAsiaTheme="minorEastAsia"/>
                <w:bCs/>
                <w:sz w:val="28"/>
                <w:szCs w:val="28"/>
                <w:lang w:val="zh-CN"/>
              </w:rPr>
              <w:t>符合招标文件要求。</w:t>
            </w:r>
          </w:p>
        </w:tc>
      </w:tr>
      <w:tr w14:paraId="08B0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FA5C40F">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val="en-US" w:eastAsia="zh-CN"/>
              </w:rPr>
              <w:t>3</w:t>
            </w:r>
          </w:p>
        </w:tc>
        <w:tc>
          <w:tcPr>
            <w:tcW w:w="1928" w:type="dxa"/>
            <w:vAlign w:val="center"/>
          </w:tcPr>
          <w:p w14:paraId="3C43A1F5">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val="en-US" w:eastAsia="zh-CN"/>
              </w:rPr>
            </w:pPr>
            <w:r>
              <w:rPr>
                <w:rFonts w:hint="default" w:ascii="Times New Roman" w:hAnsi="Times New Roman" w:cs="Times New Roman" w:eastAsiaTheme="minorEastAsia"/>
                <w:sz w:val="28"/>
                <w:szCs w:val="28"/>
                <w:vertAlign w:val="baseline"/>
                <w:lang w:val="en-US" w:eastAsia="zh-CN"/>
              </w:rPr>
              <w:t>投标完整性</w:t>
            </w:r>
          </w:p>
        </w:tc>
        <w:tc>
          <w:tcPr>
            <w:tcW w:w="6539" w:type="dxa"/>
          </w:tcPr>
          <w:p w14:paraId="130D1C21">
            <w:pPr>
              <w:pStyle w:val="23"/>
              <w:spacing w:beforeLines="0" w:after="0" w:afterLines="0" w:line="480" w:lineRule="exact"/>
              <w:ind w:left="0" w:leftChars="0" w:firstLine="0" w:firstLineChars="0"/>
              <w:jc w:val="left"/>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eastAsia="zh-CN"/>
              </w:rPr>
              <w:t>未将一个采购项目或采购包中的内容拆分投标。</w:t>
            </w:r>
          </w:p>
        </w:tc>
      </w:tr>
      <w:tr w14:paraId="7D2E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BD4A65E">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val="en-US" w:eastAsia="zh-CN"/>
              </w:rPr>
              <w:t>4</w:t>
            </w:r>
          </w:p>
        </w:tc>
        <w:tc>
          <w:tcPr>
            <w:tcW w:w="1928" w:type="dxa"/>
            <w:vAlign w:val="center"/>
          </w:tcPr>
          <w:p w14:paraId="0B7F3B2C">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val="en-US" w:eastAsia="zh-CN"/>
              </w:rPr>
            </w:pPr>
            <w:r>
              <w:rPr>
                <w:rFonts w:hint="default" w:ascii="Times New Roman" w:hAnsi="Times New Roman" w:cs="Times New Roman" w:eastAsiaTheme="minorEastAsia"/>
                <w:sz w:val="28"/>
                <w:szCs w:val="28"/>
                <w:vertAlign w:val="baseline"/>
                <w:lang w:val="en-US" w:eastAsia="zh-CN"/>
              </w:rPr>
              <w:t>投标报价</w:t>
            </w:r>
          </w:p>
        </w:tc>
        <w:tc>
          <w:tcPr>
            <w:tcW w:w="6539" w:type="dxa"/>
          </w:tcPr>
          <w:p w14:paraId="4541E0C2">
            <w:pPr>
              <w:pStyle w:val="23"/>
              <w:spacing w:beforeLines="0" w:after="0" w:afterLines="0" w:line="480" w:lineRule="exact"/>
              <w:ind w:left="0" w:leftChars="0" w:firstLine="0" w:firstLineChars="0"/>
              <w:jc w:val="left"/>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eastAsia="zh-CN"/>
              </w:rPr>
              <w:t>投标报价未超过招标文件中规定的采购项目</w:t>
            </w:r>
            <w:r>
              <w:rPr>
                <w:rFonts w:hint="default" w:ascii="Times New Roman" w:hAnsi="Times New Roman" w:cs="Times New Roman" w:eastAsiaTheme="minorEastAsia"/>
                <w:sz w:val="28"/>
                <w:szCs w:val="28"/>
                <w:vertAlign w:val="baseline"/>
                <w:lang w:val="en-US" w:eastAsia="zh-CN"/>
              </w:rPr>
              <w:t>/采购包预算金额或者采购项目/采购包最高限价。</w:t>
            </w:r>
          </w:p>
        </w:tc>
      </w:tr>
      <w:tr w14:paraId="71A66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61AB04C">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val="en-US" w:eastAsia="zh-CN"/>
              </w:rPr>
              <w:t>5</w:t>
            </w:r>
          </w:p>
        </w:tc>
        <w:tc>
          <w:tcPr>
            <w:tcW w:w="1928" w:type="dxa"/>
            <w:vAlign w:val="center"/>
          </w:tcPr>
          <w:p w14:paraId="5AF5E2D9">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eastAsia="zh-CN"/>
              </w:rPr>
              <w:t>报价唯一性</w:t>
            </w:r>
          </w:p>
        </w:tc>
        <w:tc>
          <w:tcPr>
            <w:tcW w:w="6539" w:type="dxa"/>
          </w:tcPr>
          <w:p w14:paraId="2FDABE9C">
            <w:pPr>
              <w:pStyle w:val="23"/>
              <w:spacing w:beforeLines="0" w:after="0" w:afterLines="0" w:line="480" w:lineRule="exact"/>
              <w:ind w:left="0" w:leftChars="0" w:firstLine="0" w:firstLineChars="0"/>
              <w:jc w:val="left"/>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eastAsia="zh-CN"/>
              </w:rPr>
              <w:t>投标文件未出现可选择性或可调整的报价（招标文件另有规定的除外）。</w:t>
            </w:r>
          </w:p>
        </w:tc>
      </w:tr>
      <w:tr w14:paraId="41AE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7B46F8A5">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val="en-US" w:eastAsia="zh-CN"/>
              </w:rPr>
              <w:t>6</w:t>
            </w:r>
          </w:p>
        </w:tc>
        <w:tc>
          <w:tcPr>
            <w:tcW w:w="1928" w:type="dxa"/>
            <w:vAlign w:val="center"/>
          </w:tcPr>
          <w:p w14:paraId="1C754C80">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eastAsia="zh-CN"/>
              </w:rPr>
              <w:t>投标有效期</w:t>
            </w:r>
          </w:p>
        </w:tc>
        <w:tc>
          <w:tcPr>
            <w:tcW w:w="6539" w:type="dxa"/>
          </w:tcPr>
          <w:p w14:paraId="0F9BE7DA">
            <w:pPr>
              <w:pStyle w:val="23"/>
              <w:spacing w:beforeLines="0" w:after="0" w:afterLines="0" w:line="480" w:lineRule="exact"/>
              <w:ind w:left="0" w:leftChars="0" w:firstLine="0" w:firstLineChars="0"/>
              <w:jc w:val="left"/>
              <w:rPr>
                <w:rFonts w:hint="default" w:ascii="Times New Roman" w:hAnsi="Times New Roman" w:cs="Times New Roman" w:eastAsiaTheme="minorEastAsia"/>
                <w:sz w:val="28"/>
                <w:szCs w:val="28"/>
                <w:vertAlign w:val="baseline"/>
              </w:rPr>
            </w:pPr>
            <w:r>
              <w:rPr>
                <w:rFonts w:hint="default" w:ascii="Times New Roman" w:hAnsi="Times New Roman" w:cs="Times New Roman" w:eastAsiaTheme="minorEastAsia"/>
                <w:sz w:val="28"/>
                <w:szCs w:val="28"/>
                <w:vertAlign w:val="baseline"/>
                <w:lang w:eastAsia="zh-CN"/>
              </w:rPr>
              <w:t>投标文件中承诺的投标有效期满足招标文件中载明的投标有效期。</w:t>
            </w:r>
          </w:p>
        </w:tc>
      </w:tr>
      <w:tr w14:paraId="0F17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13864D9">
            <w:pPr>
              <w:pStyle w:val="23"/>
              <w:spacing w:beforeLines="0" w:after="0" w:afterLines="0" w:line="480" w:lineRule="exact"/>
              <w:ind w:left="0" w:leftChars="0" w:firstLine="0" w:firstLineChars="0"/>
              <w:jc w:val="center"/>
              <w:rPr>
                <w:rFonts w:hint="default" w:ascii="Times New Roman" w:hAnsi="Times New Roman" w:cs="Times New Roman" w:eastAsiaTheme="minorEastAsia"/>
                <w:sz w:val="28"/>
                <w:szCs w:val="28"/>
                <w:vertAlign w:val="baseline"/>
                <w:lang w:val="en-US" w:eastAsia="zh-CN"/>
              </w:rPr>
            </w:pPr>
            <w:r>
              <w:rPr>
                <w:rFonts w:hint="default" w:ascii="Times New Roman" w:hAnsi="Times New Roman" w:cs="Times New Roman" w:eastAsiaTheme="minorEastAsia"/>
                <w:sz w:val="28"/>
                <w:szCs w:val="28"/>
                <w:vertAlign w:val="baseline"/>
                <w:lang w:val="en-US" w:eastAsia="zh-CN"/>
              </w:rPr>
              <w:t>7</w:t>
            </w:r>
          </w:p>
        </w:tc>
        <w:tc>
          <w:tcPr>
            <w:tcW w:w="1928" w:type="dxa"/>
            <w:vAlign w:val="center"/>
          </w:tcPr>
          <w:p w14:paraId="41582301">
            <w:pPr>
              <w:pStyle w:val="23"/>
              <w:spacing w:beforeLines="0" w:after="0" w:afterLines="0" w:line="480" w:lineRule="exact"/>
              <w:ind w:left="0" w:leftChars="0" w:firstLine="0" w:firstLineChars="0"/>
              <w:jc w:val="center"/>
              <w:rPr>
                <w:rFonts w:hint="default" w:ascii="Times New Roman" w:hAnsi="Times New Roman" w:cs="Times New Roman" w:eastAsiaTheme="minorEastAsia"/>
                <w:b w:val="0"/>
                <w:bCs w:val="0"/>
                <w:sz w:val="28"/>
                <w:szCs w:val="28"/>
                <w:vertAlign w:val="baseline"/>
              </w:rPr>
            </w:pPr>
            <w:r>
              <w:rPr>
                <w:rFonts w:hint="default" w:ascii="Times New Roman" w:hAnsi="Times New Roman" w:eastAsia="宋体" w:cs="Times New Roman"/>
                <w:b w:val="0"/>
                <w:bCs w:val="0"/>
                <w:sz w:val="28"/>
                <w:szCs w:val="28"/>
                <w:vertAlign w:val="baseline"/>
                <w:lang w:eastAsia="zh-CN"/>
              </w:rPr>
              <w:t>实质性要求</w:t>
            </w:r>
          </w:p>
        </w:tc>
        <w:tc>
          <w:tcPr>
            <w:tcW w:w="6539" w:type="dxa"/>
          </w:tcPr>
          <w:p w14:paraId="583522C6">
            <w:pPr>
              <w:pStyle w:val="23"/>
              <w:spacing w:beforeLines="0" w:after="0" w:afterLines="0" w:line="480" w:lineRule="exact"/>
              <w:ind w:left="0" w:leftChars="0" w:firstLine="0" w:firstLineChars="0"/>
              <w:jc w:val="left"/>
              <w:rPr>
                <w:rFonts w:hint="default" w:ascii="Times New Roman" w:hAnsi="Times New Roman" w:cs="Times New Roman" w:eastAsiaTheme="minorEastAsia"/>
                <w:b w:val="0"/>
                <w:bCs w:val="0"/>
                <w:sz w:val="28"/>
                <w:szCs w:val="28"/>
                <w:vertAlign w:val="baseline"/>
                <w:lang w:eastAsia="zh-CN"/>
              </w:rPr>
            </w:pPr>
            <w:r>
              <w:rPr>
                <w:rFonts w:hint="default" w:ascii="Times New Roman" w:hAnsi="Times New Roman" w:cs="Times New Roman" w:eastAsiaTheme="minorEastAsia"/>
                <w:b w:val="0"/>
                <w:bCs w:val="0"/>
                <w:sz w:val="28"/>
                <w:szCs w:val="28"/>
                <w:vertAlign w:val="baseline"/>
                <w:lang w:eastAsia="zh-CN"/>
              </w:rPr>
              <w:t>对招标文件标记为</w:t>
            </w:r>
            <w:r>
              <w:rPr>
                <w:rFonts w:hint="default" w:ascii="Times New Roman" w:hAnsi="Times New Roman" w:eastAsia="宋体" w:cs="Times New Roman"/>
                <w:b w:val="0"/>
                <w:bCs w:val="0"/>
                <w:sz w:val="28"/>
                <w:szCs w:val="28"/>
                <w:vertAlign w:val="baseline"/>
                <w:lang w:eastAsia="zh-CN"/>
              </w:rPr>
              <w:t>实质性要求的均按要求响应并提供。</w:t>
            </w:r>
          </w:p>
        </w:tc>
      </w:tr>
      <w:bookmarkEnd w:id="1"/>
    </w:tbl>
    <w:p w14:paraId="2A42BCF7">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p>
    <w:p w14:paraId="565C1844">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p>
    <w:p w14:paraId="3EC76AA3">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p>
    <w:p w14:paraId="3A9CB6CA">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p>
    <w:p w14:paraId="634CF03A">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p>
    <w:p w14:paraId="2833B1C0">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p>
    <w:p w14:paraId="322B5945">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p>
    <w:p w14:paraId="555C0BCA">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p>
    <w:p w14:paraId="3E546843">
      <w:pPr>
        <w:pStyle w:val="23"/>
        <w:spacing w:beforeLines="0" w:after="0" w:afterLines="0" w:line="360" w:lineRule="auto"/>
        <w:ind w:left="0" w:leftChars="0" w:firstLine="0" w:firstLineChars="0"/>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二、投标文件的澄清、说明或补正</w:t>
      </w:r>
    </w:p>
    <w:p w14:paraId="22F8D7FC">
      <w:pPr>
        <w:pStyle w:val="23"/>
        <w:spacing w:beforeLines="0" w:after="0" w:afterLines="0" w:line="360" w:lineRule="auto"/>
        <w:ind w:left="0" w:leftChars="0" w:firstLine="0" w:firstLineChars="0"/>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w:t>
      </w:r>
      <w:r>
        <w:rPr>
          <w:rFonts w:hint="default" w:ascii="Times New Roman" w:hAnsi="Times New Roman" w:cs="Times New Roman" w:eastAsiaTheme="minorEastAsia"/>
          <w:color w:val="auto"/>
          <w:sz w:val="28"/>
          <w:szCs w:val="28"/>
          <w:highlight w:val="none"/>
          <w:lang w:val="en-US" w:eastAsia="zh-CN"/>
        </w:rPr>
        <w:t>补正不得超出投标文件的范围或者改变投标文件的实质性内容。</w:t>
      </w:r>
    </w:p>
    <w:p w14:paraId="67A07431">
      <w:pPr>
        <w:tabs>
          <w:tab w:val="left" w:pos="567"/>
        </w:tabs>
        <w:spacing w:beforeLines="0" w:afterLines="0" w:line="360" w:lineRule="auto"/>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lang w:val="en-US" w:eastAsia="zh-CN"/>
        </w:rPr>
        <w:t xml:space="preserve">    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default" w:ascii="Times New Roman" w:hAnsi="Times New Roman" w:cs="Times New Roman" w:eastAsiaTheme="minorEastAsia"/>
          <w:b/>
          <w:bCs/>
          <w:color w:val="auto"/>
          <w:sz w:val="28"/>
          <w:szCs w:val="28"/>
          <w:highlight w:val="none"/>
          <w:lang w:val="en-US" w:eastAsia="zh-CN"/>
        </w:rPr>
        <w:t>无效投标</w:t>
      </w:r>
      <w:r>
        <w:rPr>
          <w:rFonts w:hint="default" w:ascii="Times New Roman" w:hAnsi="Times New Roman" w:cs="Times New Roman" w:eastAsiaTheme="minorEastAsia"/>
          <w:color w:val="auto"/>
          <w:sz w:val="28"/>
          <w:szCs w:val="28"/>
          <w:highlight w:val="none"/>
          <w:lang w:val="en-US" w:eastAsia="zh-CN"/>
        </w:rPr>
        <w:t>处理。</w:t>
      </w:r>
    </w:p>
    <w:p w14:paraId="5677C934">
      <w:pPr>
        <w:tabs>
          <w:tab w:val="left" w:pos="1050"/>
        </w:tabs>
        <w:spacing w:beforeLines="0" w:afterLines="0" w:line="360" w:lineRule="auto"/>
        <w:ind w:left="0"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3.</w:t>
      </w:r>
      <w:r>
        <w:rPr>
          <w:rFonts w:hint="default" w:ascii="Times New Roman" w:hAnsi="Times New Roman" w:cs="Times New Roman" w:eastAsiaTheme="minorEastAsia"/>
          <w:sz w:val="28"/>
          <w:szCs w:val="28"/>
          <w:highlight w:val="none"/>
        </w:rPr>
        <w:t>投标文件报价出现前后不一致的，</w:t>
      </w:r>
      <w:r>
        <w:rPr>
          <w:rFonts w:hint="default" w:ascii="Times New Roman" w:hAnsi="Times New Roman" w:cs="Times New Roman" w:eastAsiaTheme="minorEastAsia"/>
          <w:sz w:val="28"/>
          <w:szCs w:val="28"/>
          <w:highlight w:val="none"/>
          <w:lang w:eastAsia="zh-CN"/>
        </w:rPr>
        <w:t>除招标文件《</w:t>
      </w:r>
      <w:r>
        <w:rPr>
          <w:rFonts w:hint="eastAsia" w:ascii="Times New Roman" w:hAnsi="Times New Roman" w:cs="Times New Roman" w:eastAsiaTheme="minorEastAsia"/>
          <w:sz w:val="28"/>
          <w:szCs w:val="28"/>
          <w:highlight w:val="none"/>
          <w:lang w:eastAsia="zh-CN"/>
        </w:rPr>
        <w:t>投标人</w:t>
      </w:r>
      <w:r>
        <w:rPr>
          <w:rFonts w:hint="default" w:ascii="Times New Roman" w:hAnsi="Times New Roman" w:cs="Times New Roman" w:eastAsiaTheme="minorEastAsia"/>
          <w:sz w:val="28"/>
          <w:szCs w:val="28"/>
          <w:highlight w:val="none"/>
          <w:lang w:eastAsia="zh-CN"/>
        </w:rPr>
        <w:t>须知前附表》另有规定外，</w:t>
      </w:r>
      <w:r>
        <w:rPr>
          <w:rFonts w:hint="default" w:ascii="Times New Roman" w:hAnsi="Times New Roman" w:cs="Times New Roman" w:eastAsiaTheme="minorEastAsia"/>
          <w:sz w:val="28"/>
          <w:szCs w:val="28"/>
          <w:highlight w:val="none"/>
        </w:rPr>
        <w:t>按照下列规定修正：</w:t>
      </w:r>
    </w:p>
    <w:p w14:paraId="0B45BF00">
      <w:pPr>
        <w:spacing w:beforeLines="0" w:afterLines="0" w:line="360" w:lineRule="auto"/>
        <w:ind w:left="0" w:hanging="11"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（1）投标文件中开标一览表（报价表）内容与投标文件中相应内容不一致的，以开标一览表（报价表）为准；</w:t>
      </w:r>
    </w:p>
    <w:p w14:paraId="4A69E83C">
      <w:pPr>
        <w:spacing w:beforeLines="0" w:afterLines="0" w:line="360" w:lineRule="auto"/>
        <w:ind w:left="0" w:hanging="991" w:hangingChars="354"/>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（2）大写金额和小写金额不一致的，以大写金额为准；</w:t>
      </w:r>
    </w:p>
    <w:p w14:paraId="4688426E">
      <w:pPr>
        <w:spacing w:beforeLines="0" w:afterLines="0" w:line="360" w:lineRule="auto"/>
        <w:ind w:left="0" w:hanging="11"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（3）单价金额小数点或者百分比有明显错位的，以开标一览表的总价为准，并修改单价；</w:t>
      </w:r>
    </w:p>
    <w:p w14:paraId="1D203F1A">
      <w:pPr>
        <w:spacing w:beforeLines="0" w:afterLines="0" w:line="360" w:lineRule="auto"/>
        <w:ind w:left="0" w:hanging="991" w:hangingChars="354"/>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（4）总价金额与按单价汇总金额不一致的，以单价金额计算结果为准。</w:t>
      </w:r>
    </w:p>
    <w:p w14:paraId="286FD915">
      <w:pPr>
        <w:spacing w:beforeLines="0" w:afterLines="0" w:line="360" w:lineRule="auto"/>
        <w:ind w:left="11" w:leftChars="0" w:hanging="11" w:hangingChars="4"/>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同时出现两种以上不一致的，按照前款规定的顺序修正。</w:t>
      </w:r>
      <w:r>
        <w:rPr>
          <w:rFonts w:hint="default" w:ascii="Times New Roman" w:hAnsi="Times New Roman" w:cs="Times New Roman" w:eastAsiaTheme="minorEastAsia"/>
          <w:sz w:val="28"/>
          <w:szCs w:val="28"/>
          <w:highlight w:val="none"/>
          <w:lang w:eastAsia="zh-CN"/>
        </w:rPr>
        <w:t>修正后的报价经投标人确认后产生约束力，投标人不确认的，其</w:t>
      </w:r>
      <w:r>
        <w:rPr>
          <w:rFonts w:hint="default" w:ascii="Times New Roman" w:hAnsi="Times New Roman" w:cs="Times New Roman" w:eastAsiaTheme="minorEastAsia"/>
          <w:b/>
          <w:bCs/>
          <w:sz w:val="28"/>
          <w:szCs w:val="28"/>
          <w:highlight w:val="none"/>
          <w:lang w:eastAsia="zh-CN"/>
        </w:rPr>
        <w:t>投标无效</w:t>
      </w:r>
      <w:r>
        <w:rPr>
          <w:rFonts w:hint="default" w:ascii="Times New Roman" w:hAnsi="Times New Roman" w:cs="Times New Roman" w:eastAsiaTheme="minorEastAsia"/>
          <w:sz w:val="28"/>
          <w:szCs w:val="28"/>
          <w:highlight w:val="none"/>
          <w:lang w:eastAsia="zh-CN"/>
        </w:rPr>
        <w:t>。</w:t>
      </w:r>
    </w:p>
    <w:p w14:paraId="4E7226A2">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eastAsia="zh-CN"/>
        </w:rPr>
        <w:t>三、投标文件的</w:t>
      </w:r>
      <w:r>
        <w:rPr>
          <w:rFonts w:hint="default" w:ascii="Times New Roman" w:hAnsi="Times New Roman" w:cs="Times New Roman" w:eastAsiaTheme="minorEastAsia"/>
          <w:b/>
          <w:bCs/>
          <w:sz w:val="28"/>
          <w:szCs w:val="28"/>
          <w:highlight w:val="none"/>
        </w:rPr>
        <w:t>比较与评价</w:t>
      </w:r>
    </w:p>
    <w:p w14:paraId="39C9A844">
      <w:pPr>
        <w:spacing w:beforeLines="0" w:afterLines="0" w:line="360" w:lineRule="auto"/>
        <w:ind w:left="0" w:hanging="10" w:firstLineChars="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1.</w:t>
      </w:r>
      <w:r>
        <w:rPr>
          <w:rFonts w:hint="default" w:ascii="Times New Roman" w:hAnsi="Times New Roman" w:cs="Times New Roman" w:eastAsiaTheme="minorEastAsia"/>
          <w:sz w:val="28"/>
          <w:szCs w:val="28"/>
          <w:highlight w:val="none"/>
        </w:rPr>
        <w:t>评标委员会将</w:t>
      </w:r>
      <w:r>
        <w:rPr>
          <w:rFonts w:hint="default" w:ascii="Times New Roman" w:hAnsi="Times New Roman" w:cs="Times New Roman" w:eastAsiaTheme="minorEastAsia"/>
          <w:sz w:val="28"/>
          <w:szCs w:val="28"/>
          <w:highlight w:val="none"/>
          <w:lang w:eastAsia="zh-CN"/>
        </w:rPr>
        <w:t>按照</w:t>
      </w:r>
      <w:r>
        <w:rPr>
          <w:rFonts w:hint="default" w:ascii="Times New Roman" w:hAnsi="Times New Roman" w:cs="Times New Roman" w:eastAsiaTheme="minorEastAsia"/>
          <w:sz w:val="28"/>
          <w:szCs w:val="28"/>
          <w:highlight w:val="none"/>
        </w:rPr>
        <w:t>招标文件</w:t>
      </w:r>
      <w:r>
        <w:rPr>
          <w:rFonts w:hint="default" w:ascii="Times New Roman" w:hAnsi="Times New Roman" w:cs="Times New Roman" w:eastAsiaTheme="minorEastAsia"/>
          <w:sz w:val="28"/>
          <w:szCs w:val="28"/>
          <w:highlight w:val="none"/>
          <w:lang w:eastAsia="zh-CN"/>
        </w:rPr>
        <w:t>规定</w:t>
      </w:r>
      <w:r>
        <w:rPr>
          <w:rFonts w:hint="default" w:ascii="Times New Roman" w:hAnsi="Times New Roman" w:cs="Times New Roman" w:eastAsiaTheme="minorEastAsia"/>
          <w:sz w:val="28"/>
          <w:szCs w:val="28"/>
          <w:highlight w:val="none"/>
        </w:rPr>
        <w:t>的评标方法和标准，对</w:t>
      </w:r>
      <w:r>
        <w:rPr>
          <w:rFonts w:hint="default" w:ascii="Times New Roman" w:hAnsi="Times New Roman" w:cs="Times New Roman" w:eastAsiaTheme="minorEastAsia"/>
          <w:sz w:val="28"/>
          <w:szCs w:val="28"/>
          <w:highlight w:val="none"/>
          <w:lang w:eastAsia="zh-CN"/>
        </w:rPr>
        <w:t>符合性审查合格的投标文件进行商务和技术评估，综合比较与评价；未通过符合性审查的投标文件不得进入比较与评价。</w:t>
      </w:r>
    </w:p>
    <w:p w14:paraId="443F79E7">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2.评标方法和评标标准</w:t>
      </w:r>
    </w:p>
    <w:p w14:paraId="3AC1426E">
      <w:pPr>
        <w:spacing w:beforeLines="0" w:afterLines="0" w:line="360" w:lineRule="auto"/>
        <w:ind w:left="0" w:hanging="10" w:firstLineChars="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（1）本项目采用的评标方法为：</w:t>
      </w:r>
    </w:p>
    <w:p w14:paraId="43282F59">
      <w:pPr>
        <w:spacing w:beforeLines="0" w:afterLines="0" w:line="360" w:lineRule="auto"/>
        <w:ind w:hanging="10"/>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bookmarkStart w:id="2" w:name="OLE_LINK5"/>
      <w:r>
        <w:rPr>
          <w:rFonts w:hint="default" w:ascii="Times New Roman" w:hAnsi="Times New Roman" w:cs="Times New Roman" w:eastAsiaTheme="minorEastAsia"/>
          <w:b/>
          <w:bCs/>
          <w:sz w:val="28"/>
          <w:szCs w:val="28"/>
          <w:highlight w:val="none"/>
          <w:lang w:val="en-US" w:eastAsia="zh-CN"/>
        </w:rPr>
        <w:t xml:space="preserve"> </w:t>
      </w:r>
      <w:bookmarkEnd w:id="2"/>
      <w:r>
        <w:rPr>
          <w:rFonts w:hint="default" w:ascii="Times New Roman" w:hAnsi="Times New Roman" w:cs="Times New Roman" w:eastAsiaTheme="minorEastAsia"/>
          <w:b/>
          <w:bCs/>
          <w:sz w:val="28"/>
          <w:szCs w:val="28"/>
          <w:highlight w:val="none"/>
          <w:lang w:val="en-US" w:eastAsia="zh-CN"/>
        </w:rPr>
        <w:sym w:font="Wingdings 2" w:char="0052"/>
      </w:r>
      <w:r>
        <w:rPr>
          <w:rFonts w:hint="default" w:ascii="Times New Roman" w:hAnsi="Times New Roman" w:cs="Times New Roman" w:eastAsiaTheme="minorEastAsia"/>
          <w:b/>
          <w:bCs/>
          <w:sz w:val="28"/>
          <w:szCs w:val="28"/>
          <w:highlight w:val="none"/>
          <w:lang w:val="en-US" w:eastAsia="zh-CN"/>
        </w:rPr>
        <w:t>综合评分法，指投标文件满足</w:t>
      </w:r>
      <w:r>
        <w:rPr>
          <w:rFonts w:hint="default" w:ascii="Times New Roman" w:hAnsi="Times New Roman" w:cs="Times New Roman" w:eastAsiaTheme="minorEastAsia"/>
          <w:b/>
          <w:bCs/>
          <w:sz w:val="28"/>
          <w:szCs w:val="28"/>
          <w:highlight w:val="none"/>
        </w:rPr>
        <w:t>招标文件全部</w:t>
      </w:r>
      <w:r>
        <w:rPr>
          <w:rFonts w:hint="default" w:ascii="Times New Roman" w:hAnsi="Times New Roman" w:cs="Times New Roman" w:eastAsiaTheme="minorEastAsia"/>
          <w:b/>
          <w:bCs/>
          <w:sz w:val="28"/>
          <w:szCs w:val="28"/>
          <w:highlight w:val="none"/>
          <w:lang w:eastAsia="zh-CN"/>
        </w:rPr>
        <w:t>实质性</w:t>
      </w:r>
      <w:r>
        <w:rPr>
          <w:rFonts w:hint="default" w:ascii="Times New Roman" w:hAnsi="Times New Roman" w:cs="Times New Roman" w:eastAsiaTheme="minorEastAsia"/>
          <w:b/>
          <w:bCs/>
          <w:sz w:val="28"/>
          <w:szCs w:val="28"/>
          <w:highlight w:val="none"/>
        </w:rPr>
        <w:t>要求，且按照评审因素的量化指标评审得分最高的投标</w:t>
      </w:r>
      <w:r>
        <w:rPr>
          <w:rFonts w:hint="default" w:ascii="Times New Roman" w:hAnsi="Times New Roman" w:cs="Times New Roman" w:eastAsiaTheme="minorEastAsia"/>
          <w:b/>
          <w:bCs/>
          <w:sz w:val="28"/>
          <w:szCs w:val="28"/>
          <w:highlight w:val="none"/>
          <w:u w:val="none"/>
          <w:lang w:eastAsia="zh-CN"/>
        </w:rPr>
        <w:t>人为</w:t>
      </w:r>
      <w:r>
        <w:rPr>
          <w:rFonts w:hint="default" w:ascii="Times New Roman" w:hAnsi="Times New Roman" w:cs="Times New Roman" w:eastAsiaTheme="minorEastAsia"/>
          <w:b/>
          <w:bCs/>
          <w:sz w:val="28"/>
          <w:szCs w:val="28"/>
          <w:highlight w:val="none"/>
        </w:rPr>
        <w:t>中标候选人的评标方法。</w:t>
      </w:r>
    </w:p>
    <w:p w14:paraId="3478E019">
      <w:pPr>
        <w:spacing w:beforeLines="0" w:afterLines="0" w:line="360" w:lineRule="auto"/>
        <w:ind w:left="0" w:hanging="10" w:firstLineChars="0"/>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 xml:space="preserve">     </w:t>
      </w:r>
      <w:r>
        <w:rPr>
          <w:rFonts w:hint="default" w:ascii="Times New Roman" w:hAnsi="Times New Roman" w:cs="Times New Roman" w:eastAsiaTheme="minorEastAsia"/>
          <w:b/>
          <w:bCs/>
          <w:sz w:val="28"/>
          <w:szCs w:val="28"/>
          <w:highlight w:val="none"/>
          <w:lang w:val="en-US" w:eastAsia="zh-CN"/>
        </w:rPr>
        <w:sym w:font="Wingdings 2" w:char="00A3"/>
      </w:r>
      <w:r>
        <w:rPr>
          <w:rFonts w:hint="default" w:ascii="Times New Roman" w:hAnsi="Times New Roman" w:cs="Times New Roman" w:eastAsiaTheme="minorEastAsia"/>
          <w:b/>
          <w:bCs/>
          <w:sz w:val="28"/>
          <w:szCs w:val="28"/>
          <w:highlight w:val="none"/>
        </w:rPr>
        <w:t>最低评标价法，是指投标文件满足招标文件全部</w:t>
      </w:r>
      <w:r>
        <w:rPr>
          <w:rFonts w:hint="default" w:ascii="Times New Roman" w:hAnsi="Times New Roman" w:cs="Times New Roman" w:eastAsiaTheme="minorEastAsia"/>
          <w:b/>
          <w:bCs/>
          <w:sz w:val="28"/>
          <w:szCs w:val="28"/>
          <w:highlight w:val="none"/>
          <w:lang w:eastAsia="zh-CN"/>
        </w:rPr>
        <w:t>实质性</w:t>
      </w:r>
      <w:r>
        <w:rPr>
          <w:rFonts w:hint="default" w:ascii="Times New Roman" w:hAnsi="Times New Roman" w:cs="Times New Roman" w:eastAsiaTheme="minorEastAsia"/>
          <w:b/>
          <w:bCs/>
          <w:sz w:val="28"/>
          <w:szCs w:val="28"/>
          <w:highlight w:val="none"/>
        </w:rPr>
        <w:t>要求，且投标报价最低的投标</w:t>
      </w:r>
      <w:r>
        <w:rPr>
          <w:rFonts w:hint="default" w:ascii="Times New Roman" w:hAnsi="Times New Roman" w:cs="Times New Roman" w:eastAsiaTheme="minorEastAsia"/>
          <w:b/>
          <w:bCs/>
          <w:sz w:val="28"/>
          <w:szCs w:val="28"/>
          <w:highlight w:val="none"/>
          <w:lang w:eastAsia="zh-CN"/>
        </w:rPr>
        <w:t>人</w:t>
      </w:r>
      <w:r>
        <w:rPr>
          <w:rFonts w:hint="default" w:ascii="Times New Roman" w:hAnsi="Times New Roman" w:cs="Times New Roman" w:eastAsiaTheme="minorEastAsia"/>
          <w:b/>
          <w:bCs/>
          <w:sz w:val="28"/>
          <w:szCs w:val="28"/>
          <w:highlight w:val="none"/>
        </w:rPr>
        <w:t>为中标候选人的评标方法。</w:t>
      </w:r>
    </w:p>
    <w:p w14:paraId="31D63C6C">
      <w:pPr>
        <w:spacing w:beforeLines="0" w:afterLines="0" w:line="360" w:lineRule="auto"/>
        <w:ind w:left="0" w:hanging="1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（2）</w:t>
      </w:r>
      <w:r>
        <w:rPr>
          <w:rFonts w:hint="default" w:ascii="Times New Roman" w:hAnsi="Times New Roman" w:cs="Times New Roman" w:eastAsiaTheme="minorEastAsia"/>
          <w:sz w:val="28"/>
          <w:szCs w:val="28"/>
          <w:highlight w:val="none"/>
          <w:lang w:eastAsia="zh-CN"/>
        </w:rPr>
        <w:t>采用</w:t>
      </w:r>
      <w:r>
        <w:rPr>
          <w:rFonts w:hint="default" w:ascii="Times New Roman" w:hAnsi="Times New Roman" w:cs="Times New Roman" w:eastAsiaTheme="minorEastAsia"/>
          <w:sz w:val="28"/>
          <w:szCs w:val="28"/>
          <w:highlight w:val="none"/>
        </w:rPr>
        <w:t>最低评标价法</w:t>
      </w:r>
      <w:r>
        <w:rPr>
          <w:rFonts w:hint="default" w:ascii="Times New Roman" w:hAnsi="Times New Roman" w:cs="Times New Roman" w:eastAsiaTheme="minorEastAsia"/>
          <w:sz w:val="28"/>
          <w:szCs w:val="28"/>
          <w:highlight w:val="none"/>
          <w:lang w:eastAsia="zh-CN"/>
        </w:rPr>
        <w:t>时</w:t>
      </w:r>
      <w:r>
        <w:rPr>
          <w:rFonts w:hint="default" w:ascii="Times New Roman" w:hAnsi="Times New Roman" w:cs="Times New Roman" w:eastAsiaTheme="minorEastAsia"/>
          <w:sz w:val="28"/>
          <w:szCs w:val="28"/>
          <w:highlight w:val="none"/>
        </w:rPr>
        <w:t>，提供相同品牌产品</w:t>
      </w:r>
      <w:bookmarkStart w:id="3" w:name="OLE_LINK6"/>
      <w:r>
        <w:rPr>
          <w:rFonts w:hint="default" w:ascii="Times New Roman" w:hAnsi="Times New Roman" w:cs="Times New Roman" w:eastAsiaTheme="minorEastAsia"/>
          <w:sz w:val="28"/>
          <w:szCs w:val="28"/>
          <w:highlight w:val="none"/>
          <w:lang w:eastAsia="zh-CN"/>
        </w:rPr>
        <w:t>（单一产品或核心产品品牌相同）</w:t>
      </w:r>
      <w:bookmarkEnd w:id="3"/>
      <w:r>
        <w:rPr>
          <w:rFonts w:hint="default" w:ascii="Times New Roman" w:hAnsi="Times New Roman" w:cs="Times New Roman" w:eastAsiaTheme="minorEastAsia"/>
          <w:sz w:val="28"/>
          <w:szCs w:val="28"/>
          <w:highlight w:val="none"/>
        </w:rPr>
        <w:t>的不同投标</w:t>
      </w:r>
      <w:r>
        <w:rPr>
          <w:rFonts w:hint="default" w:ascii="Times New Roman" w:hAnsi="Times New Roman" w:cs="Times New Roman" w:eastAsiaTheme="minorEastAsia"/>
          <w:sz w:val="28"/>
          <w:szCs w:val="28"/>
          <w:highlight w:val="none"/>
          <w:u w:val="none"/>
          <w:lang w:eastAsia="zh-CN"/>
        </w:rPr>
        <w:t>人参加同一</w:t>
      </w:r>
      <w:r>
        <w:rPr>
          <w:rFonts w:hint="default" w:cs="Times New Roman" w:eastAsiaTheme="minorEastAsia"/>
          <w:sz w:val="28"/>
          <w:szCs w:val="28"/>
          <w:highlight w:val="none"/>
          <w:u w:val="none"/>
          <w:lang w:eastAsia="zh-CN"/>
        </w:rPr>
        <w:t>合同项下投标</w:t>
      </w:r>
      <w:r>
        <w:rPr>
          <w:rFonts w:hint="default" w:ascii="Times New Roman" w:hAnsi="Times New Roman" w:cs="Times New Roman" w:eastAsiaTheme="minorEastAsia"/>
          <w:sz w:val="28"/>
          <w:szCs w:val="28"/>
          <w:highlight w:val="none"/>
          <w:u w:val="none"/>
          <w:lang w:val="en-US" w:eastAsia="zh-CN"/>
        </w:rPr>
        <w:t>的，</w:t>
      </w:r>
      <w:r>
        <w:rPr>
          <w:rFonts w:hint="default" w:ascii="Times New Roman" w:hAnsi="Times New Roman" w:cs="Times New Roman" w:eastAsiaTheme="minorEastAsia"/>
          <w:sz w:val="28"/>
          <w:szCs w:val="28"/>
          <w:highlight w:val="none"/>
        </w:rPr>
        <w:t>以其中通过资格审查、符合性审查且报价最低的参加评标；报价相同的，由采购人或者采购人委托评标委员会按照</w:t>
      </w:r>
      <w:r>
        <w:rPr>
          <w:rFonts w:hint="default" w:ascii="Times New Roman" w:hAnsi="Times New Roman" w:cs="Times New Roman" w:eastAsiaTheme="minorEastAsia"/>
          <w:sz w:val="28"/>
          <w:szCs w:val="28"/>
          <w:highlight w:val="none"/>
          <w:lang w:eastAsia="zh-CN"/>
        </w:rPr>
        <w:t>下述方法确定一个参加评标的投标人，其他</w:t>
      </w:r>
      <w:r>
        <w:rPr>
          <w:rFonts w:hint="default" w:ascii="Times New Roman" w:hAnsi="Times New Roman" w:cs="Times New Roman" w:eastAsiaTheme="minorEastAsia"/>
          <w:b/>
          <w:bCs/>
          <w:sz w:val="28"/>
          <w:szCs w:val="28"/>
          <w:highlight w:val="none"/>
        </w:rPr>
        <w:t>投标无效</w:t>
      </w:r>
      <w:r>
        <w:rPr>
          <w:rFonts w:hint="default" w:ascii="Times New Roman" w:hAnsi="Times New Roman" w:cs="Times New Roman" w:eastAsiaTheme="minorEastAsia"/>
          <w:sz w:val="28"/>
          <w:szCs w:val="28"/>
          <w:highlight w:val="none"/>
        </w:rPr>
        <w:t>。</w:t>
      </w:r>
    </w:p>
    <w:p w14:paraId="26F808FE">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w:t>
      </w:r>
      <w:bookmarkStart w:id="4" w:name="OLE_LINK7"/>
      <w:r>
        <w:rPr>
          <w:rFonts w:hint="default" w:ascii="Times New Roman" w:hAnsi="Times New Roman" w:cs="Times New Roman" w:eastAsiaTheme="minorEastAsia"/>
          <w:sz w:val="28"/>
          <w:szCs w:val="28"/>
          <w:highlight w:val="none"/>
          <w:lang w:val="en-US" w:eastAsia="zh-CN"/>
        </w:rPr>
        <w:sym w:font="Wingdings 2" w:char="00A3"/>
      </w:r>
      <w:r>
        <w:rPr>
          <w:rFonts w:hint="default" w:ascii="Times New Roman" w:hAnsi="Times New Roman" w:cs="Times New Roman" w:eastAsiaTheme="minorEastAsia"/>
          <w:sz w:val="28"/>
          <w:szCs w:val="28"/>
          <w:highlight w:val="none"/>
          <w:lang w:val="en-US" w:eastAsia="zh-CN"/>
        </w:rPr>
        <w:t>随机抽取</w:t>
      </w:r>
    </w:p>
    <w:p w14:paraId="503F51A8">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val="en-US" w:eastAsia="zh-CN"/>
        </w:rPr>
        <w:sym w:font="Wingdings 2" w:char="00A3"/>
      </w:r>
      <w:r>
        <w:rPr>
          <w:rFonts w:hint="default" w:ascii="Times New Roman" w:hAnsi="Times New Roman" w:cs="Times New Roman" w:eastAsiaTheme="minorEastAsia"/>
          <w:sz w:val="28"/>
          <w:szCs w:val="28"/>
          <w:highlight w:val="none"/>
          <w:lang w:val="en-US" w:eastAsia="zh-CN"/>
        </w:rPr>
        <w:t>其他方式，具体要求：</w:t>
      </w:r>
      <w:bookmarkEnd w:id="4"/>
      <w:r>
        <w:rPr>
          <w:rFonts w:hint="default" w:ascii="Times New Roman" w:hAnsi="Times New Roman" w:cs="Times New Roman" w:eastAsiaTheme="minorEastAsia"/>
          <w:sz w:val="28"/>
          <w:szCs w:val="28"/>
          <w:highlight w:val="none"/>
          <w:lang w:val="en-US" w:eastAsia="zh-CN"/>
        </w:rPr>
        <w:t xml:space="preserve"> </w:t>
      </w:r>
    </w:p>
    <w:p w14:paraId="78305507">
      <w:pPr>
        <w:spacing w:beforeLines="0" w:afterLines="0" w:line="360" w:lineRule="auto"/>
        <w:ind w:firstLine="56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（3）</w:t>
      </w:r>
      <w:r>
        <w:rPr>
          <w:rFonts w:hint="default" w:cs="Times New Roman" w:eastAsiaTheme="minorEastAsia"/>
          <w:sz w:val="28"/>
          <w:szCs w:val="28"/>
          <w:highlight w:val="none"/>
          <w:lang w:val="en-US" w:eastAsia="zh-CN"/>
        </w:rPr>
        <w:t>使用</w:t>
      </w:r>
      <w:r>
        <w:rPr>
          <w:rFonts w:hint="default" w:ascii="Times New Roman" w:hAnsi="Times New Roman" w:cs="Times New Roman" w:eastAsiaTheme="minorEastAsia"/>
          <w:sz w:val="28"/>
          <w:szCs w:val="28"/>
          <w:highlight w:val="none"/>
        </w:rPr>
        <w:t>综合评分法</w:t>
      </w:r>
      <w:r>
        <w:rPr>
          <w:rFonts w:hint="default" w:ascii="Times New Roman" w:hAnsi="Times New Roman" w:cs="Times New Roman" w:eastAsiaTheme="minorEastAsia"/>
          <w:sz w:val="28"/>
          <w:szCs w:val="28"/>
          <w:highlight w:val="none"/>
          <w:lang w:eastAsia="zh-CN"/>
        </w:rPr>
        <w:t>时</w:t>
      </w:r>
      <w:r>
        <w:rPr>
          <w:rFonts w:hint="default" w:ascii="Times New Roman" w:hAnsi="Times New Roman" w:cs="Times New Roman" w:eastAsiaTheme="minorEastAsia"/>
          <w:sz w:val="28"/>
          <w:szCs w:val="28"/>
          <w:highlight w:val="none"/>
        </w:rPr>
        <w:t>，提供相同品牌产品</w:t>
      </w:r>
      <w:r>
        <w:rPr>
          <w:rFonts w:hint="default" w:ascii="Times New Roman" w:hAnsi="Times New Roman" w:cs="Times New Roman" w:eastAsiaTheme="minorEastAsia"/>
          <w:sz w:val="28"/>
          <w:szCs w:val="28"/>
          <w:highlight w:val="none"/>
          <w:lang w:eastAsia="zh-CN"/>
        </w:rPr>
        <w:t>（单一产品或核心产品品牌相同）</w:t>
      </w:r>
      <w:r>
        <w:rPr>
          <w:rFonts w:hint="default" w:ascii="Times New Roman" w:hAnsi="Times New Roman" w:cs="Times New Roman" w:eastAsiaTheme="minorEastAsia"/>
          <w:sz w:val="28"/>
          <w:szCs w:val="28"/>
          <w:highlight w:val="none"/>
        </w:rPr>
        <w:t>且通过资格审查、符合性审查的不同投标</w:t>
      </w:r>
      <w:r>
        <w:rPr>
          <w:rFonts w:hint="default" w:cs="Times New Roman" w:eastAsiaTheme="minorEastAsia"/>
          <w:sz w:val="28"/>
          <w:szCs w:val="28"/>
          <w:highlight w:val="none"/>
          <w:lang w:eastAsia="zh-CN"/>
        </w:rPr>
        <w:t>人</w:t>
      </w:r>
      <w:r>
        <w:rPr>
          <w:rFonts w:hint="default" w:ascii="Times New Roman" w:hAnsi="Times New Roman" w:cs="Times New Roman" w:eastAsiaTheme="minorEastAsia"/>
          <w:sz w:val="28"/>
          <w:szCs w:val="28"/>
          <w:highlight w:val="none"/>
        </w:rPr>
        <w:t>，按一家投标</w:t>
      </w:r>
      <w:r>
        <w:rPr>
          <w:rFonts w:hint="default"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计算，评审后得分最高的同品牌投标</w:t>
      </w:r>
      <w:r>
        <w:rPr>
          <w:rFonts w:hint="default"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获得中标</w:t>
      </w:r>
      <w:r>
        <w:rPr>
          <w:rFonts w:hint="default"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推荐资格；评审得分相同的，由采购人或者采购人委托评标委员会按照</w:t>
      </w:r>
      <w:r>
        <w:rPr>
          <w:rFonts w:hint="default" w:ascii="Times New Roman" w:hAnsi="Times New Roman" w:cs="Times New Roman" w:eastAsiaTheme="minorEastAsia"/>
          <w:sz w:val="28"/>
          <w:szCs w:val="28"/>
          <w:highlight w:val="none"/>
          <w:lang w:eastAsia="zh-CN"/>
        </w:rPr>
        <w:t>下述方法</w:t>
      </w:r>
      <w:r>
        <w:rPr>
          <w:rFonts w:hint="default" w:ascii="Times New Roman" w:hAnsi="Times New Roman" w:cs="Times New Roman" w:eastAsiaTheme="minorEastAsia"/>
          <w:sz w:val="28"/>
          <w:szCs w:val="28"/>
          <w:highlight w:val="none"/>
        </w:rPr>
        <w:t>确定一个投标</w:t>
      </w:r>
      <w:r>
        <w:rPr>
          <w:rFonts w:hint="default"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获得中标</w:t>
      </w:r>
      <w:r>
        <w:rPr>
          <w:rFonts w:hint="default"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推荐资格；未规定的采取随机抽取方式确定，其他同品牌投标</w:t>
      </w:r>
      <w:r>
        <w:rPr>
          <w:rFonts w:hint="default"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不作为中标候选人。</w:t>
      </w:r>
    </w:p>
    <w:p w14:paraId="722ED71C">
      <w:pPr>
        <w:spacing w:beforeLines="0" w:afterLines="0"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val="en-US" w:eastAsia="zh-CN"/>
        </w:rPr>
        <w:sym w:font="Wingdings 2" w:char="00A3"/>
      </w:r>
      <w:r>
        <w:rPr>
          <w:rFonts w:hint="default" w:ascii="Times New Roman" w:hAnsi="Times New Roman" w:cs="Times New Roman" w:eastAsiaTheme="minorEastAsia"/>
          <w:sz w:val="28"/>
          <w:szCs w:val="28"/>
          <w:highlight w:val="none"/>
          <w:lang w:val="en-US" w:eastAsia="zh-CN"/>
        </w:rPr>
        <w:t>随机抽取</w:t>
      </w:r>
    </w:p>
    <w:p w14:paraId="3E8C37C6">
      <w:pPr>
        <w:spacing w:beforeLines="0" w:afterLines="0" w:line="360" w:lineRule="auto"/>
        <w:ind w:firstLine="56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val="en-US" w:eastAsia="zh-CN"/>
        </w:rPr>
        <w:sym w:font="Wingdings 2" w:char="0052"/>
      </w:r>
      <w:r>
        <w:rPr>
          <w:rFonts w:hint="default" w:ascii="Times New Roman" w:hAnsi="Times New Roman" w:cs="Times New Roman" w:eastAsiaTheme="minorEastAsia"/>
          <w:sz w:val="28"/>
          <w:szCs w:val="28"/>
          <w:highlight w:val="none"/>
          <w:lang w:val="en-US" w:eastAsia="zh-CN"/>
        </w:rPr>
        <w:t>其他方式，具体要求：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r>
        <w:rPr>
          <w:rFonts w:hint="eastAsia" w:cs="Times New Roman" w:eastAsiaTheme="minorEastAsia"/>
          <w:sz w:val="28"/>
          <w:szCs w:val="28"/>
          <w:highlight w:val="none"/>
          <w:lang w:val="en-US" w:eastAsia="zh-CN"/>
        </w:rPr>
        <w:t>。</w:t>
      </w:r>
    </w:p>
    <w:p w14:paraId="262EE068">
      <w:pPr>
        <w:spacing w:beforeLines="0" w:afterLines="0" w:line="360" w:lineRule="auto"/>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b/>
          <w:bCs/>
          <w:sz w:val="28"/>
          <w:szCs w:val="28"/>
          <w:highlight w:val="none"/>
          <w:lang w:eastAsia="zh-CN"/>
        </w:rPr>
        <w:t>四、确定中标候选人名单</w:t>
      </w:r>
    </w:p>
    <w:p w14:paraId="66D60F6C">
      <w:pPr>
        <w:spacing w:before="0" w:beforeLines="0" w:afterLines="0" w:line="360" w:lineRule="auto"/>
        <w:ind w:firstLine="560" w:firstLineChars="200"/>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sz w:val="28"/>
          <w:szCs w:val="28"/>
          <w:highlight w:val="none"/>
          <w:lang w:val="en-US" w:eastAsia="zh-CN"/>
        </w:rPr>
        <w:t>1.采用</w:t>
      </w:r>
      <w:r>
        <w:rPr>
          <w:rFonts w:hint="default" w:ascii="Times New Roman" w:hAnsi="Times New Roman" w:cs="Times New Roman" w:eastAsiaTheme="minorEastAsia"/>
          <w:sz w:val="28"/>
          <w:szCs w:val="28"/>
          <w:highlight w:val="none"/>
        </w:rPr>
        <w:t>最低评标价法</w:t>
      </w:r>
      <w:r>
        <w:rPr>
          <w:rFonts w:hint="default" w:ascii="Times New Roman" w:hAnsi="Times New Roman" w:cs="Times New Roman" w:eastAsiaTheme="minorEastAsia"/>
          <w:sz w:val="28"/>
          <w:szCs w:val="28"/>
          <w:highlight w:val="none"/>
          <w:lang w:eastAsia="zh-CN"/>
        </w:rPr>
        <w:t>时</w:t>
      </w:r>
      <w:r>
        <w:rPr>
          <w:rFonts w:hint="default" w:ascii="Times New Roman" w:hAnsi="Times New Roman" w:cs="Times New Roman" w:eastAsiaTheme="minorEastAsia"/>
          <w:sz w:val="28"/>
          <w:szCs w:val="28"/>
          <w:highlight w:val="none"/>
        </w:rPr>
        <w:t>，评标委员会在审查投标文件满足招标文件全部实质性要求后，按投标报价从低到高顺序确定中标候选人。</w:t>
      </w:r>
      <w:bookmarkStart w:id="5" w:name="OLE_LINK8"/>
      <w:r>
        <w:rPr>
          <w:rFonts w:hint="default" w:ascii="Times New Roman" w:hAnsi="Times New Roman" w:cs="Times New Roman" w:eastAsiaTheme="minorEastAsia"/>
          <w:b/>
          <w:bCs/>
          <w:sz w:val="28"/>
          <w:szCs w:val="28"/>
          <w:highlight w:val="none"/>
        </w:rPr>
        <w:t>除了算术修正和落实政府采购政策需进行的价格扣除外，不得对投标</w:t>
      </w:r>
      <w:r>
        <w:rPr>
          <w:rFonts w:hint="default" w:cs="Times New Roman" w:eastAsiaTheme="minorEastAsia"/>
          <w:b/>
          <w:bCs/>
          <w:sz w:val="28"/>
          <w:szCs w:val="28"/>
          <w:highlight w:val="none"/>
          <w:u w:val="none"/>
          <w:lang w:eastAsia="zh-CN"/>
        </w:rPr>
        <w:t>人</w:t>
      </w:r>
      <w:r>
        <w:rPr>
          <w:rFonts w:hint="default" w:ascii="Times New Roman" w:hAnsi="Times New Roman" w:cs="Times New Roman" w:eastAsiaTheme="minorEastAsia"/>
          <w:b/>
          <w:bCs/>
          <w:sz w:val="28"/>
          <w:szCs w:val="28"/>
          <w:highlight w:val="none"/>
        </w:rPr>
        <w:t>的投标价格进行任何调整。</w:t>
      </w:r>
    </w:p>
    <w:bookmarkEnd w:id="5"/>
    <w:p w14:paraId="2E986A3F">
      <w:pPr>
        <w:spacing w:before="0" w:beforeLines="0" w:afterLines="0" w:line="360" w:lineRule="auto"/>
        <w:ind w:firstLine="560" w:firstLineChars="20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2.</w:t>
      </w:r>
      <w:r>
        <w:rPr>
          <w:rFonts w:hint="default" w:ascii="Times New Roman" w:hAnsi="Times New Roman" w:cs="Times New Roman" w:eastAsiaTheme="minorEastAsia"/>
          <w:sz w:val="28"/>
          <w:szCs w:val="28"/>
          <w:highlight w:val="none"/>
          <w:lang w:eastAsia="zh-CN"/>
        </w:rPr>
        <w:t>采用</w:t>
      </w:r>
      <w:r>
        <w:rPr>
          <w:rFonts w:hint="default" w:ascii="Times New Roman" w:hAnsi="Times New Roman" w:cs="Times New Roman" w:eastAsiaTheme="minorEastAsia"/>
          <w:sz w:val="28"/>
          <w:szCs w:val="28"/>
          <w:highlight w:val="none"/>
        </w:rPr>
        <w:t>综合评分法</w:t>
      </w:r>
      <w:r>
        <w:rPr>
          <w:rFonts w:hint="default" w:ascii="Times New Roman" w:hAnsi="Times New Roman" w:cs="Times New Roman" w:eastAsiaTheme="minorEastAsia"/>
          <w:sz w:val="28"/>
          <w:szCs w:val="28"/>
          <w:highlight w:val="none"/>
          <w:lang w:eastAsia="zh-CN"/>
        </w:rPr>
        <w:t>时</w:t>
      </w:r>
      <w:r>
        <w:rPr>
          <w:rFonts w:hint="default" w:ascii="Times New Roman" w:hAnsi="Times New Roman" w:cs="Times New Roman" w:eastAsiaTheme="minorEastAsia"/>
          <w:sz w:val="28"/>
          <w:szCs w:val="28"/>
          <w:highlight w:val="none"/>
        </w:rPr>
        <w:t>，评标委员会对满足招标文件全部实质性要求的投标文件，按照招标文件规定的评审因素的量化指标进行评审打分，以评审得分从高到低顺序确定中标候选</w:t>
      </w:r>
      <w:r>
        <w:rPr>
          <w:rFonts w:hint="default" w:ascii="Times New Roman" w:hAnsi="Times New Roman" w:cs="Times New Roman" w:eastAsiaTheme="minorEastAsia"/>
          <w:sz w:val="28"/>
          <w:szCs w:val="28"/>
          <w:highlight w:val="none"/>
          <w:lang w:val="zh-CN"/>
        </w:rPr>
        <w:t>供应商</w:t>
      </w:r>
      <w:r>
        <w:rPr>
          <w:rFonts w:hint="default" w:ascii="Times New Roman" w:hAnsi="Times New Roman" w:cs="Times New Roman" w:eastAsiaTheme="minorEastAsia"/>
          <w:sz w:val="28"/>
          <w:szCs w:val="28"/>
          <w:highlight w:val="none"/>
        </w:rPr>
        <w:t>。</w:t>
      </w:r>
      <w:r>
        <w:rPr>
          <w:rFonts w:hint="default" w:ascii="Times New Roman" w:hAnsi="Times New Roman" w:cs="Times New Roman" w:eastAsiaTheme="minorEastAsia"/>
          <w:b/>
          <w:bCs/>
          <w:sz w:val="28"/>
          <w:szCs w:val="28"/>
          <w:highlight w:val="none"/>
        </w:rPr>
        <w:t>除了算术修正和落实政府采购政策需进行的价格扣除外，不得对投标</w:t>
      </w:r>
      <w:r>
        <w:rPr>
          <w:rFonts w:hint="default" w:cs="Times New Roman" w:eastAsiaTheme="minorEastAsia"/>
          <w:b/>
          <w:bCs/>
          <w:sz w:val="28"/>
          <w:szCs w:val="28"/>
          <w:highlight w:val="none"/>
          <w:u w:val="none"/>
          <w:lang w:eastAsia="zh-CN"/>
        </w:rPr>
        <w:t>人</w:t>
      </w:r>
      <w:r>
        <w:rPr>
          <w:rFonts w:hint="default" w:ascii="Times New Roman" w:hAnsi="Times New Roman" w:cs="Times New Roman" w:eastAsiaTheme="minorEastAsia"/>
          <w:b/>
          <w:bCs/>
          <w:sz w:val="28"/>
          <w:szCs w:val="28"/>
          <w:highlight w:val="none"/>
        </w:rPr>
        <w:t>的投标价格进行任何调整。</w:t>
      </w:r>
    </w:p>
    <w:p w14:paraId="70003C58">
      <w:pPr>
        <w:pStyle w:val="2"/>
        <w:tabs>
          <w:tab w:val="clear" w:pos="567"/>
        </w:tabs>
        <w:spacing w:before="0" w:beforeLines="0" w:afterLines="0" w:line="360" w:lineRule="auto"/>
        <w:ind w:firstLine="630" w:firstLineChars="225"/>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3.</w:t>
      </w:r>
      <w:r>
        <w:rPr>
          <w:rFonts w:hint="default" w:ascii="Times New Roman" w:hAnsi="Times New Roman" w:cs="Times New Roman" w:eastAsiaTheme="minorEastAsia"/>
          <w:sz w:val="28"/>
          <w:szCs w:val="28"/>
          <w:highlight w:val="none"/>
        </w:rPr>
        <w:t>评标委员会每位成员独立对每个有效投标</w:t>
      </w:r>
      <w:r>
        <w:rPr>
          <w:rFonts w:hint="default" w:ascii="Times New Roman" w:hAnsi="Times New Roman"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的投标文件进行评价、打分；然后汇总每个投标</w:t>
      </w:r>
      <w:r>
        <w:rPr>
          <w:rFonts w:hint="default" w:ascii="Times New Roman" w:hAnsi="Times New Roman" w:cs="Times New Roman" w:eastAsiaTheme="minorEastAsia"/>
          <w:sz w:val="28"/>
          <w:szCs w:val="28"/>
          <w:highlight w:val="none"/>
          <w:u w:val="none"/>
          <w:lang w:eastAsia="zh-CN"/>
        </w:rPr>
        <w:t>人</w:t>
      </w:r>
      <w:r>
        <w:rPr>
          <w:rFonts w:hint="default" w:ascii="Times New Roman" w:hAnsi="Times New Roman" w:cs="Times New Roman" w:eastAsiaTheme="minorEastAsia"/>
          <w:sz w:val="28"/>
          <w:szCs w:val="28"/>
          <w:highlight w:val="none"/>
        </w:rPr>
        <w:t>的得分，计算得分平均值，以平均值由高到低进行排序，按排序顺序推荐中标候选</w:t>
      </w:r>
      <w:r>
        <w:rPr>
          <w:rFonts w:hint="default" w:ascii="Times New Roman" w:hAnsi="Times New Roman" w:cs="Times New Roman" w:eastAsiaTheme="minorEastAsia"/>
          <w:sz w:val="28"/>
          <w:szCs w:val="28"/>
          <w:highlight w:val="none"/>
          <w:lang w:val="zh-CN"/>
        </w:rPr>
        <w:t>供应商</w:t>
      </w:r>
      <w:r>
        <w:rPr>
          <w:rFonts w:hint="default" w:ascii="Times New Roman" w:hAnsi="Times New Roman" w:cs="Times New Roman" w:eastAsiaTheme="minorEastAsia"/>
          <w:sz w:val="28"/>
          <w:szCs w:val="28"/>
          <w:highlight w:val="none"/>
        </w:rPr>
        <w:t>。分值计算保留小数点后两位，第三位四舍五入。</w:t>
      </w:r>
    </w:p>
    <w:p w14:paraId="6E9FA3D0">
      <w:pPr>
        <w:spacing w:beforeLines="0" w:afterLines="0" w:line="360" w:lineRule="auto"/>
        <w:rPr>
          <w:rFonts w:hint="default" w:ascii="Times New Roman" w:hAnsi="Times New Roman" w:cs="Times New Roman" w:eastAsiaTheme="minorEastAsia"/>
          <w:b/>
          <w:bCs/>
          <w:sz w:val="28"/>
          <w:szCs w:val="28"/>
          <w:highlight w:val="none"/>
        </w:rPr>
      </w:pPr>
      <w:r>
        <w:rPr>
          <w:rFonts w:hint="default" w:ascii="Times New Roman" w:hAnsi="Times New Roman" w:cs="Times New Roman" w:eastAsiaTheme="minorEastAsia"/>
          <w:b/>
          <w:bCs/>
          <w:sz w:val="28"/>
          <w:szCs w:val="28"/>
          <w:highlight w:val="none"/>
          <w:lang w:eastAsia="zh-CN"/>
        </w:rPr>
        <w:t>五</w:t>
      </w:r>
      <w:r>
        <w:rPr>
          <w:rFonts w:hint="default" w:ascii="Times New Roman" w:hAnsi="Times New Roman" w:cs="Times New Roman" w:eastAsiaTheme="minorEastAsia"/>
          <w:b/>
          <w:bCs/>
          <w:sz w:val="28"/>
          <w:szCs w:val="28"/>
          <w:highlight w:val="none"/>
        </w:rPr>
        <w:t>、采购人或者采购代理机构核对评标结果</w:t>
      </w:r>
    </w:p>
    <w:p w14:paraId="599385EB">
      <w:pPr>
        <w:spacing w:beforeLines="0" w:afterLines="0" w:line="360" w:lineRule="auto"/>
        <w:ind w:firstLine="640"/>
        <w:rPr>
          <w:rFonts w:hint="default" w:ascii="Times New Roman" w:hAnsi="Times New Roman" w:cs="Times New Roman"/>
          <w:sz w:val="32"/>
          <w:szCs w:val="32"/>
          <w:highlight w:val="none"/>
        </w:rPr>
      </w:pPr>
      <w:r>
        <w:rPr>
          <w:rFonts w:hint="default" w:ascii="Times New Roman" w:hAnsi="Times New Roman" w:cs="Times New Roman" w:eastAsiaTheme="minorEastAsia"/>
          <w:sz w:val="28"/>
          <w:szCs w:val="28"/>
          <w:highlight w:val="none"/>
          <w:lang w:val="en-US" w:eastAsia="zh-CN"/>
        </w:rPr>
        <w:t>采购人或者采购代理机构要核对评标结果，发现有《政府采购货物和服务招标管理办法》（财政部令第87号）第六十四条规定情形的，应要求评标委员会复核或者书面说明理由，评标委员会拒绝的，应予记录并向本级财政部门报告。</w:t>
      </w:r>
    </w:p>
    <w:p w14:paraId="327545B0">
      <w:pPr>
        <w:numPr>
          <w:ilvl w:val="0"/>
          <w:numId w:val="1"/>
        </w:numPr>
        <w:spacing w:line="360" w:lineRule="auto"/>
        <w:ind w:left="0" w:leftChars="0" w:firstLine="0" w:firstLineChars="0"/>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b/>
          <w:bCs/>
          <w:sz w:val="28"/>
          <w:szCs w:val="28"/>
          <w:highlight w:val="none"/>
        </w:rPr>
        <w:t>评审标准</w:t>
      </w:r>
      <w:r>
        <w:rPr>
          <w:rFonts w:hint="default" w:ascii="Times New Roman" w:hAnsi="Times New Roman" w:cs="Times New Roman" w:eastAsiaTheme="minorEastAsia"/>
          <w:b/>
          <w:bCs/>
          <w:sz w:val="28"/>
          <w:szCs w:val="28"/>
          <w:highlight w:val="none"/>
          <w:lang w:eastAsia="zh-CN"/>
        </w:rPr>
        <w:t>（适用综合评分法）</w:t>
      </w:r>
    </w:p>
    <w:tbl>
      <w:tblPr>
        <w:tblStyle w:val="24"/>
        <w:tblW w:w="10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142"/>
        <w:gridCol w:w="935"/>
        <w:gridCol w:w="6981"/>
        <w:gridCol w:w="546"/>
      </w:tblGrid>
      <w:tr w14:paraId="417A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5" w:type="dxa"/>
            <w:noWrap w:val="0"/>
            <w:vAlign w:val="center"/>
          </w:tcPr>
          <w:p w14:paraId="6CF47D51">
            <w:pPr>
              <w:spacing w:line="360" w:lineRule="auto"/>
              <w:ind w:firstLine="28" w:firstLineChars="0"/>
              <w:jc w:val="both"/>
              <w:rPr>
                <w:rFonts w:hint="eastAsia" w:ascii="宋体" w:hAnsi="宋体" w:eastAsia="宋体" w:cs="宋体"/>
                <w:b/>
                <w:sz w:val="18"/>
                <w:szCs w:val="18"/>
              </w:rPr>
            </w:pPr>
            <w:r>
              <w:rPr>
                <w:rFonts w:hint="eastAsia" w:ascii="宋体" w:hAnsi="宋体" w:eastAsia="宋体" w:cs="宋体"/>
                <w:b/>
                <w:sz w:val="21"/>
                <w:szCs w:val="21"/>
              </w:rPr>
              <w:t>序号</w:t>
            </w:r>
          </w:p>
        </w:tc>
        <w:tc>
          <w:tcPr>
            <w:tcW w:w="1142" w:type="dxa"/>
            <w:noWrap w:val="0"/>
            <w:vAlign w:val="center"/>
          </w:tcPr>
          <w:p w14:paraId="00AF0A82">
            <w:pPr>
              <w:spacing w:line="360" w:lineRule="auto"/>
              <w:ind w:firstLine="28"/>
              <w:jc w:val="both"/>
              <w:rPr>
                <w:rFonts w:hint="eastAsia" w:ascii="宋体" w:hAnsi="宋体" w:eastAsia="宋体" w:cs="宋体"/>
                <w:b/>
                <w:sz w:val="21"/>
                <w:szCs w:val="21"/>
              </w:rPr>
            </w:pPr>
            <w:r>
              <w:rPr>
                <w:rFonts w:hint="eastAsia" w:ascii="宋体" w:hAnsi="宋体" w:eastAsia="宋体" w:cs="宋体"/>
                <w:b/>
                <w:sz w:val="21"/>
                <w:szCs w:val="21"/>
              </w:rPr>
              <w:t>评分因素</w:t>
            </w:r>
          </w:p>
          <w:p w14:paraId="609CE952">
            <w:pPr>
              <w:spacing w:line="360" w:lineRule="auto"/>
              <w:ind w:firstLine="28" w:firstLineChars="0"/>
              <w:jc w:val="both"/>
              <w:rPr>
                <w:rFonts w:hint="eastAsia" w:ascii="宋体" w:hAnsi="宋体" w:eastAsia="宋体" w:cs="宋体"/>
                <w:b/>
                <w:sz w:val="18"/>
                <w:szCs w:val="18"/>
              </w:rPr>
            </w:pPr>
            <w:r>
              <w:rPr>
                <w:rFonts w:hint="eastAsia" w:ascii="宋体" w:hAnsi="宋体" w:eastAsia="宋体" w:cs="宋体"/>
                <w:b/>
                <w:sz w:val="21"/>
                <w:szCs w:val="21"/>
              </w:rPr>
              <w:t>及权重</w:t>
            </w:r>
          </w:p>
        </w:tc>
        <w:tc>
          <w:tcPr>
            <w:tcW w:w="935" w:type="dxa"/>
            <w:noWrap w:val="0"/>
            <w:vAlign w:val="center"/>
          </w:tcPr>
          <w:p w14:paraId="7E15451C">
            <w:pPr>
              <w:spacing w:line="360" w:lineRule="auto"/>
              <w:ind w:firstLine="28" w:firstLineChars="0"/>
              <w:jc w:val="both"/>
              <w:rPr>
                <w:rFonts w:hint="eastAsia" w:ascii="宋体" w:hAnsi="宋体" w:eastAsia="宋体" w:cs="宋体"/>
                <w:b/>
                <w:sz w:val="18"/>
                <w:szCs w:val="18"/>
              </w:rPr>
            </w:pPr>
            <w:r>
              <w:rPr>
                <w:rFonts w:hint="eastAsia" w:ascii="宋体" w:hAnsi="宋体" w:eastAsia="宋体" w:cs="宋体"/>
                <w:b/>
                <w:sz w:val="21"/>
                <w:szCs w:val="21"/>
              </w:rPr>
              <w:t>分值</w:t>
            </w:r>
          </w:p>
        </w:tc>
        <w:tc>
          <w:tcPr>
            <w:tcW w:w="6981" w:type="dxa"/>
            <w:noWrap w:val="0"/>
            <w:vAlign w:val="center"/>
          </w:tcPr>
          <w:p w14:paraId="0081DC35">
            <w:pPr>
              <w:spacing w:line="360" w:lineRule="auto"/>
              <w:ind w:firstLine="28" w:firstLineChars="0"/>
              <w:jc w:val="both"/>
              <w:rPr>
                <w:rFonts w:hint="eastAsia" w:ascii="宋体" w:hAnsi="宋体" w:eastAsia="宋体" w:cs="宋体"/>
                <w:b/>
                <w:sz w:val="18"/>
                <w:szCs w:val="18"/>
              </w:rPr>
            </w:pPr>
            <w:r>
              <w:rPr>
                <w:rFonts w:hint="eastAsia" w:ascii="宋体" w:hAnsi="宋体" w:eastAsia="宋体" w:cs="宋体"/>
                <w:b/>
                <w:sz w:val="21"/>
                <w:szCs w:val="21"/>
              </w:rPr>
              <w:t>评分标准</w:t>
            </w:r>
          </w:p>
        </w:tc>
        <w:tc>
          <w:tcPr>
            <w:tcW w:w="546" w:type="dxa"/>
            <w:noWrap w:val="0"/>
            <w:vAlign w:val="center"/>
          </w:tcPr>
          <w:p w14:paraId="4390B256">
            <w:pPr>
              <w:pStyle w:val="43"/>
              <w:spacing w:line="360" w:lineRule="auto"/>
              <w:jc w:val="both"/>
              <w:rPr>
                <w:rFonts w:hint="eastAsia" w:ascii="宋体" w:hAnsi="宋体" w:eastAsia="宋体" w:cs="宋体"/>
                <w:sz w:val="18"/>
                <w:szCs w:val="18"/>
              </w:rPr>
            </w:pPr>
            <w:r>
              <w:rPr>
                <w:rFonts w:hint="eastAsia" w:ascii="宋体" w:hAnsi="宋体" w:eastAsia="宋体" w:cs="宋体"/>
                <w:sz w:val="21"/>
                <w:szCs w:val="21"/>
              </w:rPr>
              <w:t>说明</w:t>
            </w:r>
          </w:p>
        </w:tc>
      </w:tr>
      <w:tr w14:paraId="223B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455" w:type="dxa"/>
            <w:noWrap w:val="0"/>
            <w:vAlign w:val="center"/>
          </w:tcPr>
          <w:p w14:paraId="2B514E22">
            <w:pPr>
              <w:spacing w:line="360" w:lineRule="auto"/>
              <w:ind w:firstLine="28" w:firstLineChars="0"/>
              <w:jc w:val="both"/>
              <w:rPr>
                <w:rFonts w:hint="eastAsia" w:ascii="宋体" w:hAnsi="宋体" w:eastAsia="宋体" w:cs="宋体"/>
                <w:sz w:val="18"/>
                <w:szCs w:val="18"/>
              </w:rPr>
            </w:pPr>
            <w:r>
              <w:rPr>
                <w:rFonts w:hint="eastAsia" w:ascii="宋体" w:hAnsi="宋体" w:eastAsia="宋体" w:cs="宋体"/>
                <w:sz w:val="21"/>
                <w:szCs w:val="21"/>
              </w:rPr>
              <w:t>1</w:t>
            </w:r>
          </w:p>
        </w:tc>
        <w:tc>
          <w:tcPr>
            <w:tcW w:w="1142" w:type="dxa"/>
            <w:noWrap w:val="0"/>
            <w:vAlign w:val="center"/>
          </w:tcPr>
          <w:p w14:paraId="059AE037">
            <w:pPr>
              <w:spacing w:line="360" w:lineRule="auto"/>
              <w:ind w:firstLine="28"/>
              <w:jc w:val="both"/>
              <w:rPr>
                <w:rFonts w:hint="eastAsia" w:ascii="宋体" w:hAnsi="宋体" w:eastAsia="宋体" w:cs="宋体"/>
                <w:sz w:val="21"/>
                <w:szCs w:val="21"/>
              </w:rPr>
            </w:pPr>
            <w:r>
              <w:rPr>
                <w:rFonts w:hint="eastAsia" w:ascii="宋体" w:hAnsi="宋体" w:eastAsia="宋体" w:cs="宋体"/>
                <w:sz w:val="21"/>
                <w:szCs w:val="21"/>
              </w:rPr>
              <w:t>投标报价</w:t>
            </w:r>
          </w:p>
          <w:p w14:paraId="6A163176">
            <w:pPr>
              <w:spacing w:line="360" w:lineRule="auto"/>
              <w:ind w:firstLine="28" w:firstLineChars="0"/>
              <w:jc w:val="both"/>
              <w:rPr>
                <w:rFonts w:hint="eastAsia" w:ascii="宋体" w:hAnsi="宋体" w:eastAsia="宋体" w:cs="宋体"/>
                <w:kern w:val="0"/>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30</w:t>
            </w:r>
            <w:r>
              <w:rPr>
                <w:rFonts w:hint="eastAsia" w:ascii="宋体" w:hAnsi="宋体" w:eastAsia="宋体" w:cs="宋体"/>
                <w:sz w:val="21"/>
                <w:szCs w:val="21"/>
              </w:rPr>
              <w:t>分)</w:t>
            </w:r>
          </w:p>
        </w:tc>
        <w:tc>
          <w:tcPr>
            <w:tcW w:w="935" w:type="dxa"/>
            <w:noWrap w:val="0"/>
            <w:vAlign w:val="center"/>
          </w:tcPr>
          <w:p w14:paraId="65852D6D">
            <w:pPr>
              <w:spacing w:line="360" w:lineRule="auto"/>
              <w:jc w:val="both"/>
              <w:rPr>
                <w:rFonts w:hint="eastAsia" w:ascii="宋体" w:hAnsi="宋体" w:eastAsia="宋体" w:cs="宋体"/>
                <w:kern w:val="0"/>
                <w:szCs w:val="21"/>
              </w:rPr>
            </w:pPr>
            <w:r>
              <w:rPr>
                <w:rFonts w:hint="eastAsia" w:ascii="宋体" w:hAnsi="宋体" w:eastAsia="宋体" w:cs="宋体"/>
                <w:sz w:val="21"/>
                <w:szCs w:val="21"/>
                <w:lang w:val="en-US" w:eastAsia="zh-CN"/>
              </w:rPr>
              <w:t>30</w:t>
            </w:r>
            <w:r>
              <w:rPr>
                <w:rFonts w:hint="eastAsia" w:ascii="宋体" w:hAnsi="宋体" w:eastAsia="宋体" w:cs="宋体"/>
                <w:sz w:val="21"/>
                <w:szCs w:val="21"/>
              </w:rPr>
              <w:t>（分）</w:t>
            </w:r>
          </w:p>
        </w:tc>
        <w:tc>
          <w:tcPr>
            <w:tcW w:w="6981" w:type="dxa"/>
            <w:noWrap w:val="0"/>
            <w:vAlign w:val="center"/>
          </w:tcPr>
          <w:p w14:paraId="662E4651">
            <w:pPr>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各供应商的价格得分的计算公式：价格分应当采用低价优先法计算，即满足招标文件要求且投标价格最低的投标报价为评标基准价，其价格分为满分。其他投标人的价格分统一按照下列公式计算：</w:t>
            </w:r>
          </w:p>
          <w:p w14:paraId="7B0BC289">
            <w:pPr>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投标报价得分=(评标基准价／投标报价)×100×30%</w:t>
            </w:r>
          </w:p>
          <w:p w14:paraId="1510B7AF">
            <w:pPr>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评标总得分＝F1×A1＋F2×A2＋……＋Fn×An</w:t>
            </w:r>
          </w:p>
          <w:p w14:paraId="212544A0">
            <w:pPr>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F1、F2……Fn分别为各项评审因素的得分；</w:t>
            </w:r>
          </w:p>
          <w:p w14:paraId="1736D24B">
            <w:pPr>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A1、A2、……An 分别为各项评审因素所占的权重(A1＋A2＋……＋An＝1)。</w:t>
            </w:r>
          </w:p>
          <w:p w14:paraId="0040C7E8">
            <w:pPr>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评标过程中，不得去掉报价中的最高报价和最低报价。</w:t>
            </w:r>
          </w:p>
          <w:p w14:paraId="5F116670">
            <w:pPr>
              <w:spacing w:line="360" w:lineRule="auto"/>
              <w:jc w:val="both"/>
              <w:rPr>
                <w:rFonts w:hint="eastAsia" w:ascii="宋体" w:hAnsi="宋体" w:eastAsia="宋体" w:cs="宋体"/>
                <w:sz w:val="18"/>
                <w:szCs w:val="18"/>
              </w:rPr>
            </w:pPr>
            <w:r>
              <w:rPr>
                <w:rFonts w:hint="eastAsia" w:ascii="宋体" w:hAnsi="宋体" w:eastAsia="宋体" w:cs="宋体"/>
                <w:kern w:val="0"/>
                <w:sz w:val="21"/>
                <w:szCs w:val="21"/>
              </w:rPr>
              <w:t>因落实政府采购政策进行价格调整的，以调整后的价格计算评标基准价和投标报价。</w:t>
            </w:r>
          </w:p>
        </w:tc>
        <w:tc>
          <w:tcPr>
            <w:tcW w:w="546" w:type="dxa"/>
            <w:noWrap w:val="0"/>
            <w:vAlign w:val="center"/>
          </w:tcPr>
          <w:p w14:paraId="2EFA807C">
            <w:pPr>
              <w:spacing w:line="360" w:lineRule="auto"/>
              <w:jc w:val="both"/>
              <w:rPr>
                <w:rFonts w:hint="eastAsia" w:ascii="宋体" w:hAnsi="宋体" w:eastAsia="宋体" w:cs="宋体"/>
                <w:sz w:val="18"/>
                <w:szCs w:val="18"/>
              </w:rPr>
            </w:pPr>
          </w:p>
        </w:tc>
      </w:tr>
      <w:tr w14:paraId="18E9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455" w:type="dxa"/>
            <w:vMerge w:val="restart"/>
            <w:noWrap w:val="0"/>
            <w:vAlign w:val="center"/>
          </w:tcPr>
          <w:p w14:paraId="0B4D81E8">
            <w:pPr>
              <w:spacing w:line="360" w:lineRule="auto"/>
              <w:ind w:firstLine="28" w:firstLineChars="0"/>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142" w:type="dxa"/>
            <w:vMerge w:val="restart"/>
            <w:noWrap w:val="0"/>
            <w:vAlign w:val="center"/>
          </w:tcPr>
          <w:p w14:paraId="2206B88E">
            <w:pPr>
              <w:spacing w:line="360" w:lineRule="auto"/>
              <w:ind w:firstLine="28" w:firstLineChars="0"/>
              <w:jc w:val="both"/>
              <w:rPr>
                <w:rFonts w:hint="eastAsia" w:ascii="宋体" w:hAnsi="宋体" w:eastAsia="宋体" w:cs="宋体"/>
                <w:kern w:val="0"/>
                <w:szCs w:val="21"/>
              </w:rPr>
            </w:pPr>
            <w:r>
              <w:rPr>
                <w:rFonts w:hint="eastAsia" w:ascii="宋体" w:hAnsi="宋体" w:eastAsia="宋体" w:cs="宋体"/>
                <w:kern w:val="0"/>
                <w:szCs w:val="21"/>
                <w:lang w:val="en-US" w:eastAsia="zh-CN"/>
              </w:rPr>
              <w:t>技术部分（</w:t>
            </w:r>
            <w:r>
              <w:rPr>
                <w:rFonts w:hint="eastAsia" w:ascii="宋体" w:hAnsi="宋体" w:cs="宋体"/>
                <w:kern w:val="0"/>
                <w:szCs w:val="21"/>
                <w:lang w:val="en-US" w:eastAsia="zh-CN"/>
              </w:rPr>
              <w:t>47分</w:t>
            </w:r>
            <w:r>
              <w:rPr>
                <w:rFonts w:hint="eastAsia" w:ascii="宋体" w:hAnsi="宋体" w:eastAsia="宋体" w:cs="宋体"/>
                <w:kern w:val="0"/>
                <w:szCs w:val="21"/>
                <w:lang w:val="en-US" w:eastAsia="zh-CN"/>
              </w:rPr>
              <w:t>）</w:t>
            </w:r>
          </w:p>
        </w:tc>
        <w:tc>
          <w:tcPr>
            <w:tcW w:w="935" w:type="dxa"/>
            <w:noWrap w:val="0"/>
            <w:vAlign w:val="center"/>
          </w:tcPr>
          <w:p w14:paraId="659CDDF4">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6981" w:type="dxa"/>
            <w:noWrap w:val="0"/>
            <w:vAlign w:val="center"/>
          </w:tcPr>
          <w:p w14:paraId="5A585828">
            <w:pPr>
              <w:pStyle w:val="6"/>
              <w:adjustRightInd/>
              <w:spacing w:line="360" w:lineRule="auto"/>
              <w:ind w:left="0" w:leftChars="0" w:firstLine="0" w:firstLineChars="0"/>
              <w:jc w:val="both"/>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技术参数：</w:t>
            </w:r>
          </w:p>
          <w:p w14:paraId="3D8508E8">
            <w:pPr>
              <w:spacing w:line="360" w:lineRule="auto"/>
              <w:jc w:val="both"/>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技术指标基础分为</w:t>
            </w:r>
            <w:r>
              <w:rPr>
                <w:rFonts w:hint="eastAsia" w:ascii="宋体" w:hAnsi="宋体" w:cs="宋体"/>
                <w:kern w:val="0"/>
                <w:sz w:val="21"/>
                <w:szCs w:val="21"/>
                <w:highlight w:val="none"/>
                <w:lang w:val="en-US" w:eastAsia="zh-CN"/>
              </w:rPr>
              <w:t>30</w:t>
            </w:r>
            <w:r>
              <w:rPr>
                <w:rFonts w:hint="eastAsia" w:ascii="宋体" w:hAnsi="宋体" w:eastAsia="宋体" w:cs="宋体"/>
                <w:kern w:val="0"/>
                <w:sz w:val="21"/>
                <w:szCs w:val="21"/>
                <w:highlight w:val="none"/>
                <w:lang w:val="en-US" w:eastAsia="zh-CN"/>
              </w:rPr>
              <w:t>分。满足招标文件技术要求的，计</w:t>
            </w:r>
            <w:r>
              <w:rPr>
                <w:rFonts w:hint="eastAsia" w:ascii="宋体" w:hAnsi="宋体" w:cs="宋体"/>
                <w:kern w:val="0"/>
                <w:sz w:val="21"/>
                <w:szCs w:val="21"/>
                <w:highlight w:val="none"/>
                <w:lang w:val="en-US" w:eastAsia="zh-CN"/>
              </w:rPr>
              <w:t>30</w:t>
            </w:r>
            <w:r>
              <w:rPr>
                <w:rFonts w:hint="eastAsia" w:ascii="宋体" w:hAnsi="宋体" w:eastAsia="宋体" w:cs="宋体"/>
                <w:kern w:val="0"/>
                <w:sz w:val="21"/>
                <w:szCs w:val="21"/>
                <w:highlight w:val="none"/>
                <w:lang w:val="en-US" w:eastAsia="zh-CN"/>
              </w:rPr>
              <w:t>分。</w:t>
            </w:r>
          </w:p>
          <w:p w14:paraId="495DA4A8">
            <w:pPr>
              <w:numPr>
                <w:ilvl w:val="0"/>
                <w:numId w:val="0"/>
              </w:numPr>
              <w:spacing w:line="360" w:lineRule="auto"/>
              <w:jc w:val="both"/>
              <w:rPr>
                <w:rFonts w:hint="default" w:ascii="宋体" w:hAnsi="宋体" w:eastAsia="宋体" w:cs="宋体"/>
                <w:kern w:val="0"/>
                <w:sz w:val="21"/>
                <w:szCs w:val="21"/>
                <w:highlight w:val="none"/>
                <w:lang w:val="en-US" w:eastAsia="zh-CN"/>
              </w:rPr>
            </w:pPr>
            <w:r>
              <w:rPr>
                <w:rFonts w:hint="eastAsia" w:ascii="宋体" w:hAnsi="宋体" w:eastAsia="宋体" w:cs="宋体"/>
                <w:color w:val="auto"/>
                <w:kern w:val="0"/>
                <w:szCs w:val="21"/>
                <w:highlight w:val="none"/>
                <w:lang w:val="en-US" w:eastAsia="zh-CN"/>
              </w:rPr>
              <w:t>1、</w:t>
            </w:r>
            <w:r>
              <w:rPr>
                <w:rFonts w:hint="default" w:ascii="宋体" w:hAnsi="宋体" w:eastAsia="宋体" w:cs="宋体"/>
                <w:kern w:val="0"/>
                <w:sz w:val="21"/>
                <w:szCs w:val="21"/>
                <w:highlight w:val="none"/>
                <w:lang w:val="en-US" w:eastAsia="zh-CN"/>
              </w:rPr>
              <w:t>本项目采购文件采购需求中标记“▲”的为重要参数（共计</w:t>
            </w:r>
            <w:r>
              <w:rPr>
                <w:rFonts w:hint="eastAsia" w:ascii="宋体" w:hAnsi="宋体" w:eastAsia="宋体" w:cs="宋体"/>
                <w:kern w:val="0"/>
                <w:sz w:val="21"/>
                <w:szCs w:val="21"/>
                <w:highlight w:val="none"/>
                <w:lang w:val="en-US" w:eastAsia="zh-CN"/>
              </w:rPr>
              <w:t>1</w:t>
            </w:r>
            <w:r>
              <w:rPr>
                <w:rFonts w:hint="eastAsia" w:ascii="宋体" w:hAnsi="宋体" w:cs="宋体"/>
                <w:kern w:val="0"/>
                <w:sz w:val="21"/>
                <w:szCs w:val="21"/>
                <w:highlight w:val="none"/>
                <w:lang w:val="en-US" w:eastAsia="zh-CN"/>
              </w:rPr>
              <w:t>4</w:t>
            </w:r>
            <w:r>
              <w:rPr>
                <w:rFonts w:hint="default" w:ascii="宋体" w:hAnsi="宋体" w:eastAsia="宋体" w:cs="宋体"/>
                <w:kern w:val="0"/>
                <w:sz w:val="21"/>
                <w:szCs w:val="21"/>
                <w:highlight w:val="none"/>
                <w:lang w:val="en-US" w:eastAsia="zh-CN"/>
              </w:rPr>
              <w:t>项），</w:t>
            </w:r>
            <w:r>
              <w:rPr>
                <w:rFonts w:hint="eastAsia" w:ascii="宋体" w:hAnsi="宋体" w:eastAsia="宋体" w:cs="宋体"/>
                <w:kern w:val="0"/>
                <w:sz w:val="21"/>
                <w:szCs w:val="21"/>
                <w:highlight w:val="none"/>
                <w:lang w:val="en-US" w:eastAsia="zh-CN"/>
              </w:rPr>
              <w:t>属于重要参数，要求逐条响应并提供证明材料。每出现一条不响应且未提供证明材料的扣</w:t>
            </w:r>
            <w:r>
              <w:rPr>
                <w:rFonts w:hint="eastAsia" w:ascii="宋体" w:hAnsi="宋体" w:cs="宋体"/>
                <w:kern w:val="0"/>
                <w:sz w:val="21"/>
                <w:szCs w:val="21"/>
                <w:highlight w:val="none"/>
                <w:lang w:val="en-US" w:eastAsia="zh-CN"/>
              </w:rPr>
              <w:t>2</w:t>
            </w:r>
            <w:r>
              <w:rPr>
                <w:rFonts w:hint="eastAsia" w:ascii="宋体" w:hAnsi="宋体" w:eastAsia="宋体" w:cs="宋体"/>
                <w:kern w:val="0"/>
                <w:sz w:val="21"/>
                <w:szCs w:val="21"/>
                <w:highlight w:val="none"/>
                <w:lang w:val="en-US" w:eastAsia="zh-CN"/>
              </w:rPr>
              <w:t>分，扣完为止。</w:t>
            </w:r>
            <w:r>
              <w:rPr>
                <w:rFonts w:hint="default" w:ascii="宋体" w:hAnsi="宋体" w:eastAsia="宋体" w:cs="宋体"/>
                <w:kern w:val="0"/>
                <w:sz w:val="21"/>
                <w:szCs w:val="21"/>
                <w:highlight w:val="none"/>
                <w:lang w:val="en-US" w:eastAsia="zh-CN"/>
              </w:rPr>
              <w:t xml:space="preserve">                        </w:t>
            </w:r>
          </w:p>
          <w:p w14:paraId="181D9930">
            <w:pPr>
              <w:numPr>
                <w:ilvl w:val="0"/>
                <w:numId w:val="0"/>
              </w:numPr>
              <w:spacing w:line="360" w:lineRule="auto"/>
              <w:jc w:val="both"/>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w:t>
            </w:r>
            <w:r>
              <w:rPr>
                <w:rFonts w:hint="eastAsia" w:ascii="宋体" w:hAnsi="宋体" w:eastAsia="宋体" w:cs="宋体"/>
                <w:kern w:val="0"/>
                <w:sz w:val="21"/>
                <w:szCs w:val="21"/>
                <w:highlight w:val="none"/>
                <w:lang w:val="en-US" w:eastAsia="zh-CN"/>
              </w:rPr>
              <w:t>、</w:t>
            </w:r>
            <w:r>
              <w:rPr>
                <w:rFonts w:hint="default" w:ascii="宋体" w:hAnsi="宋体" w:eastAsia="宋体" w:cs="宋体"/>
                <w:kern w:val="0"/>
                <w:sz w:val="21"/>
                <w:szCs w:val="21"/>
                <w:highlight w:val="none"/>
                <w:lang w:val="en-US" w:eastAsia="zh-CN"/>
              </w:rPr>
              <w:t>对招标文件采购需求中未标“▲”号的一般性规格参数，供应商所投产品技术参数全部满足本项目采购文件采购需求中的技术参数，</w:t>
            </w:r>
            <w:r>
              <w:rPr>
                <w:rFonts w:hint="eastAsia" w:ascii="宋体" w:hAnsi="宋体" w:eastAsia="宋体" w:cs="宋体"/>
                <w:kern w:val="0"/>
                <w:sz w:val="21"/>
                <w:szCs w:val="21"/>
                <w:highlight w:val="none"/>
                <w:lang w:val="en-US" w:eastAsia="zh-CN"/>
              </w:rPr>
              <w:t>每偏离一条扣 0.</w:t>
            </w:r>
            <w:r>
              <w:rPr>
                <w:rFonts w:hint="eastAsia" w:ascii="宋体" w:hAnsi="宋体" w:cs="宋体"/>
                <w:kern w:val="0"/>
                <w:sz w:val="21"/>
                <w:szCs w:val="21"/>
                <w:highlight w:val="none"/>
                <w:lang w:val="en-US" w:eastAsia="zh-CN"/>
              </w:rPr>
              <w:t>2</w:t>
            </w:r>
            <w:r>
              <w:rPr>
                <w:rFonts w:hint="eastAsia" w:ascii="宋体" w:hAnsi="宋体" w:eastAsia="宋体" w:cs="宋体"/>
                <w:kern w:val="0"/>
                <w:sz w:val="21"/>
                <w:szCs w:val="21"/>
                <w:highlight w:val="none"/>
                <w:lang w:val="en-US" w:eastAsia="zh-CN"/>
              </w:rPr>
              <w:t>分，扣完为止。</w:t>
            </w:r>
          </w:p>
          <w:p w14:paraId="052471F4">
            <w:pPr>
              <w:numPr>
                <w:ilvl w:val="0"/>
                <w:numId w:val="0"/>
              </w:numPr>
              <w:spacing w:line="360" w:lineRule="auto"/>
              <w:jc w:val="both"/>
              <w:rPr>
                <w:rFonts w:hint="default"/>
                <w:lang w:val="en-US" w:eastAsia="zh-CN"/>
              </w:rPr>
            </w:pPr>
            <w:r>
              <w:rPr>
                <w:rFonts w:hint="eastAsia" w:ascii="宋体" w:hAnsi="宋体" w:eastAsia="宋体" w:cs="宋体"/>
                <w:kern w:val="0"/>
                <w:sz w:val="21"/>
                <w:szCs w:val="21"/>
                <w:highlight w:val="none"/>
                <w:lang w:val="en-US" w:eastAsia="zh-CN"/>
              </w:rPr>
              <w:t>注：投标人必须实质性响应并提供产品技术资料/说明书/检验报告等佐证材料予以证明；各产品功能参数有具体要求的，以各功能参数要求提供的证明材料为准，不提供视为不响应且本项不得分。</w:t>
            </w:r>
          </w:p>
        </w:tc>
        <w:tc>
          <w:tcPr>
            <w:tcW w:w="546" w:type="dxa"/>
            <w:noWrap w:val="0"/>
            <w:vAlign w:val="center"/>
          </w:tcPr>
          <w:p w14:paraId="698A3FB4">
            <w:pPr>
              <w:spacing w:line="360" w:lineRule="auto"/>
              <w:jc w:val="both"/>
              <w:rPr>
                <w:rFonts w:hint="eastAsia" w:ascii="宋体" w:hAnsi="宋体" w:eastAsia="宋体" w:cs="宋体"/>
                <w:sz w:val="18"/>
                <w:szCs w:val="18"/>
              </w:rPr>
            </w:pPr>
          </w:p>
        </w:tc>
      </w:tr>
      <w:tr w14:paraId="2048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jc w:val="center"/>
        </w:trPr>
        <w:tc>
          <w:tcPr>
            <w:tcW w:w="455" w:type="dxa"/>
            <w:vMerge w:val="continue"/>
            <w:noWrap w:val="0"/>
            <w:vAlign w:val="center"/>
          </w:tcPr>
          <w:p w14:paraId="47197F5C">
            <w:pPr>
              <w:spacing w:line="360" w:lineRule="auto"/>
              <w:ind w:firstLine="28" w:firstLineChars="0"/>
              <w:jc w:val="both"/>
              <w:rPr>
                <w:rFonts w:hint="eastAsia" w:ascii="宋体" w:hAnsi="宋体" w:eastAsia="宋体" w:cs="宋体"/>
                <w:sz w:val="18"/>
                <w:szCs w:val="18"/>
                <w:lang w:val="en-US" w:eastAsia="zh-CN"/>
              </w:rPr>
            </w:pPr>
          </w:p>
        </w:tc>
        <w:tc>
          <w:tcPr>
            <w:tcW w:w="1142" w:type="dxa"/>
            <w:vMerge w:val="continue"/>
            <w:noWrap w:val="0"/>
            <w:vAlign w:val="center"/>
          </w:tcPr>
          <w:p w14:paraId="0D15C72D">
            <w:pPr>
              <w:spacing w:line="360" w:lineRule="auto"/>
              <w:ind w:firstLine="28" w:firstLineChars="0"/>
              <w:jc w:val="both"/>
              <w:rPr>
                <w:rFonts w:hint="eastAsia" w:ascii="宋体" w:hAnsi="宋体" w:eastAsia="宋体" w:cs="宋体"/>
                <w:kern w:val="0"/>
                <w:szCs w:val="21"/>
                <w:lang w:val="en-US" w:eastAsia="zh-CN"/>
              </w:rPr>
            </w:pPr>
          </w:p>
        </w:tc>
        <w:tc>
          <w:tcPr>
            <w:tcW w:w="935" w:type="dxa"/>
            <w:noWrap w:val="0"/>
            <w:vAlign w:val="center"/>
          </w:tcPr>
          <w:p w14:paraId="73900B5A">
            <w:pPr>
              <w:spacing w:line="360" w:lineRule="auto"/>
              <w:ind w:firstLine="210" w:firstLineChars="10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7分</w:t>
            </w:r>
          </w:p>
        </w:tc>
        <w:tc>
          <w:tcPr>
            <w:tcW w:w="6981" w:type="dxa"/>
            <w:noWrap w:val="0"/>
            <w:vAlign w:val="center"/>
          </w:tcPr>
          <w:p w14:paraId="2D9D4B5E">
            <w:pPr>
              <w:keepNext w:val="0"/>
              <w:keepLines w:val="0"/>
              <w:widowControl/>
              <w:suppressLineNumbers w:val="0"/>
              <w:spacing w:line="360" w:lineRule="auto"/>
              <w:jc w:val="both"/>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实施方案：</w:t>
            </w:r>
          </w:p>
          <w:p w14:paraId="410B0C95">
            <w:pPr>
              <w:keepNext w:val="0"/>
              <w:keepLines w:val="0"/>
              <w:widowControl/>
              <w:suppressLineNumbers w:val="0"/>
              <w:spacing w:line="360" w:lineRule="auto"/>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人针对本项目提供的实施方案：①实施安排、人员配置情况；②项目实施进度合理性；③实施流程的规范性、④分项技术实施方案、⑤提供测试方法、分阶段测试流程方案进行评审、⑥实施过程中可能出现的内部和外部的风险、隐患、突发事件进行分析，并制定相应的应急措施、⑦提供整体验收方案和分阶段、分批次验收方案；</w:t>
            </w:r>
          </w:p>
          <w:p w14:paraId="4B0EEA34">
            <w:pPr>
              <w:keepNext w:val="0"/>
              <w:keepLines w:val="0"/>
              <w:widowControl/>
              <w:numPr>
                <w:ilvl w:val="0"/>
                <w:numId w:val="0"/>
              </w:numPr>
              <w:suppressLineNumbers w:val="0"/>
              <w:spacing w:line="360" w:lineRule="auto"/>
              <w:jc w:val="both"/>
              <w:rPr>
                <w:rFonts w:hint="eastAsia" w:ascii="宋体" w:hAnsi="宋体" w:eastAsia="宋体" w:cs="宋体"/>
                <w:color w:val="auto"/>
                <w:kern w:val="0"/>
                <w:sz w:val="21"/>
                <w:szCs w:val="21"/>
                <w:highlight w:val="none"/>
                <w:lang w:val="zh-TW" w:eastAsia="zh-TW" w:bidi="ar-SA"/>
              </w:rPr>
            </w:pPr>
            <w:r>
              <w:rPr>
                <w:rFonts w:hint="eastAsia" w:ascii="宋体" w:hAnsi="宋体" w:eastAsia="宋体" w:cs="宋体"/>
                <w:color w:val="auto"/>
                <w:kern w:val="0"/>
                <w:sz w:val="21"/>
                <w:szCs w:val="21"/>
                <w:highlight w:val="none"/>
                <w:lang w:val="zh-TW" w:eastAsia="zh-TW" w:bidi="ar-SA"/>
              </w:rPr>
              <w:t>以上内容都包含且满足采购需求的得</w:t>
            </w:r>
            <w:r>
              <w:rPr>
                <w:rFonts w:hint="eastAsia" w:ascii="宋体" w:hAnsi="宋体" w:cs="宋体"/>
                <w:color w:val="auto"/>
                <w:kern w:val="0"/>
                <w:sz w:val="21"/>
                <w:szCs w:val="21"/>
                <w:highlight w:val="none"/>
                <w:lang w:val="en-US" w:eastAsia="zh-CN" w:bidi="ar-SA"/>
              </w:rPr>
              <w:t>7</w:t>
            </w:r>
            <w:r>
              <w:rPr>
                <w:rFonts w:hint="eastAsia" w:ascii="宋体" w:hAnsi="宋体" w:eastAsia="宋体" w:cs="宋体"/>
                <w:color w:val="auto"/>
                <w:kern w:val="0"/>
                <w:sz w:val="21"/>
                <w:szCs w:val="21"/>
                <w:highlight w:val="none"/>
                <w:lang w:val="zh-TW" w:eastAsia="zh-TW" w:bidi="ar-SA"/>
              </w:rPr>
              <w:t>分；每缺少一项内容的扣</w:t>
            </w:r>
            <w:r>
              <w:rPr>
                <w:rFonts w:hint="eastAsia" w:ascii="宋体" w:hAnsi="宋体"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zh-TW" w:eastAsia="zh-TW" w:bidi="ar-SA"/>
              </w:rPr>
              <w:t>分；每有一处</w:t>
            </w:r>
            <w:r>
              <w:rPr>
                <w:rFonts w:hint="eastAsia" w:ascii="宋体" w:hAnsi="宋体" w:eastAsia="宋体" w:cs="宋体"/>
                <w:color w:val="auto"/>
                <w:kern w:val="0"/>
                <w:sz w:val="21"/>
                <w:szCs w:val="21"/>
                <w:highlight w:val="none"/>
                <w:lang w:val="en-US" w:eastAsia="zh-CN" w:bidi="ar-SA"/>
              </w:rPr>
              <w:t>内容未进行详</w:t>
            </w:r>
            <w:bookmarkStart w:id="17" w:name="_GoBack"/>
            <w:bookmarkEnd w:id="17"/>
            <w:r>
              <w:rPr>
                <w:rFonts w:hint="eastAsia" w:ascii="宋体" w:hAnsi="宋体" w:eastAsia="宋体" w:cs="宋体"/>
                <w:color w:val="auto"/>
                <w:kern w:val="0"/>
                <w:sz w:val="21"/>
                <w:szCs w:val="21"/>
                <w:highlight w:val="none"/>
                <w:lang w:val="en-US" w:eastAsia="zh-CN" w:bidi="ar-SA"/>
              </w:rPr>
              <w:t>细说明或内容存在缺陷或不适用本项目</w:t>
            </w:r>
            <w:r>
              <w:rPr>
                <w:rFonts w:hint="eastAsia" w:ascii="宋体" w:hAnsi="宋体" w:eastAsia="宋体" w:cs="宋体"/>
                <w:color w:val="auto"/>
                <w:kern w:val="0"/>
                <w:sz w:val="21"/>
                <w:szCs w:val="21"/>
                <w:highlight w:val="none"/>
                <w:lang w:val="zh-TW" w:eastAsia="zh-TW" w:bidi="ar-SA"/>
              </w:rPr>
              <w:t>的扣</w:t>
            </w:r>
            <w:r>
              <w:rPr>
                <w:rFonts w:hint="eastAsia" w:ascii="宋体" w:hAnsi="宋体" w:eastAsia="宋体" w:cs="宋体"/>
                <w:color w:val="auto"/>
                <w:kern w:val="0"/>
                <w:sz w:val="21"/>
                <w:szCs w:val="21"/>
                <w:highlight w:val="none"/>
                <w:lang w:val="en-US" w:eastAsia="zh-CN" w:bidi="ar-SA"/>
              </w:rPr>
              <w:t>0.2</w:t>
            </w:r>
            <w:r>
              <w:rPr>
                <w:rFonts w:hint="eastAsia" w:ascii="宋体" w:hAnsi="宋体" w:eastAsia="宋体" w:cs="宋体"/>
                <w:color w:val="auto"/>
                <w:kern w:val="0"/>
                <w:sz w:val="21"/>
                <w:szCs w:val="21"/>
                <w:highlight w:val="none"/>
                <w:lang w:val="zh-TW" w:eastAsia="zh-TW" w:bidi="ar-SA"/>
              </w:rPr>
              <w:t>分；扣完为止，未提供不得分。</w:t>
            </w:r>
          </w:p>
          <w:p w14:paraId="56BEE2BF">
            <w:pPr>
              <w:keepNext w:val="0"/>
              <w:keepLines w:val="0"/>
              <w:widowControl/>
              <w:numPr>
                <w:ilvl w:val="0"/>
                <w:numId w:val="0"/>
              </w:numPr>
              <w:suppressLineNumbers w:val="0"/>
              <w:spacing w:line="360" w:lineRule="auto"/>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zh-TW" w:eastAsia="zh-TW" w:bidi="ar-SA"/>
              </w:rPr>
              <w:t>（</w:t>
            </w:r>
            <w:r>
              <w:rPr>
                <w:rFonts w:hint="eastAsia" w:ascii="宋体" w:hAnsi="宋体" w:eastAsia="宋体" w:cs="宋体"/>
                <w:color w:val="auto"/>
                <w:kern w:val="0"/>
                <w:sz w:val="21"/>
                <w:szCs w:val="21"/>
                <w:highlight w:val="none"/>
                <w:lang w:val="en-US" w:eastAsia="zh-CN" w:bidi="ar-SA"/>
              </w:rPr>
              <w:t>未进行详细说明或内容存在缺陷或不适用本项目的</w:t>
            </w:r>
            <w:r>
              <w:rPr>
                <w:rFonts w:hint="eastAsia" w:ascii="宋体" w:hAnsi="宋体" w:eastAsia="宋体" w:cs="宋体"/>
                <w:color w:val="auto"/>
                <w:kern w:val="0"/>
                <w:sz w:val="21"/>
                <w:szCs w:val="21"/>
                <w:highlight w:val="none"/>
                <w:lang w:val="zh-TW" w:eastAsia="zh-TW" w:bidi="ar-SA"/>
              </w:rPr>
              <w:t>是指：</w:t>
            </w:r>
            <w:r>
              <w:rPr>
                <w:rFonts w:hint="eastAsia" w:ascii="宋体" w:hAnsi="宋体" w:eastAsia="宋体" w:cs="宋体"/>
                <w:color w:val="auto"/>
                <w:kern w:val="0"/>
                <w:sz w:val="21"/>
                <w:szCs w:val="21"/>
                <w:highlight w:val="none"/>
                <w:lang w:val="en-US" w:eastAsia="zh-CN" w:bidi="ar-SA"/>
              </w:rPr>
              <w:t>①只有单纯的文件描述，前后内容无法连贯，内容脱离了实际情况，不具备实施的可能性；②套用其他项目方案，前后内容互相矛盾， 存在与本项目无关的内容；③内容不满足项目要求、与本项目无关或与本项目不匹配、项目涉及的名 称、地点不一致；④不符合采购需求、项目相关的规范及标准任一情形等。</w:t>
            </w:r>
            <w:r>
              <w:rPr>
                <w:rFonts w:hint="eastAsia" w:ascii="宋体" w:hAnsi="宋体" w:eastAsia="宋体" w:cs="宋体"/>
                <w:color w:val="auto"/>
                <w:kern w:val="0"/>
                <w:sz w:val="21"/>
                <w:szCs w:val="21"/>
                <w:highlight w:val="none"/>
                <w:lang w:val="zh-TW" w:eastAsia="zh-TW" w:bidi="ar-SA"/>
              </w:rPr>
              <w:t>）</w:t>
            </w:r>
          </w:p>
        </w:tc>
        <w:tc>
          <w:tcPr>
            <w:tcW w:w="546" w:type="dxa"/>
            <w:noWrap w:val="0"/>
            <w:vAlign w:val="center"/>
          </w:tcPr>
          <w:p w14:paraId="307129A6">
            <w:pPr>
              <w:spacing w:line="360" w:lineRule="auto"/>
              <w:jc w:val="both"/>
              <w:rPr>
                <w:rFonts w:hint="eastAsia" w:ascii="宋体" w:hAnsi="宋体" w:eastAsia="宋体" w:cs="宋体"/>
                <w:sz w:val="18"/>
                <w:szCs w:val="18"/>
              </w:rPr>
            </w:pPr>
          </w:p>
        </w:tc>
      </w:tr>
      <w:tr w14:paraId="17F0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2" w:hRule="atLeast"/>
          <w:jc w:val="center"/>
        </w:trPr>
        <w:tc>
          <w:tcPr>
            <w:tcW w:w="455" w:type="dxa"/>
            <w:vMerge w:val="continue"/>
            <w:noWrap w:val="0"/>
            <w:vAlign w:val="center"/>
          </w:tcPr>
          <w:p w14:paraId="26A79996">
            <w:pPr>
              <w:spacing w:line="360" w:lineRule="auto"/>
              <w:jc w:val="both"/>
              <w:rPr>
                <w:rFonts w:hint="eastAsia" w:ascii="宋体" w:hAnsi="宋体" w:eastAsia="宋体" w:cs="宋体"/>
                <w:sz w:val="21"/>
                <w:szCs w:val="21"/>
              </w:rPr>
            </w:pPr>
          </w:p>
        </w:tc>
        <w:tc>
          <w:tcPr>
            <w:tcW w:w="1142" w:type="dxa"/>
            <w:vMerge w:val="continue"/>
            <w:noWrap w:val="0"/>
            <w:vAlign w:val="center"/>
          </w:tcPr>
          <w:p w14:paraId="7B5B6C76">
            <w:pPr>
              <w:spacing w:line="360" w:lineRule="auto"/>
              <w:jc w:val="both"/>
              <w:rPr>
                <w:rFonts w:hint="eastAsia" w:ascii="宋体" w:hAnsi="宋体" w:eastAsia="宋体" w:cs="宋体"/>
                <w:sz w:val="21"/>
                <w:szCs w:val="21"/>
              </w:rPr>
            </w:pPr>
          </w:p>
        </w:tc>
        <w:tc>
          <w:tcPr>
            <w:tcW w:w="935" w:type="dxa"/>
            <w:tcBorders>
              <w:left w:val="single" w:color="auto" w:sz="4" w:space="0"/>
              <w:right w:val="single" w:color="auto" w:sz="4" w:space="0"/>
            </w:tcBorders>
            <w:noWrap w:val="0"/>
            <w:vAlign w:val="center"/>
          </w:tcPr>
          <w:p w14:paraId="09669D96">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tc>
        <w:tc>
          <w:tcPr>
            <w:tcW w:w="6981" w:type="dxa"/>
            <w:tcBorders>
              <w:top w:val="single" w:color="auto" w:sz="4" w:space="0"/>
              <w:left w:val="single" w:color="auto" w:sz="4" w:space="0"/>
              <w:right w:val="single" w:color="auto" w:sz="4" w:space="0"/>
            </w:tcBorders>
            <w:noWrap w:val="0"/>
            <w:vAlign w:val="center"/>
          </w:tcPr>
          <w:p w14:paraId="2DEA31C4">
            <w:pPr>
              <w:keepNext w:val="0"/>
              <w:keepLines w:val="0"/>
              <w:widowControl/>
              <w:suppressLineNumbers w:val="0"/>
              <w:spacing w:line="360" w:lineRule="auto"/>
              <w:jc w:val="both"/>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项目团队：</w:t>
            </w:r>
          </w:p>
          <w:p w14:paraId="45EB6165">
            <w:pPr>
              <w:keepNext w:val="0"/>
              <w:keepLines w:val="0"/>
              <w:widowControl/>
              <w:suppressLineNumbers w:val="0"/>
              <w:spacing w:line="360" w:lineRule="auto"/>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投标人安装及配套服务人员：至少</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人（少于</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人此项不得分，</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人得</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分，每增加1人多得1分，此项最多可得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分）：</w:t>
            </w:r>
          </w:p>
          <w:p w14:paraId="1786532E">
            <w:pPr>
              <w:keepNext w:val="0"/>
              <w:keepLines w:val="0"/>
              <w:widowControl/>
              <w:suppressLineNumbers w:val="0"/>
              <w:spacing w:line="360" w:lineRule="auto"/>
              <w:jc w:val="both"/>
              <w:rPr>
                <w:rFonts w:hint="eastAsia" w:ascii="仿宋" w:hAnsi="仿宋" w:eastAsia="仿宋" w:cs="仿宋"/>
                <w:bCs/>
                <w:spacing w:val="-6"/>
                <w:sz w:val="24"/>
                <w:szCs w:val="24"/>
                <w:highlight w:val="none"/>
                <w:lang w:val="en-US" w:eastAsia="zh-CN"/>
              </w:rPr>
            </w:pPr>
            <w:r>
              <w:rPr>
                <w:rFonts w:hint="eastAsia" w:ascii="宋体" w:hAnsi="宋体" w:eastAsia="宋体" w:cs="宋体"/>
                <w:color w:val="auto"/>
                <w:kern w:val="0"/>
                <w:sz w:val="21"/>
                <w:szCs w:val="21"/>
                <w:highlight w:val="none"/>
                <w:lang w:val="en-US" w:eastAsia="zh-CN"/>
              </w:rPr>
              <w:t xml:space="preserve">（需提供证明材料：人员名单、身份证信息、在职单位为其缴纳的近6个月任意三个月社保证明材料等） </w:t>
            </w:r>
          </w:p>
        </w:tc>
        <w:tc>
          <w:tcPr>
            <w:tcW w:w="546" w:type="dxa"/>
            <w:tcBorders>
              <w:left w:val="single" w:color="auto" w:sz="4" w:space="0"/>
              <w:right w:val="single" w:color="auto" w:sz="4" w:space="0"/>
            </w:tcBorders>
            <w:noWrap w:val="0"/>
            <w:vAlign w:val="center"/>
          </w:tcPr>
          <w:p w14:paraId="1A7F7E2A">
            <w:pPr>
              <w:spacing w:line="360" w:lineRule="auto"/>
              <w:jc w:val="both"/>
              <w:rPr>
                <w:rFonts w:hint="eastAsia" w:ascii="宋体" w:hAnsi="宋体" w:eastAsia="宋体" w:cs="宋体"/>
                <w:sz w:val="18"/>
                <w:szCs w:val="18"/>
              </w:rPr>
            </w:pPr>
          </w:p>
        </w:tc>
      </w:tr>
      <w:tr w14:paraId="39E7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1" w:hRule="atLeast"/>
          <w:jc w:val="center"/>
        </w:trPr>
        <w:tc>
          <w:tcPr>
            <w:tcW w:w="455" w:type="dxa"/>
            <w:noWrap w:val="0"/>
            <w:vAlign w:val="center"/>
          </w:tcPr>
          <w:p w14:paraId="1E24F25A">
            <w:pPr>
              <w:spacing w:line="360" w:lineRule="auto"/>
              <w:jc w:val="both"/>
              <w:rPr>
                <w:rFonts w:hint="eastAsia" w:ascii="宋体" w:hAnsi="宋体" w:eastAsia="宋体" w:cs="宋体"/>
                <w:sz w:val="21"/>
                <w:szCs w:val="21"/>
              </w:rPr>
            </w:pPr>
          </w:p>
        </w:tc>
        <w:tc>
          <w:tcPr>
            <w:tcW w:w="1142" w:type="dxa"/>
            <w:noWrap w:val="0"/>
            <w:vAlign w:val="center"/>
          </w:tcPr>
          <w:p w14:paraId="71D419C6">
            <w:pPr>
              <w:spacing w:line="360" w:lineRule="auto"/>
              <w:jc w:val="both"/>
              <w:rPr>
                <w:rFonts w:hint="eastAsia" w:ascii="宋体" w:hAnsi="宋体" w:eastAsia="宋体" w:cs="宋体"/>
                <w:sz w:val="21"/>
                <w:szCs w:val="21"/>
              </w:rPr>
            </w:pPr>
          </w:p>
        </w:tc>
        <w:tc>
          <w:tcPr>
            <w:tcW w:w="935" w:type="dxa"/>
            <w:tcBorders>
              <w:left w:val="single" w:color="auto" w:sz="4" w:space="0"/>
              <w:right w:val="single" w:color="auto" w:sz="4" w:space="0"/>
            </w:tcBorders>
            <w:noWrap w:val="0"/>
            <w:vAlign w:val="center"/>
          </w:tcPr>
          <w:p w14:paraId="6E219ED0">
            <w:pPr>
              <w:spacing w:line="360" w:lineRule="auto"/>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7分</w:t>
            </w:r>
          </w:p>
        </w:tc>
        <w:tc>
          <w:tcPr>
            <w:tcW w:w="6981" w:type="dxa"/>
            <w:tcBorders>
              <w:top w:val="single" w:color="auto" w:sz="4" w:space="0"/>
              <w:left w:val="single" w:color="auto" w:sz="4" w:space="0"/>
              <w:right w:val="single" w:color="auto" w:sz="4" w:space="0"/>
            </w:tcBorders>
            <w:noWrap w:val="0"/>
            <w:vAlign w:val="center"/>
          </w:tcPr>
          <w:p w14:paraId="57E80B13">
            <w:pPr>
              <w:numPr>
                <w:ilvl w:val="0"/>
                <w:numId w:val="0"/>
              </w:numPr>
              <w:spacing w:line="360" w:lineRule="auto"/>
              <w:jc w:val="both"/>
              <w:textAlignment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售后服务：</w:t>
            </w:r>
          </w:p>
          <w:p w14:paraId="0ADFAA60">
            <w:pPr>
              <w:numPr>
                <w:ilvl w:val="0"/>
                <w:numId w:val="4"/>
              </w:numPr>
              <w:spacing w:line="360" w:lineRule="auto"/>
              <w:jc w:val="both"/>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投标人提供完善的售后服务方案，包含但不限于：（1）售后服务管理制度；（2）服务意识和态度；（3）售后人员分配；（4）应急预案；（5）维护响应时间及现场服务支持能力。</w:t>
            </w:r>
          </w:p>
          <w:p w14:paraId="0D2B89B5">
            <w:pPr>
              <w:keepNext w:val="0"/>
              <w:keepLines w:val="0"/>
              <w:widowControl/>
              <w:numPr>
                <w:ilvl w:val="0"/>
                <w:numId w:val="0"/>
              </w:numPr>
              <w:suppressLineNumbers w:val="0"/>
              <w:spacing w:line="360" w:lineRule="auto"/>
              <w:jc w:val="both"/>
              <w:rPr>
                <w:rFonts w:hint="eastAsia" w:ascii="宋体" w:hAnsi="宋体" w:eastAsia="宋体" w:cs="宋体"/>
                <w:color w:val="auto"/>
                <w:kern w:val="0"/>
                <w:sz w:val="21"/>
                <w:szCs w:val="21"/>
                <w:highlight w:val="none"/>
                <w:lang w:val="zh-TW" w:eastAsia="zh-TW" w:bidi="ar-SA"/>
              </w:rPr>
            </w:pPr>
            <w:r>
              <w:rPr>
                <w:rFonts w:hint="eastAsia" w:ascii="宋体" w:hAnsi="宋体" w:eastAsia="宋体" w:cs="宋体"/>
                <w:color w:val="auto"/>
                <w:kern w:val="0"/>
                <w:sz w:val="21"/>
                <w:szCs w:val="21"/>
                <w:highlight w:val="none"/>
                <w:lang w:val="zh-TW" w:eastAsia="zh-TW" w:bidi="ar-SA"/>
              </w:rPr>
              <w:t>以上内容都包含且满足采购需求的得</w:t>
            </w:r>
            <w:r>
              <w:rPr>
                <w:rFonts w:hint="eastAsia" w:ascii="宋体" w:hAnsi="宋体"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zh-TW" w:eastAsia="zh-TW" w:bidi="ar-SA"/>
              </w:rPr>
              <w:t>分；每缺少一项内容的扣</w:t>
            </w:r>
            <w:r>
              <w:rPr>
                <w:rFonts w:hint="eastAsia" w:ascii="宋体" w:hAnsi="宋体"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zh-TW" w:eastAsia="zh-TW" w:bidi="ar-SA"/>
              </w:rPr>
              <w:t>分；每有一处</w:t>
            </w:r>
            <w:r>
              <w:rPr>
                <w:rFonts w:hint="eastAsia" w:ascii="宋体" w:hAnsi="宋体" w:eastAsia="宋体" w:cs="宋体"/>
                <w:color w:val="auto"/>
                <w:kern w:val="0"/>
                <w:sz w:val="21"/>
                <w:szCs w:val="21"/>
                <w:highlight w:val="none"/>
                <w:lang w:val="en-US" w:eastAsia="zh-CN" w:bidi="ar-SA"/>
              </w:rPr>
              <w:t>内容未进行详细说明或内容存在缺陷或不适用本项目</w:t>
            </w:r>
            <w:r>
              <w:rPr>
                <w:rFonts w:hint="eastAsia" w:ascii="宋体" w:hAnsi="宋体" w:eastAsia="宋体" w:cs="宋体"/>
                <w:color w:val="auto"/>
                <w:kern w:val="0"/>
                <w:sz w:val="21"/>
                <w:szCs w:val="21"/>
                <w:highlight w:val="none"/>
                <w:lang w:val="zh-TW" w:eastAsia="zh-TW" w:bidi="ar-SA"/>
              </w:rPr>
              <w:t>的扣</w:t>
            </w:r>
            <w:r>
              <w:rPr>
                <w:rFonts w:hint="eastAsia" w:ascii="宋体" w:hAnsi="宋体" w:eastAsia="宋体" w:cs="宋体"/>
                <w:color w:val="auto"/>
                <w:kern w:val="0"/>
                <w:sz w:val="21"/>
                <w:szCs w:val="21"/>
                <w:highlight w:val="none"/>
                <w:lang w:val="en-US" w:eastAsia="zh-CN" w:bidi="ar-SA"/>
              </w:rPr>
              <w:t>0.2</w:t>
            </w:r>
            <w:r>
              <w:rPr>
                <w:rFonts w:hint="eastAsia" w:ascii="宋体" w:hAnsi="宋体" w:eastAsia="宋体" w:cs="宋体"/>
                <w:color w:val="auto"/>
                <w:kern w:val="0"/>
                <w:sz w:val="21"/>
                <w:szCs w:val="21"/>
                <w:highlight w:val="none"/>
                <w:lang w:val="zh-TW" w:eastAsia="zh-TW" w:bidi="ar-SA"/>
              </w:rPr>
              <w:t>分；扣完为止，未提供不得分。</w:t>
            </w:r>
          </w:p>
          <w:p w14:paraId="34ED8613">
            <w:pPr>
              <w:numPr>
                <w:ilvl w:val="0"/>
                <w:numId w:val="0"/>
              </w:numPr>
              <w:spacing w:line="360" w:lineRule="auto"/>
              <w:jc w:val="both"/>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zh-TW" w:eastAsia="zh-TW" w:bidi="ar-SA"/>
              </w:rPr>
              <w:t>（</w:t>
            </w:r>
            <w:r>
              <w:rPr>
                <w:rFonts w:hint="eastAsia" w:ascii="宋体" w:hAnsi="宋体" w:eastAsia="宋体" w:cs="宋体"/>
                <w:color w:val="auto"/>
                <w:kern w:val="0"/>
                <w:sz w:val="21"/>
                <w:szCs w:val="21"/>
                <w:highlight w:val="none"/>
                <w:lang w:val="en-US" w:eastAsia="zh-CN" w:bidi="ar-SA"/>
              </w:rPr>
              <w:t>未进行详细说明或内容存在缺陷或不适用本项目的</w:t>
            </w:r>
            <w:r>
              <w:rPr>
                <w:rFonts w:hint="eastAsia" w:ascii="宋体" w:hAnsi="宋体" w:eastAsia="宋体" w:cs="宋体"/>
                <w:color w:val="auto"/>
                <w:kern w:val="0"/>
                <w:sz w:val="21"/>
                <w:szCs w:val="21"/>
                <w:highlight w:val="none"/>
                <w:lang w:val="zh-TW" w:eastAsia="zh-TW" w:bidi="ar-SA"/>
              </w:rPr>
              <w:t>是指：</w:t>
            </w:r>
            <w:r>
              <w:rPr>
                <w:rFonts w:hint="eastAsia" w:ascii="宋体" w:hAnsi="宋体" w:eastAsia="宋体" w:cs="宋体"/>
                <w:color w:val="auto"/>
                <w:kern w:val="0"/>
                <w:sz w:val="21"/>
                <w:szCs w:val="21"/>
                <w:highlight w:val="none"/>
                <w:lang w:val="en-US" w:eastAsia="zh-CN" w:bidi="ar-SA"/>
              </w:rPr>
              <w:t>①只有单纯的文件描述，前后内容无法连贯，内容脱离了实际情况，不具备实施的可能性；②套用其他项目方案，前后内容互相矛盾， 存在与本项目无关的内容；③内容不满足项目要求、与本项目无关或与本项目不匹配、项目涉及的名 称、地点不一致；④不符合采购需求、项目相关的规范及标准任一情形等。</w:t>
            </w:r>
            <w:r>
              <w:rPr>
                <w:rFonts w:hint="eastAsia" w:ascii="宋体" w:hAnsi="宋体" w:eastAsia="宋体" w:cs="宋体"/>
                <w:color w:val="auto"/>
                <w:kern w:val="0"/>
                <w:sz w:val="21"/>
                <w:szCs w:val="21"/>
                <w:highlight w:val="none"/>
                <w:lang w:val="zh-TW" w:eastAsia="zh-TW" w:bidi="ar-SA"/>
              </w:rPr>
              <w:t>）</w:t>
            </w:r>
          </w:p>
          <w:p w14:paraId="37951B36">
            <w:pPr>
              <w:numPr>
                <w:ilvl w:val="0"/>
                <w:numId w:val="0"/>
              </w:numPr>
              <w:spacing w:line="360" w:lineRule="auto"/>
              <w:jc w:val="both"/>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2、投标人承诺整个项目质保期在1年的基础上每增加1年得1分，最多得2分，不提供不得分； </w:t>
            </w:r>
          </w:p>
          <w:p w14:paraId="20DD9598">
            <w:pPr>
              <w:numPr>
                <w:ilvl w:val="0"/>
                <w:numId w:val="0"/>
              </w:numPr>
              <w:spacing w:line="360" w:lineRule="auto"/>
              <w:jc w:val="both"/>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3、在使用产品的过程中，发生故障等，投标人承诺立即响应，技术人员</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小时内到达客户现场，3小时内处理故障，若因设备问题无法处理，自行携带备品备件替换，承诺满足得1分，不提供不得分。</w:t>
            </w:r>
          </w:p>
        </w:tc>
        <w:tc>
          <w:tcPr>
            <w:tcW w:w="546" w:type="dxa"/>
            <w:tcBorders>
              <w:left w:val="single" w:color="auto" w:sz="4" w:space="0"/>
              <w:right w:val="single" w:color="auto" w:sz="4" w:space="0"/>
            </w:tcBorders>
            <w:noWrap w:val="0"/>
            <w:vAlign w:val="center"/>
          </w:tcPr>
          <w:p w14:paraId="124D0E31">
            <w:pPr>
              <w:spacing w:line="360" w:lineRule="auto"/>
              <w:jc w:val="both"/>
              <w:rPr>
                <w:rFonts w:hint="eastAsia" w:ascii="宋体" w:hAnsi="宋体" w:eastAsia="宋体" w:cs="宋体"/>
                <w:sz w:val="18"/>
                <w:szCs w:val="18"/>
              </w:rPr>
            </w:pPr>
          </w:p>
        </w:tc>
      </w:tr>
      <w:tr w14:paraId="3122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455" w:type="dxa"/>
            <w:vMerge w:val="restart"/>
            <w:tcBorders>
              <w:left w:val="single" w:color="auto" w:sz="4" w:space="0"/>
              <w:right w:val="single" w:color="auto" w:sz="4" w:space="0"/>
            </w:tcBorders>
            <w:noWrap w:val="0"/>
            <w:vAlign w:val="center"/>
          </w:tcPr>
          <w:p w14:paraId="62E29D67">
            <w:pPr>
              <w:spacing w:line="360" w:lineRule="auto"/>
              <w:jc w:val="both"/>
              <w:rPr>
                <w:rFonts w:hint="eastAsia" w:ascii="宋体" w:hAnsi="宋体" w:eastAsia="宋体" w:cs="宋体"/>
                <w:sz w:val="18"/>
                <w:szCs w:val="18"/>
              </w:rPr>
            </w:pPr>
            <w:r>
              <w:rPr>
                <w:rFonts w:hint="eastAsia" w:ascii="宋体" w:hAnsi="宋体" w:eastAsia="宋体" w:cs="宋体"/>
                <w:sz w:val="21"/>
                <w:szCs w:val="21"/>
              </w:rPr>
              <w:t>3</w:t>
            </w:r>
          </w:p>
        </w:tc>
        <w:tc>
          <w:tcPr>
            <w:tcW w:w="1142" w:type="dxa"/>
            <w:vMerge w:val="restart"/>
            <w:tcBorders>
              <w:left w:val="single" w:color="auto" w:sz="4" w:space="0"/>
              <w:right w:val="single" w:color="auto" w:sz="4" w:space="0"/>
            </w:tcBorders>
            <w:noWrap w:val="0"/>
            <w:vAlign w:val="center"/>
          </w:tcPr>
          <w:p w14:paraId="462137A1">
            <w:pPr>
              <w:spacing w:line="360" w:lineRule="auto"/>
              <w:jc w:val="both"/>
              <w:rPr>
                <w:rFonts w:hint="eastAsia" w:ascii="宋体" w:hAnsi="宋体" w:eastAsia="宋体" w:cs="宋体"/>
                <w:sz w:val="21"/>
                <w:szCs w:val="21"/>
              </w:rPr>
            </w:pPr>
            <w:r>
              <w:rPr>
                <w:rFonts w:hint="eastAsia" w:ascii="宋体" w:hAnsi="宋体" w:eastAsia="宋体" w:cs="宋体"/>
                <w:sz w:val="21"/>
                <w:szCs w:val="21"/>
              </w:rPr>
              <w:t>商务部分</w:t>
            </w:r>
          </w:p>
          <w:p w14:paraId="171D455F">
            <w:pPr>
              <w:spacing w:line="360" w:lineRule="auto"/>
              <w:jc w:val="both"/>
              <w:rPr>
                <w:rFonts w:hint="eastAsia" w:ascii="宋体" w:hAnsi="宋体" w:eastAsia="宋体" w:cs="宋体"/>
                <w:kern w:val="0"/>
                <w:szCs w:val="21"/>
                <w:lang w:val="en-US" w:eastAsia="zh-CN"/>
              </w:rPr>
            </w:pPr>
            <w:r>
              <w:rPr>
                <w:rFonts w:hint="eastAsia" w:ascii="宋体" w:hAnsi="宋体" w:eastAsia="宋体" w:cs="宋体"/>
                <w:sz w:val="21"/>
                <w:szCs w:val="21"/>
              </w:rPr>
              <w:t>（</w:t>
            </w:r>
            <w:r>
              <w:rPr>
                <w:rFonts w:hint="eastAsia" w:ascii="宋体" w:hAnsi="宋体" w:cs="宋体"/>
                <w:sz w:val="21"/>
                <w:szCs w:val="21"/>
                <w:lang w:val="en-US" w:eastAsia="zh-CN"/>
              </w:rPr>
              <w:t>23</w:t>
            </w:r>
            <w:r>
              <w:rPr>
                <w:rFonts w:hint="eastAsia" w:ascii="宋体" w:hAnsi="宋体" w:eastAsia="宋体" w:cs="宋体"/>
                <w:sz w:val="21"/>
                <w:szCs w:val="21"/>
              </w:rPr>
              <w:t>分）</w:t>
            </w:r>
          </w:p>
        </w:tc>
        <w:tc>
          <w:tcPr>
            <w:tcW w:w="935" w:type="dxa"/>
            <w:tcBorders>
              <w:left w:val="single" w:color="auto" w:sz="4" w:space="0"/>
              <w:right w:val="single" w:color="auto" w:sz="4" w:space="0"/>
            </w:tcBorders>
            <w:noWrap w:val="0"/>
            <w:vAlign w:val="center"/>
          </w:tcPr>
          <w:p w14:paraId="0F6350AE">
            <w:pPr>
              <w:spacing w:line="360" w:lineRule="auto"/>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分</w:t>
            </w:r>
          </w:p>
        </w:tc>
        <w:tc>
          <w:tcPr>
            <w:tcW w:w="6981" w:type="dxa"/>
            <w:tcBorders>
              <w:top w:val="single" w:color="auto" w:sz="4" w:space="0"/>
              <w:left w:val="single" w:color="auto" w:sz="4" w:space="0"/>
              <w:right w:val="single" w:color="auto" w:sz="4" w:space="0"/>
            </w:tcBorders>
            <w:noWrap w:val="0"/>
            <w:vAlign w:val="center"/>
          </w:tcPr>
          <w:p w14:paraId="2D947539">
            <w:pPr>
              <w:numPr>
                <w:ilvl w:val="0"/>
                <w:numId w:val="0"/>
              </w:numPr>
              <w:spacing w:line="360" w:lineRule="auto"/>
              <w:jc w:val="both"/>
              <w:textAlignment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供货方案：</w:t>
            </w:r>
          </w:p>
          <w:p w14:paraId="6A42A80E">
            <w:pPr>
              <w:numPr>
                <w:ilvl w:val="0"/>
                <w:numId w:val="0"/>
              </w:numPr>
              <w:spacing w:line="360" w:lineRule="auto"/>
              <w:jc w:val="both"/>
              <w:textAlignment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提供完整可行的供货实施方案，包括①运输方案，②安全管理制度，③产品包装措施，</w:t>
            </w:r>
            <w:r>
              <w:rPr>
                <w:rFonts w:hint="eastAsia" w:ascii="宋体" w:hAnsi="宋体" w:cs="宋体"/>
                <w:color w:val="auto"/>
                <w:kern w:val="0"/>
                <w:sz w:val="21"/>
                <w:szCs w:val="21"/>
                <w:lang w:val="en-US" w:eastAsia="zh-CN"/>
              </w:rPr>
              <w:t>④</w:t>
            </w:r>
            <w:r>
              <w:rPr>
                <w:rFonts w:hint="eastAsia" w:ascii="宋体" w:hAnsi="宋体" w:eastAsia="宋体" w:cs="宋体"/>
                <w:color w:val="auto"/>
                <w:kern w:val="0"/>
                <w:sz w:val="21"/>
                <w:szCs w:val="21"/>
                <w:lang w:val="en-US" w:eastAsia="zh-CN"/>
              </w:rPr>
              <w:t>安装调试方案，</w:t>
            </w:r>
            <w:r>
              <w:rPr>
                <w:rFonts w:hint="eastAsia" w:ascii="宋体" w:hAnsi="宋体" w:cs="宋体"/>
                <w:color w:val="auto"/>
                <w:kern w:val="0"/>
                <w:sz w:val="21"/>
                <w:szCs w:val="21"/>
                <w:lang w:val="en-US" w:eastAsia="zh-CN"/>
              </w:rPr>
              <w:t>⑤</w:t>
            </w:r>
            <w:r>
              <w:rPr>
                <w:rFonts w:hint="eastAsia" w:ascii="宋体" w:hAnsi="宋体" w:eastAsia="宋体" w:cs="宋体"/>
                <w:color w:val="auto"/>
                <w:kern w:val="0"/>
                <w:sz w:val="21"/>
                <w:szCs w:val="21"/>
                <w:lang w:val="en-US" w:eastAsia="zh-CN"/>
              </w:rPr>
              <w:t>供货时间节点，</w:t>
            </w:r>
            <w:r>
              <w:rPr>
                <w:rFonts w:hint="eastAsia" w:ascii="宋体" w:hAnsi="宋体" w:cs="宋体"/>
                <w:color w:val="auto"/>
                <w:kern w:val="0"/>
                <w:sz w:val="21"/>
                <w:szCs w:val="21"/>
                <w:lang w:val="en-US" w:eastAsia="zh-CN"/>
              </w:rPr>
              <w:t>⑥</w:t>
            </w:r>
            <w:r>
              <w:rPr>
                <w:rFonts w:hint="eastAsia" w:ascii="宋体" w:hAnsi="宋体" w:eastAsia="宋体" w:cs="宋体"/>
                <w:color w:val="auto"/>
                <w:kern w:val="0"/>
                <w:sz w:val="21"/>
                <w:szCs w:val="21"/>
                <w:lang w:val="en-US" w:eastAsia="zh-CN"/>
              </w:rPr>
              <w:t>测试与试运行，经评审方案详细、符合本项目实际和特性得</w:t>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 xml:space="preserve">分：每缺一项的扣 </w:t>
            </w:r>
            <w:r>
              <w:rPr>
                <w:rFonts w:hint="eastAsia" w:ascii="宋体" w:hAnsi="宋体" w:cs="宋体"/>
                <w:color w:val="auto"/>
                <w:kern w:val="0"/>
                <w:sz w:val="21"/>
                <w:szCs w:val="21"/>
                <w:lang w:val="en-US" w:eastAsia="zh-CN"/>
              </w:rPr>
              <w:t>0.5</w:t>
            </w:r>
            <w:r>
              <w:rPr>
                <w:rFonts w:hint="eastAsia" w:ascii="宋体" w:hAnsi="宋体" w:eastAsia="宋体" w:cs="宋体"/>
                <w:color w:val="auto"/>
                <w:kern w:val="0"/>
                <w:sz w:val="21"/>
                <w:szCs w:val="21"/>
                <w:lang w:val="en-US" w:eastAsia="zh-CN"/>
              </w:rPr>
              <w:t>分，每有一项内容有缺陷或不符合项目需求的扣 0.</w:t>
            </w:r>
            <w:r>
              <w:rPr>
                <w:rFonts w:hint="eastAsia" w:ascii="宋体" w:hAnsi="宋体" w:cs="宋体"/>
                <w:color w:val="auto"/>
                <w:kern w:val="0"/>
                <w:sz w:val="21"/>
                <w:szCs w:val="21"/>
                <w:lang w:val="en-US" w:eastAsia="zh-CN"/>
              </w:rPr>
              <w:t>1</w:t>
            </w:r>
            <w:r>
              <w:rPr>
                <w:rFonts w:hint="eastAsia" w:ascii="宋体" w:hAnsi="宋体" w:eastAsia="宋体" w:cs="宋体"/>
                <w:color w:val="auto"/>
                <w:kern w:val="0"/>
                <w:sz w:val="21"/>
                <w:szCs w:val="21"/>
                <w:lang w:val="en-US" w:eastAsia="zh-CN"/>
              </w:rPr>
              <w:t xml:space="preserve">分，直至扣完为止，未提供不得分； </w:t>
            </w:r>
          </w:p>
          <w:p w14:paraId="0DC0B124">
            <w:pPr>
              <w:numPr>
                <w:ilvl w:val="0"/>
                <w:numId w:val="0"/>
              </w:numPr>
              <w:spacing w:line="360" w:lineRule="auto"/>
              <w:ind w:left="0" w:leftChars="0" w:firstLine="0" w:firstLineChars="0"/>
              <w:jc w:val="both"/>
              <w:textAlignment w:val="center"/>
              <w:rPr>
                <w:rFonts w:hint="eastAsia" w:ascii="宋体" w:hAnsi="宋体" w:eastAsia="宋体" w:cs="宋体"/>
                <w:color w:val="auto"/>
                <w:kern w:val="0"/>
                <w:szCs w:val="21"/>
                <w:lang w:val="en-US" w:eastAsia="zh-CN"/>
              </w:rPr>
            </w:pPr>
            <w:r>
              <w:rPr>
                <w:rFonts w:hint="eastAsia" w:ascii="宋体" w:hAnsi="宋体" w:eastAsia="宋体" w:cs="宋体"/>
                <w:color w:val="auto"/>
                <w:kern w:val="0"/>
                <w:sz w:val="21"/>
                <w:szCs w:val="21"/>
                <w:lang w:val="en-US" w:eastAsia="zh-CN"/>
              </w:rPr>
              <w:t xml:space="preserve">注：（内容有缺陷或不符合项目需求是指：存在不适用该项目实际情况的情形、凭空编造、内容前后不一致、前后逻辑错误、涉及的规范及标准错误、地点区域错误、内容缺失、不符合采购需求的任意一项）  </w:t>
            </w:r>
          </w:p>
        </w:tc>
        <w:tc>
          <w:tcPr>
            <w:tcW w:w="546" w:type="dxa"/>
            <w:tcBorders>
              <w:left w:val="single" w:color="auto" w:sz="4" w:space="0"/>
              <w:right w:val="single" w:color="auto" w:sz="4" w:space="0"/>
            </w:tcBorders>
            <w:noWrap w:val="0"/>
            <w:vAlign w:val="center"/>
          </w:tcPr>
          <w:p w14:paraId="3E6C9956">
            <w:pPr>
              <w:spacing w:line="360" w:lineRule="auto"/>
              <w:jc w:val="both"/>
              <w:rPr>
                <w:rFonts w:hint="eastAsia" w:ascii="宋体" w:hAnsi="宋体" w:eastAsia="宋体" w:cs="宋体"/>
                <w:sz w:val="18"/>
                <w:szCs w:val="18"/>
              </w:rPr>
            </w:pPr>
          </w:p>
        </w:tc>
      </w:tr>
      <w:tr w14:paraId="25AE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3" w:hRule="atLeast"/>
          <w:jc w:val="center"/>
        </w:trPr>
        <w:tc>
          <w:tcPr>
            <w:tcW w:w="455" w:type="dxa"/>
            <w:vMerge w:val="continue"/>
            <w:tcBorders>
              <w:left w:val="single" w:color="auto" w:sz="4" w:space="0"/>
              <w:right w:val="single" w:color="auto" w:sz="4" w:space="0"/>
            </w:tcBorders>
            <w:noWrap w:val="0"/>
            <w:vAlign w:val="center"/>
          </w:tcPr>
          <w:p w14:paraId="1949C543">
            <w:pPr>
              <w:spacing w:line="360" w:lineRule="auto"/>
              <w:jc w:val="both"/>
              <w:rPr>
                <w:rFonts w:hint="eastAsia" w:ascii="宋体" w:hAnsi="宋体" w:eastAsia="宋体" w:cs="宋体"/>
                <w:sz w:val="21"/>
                <w:szCs w:val="21"/>
              </w:rPr>
            </w:pPr>
          </w:p>
        </w:tc>
        <w:tc>
          <w:tcPr>
            <w:tcW w:w="1142" w:type="dxa"/>
            <w:vMerge w:val="continue"/>
            <w:tcBorders>
              <w:left w:val="single" w:color="auto" w:sz="4" w:space="0"/>
              <w:right w:val="single" w:color="auto" w:sz="4" w:space="0"/>
            </w:tcBorders>
            <w:noWrap w:val="0"/>
            <w:vAlign w:val="center"/>
          </w:tcPr>
          <w:p w14:paraId="14C61161">
            <w:pPr>
              <w:spacing w:line="360" w:lineRule="auto"/>
              <w:jc w:val="both"/>
              <w:rPr>
                <w:rFonts w:hint="eastAsia" w:ascii="宋体" w:hAnsi="宋体" w:eastAsia="宋体" w:cs="宋体"/>
                <w:sz w:val="21"/>
                <w:szCs w:val="21"/>
              </w:rPr>
            </w:pPr>
          </w:p>
        </w:tc>
        <w:tc>
          <w:tcPr>
            <w:tcW w:w="935" w:type="dxa"/>
            <w:tcBorders>
              <w:left w:val="single" w:color="auto" w:sz="4" w:space="0"/>
              <w:right w:val="single" w:color="auto" w:sz="4" w:space="0"/>
            </w:tcBorders>
            <w:noWrap w:val="0"/>
            <w:vAlign w:val="center"/>
          </w:tcPr>
          <w:p w14:paraId="09A8A6DA">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3分</w:t>
            </w:r>
          </w:p>
        </w:tc>
        <w:tc>
          <w:tcPr>
            <w:tcW w:w="6981" w:type="dxa"/>
            <w:tcBorders>
              <w:top w:val="single" w:color="auto" w:sz="4" w:space="0"/>
              <w:left w:val="single" w:color="auto" w:sz="4" w:space="0"/>
              <w:right w:val="single" w:color="auto" w:sz="4" w:space="0"/>
            </w:tcBorders>
            <w:noWrap w:val="0"/>
            <w:vAlign w:val="center"/>
          </w:tcPr>
          <w:p w14:paraId="45DDB521">
            <w:pPr>
              <w:numPr>
                <w:ilvl w:val="0"/>
                <w:numId w:val="0"/>
              </w:numPr>
              <w:spacing w:line="360" w:lineRule="auto"/>
              <w:jc w:val="both"/>
              <w:textAlignment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质量保证措施及应急保障方案：</w:t>
            </w:r>
          </w:p>
          <w:p w14:paraId="19F7AF07">
            <w:pPr>
              <w:numPr>
                <w:ilvl w:val="0"/>
                <w:numId w:val="0"/>
              </w:numPr>
              <w:spacing w:line="360" w:lineRule="auto"/>
              <w:ind w:left="0" w:leftChars="0" w:firstLine="0" w:firstLineChars="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根据投标人提供的质量保证措施及应急保障方案进行评审：须包含①施工、②软件、③硬件等。</w:t>
            </w:r>
          </w:p>
          <w:p w14:paraId="490F51FC">
            <w:pPr>
              <w:numPr>
                <w:ilvl w:val="0"/>
                <w:numId w:val="0"/>
              </w:numPr>
              <w:spacing w:line="360" w:lineRule="auto"/>
              <w:ind w:left="0" w:leftChars="0" w:firstLine="0" w:firstLineChars="0"/>
              <w:jc w:val="both"/>
              <w:textAlignment w:val="center"/>
              <w:rPr>
                <w:rFonts w:hint="eastAsia" w:ascii="宋体" w:hAnsi="宋体" w:eastAsia="宋体" w:cs="宋体"/>
                <w:color w:val="auto"/>
                <w:kern w:val="0"/>
                <w:sz w:val="21"/>
                <w:szCs w:val="21"/>
                <w:highlight w:val="none"/>
                <w:lang w:val="zh-TW" w:eastAsia="zh-TW" w:bidi="ar-SA"/>
              </w:rPr>
            </w:pPr>
            <w:r>
              <w:rPr>
                <w:rFonts w:hint="eastAsia" w:ascii="宋体" w:hAnsi="宋体" w:eastAsia="宋体" w:cs="宋体"/>
                <w:color w:val="auto"/>
                <w:kern w:val="0"/>
                <w:sz w:val="21"/>
                <w:szCs w:val="21"/>
                <w:highlight w:val="none"/>
                <w:lang w:val="zh-TW" w:eastAsia="zh-TW" w:bidi="ar-SA"/>
              </w:rPr>
              <w:t>以上内容都包含且满足采购需求的得</w:t>
            </w:r>
            <w:r>
              <w:rPr>
                <w:rFonts w:hint="eastAsia" w:ascii="宋体" w:hAnsi="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zh-TW" w:eastAsia="zh-TW" w:bidi="ar-SA"/>
              </w:rPr>
              <w:t>分；每缺少一项内容的扣</w:t>
            </w:r>
            <w:r>
              <w:rPr>
                <w:rFonts w:hint="eastAsia" w:ascii="宋体" w:hAnsi="宋体"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zh-TW" w:eastAsia="zh-TW" w:bidi="ar-SA"/>
              </w:rPr>
              <w:t>分；每有一处</w:t>
            </w:r>
            <w:r>
              <w:rPr>
                <w:rFonts w:hint="eastAsia" w:ascii="宋体" w:hAnsi="宋体" w:eastAsia="宋体" w:cs="宋体"/>
                <w:color w:val="auto"/>
                <w:kern w:val="0"/>
                <w:sz w:val="21"/>
                <w:szCs w:val="21"/>
                <w:highlight w:val="none"/>
                <w:lang w:val="en-US" w:eastAsia="zh-CN" w:bidi="ar-SA"/>
              </w:rPr>
              <w:t>内容未进行详细说明或内容存在缺陷或不适用本项目</w:t>
            </w:r>
            <w:r>
              <w:rPr>
                <w:rFonts w:hint="eastAsia" w:ascii="宋体" w:hAnsi="宋体" w:eastAsia="宋体" w:cs="宋体"/>
                <w:color w:val="auto"/>
                <w:kern w:val="0"/>
                <w:sz w:val="21"/>
                <w:szCs w:val="21"/>
                <w:highlight w:val="none"/>
                <w:lang w:val="zh-TW" w:eastAsia="zh-TW" w:bidi="ar-SA"/>
              </w:rPr>
              <w:t>的扣</w:t>
            </w:r>
            <w:r>
              <w:rPr>
                <w:rFonts w:hint="eastAsia" w:ascii="宋体" w:hAnsi="宋体" w:eastAsia="宋体" w:cs="宋体"/>
                <w:color w:val="auto"/>
                <w:kern w:val="0"/>
                <w:sz w:val="21"/>
                <w:szCs w:val="21"/>
                <w:highlight w:val="none"/>
                <w:lang w:val="en-US" w:eastAsia="zh-CN" w:bidi="ar-SA"/>
              </w:rPr>
              <w:t>0.2</w:t>
            </w:r>
            <w:r>
              <w:rPr>
                <w:rFonts w:hint="eastAsia" w:ascii="宋体" w:hAnsi="宋体" w:eastAsia="宋体" w:cs="宋体"/>
                <w:color w:val="auto"/>
                <w:kern w:val="0"/>
                <w:sz w:val="21"/>
                <w:szCs w:val="21"/>
                <w:highlight w:val="none"/>
                <w:lang w:val="zh-TW" w:eastAsia="zh-TW" w:bidi="ar-SA"/>
              </w:rPr>
              <w:t>分；扣完为止，未提供不得分。</w:t>
            </w:r>
          </w:p>
          <w:p w14:paraId="7A14EC24">
            <w:pPr>
              <w:numPr>
                <w:ilvl w:val="0"/>
                <w:numId w:val="0"/>
              </w:numPr>
              <w:spacing w:line="360" w:lineRule="auto"/>
              <w:ind w:left="0" w:leftChars="0" w:firstLine="0" w:firstLineChars="0"/>
              <w:jc w:val="both"/>
              <w:textAlignment w:val="center"/>
              <w:rPr>
                <w:rFonts w:hint="eastAsia" w:ascii="仿宋" w:hAnsi="仿宋" w:eastAsia="仿宋" w:cs="仿宋"/>
                <w:bCs/>
                <w:spacing w:val="-3"/>
                <w:sz w:val="24"/>
                <w:szCs w:val="24"/>
                <w:highlight w:val="none"/>
                <w:lang w:val="en-US" w:eastAsia="zh-CN"/>
              </w:rPr>
            </w:pPr>
            <w:r>
              <w:rPr>
                <w:rFonts w:hint="eastAsia" w:ascii="宋体" w:hAnsi="宋体" w:eastAsia="宋体" w:cs="宋体"/>
                <w:color w:val="auto"/>
                <w:kern w:val="0"/>
                <w:sz w:val="21"/>
                <w:szCs w:val="21"/>
                <w:highlight w:val="none"/>
                <w:lang w:val="zh-TW" w:eastAsia="zh-TW" w:bidi="ar-SA"/>
              </w:rPr>
              <w:t>（</w:t>
            </w:r>
            <w:r>
              <w:rPr>
                <w:rFonts w:hint="eastAsia" w:ascii="宋体" w:hAnsi="宋体" w:eastAsia="宋体" w:cs="宋体"/>
                <w:color w:val="auto"/>
                <w:kern w:val="0"/>
                <w:sz w:val="21"/>
                <w:szCs w:val="21"/>
                <w:highlight w:val="none"/>
                <w:lang w:val="en-US" w:eastAsia="zh-CN" w:bidi="ar-SA"/>
              </w:rPr>
              <w:t>未进行详细说明或内容存在缺陷或不适用本项目的</w:t>
            </w:r>
            <w:r>
              <w:rPr>
                <w:rFonts w:hint="eastAsia" w:ascii="宋体" w:hAnsi="宋体" w:eastAsia="宋体" w:cs="宋体"/>
                <w:color w:val="auto"/>
                <w:kern w:val="0"/>
                <w:sz w:val="21"/>
                <w:szCs w:val="21"/>
                <w:highlight w:val="none"/>
                <w:lang w:val="zh-TW" w:eastAsia="zh-TW" w:bidi="ar-SA"/>
              </w:rPr>
              <w:t>是指：</w:t>
            </w:r>
            <w:r>
              <w:rPr>
                <w:rFonts w:hint="eastAsia" w:ascii="宋体" w:hAnsi="宋体" w:eastAsia="宋体" w:cs="宋体"/>
                <w:color w:val="auto"/>
                <w:kern w:val="0"/>
                <w:sz w:val="21"/>
                <w:szCs w:val="21"/>
                <w:highlight w:val="none"/>
                <w:lang w:val="en-US" w:eastAsia="zh-CN" w:bidi="ar-SA"/>
              </w:rPr>
              <w:t>①只有单纯的文件描述，前后内容无法连贯，内容脱离了实际情况，不具备实施的可能性；②套用其他项目方案，前后内容互相矛盾， 存在与本项目无关的内容；③内容不满足项目要求、与本项目无关或与本项目不匹配、项目涉及的名 称、地点不一致；④不符合采购需求、项目相关的规范及标准任一情形等。</w:t>
            </w:r>
            <w:r>
              <w:rPr>
                <w:rFonts w:hint="eastAsia" w:ascii="宋体" w:hAnsi="宋体" w:eastAsia="宋体" w:cs="宋体"/>
                <w:color w:val="auto"/>
                <w:kern w:val="0"/>
                <w:sz w:val="21"/>
                <w:szCs w:val="21"/>
                <w:highlight w:val="none"/>
                <w:lang w:val="zh-TW" w:eastAsia="zh-TW" w:bidi="ar-SA"/>
              </w:rPr>
              <w:t>）</w:t>
            </w:r>
          </w:p>
        </w:tc>
        <w:tc>
          <w:tcPr>
            <w:tcW w:w="546" w:type="dxa"/>
            <w:tcBorders>
              <w:left w:val="single" w:color="auto" w:sz="4" w:space="0"/>
              <w:right w:val="single" w:color="auto" w:sz="4" w:space="0"/>
            </w:tcBorders>
            <w:noWrap w:val="0"/>
            <w:vAlign w:val="center"/>
          </w:tcPr>
          <w:p w14:paraId="2F020219">
            <w:pPr>
              <w:spacing w:line="360" w:lineRule="auto"/>
              <w:jc w:val="both"/>
              <w:rPr>
                <w:rFonts w:hint="eastAsia" w:ascii="宋体" w:hAnsi="宋体" w:eastAsia="宋体" w:cs="宋体"/>
                <w:sz w:val="18"/>
                <w:szCs w:val="18"/>
              </w:rPr>
            </w:pPr>
          </w:p>
        </w:tc>
      </w:tr>
      <w:tr w14:paraId="4031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5" w:hRule="atLeast"/>
          <w:jc w:val="center"/>
        </w:trPr>
        <w:tc>
          <w:tcPr>
            <w:tcW w:w="455" w:type="dxa"/>
            <w:vMerge w:val="continue"/>
            <w:tcBorders>
              <w:left w:val="single" w:color="auto" w:sz="4" w:space="0"/>
              <w:right w:val="single" w:color="auto" w:sz="4" w:space="0"/>
            </w:tcBorders>
            <w:noWrap w:val="0"/>
            <w:vAlign w:val="center"/>
          </w:tcPr>
          <w:p w14:paraId="292C0883">
            <w:pPr>
              <w:spacing w:line="360" w:lineRule="auto"/>
              <w:jc w:val="both"/>
              <w:rPr>
                <w:rFonts w:hint="eastAsia" w:ascii="宋体" w:hAnsi="宋体" w:eastAsia="宋体" w:cs="宋体"/>
                <w:sz w:val="21"/>
                <w:szCs w:val="21"/>
              </w:rPr>
            </w:pPr>
          </w:p>
        </w:tc>
        <w:tc>
          <w:tcPr>
            <w:tcW w:w="1142" w:type="dxa"/>
            <w:vMerge w:val="continue"/>
            <w:tcBorders>
              <w:left w:val="single" w:color="auto" w:sz="4" w:space="0"/>
              <w:right w:val="single" w:color="auto" w:sz="4" w:space="0"/>
            </w:tcBorders>
            <w:noWrap w:val="0"/>
            <w:vAlign w:val="center"/>
          </w:tcPr>
          <w:p w14:paraId="0F0DDABC">
            <w:pPr>
              <w:spacing w:line="360" w:lineRule="auto"/>
              <w:jc w:val="both"/>
              <w:rPr>
                <w:rFonts w:hint="eastAsia" w:ascii="宋体" w:hAnsi="宋体" w:eastAsia="宋体" w:cs="宋体"/>
                <w:sz w:val="21"/>
                <w:szCs w:val="21"/>
              </w:rPr>
            </w:pPr>
          </w:p>
        </w:tc>
        <w:tc>
          <w:tcPr>
            <w:tcW w:w="935" w:type="dxa"/>
            <w:tcBorders>
              <w:left w:val="single" w:color="auto" w:sz="4" w:space="0"/>
              <w:right w:val="single" w:color="auto" w:sz="4" w:space="0"/>
            </w:tcBorders>
            <w:noWrap w:val="0"/>
            <w:vAlign w:val="center"/>
          </w:tcPr>
          <w:p w14:paraId="1BA530F0">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6981" w:type="dxa"/>
            <w:tcBorders>
              <w:top w:val="single" w:color="auto" w:sz="4" w:space="0"/>
              <w:left w:val="single" w:color="auto" w:sz="4" w:space="0"/>
              <w:right w:val="single" w:color="auto" w:sz="4" w:space="0"/>
            </w:tcBorders>
            <w:noWrap w:val="0"/>
            <w:vAlign w:val="center"/>
          </w:tcPr>
          <w:p w14:paraId="4C241D6E">
            <w:pPr>
              <w:numPr>
                <w:ilvl w:val="0"/>
                <w:numId w:val="0"/>
              </w:numPr>
              <w:spacing w:line="360" w:lineRule="auto"/>
              <w:ind w:left="0" w:leftChars="0" w:firstLine="0" w:firstLineChars="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技术培训方案评价：</w:t>
            </w:r>
          </w:p>
          <w:p w14:paraId="67C2D01E">
            <w:pPr>
              <w:numPr>
                <w:ilvl w:val="0"/>
                <w:numId w:val="0"/>
              </w:numPr>
              <w:spacing w:line="360" w:lineRule="auto"/>
              <w:ind w:left="0" w:leftChars="0" w:firstLine="0" w:firstLineChars="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根据供应商提供的项目技术培训方案进行评分：</w:t>
            </w:r>
          </w:p>
          <w:p w14:paraId="1AF5CAD6">
            <w:pPr>
              <w:numPr>
                <w:ilvl w:val="0"/>
                <w:numId w:val="0"/>
              </w:numPr>
              <w:spacing w:line="360" w:lineRule="auto"/>
              <w:ind w:left="0" w:leftChars="0" w:firstLine="0" w:firstLineChars="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项目培训方案包括但不限于①培训内容、②培训方式、③培训计划、④培训团队人员配置等4项内容。</w:t>
            </w:r>
          </w:p>
          <w:p w14:paraId="3BDB2644">
            <w:pPr>
              <w:numPr>
                <w:ilvl w:val="0"/>
                <w:numId w:val="0"/>
              </w:numPr>
              <w:spacing w:line="360" w:lineRule="auto"/>
              <w:ind w:left="0" w:leftChars="0" w:firstLine="0" w:firstLineChars="0"/>
              <w:jc w:val="both"/>
              <w:textAlignment w:val="center"/>
              <w:rPr>
                <w:rFonts w:hint="eastAsia" w:ascii="宋体" w:hAnsi="宋体" w:eastAsia="宋体" w:cs="宋体"/>
                <w:color w:val="auto"/>
                <w:kern w:val="0"/>
                <w:sz w:val="21"/>
                <w:szCs w:val="21"/>
                <w:highlight w:val="none"/>
                <w:lang w:val="zh-TW" w:eastAsia="zh-TW" w:bidi="ar-SA"/>
              </w:rPr>
            </w:pPr>
            <w:r>
              <w:rPr>
                <w:rFonts w:hint="eastAsia" w:ascii="宋体" w:hAnsi="宋体" w:eastAsia="宋体" w:cs="宋体"/>
                <w:color w:val="auto"/>
                <w:kern w:val="0"/>
                <w:sz w:val="21"/>
                <w:szCs w:val="21"/>
                <w:highlight w:val="none"/>
                <w:lang w:val="en-US" w:eastAsia="zh-CN" w:bidi="ar-SA"/>
              </w:rPr>
              <w:t>针对以上四项内容进行评审，逐项打分，每项1</w:t>
            </w:r>
            <w:r>
              <w:rPr>
                <w:rFonts w:hint="eastAsia" w:ascii="宋体" w:hAnsi="宋体"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分，共</w:t>
            </w:r>
            <w:r>
              <w:rPr>
                <w:rFonts w:hint="eastAsia" w:ascii="宋体" w:hAnsi="宋体" w:cs="宋体"/>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lang w:val="en-US" w:eastAsia="zh-CN" w:bidi="ar-SA"/>
              </w:rPr>
              <w:t>分：每缺一项的扣1分</w:t>
            </w:r>
            <w:r>
              <w:rPr>
                <w:rFonts w:hint="eastAsia" w:ascii="宋体" w:hAnsi="宋体" w:eastAsia="宋体" w:cs="宋体"/>
                <w:color w:val="auto"/>
                <w:kern w:val="0"/>
                <w:sz w:val="21"/>
                <w:szCs w:val="21"/>
                <w:highlight w:val="none"/>
                <w:lang w:val="zh-TW" w:eastAsia="zh-TW" w:bidi="ar-SA"/>
              </w:rPr>
              <w:t>；每有一处</w:t>
            </w:r>
            <w:r>
              <w:rPr>
                <w:rFonts w:hint="eastAsia" w:ascii="宋体" w:hAnsi="宋体" w:eastAsia="宋体" w:cs="宋体"/>
                <w:color w:val="auto"/>
                <w:kern w:val="0"/>
                <w:sz w:val="21"/>
                <w:szCs w:val="21"/>
                <w:highlight w:val="none"/>
                <w:lang w:val="en-US" w:eastAsia="zh-CN" w:bidi="ar-SA"/>
              </w:rPr>
              <w:t>内容未进行详细说明或内容存在缺陷或不适用本项目</w:t>
            </w:r>
            <w:r>
              <w:rPr>
                <w:rFonts w:hint="eastAsia" w:ascii="宋体" w:hAnsi="宋体" w:eastAsia="宋体" w:cs="宋体"/>
                <w:color w:val="auto"/>
                <w:kern w:val="0"/>
                <w:sz w:val="21"/>
                <w:szCs w:val="21"/>
                <w:highlight w:val="none"/>
                <w:lang w:val="zh-TW" w:eastAsia="zh-TW" w:bidi="ar-SA"/>
              </w:rPr>
              <w:t>的扣</w:t>
            </w:r>
            <w:r>
              <w:rPr>
                <w:rFonts w:hint="eastAsia" w:ascii="宋体" w:hAnsi="宋体" w:eastAsia="宋体" w:cs="宋体"/>
                <w:color w:val="auto"/>
                <w:kern w:val="0"/>
                <w:sz w:val="21"/>
                <w:szCs w:val="21"/>
                <w:highlight w:val="none"/>
                <w:lang w:val="en-US" w:eastAsia="zh-CN" w:bidi="ar-SA"/>
              </w:rPr>
              <w:t>0.2</w:t>
            </w:r>
            <w:r>
              <w:rPr>
                <w:rFonts w:hint="eastAsia" w:ascii="宋体" w:hAnsi="宋体" w:eastAsia="宋体" w:cs="宋体"/>
                <w:color w:val="auto"/>
                <w:kern w:val="0"/>
                <w:sz w:val="21"/>
                <w:szCs w:val="21"/>
                <w:highlight w:val="none"/>
                <w:lang w:val="zh-TW" w:eastAsia="zh-TW" w:bidi="ar-SA"/>
              </w:rPr>
              <w:t>分；扣完为止，未提供不得分。</w:t>
            </w:r>
          </w:p>
          <w:p w14:paraId="62B6898D">
            <w:pPr>
              <w:numPr>
                <w:ilvl w:val="0"/>
                <w:numId w:val="0"/>
              </w:numPr>
              <w:spacing w:line="360" w:lineRule="auto"/>
              <w:ind w:left="0" w:leftChars="0" w:firstLine="0" w:firstLineChars="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zh-TW" w:eastAsia="zh-TW" w:bidi="ar-SA"/>
              </w:rPr>
              <w:t>（</w:t>
            </w:r>
            <w:r>
              <w:rPr>
                <w:rFonts w:hint="eastAsia" w:ascii="宋体" w:hAnsi="宋体" w:eastAsia="宋体" w:cs="宋体"/>
                <w:color w:val="auto"/>
                <w:kern w:val="0"/>
                <w:sz w:val="21"/>
                <w:szCs w:val="21"/>
                <w:highlight w:val="none"/>
                <w:lang w:val="en-US" w:eastAsia="zh-CN" w:bidi="ar-SA"/>
              </w:rPr>
              <w:t>未进行详细说明或内容存在缺陷或不适用本项目的</w:t>
            </w:r>
            <w:r>
              <w:rPr>
                <w:rFonts w:hint="eastAsia" w:ascii="宋体" w:hAnsi="宋体" w:eastAsia="宋体" w:cs="宋体"/>
                <w:color w:val="auto"/>
                <w:kern w:val="0"/>
                <w:sz w:val="21"/>
                <w:szCs w:val="21"/>
                <w:highlight w:val="none"/>
                <w:lang w:val="zh-TW" w:eastAsia="zh-TW" w:bidi="ar-SA"/>
              </w:rPr>
              <w:t>是指：</w:t>
            </w:r>
            <w:r>
              <w:rPr>
                <w:rFonts w:hint="eastAsia" w:ascii="宋体" w:hAnsi="宋体" w:eastAsia="宋体" w:cs="宋体"/>
                <w:color w:val="auto"/>
                <w:kern w:val="0"/>
                <w:sz w:val="21"/>
                <w:szCs w:val="21"/>
                <w:highlight w:val="none"/>
                <w:lang w:val="en-US" w:eastAsia="zh-CN" w:bidi="ar-SA"/>
              </w:rPr>
              <w:t>①只有单纯的文件描述，前后内容无法连贯，内容脱离了实际情况，不具备实施的可能性；②套用其他项目方案，前后内容互相矛盾， 存在与本项目无关的内容；③内容不满足项目要求、与本项目无关或与本项目不匹配、项目涉及的名 称、地点不一致；④不符合采购需求、项目相关的规范及标准任一情形等。</w:t>
            </w:r>
            <w:r>
              <w:rPr>
                <w:rFonts w:hint="eastAsia" w:ascii="宋体" w:hAnsi="宋体" w:eastAsia="宋体" w:cs="宋体"/>
                <w:color w:val="auto"/>
                <w:kern w:val="0"/>
                <w:sz w:val="21"/>
                <w:szCs w:val="21"/>
                <w:highlight w:val="none"/>
                <w:lang w:val="zh-TW" w:eastAsia="zh-TW" w:bidi="ar-SA"/>
              </w:rPr>
              <w:t>）</w:t>
            </w:r>
          </w:p>
        </w:tc>
        <w:tc>
          <w:tcPr>
            <w:tcW w:w="546" w:type="dxa"/>
            <w:tcBorders>
              <w:left w:val="single" w:color="auto" w:sz="4" w:space="0"/>
              <w:right w:val="single" w:color="auto" w:sz="4" w:space="0"/>
            </w:tcBorders>
            <w:noWrap w:val="0"/>
            <w:vAlign w:val="center"/>
          </w:tcPr>
          <w:p w14:paraId="1505FC45">
            <w:pPr>
              <w:spacing w:line="360" w:lineRule="auto"/>
              <w:jc w:val="both"/>
              <w:rPr>
                <w:rFonts w:hint="eastAsia" w:ascii="宋体" w:hAnsi="宋体" w:eastAsia="宋体" w:cs="宋体"/>
                <w:sz w:val="18"/>
                <w:szCs w:val="18"/>
              </w:rPr>
            </w:pPr>
          </w:p>
        </w:tc>
      </w:tr>
      <w:tr w14:paraId="059B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455" w:type="dxa"/>
            <w:vMerge w:val="continue"/>
            <w:tcBorders>
              <w:left w:val="single" w:color="auto" w:sz="4" w:space="0"/>
              <w:right w:val="single" w:color="auto" w:sz="4" w:space="0"/>
            </w:tcBorders>
            <w:noWrap w:val="0"/>
            <w:vAlign w:val="center"/>
          </w:tcPr>
          <w:p w14:paraId="30C5B7E4">
            <w:pPr>
              <w:spacing w:line="360" w:lineRule="auto"/>
              <w:jc w:val="both"/>
              <w:rPr>
                <w:rFonts w:hint="eastAsia" w:ascii="宋体" w:hAnsi="宋体" w:eastAsia="宋体" w:cs="宋体"/>
                <w:sz w:val="18"/>
                <w:szCs w:val="18"/>
              </w:rPr>
            </w:pPr>
          </w:p>
        </w:tc>
        <w:tc>
          <w:tcPr>
            <w:tcW w:w="1142" w:type="dxa"/>
            <w:vMerge w:val="continue"/>
            <w:tcBorders>
              <w:left w:val="single" w:color="auto" w:sz="4" w:space="0"/>
              <w:right w:val="single" w:color="auto" w:sz="4" w:space="0"/>
            </w:tcBorders>
            <w:noWrap w:val="0"/>
            <w:vAlign w:val="center"/>
          </w:tcPr>
          <w:p w14:paraId="0BDFB0C7">
            <w:pPr>
              <w:spacing w:line="360" w:lineRule="auto"/>
              <w:jc w:val="both"/>
              <w:rPr>
                <w:rFonts w:hint="eastAsia" w:ascii="宋体" w:hAnsi="宋体" w:eastAsia="宋体" w:cs="宋体"/>
                <w:kern w:val="0"/>
                <w:szCs w:val="21"/>
                <w:lang w:val="en-US" w:eastAsia="zh-CN"/>
              </w:rPr>
            </w:pPr>
          </w:p>
        </w:tc>
        <w:tc>
          <w:tcPr>
            <w:tcW w:w="935" w:type="dxa"/>
            <w:tcBorders>
              <w:left w:val="single" w:color="auto" w:sz="4" w:space="0"/>
              <w:right w:val="single" w:color="auto" w:sz="4" w:space="0"/>
            </w:tcBorders>
            <w:noWrap w:val="0"/>
            <w:vAlign w:val="center"/>
          </w:tcPr>
          <w:p w14:paraId="166C24F3">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981" w:type="dxa"/>
            <w:tcBorders>
              <w:top w:val="single" w:color="auto" w:sz="4" w:space="0"/>
              <w:left w:val="single" w:color="auto" w:sz="4" w:space="0"/>
              <w:right w:val="single" w:color="auto" w:sz="4" w:space="0"/>
            </w:tcBorders>
            <w:noWrap w:val="0"/>
            <w:vAlign w:val="center"/>
          </w:tcPr>
          <w:p w14:paraId="6FBA47FE">
            <w:pPr>
              <w:keepNext w:val="0"/>
              <w:keepLines w:val="0"/>
              <w:widowControl/>
              <w:suppressLineNumbers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相关承诺：</w:t>
            </w:r>
          </w:p>
          <w:p w14:paraId="5514B7A0">
            <w:pPr>
              <w:keepNext w:val="0"/>
              <w:keepLines w:val="0"/>
              <w:widowControl/>
              <w:numPr>
                <w:ilvl w:val="0"/>
                <w:numId w:val="5"/>
              </w:numPr>
              <w:suppressLineNumbers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在项目验收过程中产品出现瑕疵、破损、质量不合格、不能满足甲方使用要求的，承诺能无条件退、换的，得2分；质保期内产品出现故障、质量问题，承诺能无条件免费更换、升级、维修、保养的得2分；</w:t>
            </w:r>
          </w:p>
          <w:p w14:paraId="7C13876F">
            <w:pPr>
              <w:keepNext w:val="0"/>
              <w:keepLines w:val="0"/>
              <w:widowControl/>
              <w:numPr>
                <w:ilvl w:val="0"/>
                <w:numId w:val="0"/>
              </w:numPr>
              <w:suppressLineNumbers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（需提供承诺函，否则不得分）</w:t>
            </w:r>
          </w:p>
          <w:p w14:paraId="0A0FDBBA">
            <w:pPr>
              <w:keepNext w:val="0"/>
              <w:keepLines w:val="0"/>
              <w:widowControl/>
              <w:numPr>
                <w:ilvl w:val="0"/>
                <w:numId w:val="0"/>
              </w:numPr>
              <w:suppressLineNumbers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2、所投产品能提供厂家针对本项目的售后服务承诺函的，得2分。</w:t>
            </w:r>
          </w:p>
          <w:p w14:paraId="0F9CFA40">
            <w:pPr>
              <w:keepNext w:val="0"/>
              <w:keepLines w:val="0"/>
              <w:widowControl/>
              <w:numPr>
                <w:ilvl w:val="0"/>
                <w:numId w:val="0"/>
              </w:numPr>
              <w:suppressLineNumbers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（需提供厂家售后服务承诺函并加盖厂家公章，否则不得分）</w:t>
            </w:r>
          </w:p>
          <w:p w14:paraId="41B3E488">
            <w:pPr>
              <w:keepNext w:val="0"/>
              <w:keepLines w:val="0"/>
              <w:widowControl/>
              <w:numPr>
                <w:ilvl w:val="0"/>
                <w:numId w:val="0"/>
              </w:numPr>
              <w:suppressLineNumbers w:val="0"/>
              <w:spacing w:line="360" w:lineRule="auto"/>
              <w:jc w:val="both"/>
              <w:rPr>
                <w:rFonts w:hint="eastAsia" w:eastAsia="楷体_GB2312"/>
                <w:lang w:val="en-US" w:eastAsia="zh-CN"/>
              </w:rPr>
            </w:pPr>
            <w:r>
              <w:rPr>
                <w:rFonts w:hint="eastAsia" w:ascii="宋体" w:hAnsi="宋体" w:eastAsia="宋体" w:cs="宋体"/>
                <w:color w:val="auto"/>
                <w:kern w:val="0"/>
                <w:sz w:val="21"/>
                <w:szCs w:val="21"/>
                <w:highlight w:val="none"/>
                <w:lang w:val="en-US" w:eastAsia="zh-CN" w:bidi="ar-SA"/>
              </w:rPr>
              <w:t>3、免费包换承诺：提供免费包换承诺的得</w:t>
            </w:r>
            <w:r>
              <w:rPr>
                <w:rFonts w:hint="eastAsia" w:ascii="宋体" w:hAnsi="宋体" w:cs="宋体"/>
                <w:color w:val="auto"/>
                <w:kern w:val="0"/>
                <w:sz w:val="21"/>
                <w:szCs w:val="21"/>
                <w:highlight w:val="none"/>
                <w:lang w:val="en-US" w:eastAsia="zh-CN" w:bidi="ar-SA"/>
              </w:rPr>
              <w:t>2</w:t>
            </w:r>
            <w:r>
              <w:rPr>
                <w:rFonts w:hint="eastAsia" w:ascii="宋体" w:hAnsi="宋体" w:eastAsia="宋体" w:cs="宋体"/>
                <w:color w:val="auto"/>
                <w:kern w:val="0"/>
                <w:sz w:val="21"/>
                <w:szCs w:val="21"/>
                <w:highlight w:val="none"/>
                <w:lang w:val="en-US" w:eastAsia="zh-CN" w:bidi="ar-SA"/>
              </w:rPr>
              <w:t>分，未提供不得分。</w:t>
            </w:r>
          </w:p>
        </w:tc>
        <w:tc>
          <w:tcPr>
            <w:tcW w:w="546" w:type="dxa"/>
            <w:tcBorders>
              <w:left w:val="single" w:color="auto" w:sz="4" w:space="0"/>
              <w:right w:val="single" w:color="auto" w:sz="4" w:space="0"/>
            </w:tcBorders>
            <w:noWrap w:val="0"/>
            <w:vAlign w:val="center"/>
          </w:tcPr>
          <w:p w14:paraId="2B26986D">
            <w:pPr>
              <w:spacing w:line="360" w:lineRule="auto"/>
              <w:jc w:val="both"/>
              <w:rPr>
                <w:rFonts w:hint="eastAsia" w:ascii="宋体" w:hAnsi="宋体" w:eastAsia="宋体" w:cs="宋体"/>
                <w:sz w:val="18"/>
                <w:szCs w:val="18"/>
              </w:rPr>
            </w:pPr>
          </w:p>
        </w:tc>
      </w:tr>
      <w:tr w14:paraId="2B87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6" w:hRule="atLeast"/>
          <w:jc w:val="center"/>
        </w:trPr>
        <w:tc>
          <w:tcPr>
            <w:tcW w:w="455" w:type="dxa"/>
            <w:vMerge w:val="continue"/>
            <w:tcBorders>
              <w:left w:val="single" w:color="auto" w:sz="4" w:space="0"/>
              <w:right w:val="single" w:color="auto" w:sz="4" w:space="0"/>
            </w:tcBorders>
            <w:noWrap w:val="0"/>
            <w:vAlign w:val="center"/>
          </w:tcPr>
          <w:p w14:paraId="50359A56">
            <w:pPr>
              <w:spacing w:line="360" w:lineRule="auto"/>
              <w:jc w:val="both"/>
              <w:rPr>
                <w:rFonts w:hint="eastAsia" w:ascii="宋体" w:hAnsi="宋体" w:eastAsia="宋体" w:cs="宋体"/>
                <w:sz w:val="18"/>
                <w:szCs w:val="18"/>
              </w:rPr>
            </w:pPr>
          </w:p>
        </w:tc>
        <w:tc>
          <w:tcPr>
            <w:tcW w:w="1142" w:type="dxa"/>
            <w:vMerge w:val="continue"/>
            <w:tcBorders>
              <w:left w:val="single" w:color="auto" w:sz="4" w:space="0"/>
              <w:right w:val="single" w:color="auto" w:sz="4" w:space="0"/>
            </w:tcBorders>
            <w:noWrap w:val="0"/>
            <w:vAlign w:val="center"/>
          </w:tcPr>
          <w:p w14:paraId="20983CB2">
            <w:pPr>
              <w:spacing w:line="360" w:lineRule="auto"/>
              <w:jc w:val="both"/>
              <w:rPr>
                <w:rFonts w:hint="eastAsia" w:ascii="宋体" w:hAnsi="宋体" w:eastAsia="宋体" w:cs="宋体"/>
                <w:kern w:val="0"/>
                <w:szCs w:val="21"/>
                <w:lang w:val="en-US" w:eastAsia="zh-CN"/>
              </w:rPr>
            </w:pPr>
          </w:p>
        </w:tc>
        <w:tc>
          <w:tcPr>
            <w:tcW w:w="935" w:type="dxa"/>
            <w:tcBorders>
              <w:left w:val="single" w:color="auto" w:sz="4" w:space="0"/>
              <w:right w:val="single" w:color="auto" w:sz="4" w:space="0"/>
            </w:tcBorders>
            <w:noWrap w:val="0"/>
            <w:vAlign w:val="center"/>
          </w:tcPr>
          <w:p w14:paraId="5AB9744B">
            <w:pPr>
              <w:kinsoku w:val="0"/>
              <w:overflowPunct w:val="0"/>
              <w:spacing w:line="360" w:lineRule="auto"/>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tc>
        <w:tc>
          <w:tcPr>
            <w:tcW w:w="6981" w:type="dxa"/>
            <w:tcBorders>
              <w:top w:val="single" w:color="auto" w:sz="4" w:space="0"/>
              <w:left w:val="single" w:color="auto" w:sz="4" w:space="0"/>
              <w:right w:val="single" w:color="auto" w:sz="4" w:space="0"/>
            </w:tcBorders>
            <w:noWrap w:val="0"/>
            <w:vAlign w:val="center"/>
          </w:tcPr>
          <w:p w14:paraId="1FCBC282">
            <w:pPr>
              <w:spacing w:line="360" w:lineRule="auto"/>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履约能力：</w:t>
            </w:r>
          </w:p>
          <w:p w14:paraId="613A3085">
            <w:pPr>
              <w:keepNext w:val="0"/>
              <w:keepLines w:val="0"/>
              <w:widowControl/>
              <w:suppressLineNumbers w:val="0"/>
              <w:spacing w:line="360" w:lineRule="auto"/>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 w:val="21"/>
                <w:szCs w:val="21"/>
                <w:highlight w:val="none"/>
                <w:lang w:val="en-US" w:eastAsia="zh-CN" w:bidi="ar-SA"/>
              </w:rPr>
              <w:t>投标供应商近三年独立承担的类似项目 ((202</w:t>
            </w:r>
            <w:r>
              <w:rPr>
                <w:rFonts w:hint="eastAsia" w:ascii="宋体" w:hAnsi="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年 1月 1日至投标截止日之前)，</w:t>
            </w:r>
            <w:r>
              <w:rPr>
                <w:rFonts w:hint="eastAsia" w:ascii="宋体" w:hAnsi="宋体" w:cs="宋体"/>
                <w:color w:val="auto"/>
                <w:kern w:val="0"/>
                <w:sz w:val="21"/>
                <w:szCs w:val="21"/>
                <w:highlight w:val="none"/>
                <w:lang w:val="en-US" w:eastAsia="zh-CN" w:bidi="ar-SA"/>
              </w:rPr>
              <w:t>提供的得3</w:t>
            </w:r>
            <w:r>
              <w:rPr>
                <w:rFonts w:hint="eastAsia" w:ascii="宋体" w:hAnsi="宋体" w:eastAsia="宋体" w:cs="宋体"/>
                <w:color w:val="auto"/>
                <w:kern w:val="0"/>
                <w:sz w:val="21"/>
                <w:szCs w:val="21"/>
                <w:highlight w:val="none"/>
                <w:lang w:val="en-US" w:eastAsia="zh-CN" w:bidi="ar-SA"/>
              </w:rPr>
              <w:t>分。注：须提供业绩合同或中标通知书，业绩合同须提供合同关键页（含：首页、货物和服务内容信息页、合同金额页、签字盖章页）。扫描件加盖公章，时间以合同签订日期为准。如经评标委员会认定所提供业绩合同或中标通知书残缺不全、模糊难辨或未提供的不得分。提供原件彩色扫描件加盖公章。</w:t>
            </w:r>
          </w:p>
        </w:tc>
        <w:tc>
          <w:tcPr>
            <w:tcW w:w="546" w:type="dxa"/>
            <w:tcBorders>
              <w:left w:val="single" w:color="auto" w:sz="4" w:space="0"/>
              <w:right w:val="single" w:color="auto" w:sz="4" w:space="0"/>
            </w:tcBorders>
            <w:noWrap w:val="0"/>
            <w:vAlign w:val="center"/>
          </w:tcPr>
          <w:p w14:paraId="2F45D1B5">
            <w:pPr>
              <w:spacing w:line="360" w:lineRule="auto"/>
              <w:jc w:val="both"/>
              <w:rPr>
                <w:rFonts w:hint="eastAsia" w:ascii="宋体" w:hAnsi="宋体" w:eastAsia="宋体" w:cs="宋体"/>
                <w:sz w:val="18"/>
                <w:szCs w:val="18"/>
              </w:rPr>
            </w:pPr>
          </w:p>
        </w:tc>
      </w:tr>
    </w:tbl>
    <w:p w14:paraId="04D96ABA">
      <w:pPr>
        <w:pStyle w:val="2"/>
        <w:numPr>
          <w:ilvl w:val="0"/>
          <w:numId w:val="0"/>
        </w:numPr>
        <w:ind w:leftChars="0"/>
        <w:rPr>
          <w:rFonts w:hint="default"/>
        </w:rPr>
      </w:pPr>
    </w:p>
    <w:p w14:paraId="48EE7B42">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3CD9EBCF">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45A942B2">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084B2262">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04F7CBC7">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7F8197AB">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6C4AC528">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0560E325">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277E605E">
      <w:pPr>
        <w:pStyle w:val="23"/>
        <w:spacing w:line="360" w:lineRule="auto"/>
        <w:ind w:left="0" w:leftChars="0" w:firstLine="0" w:firstLineChars="0"/>
        <w:jc w:val="center"/>
        <w:rPr>
          <w:rFonts w:hint="default" w:ascii="Times New Roman" w:hAnsi="Times New Roman" w:cs="Times New Roman"/>
          <w:b/>
          <w:bCs/>
          <w:sz w:val="32"/>
          <w:szCs w:val="32"/>
          <w:highlight w:val="none"/>
        </w:rPr>
      </w:pPr>
    </w:p>
    <w:p w14:paraId="5ABFEB79">
      <w:pPr>
        <w:pStyle w:val="23"/>
        <w:spacing w:line="360" w:lineRule="auto"/>
        <w:ind w:left="0" w:leftChars="0" w:firstLine="0" w:firstLineChars="0"/>
        <w:jc w:val="both"/>
        <w:rPr>
          <w:rFonts w:hint="default" w:ascii="Times New Roman" w:hAnsi="Times New Roman" w:cs="Times New Roman"/>
          <w:b/>
          <w:bCs/>
          <w:sz w:val="32"/>
          <w:szCs w:val="32"/>
          <w:highlight w:val="none"/>
        </w:rPr>
      </w:pPr>
    </w:p>
    <w:p w14:paraId="6890EBC9">
      <w:pPr>
        <w:pStyle w:val="23"/>
        <w:spacing w:line="360" w:lineRule="auto"/>
        <w:ind w:left="0" w:leftChars="0" w:firstLine="0" w:firstLineChars="0"/>
        <w:jc w:val="center"/>
        <w:rPr>
          <w:rFonts w:hint="default" w:ascii="Times New Roman" w:hAnsi="Times New Roman" w:eastAsia="宋体" w:cs="Times New Roman"/>
          <w:sz w:val="32"/>
          <w:szCs w:val="32"/>
          <w:highlight w:val="none"/>
        </w:rPr>
      </w:pPr>
      <w:r>
        <w:rPr>
          <w:rFonts w:hint="default" w:ascii="Times New Roman" w:hAnsi="Times New Roman" w:cs="Times New Roman"/>
          <w:b/>
          <w:bCs/>
          <w:sz w:val="32"/>
          <w:szCs w:val="32"/>
          <w:highlight w:val="none"/>
        </w:rPr>
        <w:t>第</w:t>
      </w:r>
      <w:r>
        <w:rPr>
          <w:rFonts w:hint="default" w:ascii="Times New Roman" w:hAnsi="Times New Roman" w:cs="Times New Roman"/>
          <w:b/>
          <w:bCs/>
          <w:sz w:val="32"/>
          <w:szCs w:val="32"/>
          <w:highlight w:val="none"/>
          <w:lang w:eastAsia="zh-CN"/>
        </w:rPr>
        <w:t>六</w:t>
      </w:r>
      <w:r>
        <w:rPr>
          <w:rFonts w:hint="default" w:ascii="Times New Roman" w:hAnsi="Times New Roman" w:cs="Times New Roman"/>
          <w:b/>
          <w:bCs/>
          <w:sz w:val="32"/>
          <w:szCs w:val="32"/>
          <w:highlight w:val="none"/>
        </w:rPr>
        <w:t xml:space="preserve">章 </w:t>
      </w:r>
      <w:r>
        <w:rPr>
          <w:b/>
          <w:bCs/>
          <w:spacing w:val="-3"/>
          <w:sz w:val="36"/>
          <w:szCs w:val="36"/>
        </w:rPr>
        <w:t xml:space="preserve"> </w:t>
      </w:r>
      <w:r>
        <w:rPr>
          <w:rFonts w:hint="default" w:ascii="Times New Roman" w:hAnsi="Times New Roman" w:eastAsia="宋体" w:cs="Times New Roman"/>
          <w:b/>
          <w:bCs/>
          <w:sz w:val="32"/>
          <w:szCs w:val="32"/>
          <w:highlight w:val="none"/>
        </w:rPr>
        <w:t>拟签订的合同文本</w:t>
      </w:r>
    </w:p>
    <w:p w14:paraId="39E9D4F7">
      <w:pPr>
        <w:spacing w:line="296" w:lineRule="auto"/>
        <w:rPr>
          <w:rFonts w:ascii="Arial"/>
          <w:sz w:val="21"/>
        </w:rPr>
      </w:pPr>
    </w:p>
    <w:p w14:paraId="6B866811">
      <w:pPr>
        <w:spacing w:line="296" w:lineRule="auto"/>
        <w:rPr>
          <w:rFonts w:ascii="Arial"/>
          <w:sz w:val="21"/>
        </w:rPr>
      </w:pPr>
    </w:p>
    <w:p w14:paraId="027CE34C">
      <w:pPr>
        <w:keepLines w:val="0"/>
        <w:pageBreakBefore w:val="0"/>
        <w:widowControl/>
        <w:numPr>
          <w:ilvl w:val="0"/>
          <w:numId w:val="0"/>
        </w:numPr>
        <w:kinsoku w:val="0"/>
        <w:wordWrap/>
        <w:overflowPunct/>
        <w:topLinePunct w:val="0"/>
        <w:autoSpaceDE w:val="0"/>
        <w:autoSpaceDN w:val="0"/>
        <w:bidi w:val="0"/>
        <w:adjustRightInd w:val="0"/>
        <w:snapToGrid w:val="0"/>
        <w:spacing w:line="440" w:lineRule="exact"/>
        <w:jc w:val="center"/>
        <w:textAlignment w:val="baseline"/>
        <w:rPr>
          <w:rFonts w:hint="eastAsia" w:ascii="宋体" w:hAnsi="宋体" w:eastAsia="宋体" w:cs="宋体"/>
          <w:b/>
          <w:sz w:val="24"/>
          <w:szCs w:val="24"/>
          <w:highlight w:val="none"/>
        </w:rPr>
      </w:pPr>
      <w:r>
        <w:rPr>
          <w:rFonts w:hint="eastAsia" w:ascii="宋体" w:hAnsi="宋体" w:eastAsia="宋体" w:cs="宋体"/>
          <w:b/>
          <w:sz w:val="24"/>
          <w:szCs w:val="24"/>
          <w:highlight w:val="none"/>
        </w:rPr>
        <w:t>（</w:t>
      </w:r>
      <w:r>
        <w:rPr>
          <w:rFonts w:hint="eastAsia" w:ascii="宋体" w:hAnsi="宋体" w:eastAsia="宋体" w:cs="宋体"/>
          <w:b/>
          <w:sz w:val="24"/>
          <w:szCs w:val="24"/>
          <w:highlight w:val="none"/>
          <w:lang w:eastAsia="zh-CN"/>
        </w:rPr>
        <w:t>仅供参考</w:t>
      </w:r>
      <w:r>
        <w:rPr>
          <w:rFonts w:hint="eastAsia" w:ascii="宋体" w:hAnsi="宋体" w:eastAsia="宋体" w:cs="宋体"/>
          <w:b/>
          <w:sz w:val="24"/>
          <w:szCs w:val="24"/>
          <w:highlight w:val="none"/>
        </w:rPr>
        <w:t>）</w:t>
      </w:r>
    </w:p>
    <w:p w14:paraId="17691E67">
      <w:pPr>
        <w:pStyle w:val="8"/>
        <w:keepLines w:val="0"/>
        <w:pageBreakBefore w:val="0"/>
        <w:widowControl/>
        <w:numPr>
          <w:ilvl w:val="0"/>
          <w:numId w:val="0"/>
        </w:numPr>
        <w:kinsoku w:val="0"/>
        <w:wordWrap/>
        <w:overflowPunct/>
        <w:topLinePunct w:val="0"/>
        <w:autoSpaceDE w:val="0"/>
        <w:autoSpaceDN w:val="0"/>
        <w:bidi w:val="0"/>
        <w:adjustRightInd w:val="0"/>
        <w:snapToGrid w:val="0"/>
        <w:spacing w:line="440" w:lineRule="exact"/>
        <w:jc w:val="both"/>
        <w:textAlignment w:val="baseline"/>
        <w:rPr>
          <w:rFonts w:hint="eastAsia" w:ascii="宋体" w:hAnsi="宋体" w:eastAsia="宋体" w:cs="宋体"/>
          <w:sz w:val="24"/>
          <w:szCs w:val="24"/>
        </w:rPr>
      </w:pPr>
    </w:p>
    <w:p w14:paraId="0971B074">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甲方（采购方）：                        合同编号：</w:t>
      </w:r>
    </w:p>
    <w:p w14:paraId="3FD19792">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乙方（供应方）：                        签约地点：</w:t>
      </w:r>
    </w:p>
    <w:p w14:paraId="1C9F383E">
      <w:pPr>
        <w:keepNext w:val="0"/>
        <w:keepLines w:val="0"/>
        <w:pageBreakBefore w:val="0"/>
        <w:widowControl/>
        <w:kinsoku w:val="0"/>
        <w:wordWrap/>
        <w:overflowPunct/>
        <w:topLinePunct w:val="0"/>
        <w:autoSpaceDE w:val="0"/>
        <w:autoSpaceDN w:val="0"/>
        <w:bidi w:val="0"/>
        <w:adjustRightInd w:val="0"/>
        <w:snapToGrid w:val="0"/>
        <w:spacing w:line="288" w:lineRule="auto"/>
        <w:ind w:left="1879" w:leftChars="228" w:hanging="1400" w:hangingChars="5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根据《中华人民共和国政府采购法》、《中华人民共和国合同法》及  年 月 日</w:t>
      </w:r>
      <w:r>
        <w:rPr>
          <w:rFonts w:hint="eastAsia" w:ascii="宋体" w:hAnsi="宋体" w:eastAsia="宋体" w:cs="宋体"/>
          <w:kern w:val="2"/>
          <w:sz w:val="28"/>
          <w:szCs w:val="28"/>
          <w:highlight w:val="none"/>
          <w:lang w:val="en-US" w:eastAsia="zh-CN" w:bidi="ar-SA"/>
        </w:rPr>
        <w:t>项目</w:t>
      </w:r>
      <w:r>
        <w:rPr>
          <w:rFonts w:hint="eastAsia" w:ascii="宋体" w:hAnsi="宋体" w:eastAsia="宋体" w:cs="宋体"/>
          <w:sz w:val="28"/>
          <w:szCs w:val="28"/>
          <w:highlight w:val="none"/>
        </w:rPr>
        <w:t>招标文件的要求，</w:t>
      </w:r>
    </w:p>
    <w:p w14:paraId="3D3C8683">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经双方协商一致，签订本合同。</w:t>
      </w:r>
    </w:p>
    <w:p w14:paraId="7028C58A">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kern w:val="0"/>
          <w:sz w:val="28"/>
          <w:szCs w:val="28"/>
          <w:highlight w:val="none"/>
          <w:lang w:val="en-US" w:eastAsia="zh-CN" w:bidi="ar-SA"/>
        </w:rPr>
      </w:pPr>
      <w:r>
        <w:rPr>
          <w:rFonts w:hint="eastAsia" w:ascii="宋体" w:hAnsi="宋体" w:eastAsia="宋体" w:cs="宋体"/>
          <w:b/>
          <w:bCs/>
          <w:kern w:val="0"/>
          <w:sz w:val="28"/>
          <w:szCs w:val="28"/>
          <w:highlight w:val="none"/>
          <w:lang w:val="en-US" w:eastAsia="zh-CN" w:bidi="ar-SA"/>
        </w:rPr>
        <w:t>合同货物</w:t>
      </w:r>
    </w:p>
    <w:p w14:paraId="54E8B03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1039" w:leftChars="228" w:hanging="560" w:hangingChars="200"/>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乙方负责向甲方供应下表中所列</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及负责安装调试。</w:t>
      </w:r>
    </w:p>
    <w:tbl>
      <w:tblPr>
        <w:tblStyle w:val="24"/>
        <w:tblpPr w:leftFromText="180" w:rightFromText="180" w:vertAnchor="text" w:horzAnchor="page" w:tblpX="1195" w:tblpY="452"/>
        <w:tblOverlap w:val="never"/>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70"/>
        <w:gridCol w:w="915"/>
        <w:gridCol w:w="945"/>
        <w:gridCol w:w="855"/>
        <w:gridCol w:w="840"/>
        <w:gridCol w:w="765"/>
        <w:gridCol w:w="1200"/>
        <w:gridCol w:w="1305"/>
      </w:tblGrid>
      <w:tr w14:paraId="4E21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center"/>
          </w:tcPr>
          <w:p w14:paraId="2F94AAE2">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货物名称</w:t>
            </w:r>
          </w:p>
        </w:tc>
        <w:tc>
          <w:tcPr>
            <w:tcW w:w="1470" w:type="dxa"/>
            <w:noWrap w:val="0"/>
            <w:vAlign w:val="center"/>
          </w:tcPr>
          <w:p w14:paraId="2BB1CA2D">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规格型号</w:t>
            </w:r>
          </w:p>
        </w:tc>
        <w:tc>
          <w:tcPr>
            <w:tcW w:w="915" w:type="dxa"/>
            <w:noWrap w:val="0"/>
            <w:vAlign w:val="center"/>
          </w:tcPr>
          <w:p w14:paraId="3D37A478">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产地</w:t>
            </w:r>
          </w:p>
        </w:tc>
        <w:tc>
          <w:tcPr>
            <w:tcW w:w="945" w:type="dxa"/>
            <w:noWrap w:val="0"/>
            <w:vAlign w:val="center"/>
          </w:tcPr>
          <w:p w14:paraId="0B4F899F">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单位</w:t>
            </w:r>
          </w:p>
        </w:tc>
        <w:tc>
          <w:tcPr>
            <w:tcW w:w="855" w:type="dxa"/>
            <w:noWrap w:val="0"/>
            <w:vAlign w:val="center"/>
          </w:tcPr>
          <w:p w14:paraId="7E605739">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数量</w:t>
            </w:r>
          </w:p>
        </w:tc>
        <w:tc>
          <w:tcPr>
            <w:tcW w:w="840" w:type="dxa"/>
            <w:noWrap w:val="0"/>
            <w:vAlign w:val="center"/>
          </w:tcPr>
          <w:p w14:paraId="328EFA27">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单价</w:t>
            </w:r>
          </w:p>
        </w:tc>
        <w:tc>
          <w:tcPr>
            <w:tcW w:w="765" w:type="dxa"/>
            <w:noWrap w:val="0"/>
            <w:vAlign w:val="center"/>
          </w:tcPr>
          <w:p w14:paraId="1C1E010F">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总价</w:t>
            </w:r>
          </w:p>
        </w:tc>
        <w:tc>
          <w:tcPr>
            <w:tcW w:w="1200" w:type="dxa"/>
            <w:noWrap w:val="0"/>
            <w:vAlign w:val="center"/>
          </w:tcPr>
          <w:p w14:paraId="2F64D752">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交货地点</w:t>
            </w:r>
          </w:p>
        </w:tc>
        <w:tc>
          <w:tcPr>
            <w:tcW w:w="1305" w:type="dxa"/>
            <w:noWrap w:val="0"/>
            <w:vAlign w:val="center"/>
          </w:tcPr>
          <w:p w14:paraId="3CCB194F">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交货时间</w:t>
            </w:r>
          </w:p>
        </w:tc>
      </w:tr>
      <w:tr w14:paraId="00A0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14:paraId="54FD881E">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470" w:type="dxa"/>
            <w:noWrap w:val="0"/>
            <w:vAlign w:val="top"/>
          </w:tcPr>
          <w:p w14:paraId="0459285E">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915" w:type="dxa"/>
            <w:noWrap w:val="0"/>
            <w:vAlign w:val="top"/>
          </w:tcPr>
          <w:p w14:paraId="50ECB829">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945" w:type="dxa"/>
            <w:noWrap w:val="0"/>
            <w:vAlign w:val="top"/>
          </w:tcPr>
          <w:p w14:paraId="75C8F5FA">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855" w:type="dxa"/>
            <w:noWrap w:val="0"/>
            <w:vAlign w:val="top"/>
          </w:tcPr>
          <w:p w14:paraId="1C28C4A1">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840" w:type="dxa"/>
            <w:noWrap w:val="0"/>
            <w:vAlign w:val="top"/>
          </w:tcPr>
          <w:p w14:paraId="2386EFD8">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765" w:type="dxa"/>
            <w:noWrap w:val="0"/>
            <w:vAlign w:val="top"/>
          </w:tcPr>
          <w:p w14:paraId="55887CAE">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200" w:type="dxa"/>
            <w:noWrap w:val="0"/>
            <w:vAlign w:val="top"/>
          </w:tcPr>
          <w:p w14:paraId="7C1FD0D6">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305" w:type="dxa"/>
            <w:noWrap w:val="0"/>
            <w:vAlign w:val="top"/>
          </w:tcPr>
          <w:p w14:paraId="7B8C8EC9">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r>
      <w:tr w14:paraId="2848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14:paraId="7DA33526">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470" w:type="dxa"/>
            <w:noWrap w:val="0"/>
            <w:vAlign w:val="top"/>
          </w:tcPr>
          <w:p w14:paraId="6DD09BC7">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915" w:type="dxa"/>
            <w:noWrap w:val="0"/>
            <w:vAlign w:val="top"/>
          </w:tcPr>
          <w:p w14:paraId="1623CDD6">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945" w:type="dxa"/>
            <w:noWrap w:val="0"/>
            <w:vAlign w:val="top"/>
          </w:tcPr>
          <w:p w14:paraId="2BBF1471">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855" w:type="dxa"/>
            <w:noWrap w:val="0"/>
            <w:vAlign w:val="top"/>
          </w:tcPr>
          <w:p w14:paraId="39325FF0">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840" w:type="dxa"/>
            <w:noWrap w:val="0"/>
            <w:vAlign w:val="top"/>
          </w:tcPr>
          <w:p w14:paraId="1D8B4F03">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765" w:type="dxa"/>
            <w:noWrap w:val="0"/>
            <w:vAlign w:val="top"/>
          </w:tcPr>
          <w:p w14:paraId="02005EC7">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200" w:type="dxa"/>
            <w:noWrap w:val="0"/>
            <w:vAlign w:val="top"/>
          </w:tcPr>
          <w:p w14:paraId="4C2BF45B">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305" w:type="dxa"/>
            <w:noWrap w:val="0"/>
            <w:vAlign w:val="top"/>
          </w:tcPr>
          <w:p w14:paraId="2F08F2BC">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r>
      <w:tr w14:paraId="46ED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14:paraId="367EDB90">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470" w:type="dxa"/>
            <w:noWrap w:val="0"/>
            <w:vAlign w:val="top"/>
          </w:tcPr>
          <w:p w14:paraId="02CA098D">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915" w:type="dxa"/>
            <w:noWrap w:val="0"/>
            <w:vAlign w:val="top"/>
          </w:tcPr>
          <w:p w14:paraId="7718C309">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945" w:type="dxa"/>
            <w:noWrap w:val="0"/>
            <w:vAlign w:val="top"/>
          </w:tcPr>
          <w:p w14:paraId="1823DC5C">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855" w:type="dxa"/>
            <w:noWrap w:val="0"/>
            <w:vAlign w:val="top"/>
          </w:tcPr>
          <w:p w14:paraId="5349E3FC">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840" w:type="dxa"/>
            <w:noWrap w:val="0"/>
            <w:vAlign w:val="top"/>
          </w:tcPr>
          <w:p w14:paraId="744D1FAA">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765" w:type="dxa"/>
            <w:noWrap w:val="0"/>
            <w:vAlign w:val="top"/>
          </w:tcPr>
          <w:p w14:paraId="545A5DE4">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200" w:type="dxa"/>
            <w:noWrap w:val="0"/>
            <w:vAlign w:val="top"/>
          </w:tcPr>
          <w:p w14:paraId="4C3C38F5">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c>
          <w:tcPr>
            <w:tcW w:w="1305" w:type="dxa"/>
            <w:noWrap w:val="0"/>
            <w:vAlign w:val="top"/>
          </w:tcPr>
          <w:p w14:paraId="15F9D7F8">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8"/>
                <w:szCs w:val="28"/>
              </w:rPr>
            </w:pPr>
          </w:p>
        </w:tc>
      </w:tr>
    </w:tbl>
    <w:p w14:paraId="0196770E">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sz w:val="28"/>
          <w:szCs w:val="28"/>
          <w:highlight w:val="none"/>
          <w:lang w:val="en-US" w:eastAsia="zh-CN"/>
        </w:rPr>
      </w:pPr>
    </w:p>
    <w:p w14:paraId="34B92945">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sz w:val="28"/>
          <w:szCs w:val="28"/>
          <w:highlight w:val="none"/>
        </w:rPr>
      </w:pPr>
      <w:r>
        <w:rPr>
          <w:rFonts w:hint="eastAsia" w:ascii="宋体" w:hAnsi="宋体" w:eastAsia="宋体" w:cs="宋体"/>
          <w:b/>
          <w:bCs/>
          <w:kern w:val="0"/>
          <w:sz w:val="28"/>
          <w:szCs w:val="28"/>
          <w:highlight w:val="none"/>
          <w:lang w:val="en-US" w:eastAsia="zh-CN" w:bidi="ar-SA"/>
        </w:rPr>
        <w:t>2、合同总价和支付方式</w:t>
      </w:r>
    </w:p>
    <w:p w14:paraId="4A648B7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2.1合同总价：总价为人民币（大写）：</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，即RMB￥</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元，该合同总金额是设计、</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制造、包装、仓储、运输、安装及验收合格之前及保修期与备品备件发生的所有含税费用。本合同执行期间合同总金额不变。</w:t>
      </w:r>
    </w:p>
    <w:p w14:paraId="42C45680">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2.2支付方式：</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p>
    <w:p w14:paraId="31CF1243">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2.3 乙方开户银行：</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；乙方账号</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p>
    <w:p w14:paraId="03ADF387">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kern w:val="0"/>
          <w:sz w:val="28"/>
          <w:szCs w:val="28"/>
          <w:highlight w:val="none"/>
          <w:lang w:val="en-US" w:eastAsia="zh-CN" w:bidi="ar-SA"/>
        </w:rPr>
      </w:pPr>
      <w:r>
        <w:rPr>
          <w:rFonts w:hint="eastAsia" w:ascii="宋体" w:hAnsi="宋体" w:eastAsia="宋体" w:cs="宋体"/>
          <w:b/>
          <w:bCs/>
          <w:kern w:val="0"/>
          <w:sz w:val="28"/>
          <w:szCs w:val="28"/>
          <w:highlight w:val="none"/>
          <w:lang w:val="en-US" w:eastAsia="zh-CN" w:bidi="ar-SA"/>
        </w:rPr>
        <w:t>3、合同组成</w:t>
      </w:r>
    </w:p>
    <w:p w14:paraId="532F792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详细价格、技术说明及其它有关合同</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的特定信息由合同附件说明。所有附件及本项目的招投标文件、会议纪要、协议等均为本合同不可分割之一部分。</w:t>
      </w:r>
    </w:p>
    <w:p w14:paraId="7F318363">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kern w:val="0"/>
          <w:sz w:val="28"/>
          <w:szCs w:val="28"/>
          <w:highlight w:val="none"/>
          <w:lang w:val="en-US" w:eastAsia="zh-CN" w:bidi="ar-SA"/>
        </w:rPr>
      </w:pPr>
      <w:r>
        <w:rPr>
          <w:rFonts w:hint="eastAsia" w:ascii="宋体" w:hAnsi="宋体" w:eastAsia="宋体" w:cs="宋体"/>
          <w:b/>
          <w:bCs/>
          <w:kern w:val="0"/>
          <w:sz w:val="28"/>
          <w:szCs w:val="28"/>
          <w:highlight w:val="none"/>
          <w:lang w:val="en-US" w:eastAsia="zh-CN" w:bidi="ar-SA"/>
        </w:rPr>
        <w:t>4、技术要求</w:t>
      </w:r>
    </w:p>
    <w:p w14:paraId="487A84A7">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乙方所提供</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，必须符合国家有关规范和环保要求及甲方的技术要求，并提供</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的出厂测试报告。</w:t>
      </w:r>
    </w:p>
    <w:p w14:paraId="370FC384">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kern w:val="0"/>
          <w:sz w:val="28"/>
          <w:szCs w:val="28"/>
          <w:highlight w:val="none"/>
          <w:lang w:val="en-US" w:eastAsia="zh-CN" w:bidi="ar-SA"/>
        </w:rPr>
      </w:pPr>
      <w:r>
        <w:rPr>
          <w:rFonts w:hint="eastAsia" w:ascii="宋体" w:hAnsi="宋体" w:eastAsia="宋体" w:cs="宋体"/>
          <w:b/>
          <w:bCs/>
          <w:kern w:val="0"/>
          <w:sz w:val="28"/>
          <w:szCs w:val="28"/>
          <w:highlight w:val="none"/>
          <w:lang w:val="en-US" w:eastAsia="zh-CN" w:bidi="ar-SA"/>
        </w:rPr>
        <w:t>5、合同货物包装、交货、安装、调试及验收</w:t>
      </w:r>
    </w:p>
    <w:p w14:paraId="260303FC">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5.1 合同</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的包装：</w:t>
      </w:r>
    </w:p>
    <w:p w14:paraId="51B296A9">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的包装均应有良好的防湿、防锈、防潮、防雨、防腐及防碰撞的措施。凡由于包装不良造成的损失和由此产生的费用均由乙方承担。</w:t>
      </w:r>
    </w:p>
    <w:p w14:paraId="3F8716BD">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5.2 合同</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的交货：</w:t>
      </w:r>
    </w:p>
    <w:p w14:paraId="01CCC8C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5.2.1 乙方交货时间：                    。</w:t>
      </w:r>
    </w:p>
    <w:p w14:paraId="2B80C282">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5.2.2 乙方交货地点：               </w:t>
      </w:r>
      <w:r>
        <w:rPr>
          <w:rFonts w:hint="eastAsia" w:ascii="宋体" w:hAnsi="宋体" w:cs="宋体"/>
          <w:sz w:val="28"/>
          <w:szCs w:val="28"/>
          <w:highlight w:val="none"/>
          <w:lang w:val="en-US" w:eastAsia="zh-CN"/>
        </w:rPr>
        <w:t xml:space="preserve"> </w:t>
      </w:r>
      <w:r>
        <w:rPr>
          <w:rFonts w:hint="eastAsia" w:ascii="宋体" w:hAnsi="宋体" w:eastAsia="宋体" w:cs="宋体"/>
          <w:sz w:val="28"/>
          <w:szCs w:val="28"/>
          <w:highlight w:val="none"/>
        </w:rPr>
        <w:t xml:space="preserve">      。</w:t>
      </w:r>
    </w:p>
    <w:p w14:paraId="3442B164">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5.3 合同</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的安装调试：</w:t>
      </w:r>
    </w:p>
    <w:p w14:paraId="1A7C5069">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5.3.1 乙方负责合同项下的安装调试，一切费用由乙方负责。</w:t>
      </w:r>
    </w:p>
    <w:p w14:paraId="2AE1E3D3">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5.3.2 乙方安装时须对各安装场地内的其它</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、设施有良好保护措施。</w:t>
      </w:r>
    </w:p>
    <w:p w14:paraId="18F3BCD4">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5.4  </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的验收：</w:t>
      </w:r>
    </w:p>
    <w:p w14:paraId="53D45030">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5.4.1中标</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安装调试，试运行一个月后组织验收，如中标</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在试运行期间出现故障，则应相应延长试运行时间,验收应在甲乙双方共同参加下进行。</w:t>
      </w:r>
    </w:p>
    <w:p w14:paraId="77BB2CA4">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5.4.2 验收按国家有关的规定、规范进行。验收时如发现所交付的</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175FA5C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5.4.3 如果合同</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运输和安装调试过程中因事故造成货物短缺、损坏，乙方应及时安排换装，以保证合同</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安装调试的成功完成。换货的相关费用由乙方承担。</w:t>
      </w:r>
    </w:p>
    <w:p w14:paraId="7AE10F58">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5.4.4 国内产品产品必须具备出厂合格证。</w:t>
      </w:r>
    </w:p>
    <w:p w14:paraId="231E0DC8">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5.5  乙方保证合同项下提供的</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不侵犯任何第三方的专利、商标或版权。否则，乙方须承担对第三方的专利或版权的侵权责任并承担因此而发生的所有费用。</w:t>
      </w:r>
    </w:p>
    <w:p w14:paraId="3EA4B9A6">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sz w:val="28"/>
          <w:szCs w:val="28"/>
          <w:highlight w:val="none"/>
        </w:rPr>
      </w:pPr>
      <w:r>
        <w:rPr>
          <w:rFonts w:hint="eastAsia" w:ascii="宋体" w:hAnsi="宋体" w:eastAsia="宋体" w:cs="宋体"/>
          <w:b/>
          <w:bCs/>
          <w:kern w:val="0"/>
          <w:sz w:val="28"/>
          <w:szCs w:val="28"/>
          <w:highlight w:val="none"/>
          <w:lang w:val="en-US" w:eastAsia="zh-CN" w:bidi="ar-SA"/>
        </w:rPr>
        <w:t>6、质量保证及售后服务</w:t>
      </w:r>
    </w:p>
    <w:p w14:paraId="371525CE">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6.1 乙方保证合同</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是全新、未曾使用过的，其质量、规格及技术特征符合合同附件的要求。</w:t>
      </w:r>
    </w:p>
    <w:p w14:paraId="6FB3B448">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6.2 合同</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保质保用期按生产厂家的标准执行，但不得少于</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rPr>
        <w:t>年（用户单位验收之日起计算）。</w:t>
      </w:r>
    </w:p>
    <w:p w14:paraId="0966DB4D">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保质保用期内非甲方的人为原因而出现产品质量及安装问题，由乙方负责包修、包换或包退，并承担因此而产生的一切费用。乙方应在收到甲方通知后</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rPr>
        <w:t>小时内派员到现场维修。</w:t>
      </w:r>
    </w:p>
    <w:p w14:paraId="0A7E44A4">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下列情况乙方不负责免费保修：</w:t>
      </w:r>
    </w:p>
    <w:p w14:paraId="393A8376">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1）甲方不按照乙方提供的正确使用方法而引致</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故障损坏；</w:t>
      </w:r>
    </w:p>
    <w:p w14:paraId="5A71430D">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2）甲方擅自改装</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w:t>
      </w:r>
    </w:p>
    <w:p w14:paraId="0B22F065">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3）各种人为因素或天灾等外来因素造成的损坏。</w:t>
      </w:r>
    </w:p>
    <w:p w14:paraId="232C3D4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6.3 因</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的质量问题而发生争议，由省级质检部门进行质量鉴定。</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符合质量标准的，鉴定费用由甲方承担；</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不符合质量标准的，鉴定费用由乙方承担。</w:t>
      </w:r>
    </w:p>
    <w:p w14:paraId="24475DA9">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6.4 乙方为甲方提供操作及维护培训，主要内容为</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的基本结构、性能、主要部件的构造及原理，日常使用操作、保养与管理，常见故障的排除，紧急情况的处理等，培训地点主要在</w:t>
      </w:r>
      <w:r>
        <w:rPr>
          <w:rFonts w:hint="eastAsia" w:ascii="宋体" w:hAnsi="宋体" w:eastAsia="宋体" w:cs="宋体"/>
          <w:sz w:val="28"/>
          <w:szCs w:val="28"/>
          <w:highlight w:val="none"/>
          <w:lang w:eastAsia="zh-CN"/>
        </w:rPr>
        <w:t>货物</w:t>
      </w:r>
      <w:r>
        <w:rPr>
          <w:rFonts w:hint="eastAsia" w:ascii="宋体" w:hAnsi="宋体" w:eastAsia="宋体" w:cs="宋体"/>
          <w:sz w:val="28"/>
          <w:szCs w:val="28"/>
          <w:highlight w:val="none"/>
        </w:rPr>
        <w:t>安装现场或按甲乙双方协商安排。</w:t>
      </w:r>
    </w:p>
    <w:p w14:paraId="598BB683">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7、技术服务</w:t>
      </w:r>
    </w:p>
    <w:p w14:paraId="5734FDDA">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7.1 乙方应派员到甲方指定地点配合工作。</w:t>
      </w:r>
    </w:p>
    <w:p w14:paraId="413C9584">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7.2 乙方按甲方提供的合同执行进度计划，再配合甲方及有关单位，做好合同执行进度上的配合工作。</w:t>
      </w:r>
    </w:p>
    <w:p w14:paraId="6FD9028E">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8、不可抗力</w:t>
      </w:r>
    </w:p>
    <w:p w14:paraId="189E4874">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8.1  不可抗力指战争、严重火灾、洪水、台风、地震等或其它双方认定的不可抗力事件。</w:t>
      </w:r>
    </w:p>
    <w:p w14:paraId="67025C87">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8.2  签约双方中任何一方由于不可抗力影响合同执行时，发生不可抗力一方应尽快将事故通知另一方。 在此情况下，乙方仍然有责任采取必要的措施加速供货，双方应通过友好协商尽快解决本合同的执行问题。</w:t>
      </w:r>
    </w:p>
    <w:p w14:paraId="7B8B5E7B">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9、索赔</w:t>
      </w:r>
    </w:p>
    <w:p w14:paraId="1A62C08A">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9.1 如有异议，甲方有权根据有关政府部门的检验结果向乙方提出索赔。</w:t>
      </w:r>
    </w:p>
    <w:p w14:paraId="6EDDB86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9.2 在合同执行期间，如果乙方对甲方提出的索赔和差异负有责任，乙方应按照甲方同意的下列一种或多种方式解决索赔事宜：</w:t>
      </w:r>
    </w:p>
    <w:p w14:paraId="7BD46D65">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1）乙方同意退货，并按合同规定的同种货币将货款退还给甲方，并承担由此发生的一切损失和费用。</w:t>
      </w:r>
    </w:p>
    <w:p w14:paraId="6EE0786E">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2）根据货物低劣程度、损坏程度以及甲方所遭受损失的数额甲乙双方商定降低货物的价格。</w:t>
      </w:r>
    </w:p>
    <w:p w14:paraId="43625FDE">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3）用符合规格、质量和性能要求的新零件、部件或货物来更换有缺陷的部分或修补缺陷的部分，乙方应承担一切费用和风险并负有甲方所发生的一切直接费用。同时，相应延长质量保证期。</w:t>
      </w:r>
    </w:p>
    <w:p w14:paraId="3002340A">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9.3 如果在甲方发出索赔通知后30天内，乙方未作答复，上述索赔应视为已被乙方接受。甲方将从合同款项中扣回索赔金额。如果这些金额不足以补偿索赔金额，甲方有权向乙方提出不足部分的补偿。</w:t>
      </w:r>
    </w:p>
    <w:p w14:paraId="444AF66F">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10、违约与处罚</w:t>
      </w:r>
    </w:p>
    <w:p w14:paraId="0385D53C">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10.1 甲方应依合同规定时间内，向乙方支付货款，每拖延一天乙方可向甲方加收合同金额的3‰的违约金。</w:t>
      </w:r>
    </w:p>
    <w:p w14:paraId="40EE7C10">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10.2 乙方未能按时交货，每拖延一天，须向甲方支付合同金额的3‰的违约金，此部份金额从乙方履约保证金中扣除，不足部份，甲方有权向乙方提出追偿。</w:t>
      </w:r>
    </w:p>
    <w:p w14:paraId="3C78820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10.3 乙方交付的货物不符合合同规定的，甲方有权拒收，乙方向甲方支付合同金额的5%的违约金，此部份金额从乙方履约保证金中扣除。</w:t>
      </w:r>
    </w:p>
    <w:p w14:paraId="6FEAD42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10.4 甲方无正当理由拒收货物的，甲方向乙方支付合同金额的5%的违约金。</w:t>
      </w:r>
    </w:p>
    <w:p w14:paraId="09759ABF">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10.5 乙方未能交付货物，则须向甲方支付合同采购金额5%的违约金，此部份金额从乙方履约保证金中扣除。在乙方未能交货   天后，视为其不能交付货物，甲方将有权终止合同并提出进一步索赔的权力。</w:t>
      </w:r>
    </w:p>
    <w:p w14:paraId="252F1377">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11、合同终止</w:t>
      </w:r>
    </w:p>
    <w:p w14:paraId="5AE110BD">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如果一方严重违反合同，并在收到对方违约通知书后在30天内仍未能改正违约的，另一方可立即终止本合同。</w:t>
      </w:r>
    </w:p>
    <w:p w14:paraId="1D0E788E">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12、法律诉讼</w:t>
      </w:r>
    </w:p>
    <w:p w14:paraId="4C8F29ED">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签约双方在履约中发生争执和分歧，双方应通过友好协商解决，若经协商不能达成协议时，则由合同签订地或招标人所在地人民法院提起诉讼。受理期间，双方应继续执行合同其余部分。</w:t>
      </w:r>
    </w:p>
    <w:p w14:paraId="43DC3149">
      <w:pPr>
        <w:keepNext w:val="0"/>
        <w:keepLines w:val="0"/>
        <w:pageBreakBefore w:val="0"/>
        <w:widowControl/>
        <w:kinsoku w:val="0"/>
        <w:wordWrap/>
        <w:overflowPunct/>
        <w:topLinePunct w:val="0"/>
        <w:autoSpaceDE w:val="0"/>
        <w:autoSpaceDN w:val="0"/>
        <w:bidi w:val="0"/>
        <w:adjustRightInd w:val="0"/>
        <w:snapToGrid w:val="0"/>
        <w:spacing w:line="288" w:lineRule="auto"/>
        <w:ind w:firstLine="562" w:firstLineChars="200"/>
        <w:textAlignment w:val="baseline"/>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13、其它</w:t>
      </w:r>
    </w:p>
    <w:p w14:paraId="0A46CCF7">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13.1 本合同正本四份，具有同等法律效力，甲、乙双方各执一份，财政局一份，采购代理机构一份。合同自签字之日起即时生效。</w:t>
      </w:r>
    </w:p>
    <w:p w14:paraId="5175E265">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13.2下列文件是本合同的一部分，并与本合同一起阅读和解释</w:t>
      </w:r>
    </w:p>
    <w:p w14:paraId="482B8C43">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13.2.1 中标人提交的投标函和投标一览表；</w:t>
      </w:r>
    </w:p>
    <w:p w14:paraId="62D46EF2">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13.2.2 资格声明函；</w:t>
      </w:r>
    </w:p>
    <w:p w14:paraId="16C91903">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13.2.3 中标通知书；</w:t>
      </w:r>
    </w:p>
    <w:p w14:paraId="7AC853F7">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13.2.4 其他相关投标文件。 </w:t>
      </w:r>
    </w:p>
    <w:p w14:paraId="6B4E197C">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13.3 本合同未尽事宜，由双方协商处理。</w:t>
      </w:r>
    </w:p>
    <w:p w14:paraId="467EE366">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甲方：                               乙方：</w:t>
      </w:r>
    </w:p>
    <w:p w14:paraId="1706AAA1">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单位                                 公司</w:t>
      </w:r>
    </w:p>
    <w:p w14:paraId="451A934B">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签约代表：                           签约代表：</w:t>
      </w:r>
    </w:p>
    <w:p w14:paraId="5E728650">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地址：                               地址：</w:t>
      </w:r>
    </w:p>
    <w:p w14:paraId="1F9094B3">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电话：　　　                         电话：</w:t>
      </w:r>
    </w:p>
    <w:p w14:paraId="44D4E5FF">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传真：　　　                        传真：</w:t>
      </w:r>
    </w:p>
    <w:p w14:paraId="33104320">
      <w:pPr>
        <w:keepNext w:val="0"/>
        <w:keepLines w:val="0"/>
        <w:pageBreakBefore w:val="0"/>
        <w:widowControl/>
        <w:kinsoku w:val="0"/>
        <w:wordWrap/>
        <w:overflowPunct/>
        <w:topLinePunct w:val="0"/>
        <w:autoSpaceDE w:val="0"/>
        <w:autoSpaceDN w:val="0"/>
        <w:bidi w:val="0"/>
        <w:adjustRightInd w:val="0"/>
        <w:snapToGrid w:val="0"/>
        <w:spacing w:line="288" w:lineRule="auto"/>
        <w:ind w:firstLine="560" w:firstLineChars="200"/>
        <w:jc w:val="center"/>
        <w:textAlignment w:val="baseline"/>
        <w:rPr>
          <w:sz w:val="28"/>
          <w:szCs w:val="28"/>
        </w:rPr>
        <w:sectPr>
          <w:headerReference r:id="rId3" w:type="default"/>
          <w:footerReference r:id="rId4" w:type="default"/>
          <w:pgSz w:w="11907" w:h="16840"/>
          <w:pgMar w:top="1165" w:right="1130" w:bottom="1060" w:left="1700" w:header="830" w:footer="886" w:gutter="0"/>
          <w:pgNumType w:fmt="decimal"/>
          <w:cols w:space="720" w:num="1"/>
        </w:sectPr>
      </w:pPr>
      <w:r>
        <w:rPr>
          <w:rFonts w:hint="eastAsia" w:ascii="宋体" w:hAnsi="宋体" w:eastAsia="宋体" w:cs="宋体"/>
          <w:sz w:val="28"/>
          <w:szCs w:val="28"/>
          <w:highlight w:val="none"/>
        </w:rPr>
        <w:t>签约日期：</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年   月   日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签约日期：</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年    月</w:t>
      </w:r>
    </w:p>
    <w:p w14:paraId="34BC64E8">
      <w:pPr>
        <w:pStyle w:val="4"/>
        <w:spacing w:line="360" w:lineRule="auto"/>
        <w:jc w:val="center"/>
        <w:rPr>
          <w:rFonts w:hint="eastAsia" w:ascii="Times New Roman" w:hAnsi="Times New Roman" w:eastAsia="宋体" w:cs="Times New Roman"/>
          <w:sz w:val="32"/>
          <w:szCs w:val="32"/>
          <w:highlight w:val="none"/>
          <w:lang w:eastAsia="zh-CN"/>
        </w:rPr>
      </w:pPr>
      <w:r>
        <w:rPr>
          <w:rFonts w:hint="default" w:ascii="Times New Roman" w:hAnsi="Times New Roman" w:cs="Times New Roman"/>
          <w:sz w:val="32"/>
          <w:szCs w:val="32"/>
          <w:highlight w:val="none"/>
        </w:rPr>
        <w:t>第</w:t>
      </w:r>
      <w:r>
        <w:rPr>
          <w:rFonts w:hint="default" w:ascii="Times New Roman" w:hAnsi="Times New Roman" w:cs="Times New Roman"/>
          <w:sz w:val="32"/>
          <w:szCs w:val="32"/>
          <w:highlight w:val="none"/>
          <w:lang w:eastAsia="zh-CN"/>
        </w:rPr>
        <w:t>七</w:t>
      </w:r>
      <w:r>
        <w:rPr>
          <w:rFonts w:hint="default" w:ascii="Times New Roman" w:hAnsi="Times New Roman" w:cs="Times New Roman"/>
          <w:sz w:val="32"/>
          <w:szCs w:val="32"/>
          <w:highlight w:val="none"/>
        </w:rPr>
        <w:t>章 投标文件格式</w:t>
      </w:r>
      <w:r>
        <w:rPr>
          <w:rFonts w:hint="eastAsia" w:ascii="Times New Roman" w:cs="Times New Roman"/>
          <w:sz w:val="32"/>
          <w:szCs w:val="32"/>
          <w:highlight w:val="none"/>
          <w:lang w:eastAsia="zh-CN"/>
        </w:rPr>
        <w:t>（参考）</w:t>
      </w:r>
    </w:p>
    <w:p w14:paraId="6023B9D3">
      <w:pPr>
        <w:spacing w:line="360" w:lineRule="auto"/>
        <w:jc w:val="both"/>
        <w:rPr>
          <w:rFonts w:hint="default" w:ascii="Times New Roman" w:hAnsi="Times New Roman" w:cs="Times New Roman"/>
          <w:bCs/>
          <w:sz w:val="32"/>
          <w:szCs w:val="32"/>
          <w:highlight w:val="none"/>
        </w:rPr>
      </w:pPr>
    </w:p>
    <w:p w14:paraId="6B983201">
      <w:pPr>
        <w:spacing w:line="360" w:lineRule="auto"/>
        <w:rPr>
          <w:rFonts w:hint="default" w:ascii="Times New Roman" w:hAnsi="Times New Roman" w:cs="Times New Roman"/>
          <w:b/>
          <w:sz w:val="32"/>
          <w:szCs w:val="32"/>
          <w:highlight w:val="none"/>
        </w:rPr>
      </w:pPr>
      <w:r>
        <w:rPr>
          <w:rFonts w:hint="default" w:ascii="Times New Roman" w:hAnsi="Times New Roman" w:cs="Times New Roman"/>
          <w:highlight w:val="none"/>
        </w:rPr>
        <w:t xml:space="preserve">     </w:t>
      </w:r>
      <w:r>
        <w:rPr>
          <w:rFonts w:hint="default" w:ascii="Times New Roman" w:hAnsi="Times New Roman" w:cs="Times New Roman"/>
          <w:b/>
          <w:sz w:val="32"/>
          <w:szCs w:val="32"/>
          <w:highlight w:val="none"/>
        </w:rPr>
        <w:t xml:space="preserve">                                       </w:t>
      </w:r>
    </w:p>
    <w:p w14:paraId="29EF0D15">
      <w:pPr>
        <w:spacing w:line="360" w:lineRule="auto"/>
        <w:jc w:val="center"/>
        <w:rPr>
          <w:rFonts w:hint="default" w:ascii="Times New Roman" w:hAnsi="Times New Roman" w:cs="Times New Roman"/>
          <w:b/>
          <w:sz w:val="84"/>
          <w:highlight w:val="none"/>
        </w:rPr>
      </w:pPr>
      <w:r>
        <w:rPr>
          <w:rFonts w:hint="default" w:ascii="Times New Roman" w:hAnsi="Times New Roman" w:cs="Times New Roman"/>
          <w:b/>
          <w:sz w:val="84"/>
          <w:highlight w:val="none"/>
        </w:rPr>
        <w:t>投标文件</w:t>
      </w:r>
    </w:p>
    <w:p w14:paraId="1203F606">
      <w:pPr>
        <w:spacing w:line="360" w:lineRule="auto"/>
        <w:jc w:val="center"/>
        <w:rPr>
          <w:rFonts w:hint="default" w:ascii="Times New Roman" w:hAnsi="Times New Roman" w:cs="Times New Roman"/>
          <w:b/>
          <w:sz w:val="84"/>
          <w:highlight w:val="none"/>
        </w:rPr>
      </w:pPr>
    </w:p>
    <w:p w14:paraId="04C4404C">
      <w:pPr>
        <w:spacing w:line="360" w:lineRule="auto"/>
        <w:jc w:val="center"/>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采购</w:t>
      </w:r>
      <w:r>
        <w:rPr>
          <w:rFonts w:hint="default" w:ascii="Times New Roman" w:hAnsi="Times New Roman" w:eastAsia="仿宋" w:cs="Times New Roman"/>
          <w:color w:val="auto"/>
          <w:sz w:val="32"/>
          <w:szCs w:val="32"/>
          <w:lang w:eastAsia="zh-CN"/>
        </w:rPr>
        <w:t>项目</w:t>
      </w:r>
      <w:r>
        <w:rPr>
          <w:rFonts w:hint="default" w:ascii="Times New Roman" w:hAnsi="Times New Roman" w:eastAsia="仿宋" w:cs="Times New Roman"/>
          <w:color w:val="auto"/>
          <w:sz w:val="32"/>
          <w:szCs w:val="32"/>
        </w:rPr>
        <w:t xml:space="preserve">编号： </w:t>
      </w:r>
    </w:p>
    <w:p w14:paraId="11498E7F">
      <w:pPr>
        <w:pStyle w:val="2"/>
        <w:rPr>
          <w:rFonts w:hint="default" w:ascii="Times New Roman" w:hAnsi="Times New Roman" w:eastAsia="仿宋" w:cs="Times New Roman"/>
          <w:color w:val="auto"/>
          <w:sz w:val="44"/>
        </w:rPr>
      </w:pPr>
    </w:p>
    <w:p w14:paraId="15A0EBB5">
      <w:pPr>
        <w:pStyle w:val="2"/>
        <w:rPr>
          <w:rFonts w:hint="default" w:ascii="Times New Roman" w:hAnsi="Times New Roman" w:eastAsia="仿宋" w:cs="Times New Roman"/>
          <w:color w:val="auto"/>
          <w:sz w:val="44"/>
        </w:rPr>
      </w:pPr>
    </w:p>
    <w:p w14:paraId="76C177A1">
      <w:pPr>
        <w:spacing w:line="360" w:lineRule="auto"/>
        <w:rPr>
          <w:rFonts w:hint="default" w:ascii="Times New Roman" w:hAnsi="Times New Roman" w:eastAsia="仿宋" w:cs="Times New Roman"/>
          <w:b/>
          <w:color w:val="auto"/>
          <w:sz w:val="28"/>
          <w:szCs w:val="28"/>
          <w:u w:val="single"/>
        </w:rPr>
      </w:pPr>
      <w:r>
        <w:rPr>
          <w:rFonts w:hint="default" w:ascii="Times New Roman" w:hAnsi="Times New Roman" w:eastAsia="仿宋" w:cs="Times New Roman"/>
          <w:b/>
          <w:color w:val="auto"/>
          <w:sz w:val="28"/>
          <w:szCs w:val="28"/>
        </w:rPr>
        <w:t>投标公司名称（盖章）:</w:t>
      </w:r>
      <w:r>
        <w:rPr>
          <w:rFonts w:hint="default" w:ascii="Times New Roman" w:hAnsi="Times New Roman" w:eastAsia="仿宋" w:cs="Times New Roman"/>
          <w:b/>
          <w:color w:val="auto"/>
          <w:sz w:val="28"/>
          <w:szCs w:val="28"/>
          <w:u w:val="single"/>
        </w:rPr>
        <w:t xml:space="preserve">               </w:t>
      </w:r>
      <w:r>
        <w:rPr>
          <w:rFonts w:hint="default" w:ascii="Times New Roman" w:hAnsi="Times New Roman" w:eastAsia="仿宋" w:cs="Times New Roman"/>
          <w:b/>
          <w:color w:val="auto"/>
          <w:sz w:val="28"/>
          <w:szCs w:val="28"/>
          <w:u w:val="single"/>
          <w:lang w:val="en-US" w:eastAsia="zh-CN"/>
        </w:rPr>
        <w:t xml:space="preserve">            </w:t>
      </w:r>
      <w:r>
        <w:rPr>
          <w:rFonts w:hint="default" w:ascii="Times New Roman" w:hAnsi="Times New Roman" w:eastAsia="仿宋" w:cs="Times New Roman"/>
          <w:b/>
          <w:color w:val="auto"/>
          <w:sz w:val="28"/>
          <w:szCs w:val="28"/>
          <w:u w:val="single"/>
        </w:rPr>
        <w:t xml:space="preserve">        </w:t>
      </w:r>
    </w:p>
    <w:p w14:paraId="0B0AE024">
      <w:pPr>
        <w:spacing w:line="360" w:lineRule="auto"/>
        <w:rPr>
          <w:rFonts w:hint="default" w:ascii="Times New Roman" w:hAnsi="Times New Roman" w:eastAsia="仿宋" w:cs="Times New Roman"/>
          <w:b/>
          <w:color w:val="auto"/>
          <w:sz w:val="28"/>
          <w:szCs w:val="28"/>
          <w:highlight w:val="none"/>
          <w:u w:val="single"/>
        </w:rPr>
      </w:pPr>
      <w:r>
        <w:rPr>
          <w:rFonts w:hint="default" w:ascii="Times New Roman" w:hAnsi="Times New Roman" w:eastAsia="仿宋" w:cs="Times New Roman"/>
          <w:b/>
          <w:color w:val="auto"/>
          <w:sz w:val="28"/>
          <w:szCs w:val="28"/>
          <w:highlight w:val="none"/>
        </w:rPr>
        <w:t>公司法定代表人（签字）:</w:t>
      </w:r>
      <w:r>
        <w:rPr>
          <w:rFonts w:hint="default" w:ascii="Times New Roman" w:hAnsi="Times New Roman" w:eastAsia="仿宋" w:cs="Times New Roman"/>
          <w:b/>
          <w:color w:val="auto"/>
          <w:sz w:val="28"/>
          <w:szCs w:val="28"/>
          <w:highlight w:val="none"/>
          <w:u w:val="single"/>
        </w:rPr>
        <w:t xml:space="preserve">            </w:t>
      </w:r>
      <w:r>
        <w:rPr>
          <w:rFonts w:hint="default" w:ascii="Times New Roman" w:hAnsi="Times New Roman" w:eastAsia="仿宋" w:cs="Times New Roman"/>
          <w:b/>
          <w:color w:val="auto"/>
          <w:sz w:val="28"/>
          <w:szCs w:val="28"/>
          <w:highlight w:val="none"/>
          <w:u w:val="single"/>
          <w:lang w:val="en-US" w:eastAsia="zh-CN"/>
        </w:rPr>
        <w:t xml:space="preserve">            </w:t>
      </w:r>
      <w:r>
        <w:rPr>
          <w:rFonts w:hint="default" w:ascii="Times New Roman" w:hAnsi="Times New Roman" w:eastAsia="仿宋" w:cs="Times New Roman"/>
          <w:b/>
          <w:color w:val="auto"/>
          <w:sz w:val="28"/>
          <w:szCs w:val="28"/>
          <w:highlight w:val="none"/>
          <w:u w:val="single"/>
        </w:rPr>
        <w:t xml:space="preserve">         </w:t>
      </w:r>
    </w:p>
    <w:p w14:paraId="5732CB49">
      <w:pPr>
        <w:spacing w:line="360" w:lineRule="auto"/>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公司法人授权代表人（签字）：</w:t>
      </w:r>
      <w:r>
        <w:rPr>
          <w:rFonts w:hint="default" w:ascii="Times New Roman" w:hAnsi="Times New Roman" w:eastAsia="仿宋" w:cs="Times New Roman"/>
          <w:b/>
          <w:color w:val="auto"/>
          <w:sz w:val="28"/>
          <w:szCs w:val="28"/>
          <w:u w:val="single"/>
        </w:rPr>
        <w:t xml:space="preserve">       </w:t>
      </w:r>
      <w:r>
        <w:rPr>
          <w:rFonts w:hint="default" w:ascii="Times New Roman" w:hAnsi="Times New Roman" w:eastAsia="仿宋" w:cs="Times New Roman"/>
          <w:b/>
          <w:color w:val="auto"/>
          <w:sz w:val="28"/>
          <w:szCs w:val="28"/>
          <w:u w:val="single"/>
          <w:lang w:val="en-US" w:eastAsia="zh-CN"/>
        </w:rPr>
        <w:t xml:space="preserve">           </w:t>
      </w:r>
      <w:r>
        <w:rPr>
          <w:rFonts w:hint="default" w:ascii="Times New Roman" w:hAnsi="Times New Roman" w:eastAsia="仿宋" w:cs="Times New Roman"/>
          <w:b/>
          <w:color w:val="auto"/>
          <w:sz w:val="28"/>
          <w:szCs w:val="28"/>
          <w:u w:val="single"/>
        </w:rPr>
        <w:t xml:space="preserve">          </w:t>
      </w:r>
    </w:p>
    <w:p w14:paraId="1C919A23">
      <w:pPr>
        <w:spacing w:line="360" w:lineRule="auto"/>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 xml:space="preserve">    郑重申明：本公司将对本</w:t>
      </w:r>
      <w:r>
        <w:rPr>
          <w:rFonts w:hint="default" w:ascii="Times New Roman" w:hAnsi="Times New Roman" w:eastAsia="仿宋" w:cs="Times New Roman"/>
          <w:b/>
          <w:color w:val="auto"/>
          <w:sz w:val="28"/>
          <w:szCs w:val="28"/>
          <w:lang w:eastAsia="zh-CN"/>
        </w:rPr>
        <w:t>竞争性磋商文件</w:t>
      </w:r>
      <w:r>
        <w:rPr>
          <w:rFonts w:hint="default" w:ascii="Times New Roman" w:hAnsi="Times New Roman" w:eastAsia="仿宋" w:cs="Times New Roman"/>
          <w:b/>
          <w:color w:val="auto"/>
          <w:sz w:val="28"/>
          <w:szCs w:val="28"/>
        </w:rPr>
        <w:t>所有内容的真实性和有效性负责，并为此承担全部法律责任</w:t>
      </w:r>
    </w:p>
    <w:p w14:paraId="73CCEB2E">
      <w:pPr>
        <w:spacing w:line="360" w:lineRule="auto"/>
        <w:jc w:val="center"/>
        <w:rPr>
          <w:rFonts w:hint="default" w:ascii="Times New Roman" w:hAnsi="Times New Roman" w:eastAsia="仿宋" w:cs="Times New Roman"/>
          <w:b/>
          <w:color w:val="auto"/>
          <w:sz w:val="28"/>
          <w:szCs w:val="28"/>
        </w:rPr>
      </w:pPr>
    </w:p>
    <w:p w14:paraId="04044BDD">
      <w:pPr>
        <w:spacing w:line="360" w:lineRule="auto"/>
        <w:jc w:val="center"/>
        <w:rPr>
          <w:rFonts w:hint="default" w:ascii="Times New Roman" w:hAnsi="Times New Roman" w:eastAsia="仿宋" w:cs="Times New Roman"/>
          <w:b/>
          <w:sz w:val="44"/>
          <w:szCs w:val="44"/>
        </w:rPr>
      </w:pPr>
      <w:r>
        <w:rPr>
          <w:rFonts w:hint="default" w:ascii="Times New Roman" w:hAnsi="Times New Roman" w:eastAsia="仿宋" w:cs="Times New Roman"/>
          <w:b/>
          <w:color w:val="auto"/>
          <w:sz w:val="28"/>
          <w:szCs w:val="28"/>
        </w:rPr>
        <w:t xml:space="preserve"> 年  月  日</w:t>
      </w:r>
    </w:p>
    <w:p w14:paraId="19A364D5">
      <w:pPr>
        <w:spacing w:beforeLines="0" w:afterLines="0" w:line="360" w:lineRule="auto"/>
        <w:ind w:firstLine="1124" w:firstLineChars="400"/>
        <w:rPr>
          <w:rFonts w:hint="default" w:ascii="Times New Roman" w:hAnsi="Times New Roman" w:cs="Times New Roman" w:eastAsiaTheme="minorEastAsia"/>
          <w:b/>
          <w:bCs w:val="0"/>
          <w:sz w:val="28"/>
          <w:szCs w:val="28"/>
          <w:highlight w:val="none"/>
          <w:u w:val="single"/>
        </w:rPr>
      </w:pPr>
      <w:r>
        <w:rPr>
          <w:rFonts w:hint="default" w:ascii="Times New Roman" w:hAnsi="Times New Roman" w:cs="Times New Roman" w:eastAsiaTheme="minorEastAsia"/>
          <w:b/>
          <w:bCs w:val="0"/>
          <w:sz w:val="28"/>
          <w:szCs w:val="28"/>
          <w:highlight w:val="none"/>
          <w:u w:val="single"/>
        </w:rPr>
        <w:t xml:space="preserve">        </w:t>
      </w:r>
    </w:p>
    <w:p w14:paraId="244B6058">
      <w:pPr>
        <w:spacing w:beforeLines="0" w:afterLines="0" w:line="360" w:lineRule="auto"/>
        <w:rPr>
          <w:rFonts w:hint="default" w:ascii="Times New Roman" w:hAnsi="Times New Roman" w:cs="Times New Roman" w:eastAsiaTheme="minorEastAsia"/>
          <w:b/>
          <w:sz w:val="28"/>
          <w:szCs w:val="28"/>
          <w:highlight w:val="none"/>
        </w:rPr>
      </w:pPr>
    </w:p>
    <w:p w14:paraId="39D10A4C">
      <w:pPr>
        <w:pStyle w:val="5"/>
        <w:spacing w:before="0" w:beforeLines="0" w:after="0" w:afterLines="0" w:line="360" w:lineRule="auto"/>
        <w:jc w:val="center"/>
        <w:rPr>
          <w:rFonts w:hint="default" w:ascii="Times New Roman" w:hAnsi="Times New Roman" w:cs="Times New Roman" w:eastAsiaTheme="minorEastAsia"/>
          <w:b/>
          <w:bCs w:val="0"/>
          <w:sz w:val="28"/>
          <w:szCs w:val="28"/>
          <w:highlight w:val="none"/>
        </w:rPr>
      </w:pPr>
      <w:r>
        <w:rPr>
          <w:rFonts w:hint="default" w:ascii="Times New Roman" w:hAnsi="Times New Roman" w:cs="Times New Roman" w:eastAsiaTheme="minorEastAsia"/>
          <w:b/>
          <w:bCs w:val="0"/>
          <w:sz w:val="28"/>
          <w:szCs w:val="28"/>
          <w:highlight w:val="none"/>
        </w:rPr>
        <w:br w:type="page"/>
      </w:r>
    </w:p>
    <w:p w14:paraId="33E2C498">
      <w:pPr>
        <w:pStyle w:val="5"/>
        <w:spacing w:before="0" w:beforeLines="0" w:after="0" w:afterLines="0" w:line="360" w:lineRule="auto"/>
        <w:jc w:val="both"/>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一</w:t>
      </w:r>
      <w:r>
        <w:rPr>
          <w:rFonts w:hint="default" w:ascii="Times New Roman" w:hAnsi="Times New Roman" w:cs="Times New Roman" w:eastAsiaTheme="minorEastAsia"/>
          <w:sz w:val="28"/>
          <w:szCs w:val="28"/>
          <w:highlight w:val="none"/>
        </w:rPr>
        <w:t>、资格证明文件</w:t>
      </w:r>
    </w:p>
    <w:p w14:paraId="0672B625">
      <w:pPr>
        <w:pStyle w:val="7"/>
        <w:spacing w:before="0" w:beforeLines="0" w:after="0" w:afterLines="0" w:line="360" w:lineRule="auto"/>
        <w:jc w:val="both"/>
        <w:rPr>
          <w:rFonts w:hint="default" w:ascii="Times New Roman" w:hAnsi="Times New Roman" w:cs="Times New Roman" w:eastAsiaTheme="minorEastAsia"/>
          <w:sz w:val="28"/>
          <w:szCs w:val="28"/>
          <w:highlight w:val="none"/>
          <w:u w:val="none"/>
          <w:lang w:val="en-US" w:eastAsia="zh-CN"/>
        </w:rPr>
      </w:pPr>
      <w:r>
        <w:rPr>
          <w:rFonts w:hint="default" w:ascii="Times New Roman" w:hAnsi="Times New Roman" w:cs="Times New Roman" w:eastAsiaTheme="minorEastAsia"/>
          <w:sz w:val="28"/>
          <w:szCs w:val="28"/>
          <w:highlight w:val="none"/>
          <w:u w:val="none"/>
          <w:lang w:val="en-US" w:eastAsia="zh-CN"/>
        </w:rPr>
        <w:t>1.具有独立承担民事责任的能力的证明文件</w:t>
      </w:r>
    </w:p>
    <w:p w14:paraId="76D14296">
      <w:pPr>
        <w:pStyle w:val="13"/>
        <w:spacing w:before="0" w:beforeLines="0" w:after="0" w:afterLines="0" w:line="360" w:lineRule="auto"/>
        <w:jc w:val="both"/>
        <w:rPr>
          <w:rFonts w:hint="default" w:ascii="Times New Roman" w:hAnsi="Times New Roman" w:cs="Times New Roman" w:eastAsiaTheme="minorEastAsia"/>
          <w:b/>
          <w:kern w:val="0"/>
          <w:sz w:val="28"/>
          <w:szCs w:val="28"/>
          <w:highlight w:val="none"/>
          <w:u w:val="none"/>
          <w:shd w:val="clear" w:color="auto" w:fill="FFFFFF"/>
          <w:lang w:val="en-US" w:eastAsia="zh-CN"/>
        </w:rPr>
      </w:pPr>
      <w:bookmarkStart w:id="6" w:name="OLE_LINK12"/>
    </w:p>
    <w:p w14:paraId="15810EDD">
      <w:pPr>
        <w:spacing w:before="0" w:beforeLines="0" w:after="0" w:afterLines="0" w:line="360" w:lineRule="auto"/>
        <w:jc w:val="both"/>
        <w:rPr>
          <w:rFonts w:hint="default" w:ascii="Times New Roman" w:hAnsi="Times New Roman" w:cs="Times New Roman" w:eastAsiaTheme="minorEastAsia"/>
          <w:b/>
          <w:kern w:val="0"/>
          <w:sz w:val="28"/>
          <w:szCs w:val="28"/>
          <w:highlight w:val="none"/>
          <w:u w:val="none"/>
          <w:shd w:val="clear" w:color="auto" w:fill="FFFFFF"/>
          <w:lang w:val="en-US" w:eastAsia="zh-CN"/>
        </w:rPr>
      </w:pPr>
      <w:r>
        <w:rPr>
          <w:rFonts w:hint="default" w:ascii="Times New Roman" w:hAnsi="Times New Roman" w:cs="Times New Roman" w:eastAsiaTheme="minorEastAsia"/>
          <w:b/>
          <w:kern w:val="0"/>
          <w:sz w:val="28"/>
          <w:szCs w:val="28"/>
          <w:highlight w:val="none"/>
          <w:u w:val="none"/>
          <w:shd w:val="clear" w:color="auto" w:fill="FFFFFF"/>
          <w:lang w:val="en-US" w:eastAsia="zh-CN"/>
        </w:rPr>
        <w:br w:type="page"/>
      </w:r>
    </w:p>
    <w:p w14:paraId="5838E609">
      <w:pPr>
        <w:pStyle w:val="13"/>
        <w:spacing w:before="0" w:beforeLines="0" w:after="0" w:afterLines="0" w:line="360" w:lineRule="auto"/>
        <w:jc w:val="both"/>
        <w:rPr>
          <w:rFonts w:hint="default" w:ascii="Times New Roman" w:hAnsi="Times New Roman" w:cs="Times New Roman" w:eastAsiaTheme="minorEastAsia"/>
          <w:b/>
          <w:kern w:val="0"/>
          <w:sz w:val="28"/>
          <w:szCs w:val="28"/>
          <w:highlight w:val="none"/>
          <w:u w:val="none"/>
          <w:lang w:eastAsia="zh-CN"/>
        </w:rPr>
      </w:pPr>
      <w:r>
        <w:rPr>
          <w:rFonts w:hint="default" w:ascii="Times New Roman" w:hAnsi="Times New Roman" w:cs="Times New Roman" w:eastAsiaTheme="minorEastAsia"/>
          <w:b/>
          <w:kern w:val="0"/>
          <w:sz w:val="28"/>
          <w:szCs w:val="28"/>
          <w:highlight w:val="none"/>
          <w:u w:val="none"/>
          <w:shd w:val="clear" w:color="auto" w:fill="FFFFFF"/>
          <w:lang w:val="en-US" w:eastAsia="zh-CN"/>
        </w:rPr>
        <w:t>2.</w:t>
      </w:r>
      <w:r>
        <w:rPr>
          <w:rFonts w:hint="default" w:ascii="Times New Roman" w:hAnsi="Times New Roman" w:cs="Times New Roman" w:eastAsiaTheme="minorEastAsia"/>
          <w:b/>
          <w:kern w:val="0"/>
          <w:sz w:val="28"/>
          <w:szCs w:val="28"/>
          <w:highlight w:val="none"/>
          <w:u w:val="none"/>
          <w:shd w:val="clear"/>
          <w:lang w:val="en-US" w:eastAsia="zh-CN"/>
        </w:rPr>
        <w:t>投标人资格承诺书</w:t>
      </w:r>
    </w:p>
    <w:bookmarkEnd w:id="6"/>
    <w:p w14:paraId="1AD6A2F0">
      <w:pPr>
        <w:spacing w:beforeLines="0" w:afterLines="0" w:line="360" w:lineRule="auto"/>
        <w:jc w:val="center"/>
        <w:rPr>
          <w:rFonts w:hint="default" w:ascii="Times New Roman" w:hAnsi="Times New Roman" w:cs="Times New Roman" w:eastAsiaTheme="minorEastAsia"/>
          <w:b/>
          <w:bCs/>
          <w:sz w:val="28"/>
          <w:szCs w:val="28"/>
          <w:highlight w:val="none"/>
          <w:lang w:eastAsia="zh-CN"/>
        </w:rPr>
      </w:pPr>
      <w:bookmarkStart w:id="7" w:name="OLE_LINK13"/>
    </w:p>
    <w:p w14:paraId="53D5F1FB">
      <w:pPr>
        <w:spacing w:beforeLines="0" w:afterLines="0" w:line="360" w:lineRule="auto"/>
        <w:jc w:val="center"/>
        <w:rPr>
          <w:rFonts w:hint="default" w:ascii="Times New Roman" w:hAnsi="Times New Roman" w:cs="Times New Roman" w:eastAsiaTheme="minorEastAsia"/>
          <w:b/>
          <w:bCs/>
          <w:sz w:val="28"/>
          <w:szCs w:val="28"/>
          <w:highlight w:val="none"/>
          <w:lang w:eastAsia="zh-CN"/>
        </w:rPr>
      </w:pPr>
      <w:r>
        <w:rPr>
          <w:rFonts w:hint="default" w:ascii="Times New Roman" w:hAnsi="Times New Roman" w:cs="Times New Roman" w:eastAsiaTheme="minorEastAsia"/>
          <w:b/>
          <w:bCs/>
          <w:sz w:val="28"/>
          <w:szCs w:val="28"/>
          <w:highlight w:val="none"/>
          <w:lang w:eastAsia="zh-CN"/>
        </w:rPr>
        <w:t>投标人资格承诺书</w:t>
      </w:r>
      <w:r>
        <w:rPr>
          <w:rFonts w:hint="default" w:ascii="Times New Roman" w:hAnsi="Times New Roman" w:cs="Times New Roman" w:eastAsiaTheme="minorEastAsia"/>
          <w:b/>
          <w:bCs/>
          <w:sz w:val="28"/>
          <w:szCs w:val="28"/>
          <w:highlight w:val="none"/>
          <w:u w:val="single"/>
          <w:lang w:val="en-US" w:eastAsia="zh-CN"/>
        </w:rPr>
        <w:t>（仅供参考）</w:t>
      </w:r>
    </w:p>
    <w:bookmarkEnd w:id="7"/>
    <w:p w14:paraId="2A0E8C4A">
      <w:pPr>
        <w:spacing w:line="360" w:lineRule="auto"/>
        <w:rPr>
          <w:rFonts w:hint="default" w:ascii="Times New Roman" w:hAnsi="Times New Roman" w:cs="Times New Roman"/>
          <w:highlight w:val="none"/>
        </w:rPr>
      </w:pPr>
    </w:p>
    <w:p w14:paraId="79A79924">
      <w:pPr>
        <w:spacing w:beforeLines="0" w:afterLines="0" w:line="360" w:lineRule="auto"/>
        <w:rPr>
          <w:rFonts w:hint="default" w:ascii="Times New Roman" w:hAnsi="Times New Roman" w:cs="Times New Roman" w:eastAsiaTheme="minorEastAsia"/>
          <w:sz w:val="28"/>
          <w:szCs w:val="28"/>
          <w:highlight w:val="none"/>
          <w:u w:val="single"/>
        </w:rPr>
      </w:pPr>
      <w:bookmarkStart w:id="8" w:name="OLE_LINK17"/>
      <w:r>
        <w:rPr>
          <w:rFonts w:hint="default" w:ascii="Times New Roman" w:hAnsi="Times New Roman" w:cs="Times New Roman" w:eastAsiaTheme="minorEastAsia"/>
          <w:sz w:val="28"/>
          <w:szCs w:val="28"/>
          <w:highlight w:val="none"/>
          <w:u w:val="single"/>
        </w:rPr>
        <w:t>致：（采购人/采购代理机构）</w:t>
      </w:r>
    </w:p>
    <w:p w14:paraId="7FE47279">
      <w:pPr>
        <w:spacing w:beforeLines="0" w:afterLines="0" w:line="360" w:lineRule="auto"/>
        <w:ind w:firstLine="0" w:firstLineChars="0"/>
        <w:rPr>
          <w:rFonts w:hint="default" w:ascii="Times New Roman" w:hAnsi="Times New Roman" w:cs="Times New Roman" w:eastAsiaTheme="minorEastAsia"/>
          <w:sz w:val="28"/>
          <w:szCs w:val="28"/>
          <w:highlight w:val="none"/>
          <w:u w:val="single"/>
          <w:lang w:eastAsia="zh-CN"/>
        </w:rPr>
      </w:pPr>
      <w:r>
        <w:rPr>
          <w:rFonts w:hint="default" w:ascii="Times New Roman" w:hAnsi="Times New Roman" w:cs="Times New Roman" w:eastAsiaTheme="minorEastAsia"/>
          <w:sz w:val="28"/>
          <w:szCs w:val="28"/>
          <w:highlight w:val="none"/>
          <w:u w:val="single"/>
          <w:lang w:val="en-US" w:eastAsia="zh-CN"/>
        </w:rPr>
        <w:t xml:space="preserve">    </w:t>
      </w:r>
      <w:r>
        <w:rPr>
          <w:rFonts w:hint="default" w:ascii="Times New Roman" w:hAnsi="Times New Roman" w:cs="Times New Roman" w:eastAsiaTheme="minorEastAsia"/>
          <w:sz w:val="28"/>
          <w:szCs w:val="28"/>
          <w:highlight w:val="none"/>
          <w:u w:val="single"/>
          <w:lang w:eastAsia="zh-CN"/>
        </w:rPr>
        <w:t>在参与本次（项目名称）</w:t>
      </w:r>
      <w:r>
        <w:rPr>
          <w:rFonts w:hint="default" w:ascii="Times New Roman" w:hAnsi="Times New Roman" w:cs="Times New Roman" w:eastAsiaTheme="minorEastAsia"/>
          <w:sz w:val="28"/>
          <w:szCs w:val="28"/>
          <w:highlight w:val="none"/>
          <w:u w:val="single"/>
          <w:lang w:val="en-US" w:eastAsia="zh-CN"/>
        </w:rPr>
        <w:t xml:space="preserve">               </w:t>
      </w:r>
      <w:r>
        <w:rPr>
          <w:rFonts w:hint="default" w:ascii="Times New Roman" w:hAnsi="Times New Roman" w:cs="Times New Roman" w:eastAsiaTheme="minorEastAsia"/>
          <w:sz w:val="28"/>
          <w:szCs w:val="28"/>
          <w:highlight w:val="none"/>
          <w:u w:val="single"/>
          <w:lang w:eastAsia="zh-CN"/>
        </w:rPr>
        <w:t>投标中，我单位承诺：</w:t>
      </w:r>
    </w:p>
    <w:p w14:paraId="3B63B265">
      <w:pPr>
        <w:spacing w:beforeLines="0" w:afterLines="0" w:line="360" w:lineRule="auto"/>
        <w:ind w:firstLine="0" w:firstLineChars="0"/>
        <w:rPr>
          <w:rFonts w:hint="default" w:ascii="Times New Roman" w:hAnsi="Times New Roman" w:cs="Times New Roman" w:eastAsiaTheme="minorEastAsia"/>
          <w:sz w:val="28"/>
          <w:szCs w:val="28"/>
          <w:highlight w:val="none"/>
          <w:u w:val="single"/>
          <w:lang w:eastAsia="zh-CN"/>
        </w:rPr>
      </w:pPr>
      <w:r>
        <w:rPr>
          <w:rFonts w:hint="default" w:ascii="Times New Roman" w:hAnsi="Times New Roman" w:cs="Times New Roman" w:eastAsiaTheme="minorEastAsia"/>
          <w:sz w:val="28"/>
          <w:szCs w:val="28"/>
          <w:highlight w:val="none"/>
          <w:u w:val="single"/>
          <w:lang w:val="en-US" w:eastAsia="zh-CN"/>
        </w:rPr>
        <w:t xml:space="preserve">    （一）</w:t>
      </w:r>
      <w:r>
        <w:rPr>
          <w:rFonts w:hint="default" w:ascii="Times New Roman" w:hAnsi="Times New Roman" w:cs="Times New Roman" w:eastAsiaTheme="minorEastAsia"/>
          <w:sz w:val="28"/>
          <w:szCs w:val="28"/>
          <w:highlight w:val="none"/>
          <w:u w:val="single"/>
          <w:lang w:eastAsia="zh-CN"/>
        </w:rPr>
        <w:t>具有良好的商业信誉和健全的财务会计制度；</w:t>
      </w:r>
    </w:p>
    <w:p w14:paraId="2D1EC408">
      <w:pPr>
        <w:spacing w:beforeLines="0" w:afterLines="0" w:line="360" w:lineRule="auto"/>
        <w:rPr>
          <w:rFonts w:hint="default" w:ascii="Times New Roman" w:hAnsi="Times New Roman" w:cs="Times New Roman" w:eastAsiaTheme="minorEastAsia"/>
          <w:b/>
          <w:bCs/>
          <w:i/>
          <w:iCs/>
          <w:sz w:val="28"/>
          <w:szCs w:val="28"/>
          <w:highlight w:val="none"/>
          <w:u w:val="single"/>
          <w:lang w:eastAsia="zh-CN"/>
        </w:rPr>
      </w:pPr>
      <w:r>
        <w:rPr>
          <w:rFonts w:hint="default" w:ascii="Times New Roman" w:hAnsi="Times New Roman" w:cs="Times New Roman" w:eastAsiaTheme="minorEastAsia"/>
          <w:sz w:val="28"/>
          <w:szCs w:val="28"/>
          <w:highlight w:val="none"/>
          <w:u w:val="single"/>
          <w:lang w:val="en-US" w:eastAsia="zh-CN"/>
        </w:rPr>
        <w:t xml:space="preserve">    （二）</w:t>
      </w:r>
      <w:r>
        <w:rPr>
          <w:rFonts w:hint="default" w:ascii="Times New Roman" w:hAnsi="Times New Roman" w:cs="Times New Roman" w:eastAsiaTheme="minorEastAsia"/>
          <w:sz w:val="28"/>
          <w:szCs w:val="28"/>
          <w:highlight w:val="none"/>
          <w:u w:val="single"/>
          <w:lang w:eastAsia="zh-CN"/>
        </w:rPr>
        <w:t>具有履行合同所必需的设备和专业技术能力</w:t>
      </w:r>
      <w:r>
        <w:rPr>
          <w:rFonts w:hint="default" w:ascii="Times New Roman" w:hAnsi="Times New Roman" w:cs="Times New Roman" w:eastAsiaTheme="minorEastAsia"/>
          <w:b/>
          <w:bCs/>
          <w:i/>
          <w:iCs/>
          <w:sz w:val="28"/>
          <w:szCs w:val="28"/>
          <w:highlight w:val="none"/>
          <w:u w:val="single"/>
          <w:lang w:eastAsia="zh-CN"/>
        </w:rPr>
        <w:t>；</w:t>
      </w:r>
    </w:p>
    <w:p w14:paraId="03C5E500">
      <w:pPr>
        <w:spacing w:beforeLines="0" w:afterLines="0" w:line="360" w:lineRule="auto"/>
        <w:rPr>
          <w:rFonts w:hint="default" w:ascii="Times New Roman" w:hAnsi="Times New Roman" w:cs="Times New Roman" w:eastAsiaTheme="minorEastAsia"/>
          <w:sz w:val="28"/>
          <w:szCs w:val="28"/>
          <w:highlight w:val="none"/>
          <w:u w:val="single"/>
          <w:lang w:val="en-US" w:eastAsia="zh-CN"/>
        </w:rPr>
      </w:pPr>
      <w:r>
        <w:rPr>
          <w:rFonts w:hint="default" w:ascii="Times New Roman" w:hAnsi="Times New Roman" w:cs="Times New Roman" w:eastAsiaTheme="minorEastAsia"/>
          <w:sz w:val="28"/>
          <w:szCs w:val="28"/>
          <w:highlight w:val="none"/>
          <w:u w:val="single"/>
          <w:lang w:val="en-US" w:eastAsia="zh-CN"/>
        </w:rPr>
        <w:t xml:space="preserve">    （三）有依法缴纳税收和社会保障资金的良好记录；</w:t>
      </w:r>
    </w:p>
    <w:p w14:paraId="6122C643">
      <w:pPr>
        <w:spacing w:beforeLines="0" w:afterLines="0" w:line="360" w:lineRule="auto"/>
        <w:ind w:firstLine="0" w:firstLineChars="0"/>
        <w:rPr>
          <w:rFonts w:hint="default" w:ascii="Times New Roman" w:hAnsi="Times New Roman" w:cs="Times New Roman" w:eastAsiaTheme="minorEastAsia"/>
          <w:sz w:val="28"/>
          <w:szCs w:val="28"/>
          <w:highlight w:val="none"/>
          <w:u w:val="single"/>
          <w:lang w:eastAsia="zh-CN"/>
        </w:rPr>
      </w:pPr>
      <w:r>
        <w:rPr>
          <w:rFonts w:hint="default" w:ascii="Times New Roman" w:hAnsi="Times New Roman" w:cs="Times New Roman" w:eastAsiaTheme="minorEastAsia"/>
          <w:sz w:val="28"/>
          <w:szCs w:val="28"/>
          <w:highlight w:val="none"/>
          <w:u w:val="single"/>
          <w:lang w:val="en-US" w:eastAsia="zh-CN"/>
        </w:rPr>
        <w:t xml:space="preserve">    </w:t>
      </w:r>
      <w:r>
        <w:rPr>
          <w:rFonts w:hint="default" w:ascii="Times New Roman" w:hAnsi="Times New Roman" w:cs="Times New Roman" w:eastAsiaTheme="minorEastAsia"/>
          <w:sz w:val="28"/>
          <w:szCs w:val="28"/>
          <w:highlight w:val="none"/>
          <w:u w:val="single"/>
          <w:lang w:eastAsia="zh-CN"/>
        </w:rPr>
        <w:t>（四）参加政府采购活动前三年内，在经营活动中没有重大违法记录（重大违法记录是指因违法经营受到刑事处罚或者责令停产停业、吊销许可证或者执照、较大数额罚款等行政处罚，不包括因违法经营被禁止在一定期限内参加政府采购活动，但期限已经届满的情形）；</w:t>
      </w:r>
    </w:p>
    <w:p w14:paraId="4CCF8041">
      <w:pPr>
        <w:spacing w:beforeLines="0" w:afterLines="0" w:line="360" w:lineRule="auto"/>
        <w:rPr>
          <w:rFonts w:hint="default" w:ascii="Times New Roman" w:hAnsi="Times New Roman" w:cs="Times New Roman" w:eastAsiaTheme="minorEastAsia"/>
          <w:sz w:val="28"/>
          <w:szCs w:val="28"/>
          <w:highlight w:val="none"/>
          <w:u w:val="single"/>
        </w:rPr>
      </w:pPr>
      <w:r>
        <w:rPr>
          <w:rFonts w:hint="default" w:ascii="Times New Roman" w:hAnsi="Times New Roman" w:cs="Times New Roman" w:eastAsiaTheme="minorEastAsia"/>
          <w:sz w:val="28"/>
          <w:szCs w:val="28"/>
          <w:highlight w:val="none"/>
          <w:u w:val="single"/>
          <w:lang w:val="en-US" w:eastAsia="zh-CN"/>
        </w:rPr>
        <w:t xml:space="preserve">    （五）我单位不属于政府采购法律、行政法规规定的公益一类事业单位、或使用事业编制且由财政拨款保障的群团组织（仅适用于政府购买服务项目）；</w:t>
      </w:r>
    </w:p>
    <w:p w14:paraId="3DB8DB17">
      <w:pPr>
        <w:spacing w:beforeLines="0" w:afterLines="0" w:line="360" w:lineRule="auto"/>
        <w:ind w:firstLine="560"/>
        <w:rPr>
          <w:rFonts w:hint="default" w:ascii="Times New Roman" w:hAnsi="Times New Roman" w:cs="Times New Roman" w:eastAsiaTheme="minorEastAsia"/>
          <w:sz w:val="28"/>
          <w:szCs w:val="28"/>
          <w:highlight w:val="none"/>
          <w:u w:val="single"/>
          <w:lang w:val="en-US" w:eastAsia="zh-CN"/>
        </w:rPr>
      </w:pPr>
      <w:r>
        <w:rPr>
          <w:rFonts w:hint="default" w:ascii="Times New Roman" w:hAnsi="Times New Roman" w:cs="Times New Roman" w:eastAsiaTheme="minorEastAsia"/>
          <w:sz w:val="28"/>
          <w:szCs w:val="28"/>
          <w:highlight w:val="none"/>
          <w:u w:val="single"/>
          <w:lang w:val="en-US" w:eastAsia="zh-CN"/>
        </w:rPr>
        <w:t>（六）我单位不存在为采购项目提供整体设计、规范编制或者项目管理、监理、检测等服务后，再参加该采购项目的其他采购活动的情形（单一来源采购项目除外）；</w:t>
      </w:r>
    </w:p>
    <w:p w14:paraId="465D2861">
      <w:pPr>
        <w:spacing w:beforeLines="0" w:afterLines="0" w:line="360" w:lineRule="auto"/>
        <w:ind w:firstLine="560"/>
        <w:rPr>
          <w:rFonts w:hint="default" w:ascii="Times New Roman" w:hAnsi="Times New Roman" w:cs="Times New Roman" w:eastAsiaTheme="minorEastAsia"/>
          <w:sz w:val="28"/>
          <w:szCs w:val="28"/>
          <w:highlight w:val="none"/>
          <w:u w:val="single"/>
          <w:lang w:val="en-US" w:eastAsia="zh-CN"/>
        </w:rPr>
      </w:pPr>
      <w:r>
        <w:rPr>
          <w:rFonts w:hint="default" w:ascii="Times New Roman" w:hAnsi="Times New Roman" w:cs="Times New Roman" w:eastAsiaTheme="minorEastAsia"/>
          <w:sz w:val="28"/>
          <w:szCs w:val="28"/>
          <w:highlight w:val="none"/>
          <w:u w:val="single"/>
          <w:lang w:val="en-US" w:eastAsia="zh-CN"/>
        </w:rPr>
        <w:t>（七）与我单位存在“单位负责人为同一人或者存在直接控股、管理关系”的其他法人单位信息如下：</w:t>
      </w: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06B6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14:paraId="60B3484F">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lang w:eastAsia="zh-CN"/>
              </w:rPr>
            </w:pPr>
            <w:r>
              <w:rPr>
                <w:rFonts w:hint="default" w:ascii="Times New Roman" w:hAnsi="Times New Roman" w:cs="Times New Roman" w:eastAsiaTheme="minorEastAsia"/>
                <w:sz w:val="28"/>
                <w:szCs w:val="28"/>
                <w:highlight w:val="none"/>
                <w:u w:val="single"/>
                <w:vertAlign w:val="baseline"/>
                <w:lang w:eastAsia="zh-CN"/>
              </w:rPr>
              <w:t>序号</w:t>
            </w:r>
          </w:p>
        </w:tc>
        <w:tc>
          <w:tcPr>
            <w:tcW w:w="3096" w:type="dxa"/>
            <w:vAlign w:val="center"/>
          </w:tcPr>
          <w:p w14:paraId="3A25A233">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lang w:eastAsia="zh-CN"/>
              </w:rPr>
            </w:pPr>
            <w:r>
              <w:rPr>
                <w:rFonts w:hint="default" w:ascii="Times New Roman" w:hAnsi="Times New Roman" w:cs="Times New Roman" w:eastAsiaTheme="minorEastAsia"/>
                <w:sz w:val="28"/>
                <w:szCs w:val="28"/>
                <w:highlight w:val="none"/>
                <w:u w:val="single"/>
                <w:vertAlign w:val="baseline"/>
                <w:lang w:eastAsia="zh-CN"/>
              </w:rPr>
              <w:t>单位名称</w:t>
            </w:r>
          </w:p>
        </w:tc>
        <w:tc>
          <w:tcPr>
            <w:tcW w:w="3096" w:type="dxa"/>
            <w:vAlign w:val="center"/>
          </w:tcPr>
          <w:p w14:paraId="11511DF2">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lang w:eastAsia="zh-CN"/>
              </w:rPr>
            </w:pPr>
            <w:r>
              <w:rPr>
                <w:rFonts w:hint="default" w:ascii="Times New Roman" w:hAnsi="Times New Roman" w:cs="Times New Roman" w:eastAsiaTheme="minorEastAsia"/>
                <w:sz w:val="28"/>
                <w:szCs w:val="28"/>
                <w:highlight w:val="none"/>
                <w:u w:val="single"/>
                <w:vertAlign w:val="baseline"/>
                <w:lang w:eastAsia="zh-CN"/>
              </w:rPr>
              <w:t>相互管理</w:t>
            </w:r>
          </w:p>
        </w:tc>
      </w:tr>
      <w:tr w14:paraId="5A1A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14:paraId="48976CAB">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lang w:val="en-US" w:eastAsia="zh-CN"/>
              </w:rPr>
            </w:pPr>
            <w:r>
              <w:rPr>
                <w:rFonts w:hint="default" w:ascii="Times New Roman" w:hAnsi="Times New Roman" w:cs="Times New Roman" w:eastAsiaTheme="minorEastAsia"/>
                <w:sz w:val="28"/>
                <w:szCs w:val="28"/>
                <w:highlight w:val="none"/>
                <w:u w:val="single"/>
                <w:vertAlign w:val="baseline"/>
                <w:lang w:val="en-US" w:eastAsia="zh-CN"/>
              </w:rPr>
              <w:t>1</w:t>
            </w:r>
          </w:p>
        </w:tc>
        <w:tc>
          <w:tcPr>
            <w:tcW w:w="3096" w:type="dxa"/>
            <w:vAlign w:val="center"/>
          </w:tcPr>
          <w:p w14:paraId="3EAD8C4D">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rPr>
            </w:pPr>
          </w:p>
        </w:tc>
        <w:tc>
          <w:tcPr>
            <w:tcW w:w="3096" w:type="dxa"/>
            <w:vAlign w:val="center"/>
          </w:tcPr>
          <w:p w14:paraId="025B49AE">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rPr>
            </w:pPr>
          </w:p>
        </w:tc>
      </w:tr>
      <w:tr w14:paraId="6588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14:paraId="4937EB84">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rPr>
            </w:pPr>
            <w:bookmarkStart w:id="9" w:name="OLE_LINK18"/>
            <w:r>
              <w:rPr>
                <w:rFonts w:hint="default" w:ascii="Times New Roman" w:hAnsi="Times New Roman" w:cs="Times New Roman" w:eastAsiaTheme="minorEastAsia"/>
                <w:sz w:val="28"/>
                <w:szCs w:val="28"/>
                <w:highlight w:val="none"/>
                <w:u w:val="single"/>
                <w:vertAlign w:val="baseline"/>
              </w:rPr>
              <w:t>…</w:t>
            </w:r>
            <w:bookmarkEnd w:id="9"/>
            <w:r>
              <w:rPr>
                <w:rFonts w:hint="default" w:ascii="Times New Roman" w:hAnsi="Times New Roman" w:cs="Times New Roman" w:eastAsiaTheme="minorEastAsia"/>
                <w:sz w:val="28"/>
                <w:szCs w:val="28"/>
                <w:highlight w:val="none"/>
                <w:u w:val="single"/>
                <w:vertAlign w:val="baseline"/>
              </w:rPr>
              <w:t>…</w:t>
            </w:r>
          </w:p>
        </w:tc>
        <w:tc>
          <w:tcPr>
            <w:tcW w:w="3096" w:type="dxa"/>
            <w:vAlign w:val="center"/>
          </w:tcPr>
          <w:p w14:paraId="1E8F5E23">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rPr>
            </w:pPr>
          </w:p>
        </w:tc>
        <w:tc>
          <w:tcPr>
            <w:tcW w:w="3096" w:type="dxa"/>
            <w:vAlign w:val="center"/>
          </w:tcPr>
          <w:p w14:paraId="289853AC">
            <w:pPr>
              <w:spacing w:beforeLines="0" w:afterLines="0" w:line="360" w:lineRule="auto"/>
              <w:jc w:val="center"/>
              <w:rPr>
                <w:rFonts w:hint="default" w:ascii="Times New Roman" w:hAnsi="Times New Roman" w:cs="Times New Roman" w:eastAsiaTheme="minorEastAsia"/>
                <w:sz w:val="28"/>
                <w:szCs w:val="28"/>
                <w:highlight w:val="none"/>
                <w:u w:val="single"/>
                <w:vertAlign w:val="baseline"/>
              </w:rPr>
            </w:pPr>
          </w:p>
        </w:tc>
      </w:tr>
    </w:tbl>
    <w:p w14:paraId="74A93FE7">
      <w:pPr>
        <w:spacing w:beforeLines="0" w:afterLines="0" w:line="360" w:lineRule="auto"/>
        <w:rPr>
          <w:rFonts w:hint="default" w:ascii="Times New Roman" w:hAnsi="Times New Roman" w:cs="Times New Roman" w:eastAsiaTheme="minorEastAsia"/>
          <w:sz w:val="28"/>
          <w:szCs w:val="28"/>
          <w:highlight w:val="none"/>
          <w:u w:val="single"/>
        </w:rPr>
      </w:pPr>
      <w:r>
        <w:rPr>
          <w:rFonts w:hint="default" w:ascii="Times New Roman" w:hAnsi="Times New Roman" w:cs="Times New Roman" w:eastAsiaTheme="minorEastAsia"/>
          <w:sz w:val="28"/>
          <w:szCs w:val="28"/>
          <w:highlight w:val="none"/>
          <w:u w:val="single"/>
          <w:lang w:val="en-US" w:eastAsia="zh-CN"/>
        </w:rPr>
        <w:t xml:space="preserve">    上述承诺真实有效，否则我方负全部责任。</w:t>
      </w:r>
    </w:p>
    <w:p w14:paraId="7B6613D3">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bookmarkStart w:id="10" w:name="OLE_LINK14"/>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人（加盖公章）</w:t>
      </w:r>
      <w:r>
        <w:rPr>
          <w:rFonts w:hint="default" w:ascii="Times New Roman" w:hAnsi="Times New Roman" w:cs="Times New Roman" w:eastAsiaTheme="minorEastAsia"/>
          <w:sz w:val="28"/>
          <w:szCs w:val="28"/>
          <w:highlight w:val="none"/>
        </w:rPr>
        <w:t>：</w:t>
      </w:r>
    </w:p>
    <w:p w14:paraId="09741C1A">
      <w:pPr>
        <w:spacing w:beforeLines="0" w:afterLines="0" w:line="360" w:lineRule="auto"/>
        <w:rPr>
          <w:rFonts w:hint="default" w:ascii="Times New Roman" w:hAnsi="Times New Roman" w:cs="Times New Roman" w:eastAsiaTheme="minorEastAsia"/>
          <w:iCs/>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日期：</w:t>
      </w:r>
      <w:bookmarkEnd w:id="8"/>
    </w:p>
    <w:bookmarkEnd w:id="10"/>
    <w:p w14:paraId="0BF03398">
      <w:pPr>
        <w:widowControl/>
        <w:numPr>
          <w:ilvl w:val="-1"/>
          <w:numId w:val="0"/>
        </w:numPr>
        <w:spacing w:beforeLines="-2147483648" w:afterLines="-2147483648" w:line="360" w:lineRule="auto"/>
        <w:jc w:val="left"/>
        <w:outlineLvl w:val="9"/>
        <w:rPr>
          <w:rFonts w:hint="default" w:ascii="Times New Roman" w:hAnsi="Times New Roman" w:cs="Times New Roman" w:eastAsiaTheme="minorEastAsia"/>
          <w:b/>
          <w:sz w:val="28"/>
          <w:szCs w:val="28"/>
          <w:highlight w:val="none"/>
          <w:shd w:val="clear" w:color="auto" w:fill="FFFFFF"/>
          <w:lang w:val="en-US" w:eastAsia="zh-CN"/>
        </w:rPr>
      </w:pPr>
      <w:r>
        <w:rPr>
          <w:rFonts w:hint="default" w:ascii="Times New Roman" w:hAnsi="Times New Roman" w:cs="Times New Roman" w:eastAsiaTheme="minorEastAsia"/>
          <w:b/>
          <w:sz w:val="28"/>
          <w:szCs w:val="28"/>
          <w:highlight w:val="none"/>
          <w:shd w:val="clear" w:color="auto" w:fill="FFFFFF"/>
          <w:lang w:val="en-US" w:eastAsia="zh-CN"/>
        </w:rPr>
        <w:br w:type="page"/>
      </w:r>
    </w:p>
    <w:p w14:paraId="02413AD2">
      <w:pPr>
        <w:widowControl/>
        <w:numPr>
          <w:ilvl w:val="-1"/>
          <w:numId w:val="0"/>
        </w:numPr>
        <w:spacing w:beforeLines="0" w:afterLines="0" w:line="360" w:lineRule="auto"/>
        <w:jc w:val="left"/>
        <w:outlineLvl w:val="2"/>
        <w:rPr>
          <w:rFonts w:hint="default" w:ascii="Times New Roman" w:hAnsi="Times New Roman" w:cs="Times New Roman" w:eastAsiaTheme="minorEastAsia"/>
          <w:b/>
          <w:sz w:val="28"/>
          <w:szCs w:val="28"/>
          <w:highlight w:val="none"/>
          <w:shd w:val="clear" w:color="auto" w:fill="FFFFFF"/>
          <w:lang w:val="en-US" w:eastAsia="zh-CN"/>
        </w:rPr>
      </w:pPr>
      <w:r>
        <w:rPr>
          <w:rFonts w:hint="default" w:ascii="Times New Roman" w:hAnsi="Times New Roman" w:cs="Times New Roman" w:eastAsiaTheme="minorEastAsia"/>
          <w:b/>
          <w:sz w:val="28"/>
          <w:szCs w:val="28"/>
          <w:highlight w:val="none"/>
          <w:shd w:val="clear" w:color="auto" w:fill="FFFFFF"/>
          <w:lang w:val="en-US" w:eastAsia="zh-CN"/>
        </w:rPr>
        <w:t>3.落实政府采购政策需满足的资格要求（如有，如中小企业声明函、残疾人福利性单位声明函、属于监狱企业的证明文件、政府强制采购等）</w:t>
      </w:r>
    </w:p>
    <w:p w14:paraId="327D72D9">
      <w:pPr>
        <w:spacing w:beforeLines="0" w:afterLines="0" w:line="360" w:lineRule="auto"/>
        <w:jc w:val="center"/>
        <w:rPr>
          <w:rFonts w:hint="default" w:ascii="Times New Roman" w:hAnsi="Times New Roman" w:cs="Times New Roman" w:eastAsiaTheme="minorEastAsia"/>
          <w:b/>
          <w:sz w:val="28"/>
          <w:szCs w:val="28"/>
          <w:highlight w:val="none"/>
        </w:rPr>
      </w:pPr>
    </w:p>
    <w:p w14:paraId="0A92917E">
      <w:pPr>
        <w:spacing w:beforeLines="0" w:afterLines="0" w:line="360" w:lineRule="auto"/>
        <w:jc w:val="center"/>
        <w:rPr>
          <w:rFonts w:hint="default" w:ascii="Times New Roman" w:hAnsi="Times New Roman" w:cs="Times New Roman" w:eastAsiaTheme="minorEastAsia"/>
          <w:b/>
          <w:sz w:val="28"/>
          <w:szCs w:val="28"/>
          <w:highlight w:val="none"/>
        </w:rPr>
      </w:pPr>
      <w:r>
        <w:rPr>
          <w:rFonts w:hint="default" w:ascii="Times New Roman" w:hAnsi="Times New Roman" w:cs="Times New Roman" w:eastAsiaTheme="minorEastAsia"/>
          <w:b/>
          <w:sz w:val="28"/>
          <w:szCs w:val="28"/>
          <w:highlight w:val="none"/>
        </w:rPr>
        <w:t>中小企业声明函（货物）</w:t>
      </w:r>
    </w:p>
    <w:p w14:paraId="2ADEDE36">
      <w:pPr>
        <w:spacing w:beforeLines="0" w:afterLines="0" w:line="360" w:lineRule="auto"/>
        <w:ind w:firstLine="560" w:firstLineChars="200"/>
        <w:rPr>
          <w:rFonts w:hint="default" w:ascii="Times New Roman" w:hAnsi="Times New Roman" w:cs="Times New Roman" w:eastAsiaTheme="minorEastAsia"/>
          <w:sz w:val="28"/>
          <w:szCs w:val="28"/>
          <w:highlight w:val="none"/>
        </w:rPr>
      </w:pPr>
    </w:p>
    <w:p w14:paraId="42D32838">
      <w:pPr>
        <w:spacing w:beforeLines="0" w:afterLines="0" w:line="360" w:lineRule="auto"/>
        <w:ind w:firstLine="560" w:firstLineChars="20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本公司（联合体）郑重声明，根据《政府采购促进中小企业发展管理办法》（财库〔2020〕46号）的规定，本公司（联合体）参加</w:t>
      </w:r>
      <w:r>
        <w:rPr>
          <w:rFonts w:hint="default" w:ascii="Times New Roman" w:hAnsi="Times New Roman" w:cs="Times New Roman" w:eastAsiaTheme="minorEastAsia"/>
          <w:i/>
          <w:iCs/>
          <w:sz w:val="28"/>
          <w:szCs w:val="28"/>
          <w:highlight w:val="none"/>
          <w:u w:val="single"/>
        </w:rPr>
        <w:t>（单位名称）</w:t>
      </w:r>
      <w:r>
        <w:rPr>
          <w:rFonts w:hint="default" w:ascii="Times New Roman" w:hAnsi="Times New Roman" w:cs="Times New Roman" w:eastAsiaTheme="minorEastAsia"/>
          <w:sz w:val="28"/>
          <w:szCs w:val="28"/>
          <w:highlight w:val="none"/>
        </w:rPr>
        <w:t>的</w:t>
      </w:r>
      <w:r>
        <w:rPr>
          <w:rFonts w:hint="default" w:ascii="Times New Roman" w:hAnsi="Times New Roman" w:cs="Times New Roman" w:eastAsiaTheme="minorEastAsia"/>
          <w:i/>
          <w:iCs/>
          <w:sz w:val="28"/>
          <w:szCs w:val="28"/>
          <w:highlight w:val="none"/>
          <w:u w:val="single"/>
        </w:rPr>
        <w:t>（项目名称）</w:t>
      </w:r>
      <w:r>
        <w:rPr>
          <w:rFonts w:hint="default" w:ascii="Times New Roman" w:hAnsi="Times New Roman" w:cs="Times New Roman" w:eastAsiaTheme="minorEastAsia"/>
          <w:sz w:val="28"/>
          <w:szCs w:val="28"/>
          <w:highlight w:val="none"/>
        </w:rPr>
        <w:t>采购活动，提供的货物全部由符合政策要求的中小企业制造。相关企业（含联合体中的中小企业、签订分包意向协议的中小企业）的具体情况如下：</w:t>
      </w:r>
    </w:p>
    <w:p w14:paraId="5C9318A3">
      <w:pPr>
        <w:spacing w:beforeLines="0" w:afterLines="0" w:line="360" w:lineRule="auto"/>
        <w:ind w:firstLine="560" w:firstLineChars="200"/>
        <w:rPr>
          <w:rFonts w:hint="default" w:ascii="Times New Roman" w:hAnsi="Times New Roman" w:cs="Times New Roman" w:eastAsiaTheme="minorEastAsia"/>
          <w:i w:val="0"/>
          <w:iCs/>
          <w:sz w:val="28"/>
          <w:szCs w:val="28"/>
          <w:highlight w:val="none"/>
        </w:rPr>
      </w:pPr>
      <w:bookmarkStart w:id="11" w:name="OLE_LINK15"/>
      <w:r>
        <w:rPr>
          <w:rFonts w:hint="default" w:ascii="Times New Roman" w:hAnsi="Times New Roman" w:cs="Times New Roman" w:eastAsiaTheme="minorEastAsia"/>
          <w:sz w:val="28"/>
          <w:szCs w:val="28"/>
          <w:highlight w:val="none"/>
        </w:rPr>
        <w:t>1.</w:t>
      </w:r>
      <w:r>
        <w:rPr>
          <w:rFonts w:hint="default" w:ascii="Times New Roman" w:hAnsi="Times New Roman" w:cs="Times New Roman" w:eastAsiaTheme="minorEastAsia"/>
          <w:b/>
          <w:bCs/>
          <w:i w:val="0"/>
          <w:iCs/>
          <w:sz w:val="28"/>
          <w:szCs w:val="28"/>
          <w:highlight w:val="none"/>
          <w:u w:val="single"/>
        </w:rPr>
        <w:t>（</w:t>
      </w:r>
      <w:r>
        <w:rPr>
          <w:rFonts w:hint="eastAsia" w:ascii="Times New Roman" w:hAnsi="Times New Roman" w:cs="Times New Roman" w:eastAsiaTheme="minorEastAsia"/>
          <w:b/>
          <w:i w:val="0"/>
          <w:iCs/>
          <w:sz w:val="28"/>
          <w:szCs w:val="28"/>
          <w:highlight w:val="none"/>
          <w:u w:val="single"/>
          <w:lang w:val="en-US" w:eastAsia="zh-CN"/>
        </w:rPr>
        <w:t>教师演示台</w:t>
      </w:r>
      <w:r>
        <w:rPr>
          <w:rFonts w:hint="default" w:ascii="Times New Roman" w:hAnsi="Times New Roman" w:cs="Times New Roman" w:eastAsiaTheme="minorEastAsia"/>
          <w:b/>
          <w:i w:val="0"/>
          <w:iCs/>
          <w:sz w:val="28"/>
          <w:szCs w:val="28"/>
          <w:highlight w:val="none"/>
          <w:u w:val="single"/>
        </w:rPr>
        <w:t>）</w:t>
      </w:r>
      <w:r>
        <w:rPr>
          <w:rFonts w:hint="default" w:ascii="Times New Roman" w:hAnsi="Times New Roman" w:cs="Times New Roman" w:eastAsiaTheme="minorEastAsia"/>
          <w:i w:val="0"/>
          <w:iCs/>
          <w:sz w:val="28"/>
          <w:szCs w:val="28"/>
          <w:highlight w:val="none"/>
        </w:rPr>
        <w:t>，属于</w:t>
      </w:r>
      <w:r>
        <w:rPr>
          <w:rFonts w:hint="default" w:ascii="Times New Roman" w:hAnsi="Times New Roman" w:cs="Times New Roman" w:eastAsiaTheme="minorEastAsia"/>
          <w:b/>
          <w:i w:val="0"/>
          <w:iCs/>
          <w:sz w:val="28"/>
          <w:szCs w:val="28"/>
          <w:highlight w:val="none"/>
          <w:u w:val="single"/>
        </w:rPr>
        <w:t>（</w:t>
      </w:r>
      <w:r>
        <w:rPr>
          <w:rFonts w:hint="eastAsia" w:cs="Times New Roman" w:eastAsiaTheme="minorEastAsia"/>
          <w:b/>
          <w:i w:val="0"/>
          <w:iCs/>
          <w:sz w:val="28"/>
          <w:szCs w:val="28"/>
          <w:highlight w:val="none"/>
          <w:u w:val="single"/>
          <w:lang w:val="en-US" w:eastAsia="zh-CN"/>
        </w:rPr>
        <w:t>工业</w:t>
      </w:r>
      <w:r>
        <w:rPr>
          <w:rFonts w:hint="default" w:ascii="Times New Roman" w:hAnsi="Times New Roman" w:cs="Times New Roman" w:eastAsiaTheme="minorEastAsia"/>
          <w:b/>
          <w:i w:val="0"/>
          <w:iCs/>
          <w:sz w:val="28"/>
          <w:szCs w:val="28"/>
          <w:highlight w:val="none"/>
          <w:u w:val="single"/>
        </w:rPr>
        <w:t>）</w:t>
      </w:r>
      <w:r>
        <w:rPr>
          <w:rFonts w:hint="default" w:ascii="Times New Roman" w:hAnsi="Times New Roman" w:cs="Times New Roman" w:eastAsiaTheme="minorEastAsia"/>
          <w:i w:val="0"/>
          <w:iCs/>
          <w:sz w:val="28"/>
          <w:szCs w:val="28"/>
          <w:highlight w:val="none"/>
        </w:rPr>
        <w:t>；制造商为</w:t>
      </w:r>
      <w:r>
        <w:rPr>
          <w:rFonts w:hint="default" w:ascii="Times New Roman" w:hAnsi="Times New Roman" w:cs="Times New Roman" w:eastAsiaTheme="minorEastAsia"/>
          <w:i w:val="0"/>
          <w:iCs/>
          <w:sz w:val="28"/>
          <w:szCs w:val="28"/>
          <w:highlight w:val="none"/>
          <w:u w:val="single"/>
        </w:rPr>
        <w:t>（企业名称）</w:t>
      </w:r>
      <w:r>
        <w:rPr>
          <w:rFonts w:hint="default" w:ascii="Times New Roman" w:hAnsi="Times New Roman" w:cs="Times New Roman" w:eastAsiaTheme="minorEastAsia"/>
          <w:i w:val="0"/>
          <w:iCs/>
          <w:sz w:val="28"/>
          <w:szCs w:val="28"/>
          <w:highlight w:val="none"/>
        </w:rPr>
        <w:t>，从业人员</w:t>
      </w:r>
      <w:r>
        <w:rPr>
          <w:rFonts w:hint="default" w:ascii="Times New Roman" w:hAnsi="Times New Roman" w:cs="Times New Roman" w:eastAsiaTheme="minorEastAsia"/>
          <w:i w:val="0"/>
          <w:iCs/>
          <w:sz w:val="28"/>
          <w:szCs w:val="28"/>
          <w:highlight w:val="none"/>
          <w:u w:val="single"/>
        </w:rPr>
        <w:t>（    ）</w:t>
      </w:r>
      <w:r>
        <w:rPr>
          <w:rFonts w:hint="default" w:ascii="Times New Roman" w:hAnsi="Times New Roman" w:cs="Times New Roman" w:eastAsiaTheme="minorEastAsia"/>
          <w:i w:val="0"/>
          <w:iCs/>
          <w:sz w:val="28"/>
          <w:szCs w:val="28"/>
          <w:highlight w:val="none"/>
        </w:rPr>
        <w:t>人，营业收入为</w:t>
      </w:r>
      <w:r>
        <w:rPr>
          <w:rFonts w:hint="default" w:ascii="Times New Roman" w:hAnsi="Times New Roman" w:cs="Times New Roman" w:eastAsiaTheme="minorEastAsia"/>
          <w:i w:val="0"/>
          <w:iCs/>
          <w:sz w:val="28"/>
          <w:szCs w:val="28"/>
          <w:highlight w:val="none"/>
          <w:u w:val="single"/>
        </w:rPr>
        <w:t>（    ）</w:t>
      </w:r>
      <w:r>
        <w:rPr>
          <w:rFonts w:hint="default" w:ascii="Times New Roman" w:hAnsi="Times New Roman" w:cs="Times New Roman" w:eastAsiaTheme="minorEastAsia"/>
          <w:i w:val="0"/>
          <w:iCs/>
          <w:sz w:val="28"/>
          <w:szCs w:val="28"/>
          <w:highlight w:val="none"/>
        </w:rPr>
        <w:t>万元，资产总额为</w:t>
      </w:r>
      <w:r>
        <w:rPr>
          <w:rFonts w:hint="default" w:ascii="Times New Roman" w:hAnsi="Times New Roman" w:cs="Times New Roman" w:eastAsiaTheme="minorEastAsia"/>
          <w:i w:val="0"/>
          <w:iCs/>
          <w:sz w:val="28"/>
          <w:szCs w:val="28"/>
          <w:highlight w:val="none"/>
          <w:u w:val="single"/>
        </w:rPr>
        <w:t>（    ）</w:t>
      </w:r>
      <w:r>
        <w:rPr>
          <w:rFonts w:hint="default" w:ascii="Times New Roman" w:hAnsi="Times New Roman" w:cs="Times New Roman" w:eastAsiaTheme="minorEastAsia"/>
          <w:i w:val="0"/>
          <w:iCs/>
          <w:sz w:val="28"/>
          <w:szCs w:val="28"/>
          <w:highlight w:val="none"/>
        </w:rPr>
        <w:t>万元，属于</w:t>
      </w:r>
      <w:r>
        <w:rPr>
          <w:rFonts w:hint="eastAsia" w:cs="Times New Roman" w:eastAsiaTheme="minorEastAsia"/>
          <w:i w:val="0"/>
          <w:iCs/>
          <w:sz w:val="28"/>
          <w:szCs w:val="28"/>
          <w:highlight w:val="none"/>
          <w:u w:val="single"/>
          <w:lang w:val="en-US" w:eastAsia="zh-CN"/>
        </w:rPr>
        <w:t xml:space="preserve">   </w:t>
      </w:r>
      <w:r>
        <w:rPr>
          <w:rFonts w:hint="default" w:ascii="Times New Roman" w:hAnsi="Times New Roman" w:cs="Times New Roman" w:eastAsiaTheme="minorEastAsia"/>
          <w:b/>
          <w:i w:val="0"/>
          <w:iCs/>
          <w:sz w:val="28"/>
          <w:szCs w:val="28"/>
          <w:highlight w:val="none"/>
          <w:u w:val="single"/>
        </w:rPr>
        <w:t>（中型企业、小型企业、微型企业）</w:t>
      </w:r>
      <w:r>
        <w:rPr>
          <w:rFonts w:hint="default" w:ascii="Times New Roman" w:hAnsi="Times New Roman" w:cs="Times New Roman" w:eastAsiaTheme="minorEastAsia"/>
          <w:i w:val="0"/>
          <w:iCs/>
          <w:sz w:val="28"/>
          <w:szCs w:val="28"/>
          <w:highlight w:val="none"/>
        </w:rPr>
        <w:t>；</w:t>
      </w:r>
    </w:p>
    <w:bookmarkEnd w:id="11"/>
    <w:p w14:paraId="1D9192A4">
      <w:pPr>
        <w:spacing w:beforeLines="0" w:afterLines="0" w:line="360" w:lineRule="auto"/>
        <w:ind w:firstLine="560" w:firstLineChars="200"/>
        <w:rPr>
          <w:rFonts w:hint="default" w:ascii="Times New Roman" w:hAnsi="Times New Roman" w:cs="Times New Roman" w:eastAsiaTheme="minorEastAsia"/>
          <w:i w:val="0"/>
          <w:iCs/>
          <w:sz w:val="28"/>
          <w:szCs w:val="28"/>
          <w:highlight w:val="none"/>
        </w:rPr>
      </w:pPr>
      <w:r>
        <w:rPr>
          <w:rFonts w:hint="default" w:ascii="Times New Roman" w:hAnsi="Times New Roman" w:cs="Times New Roman" w:eastAsiaTheme="minorEastAsia"/>
          <w:i w:val="0"/>
          <w:iCs/>
          <w:sz w:val="28"/>
          <w:szCs w:val="28"/>
          <w:highlight w:val="none"/>
          <w:lang w:val="en-US" w:eastAsia="zh-CN"/>
        </w:rPr>
        <w:t>2</w:t>
      </w:r>
      <w:r>
        <w:rPr>
          <w:rFonts w:hint="default" w:ascii="Times New Roman" w:hAnsi="Times New Roman" w:cs="Times New Roman" w:eastAsiaTheme="minorEastAsia"/>
          <w:i w:val="0"/>
          <w:iCs/>
          <w:sz w:val="28"/>
          <w:szCs w:val="28"/>
          <w:highlight w:val="none"/>
        </w:rPr>
        <w:t>.</w:t>
      </w:r>
      <w:r>
        <w:rPr>
          <w:rFonts w:hint="default" w:ascii="Times New Roman" w:hAnsi="Times New Roman" w:cs="Times New Roman" w:eastAsiaTheme="minorEastAsia"/>
          <w:b/>
          <w:bCs/>
          <w:i w:val="0"/>
          <w:iCs/>
          <w:sz w:val="28"/>
          <w:szCs w:val="28"/>
          <w:highlight w:val="none"/>
          <w:u w:val="single"/>
        </w:rPr>
        <w:t>（标的名称）</w:t>
      </w:r>
      <w:r>
        <w:rPr>
          <w:rFonts w:hint="default" w:ascii="Times New Roman" w:hAnsi="Times New Roman" w:cs="Times New Roman" w:eastAsiaTheme="minorEastAsia"/>
          <w:i w:val="0"/>
          <w:iCs/>
          <w:sz w:val="28"/>
          <w:szCs w:val="28"/>
          <w:highlight w:val="none"/>
        </w:rPr>
        <w:t>，属于</w:t>
      </w:r>
      <w:r>
        <w:rPr>
          <w:rFonts w:hint="default" w:ascii="Times New Roman" w:hAnsi="Times New Roman" w:cs="Times New Roman" w:eastAsiaTheme="minorEastAsia"/>
          <w:b/>
          <w:i w:val="0"/>
          <w:iCs/>
          <w:sz w:val="28"/>
          <w:szCs w:val="28"/>
          <w:highlight w:val="none"/>
          <w:u w:val="single"/>
        </w:rPr>
        <w:t>（采购文件中明确的所属行业）</w:t>
      </w:r>
      <w:r>
        <w:rPr>
          <w:rFonts w:hint="default" w:ascii="Times New Roman" w:hAnsi="Times New Roman" w:cs="Times New Roman" w:eastAsiaTheme="minorEastAsia"/>
          <w:i w:val="0"/>
          <w:iCs/>
          <w:sz w:val="28"/>
          <w:szCs w:val="28"/>
          <w:highlight w:val="none"/>
        </w:rPr>
        <w:t>；制造商为</w:t>
      </w:r>
      <w:r>
        <w:rPr>
          <w:rFonts w:hint="default" w:ascii="Times New Roman" w:hAnsi="Times New Roman" w:cs="Times New Roman" w:eastAsiaTheme="minorEastAsia"/>
          <w:i w:val="0"/>
          <w:iCs/>
          <w:sz w:val="28"/>
          <w:szCs w:val="28"/>
          <w:highlight w:val="none"/>
          <w:u w:val="single"/>
        </w:rPr>
        <w:t>（企业名称）</w:t>
      </w:r>
      <w:r>
        <w:rPr>
          <w:rFonts w:hint="default" w:ascii="Times New Roman" w:hAnsi="Times New Roman" w:cs="Times New Roman" w:eastAsiaTheme="minorEastAsia"/>
          <w:i w:val="0"/>
          <w:iCs/>
          <w:sz w:val="28"/>
          <w:szCs w:val="28"/>
          <w:highlight w:val="none"/>
        </w:rPr>
        <w:t>，从业人员</w:t>
      </w:r>
      <w:r>
        <w:rPr>
          <w:rFonts w:hint="default" w:ascii="Times New Roman" w:hAnsi="Times New Roman" w:cs="Times New Roman" w:eastAsiaTheme="minorEastAsia"/>
          <w:i w:val="0"/>
          <w:iCs/>
          <w:sz w:val="28"/>
          <w:szCs w:val="28"/>
          <w:highlight w:val="none"/>
          <w:u w:val="single"/>
        </w:rPr>
        <w:t>（    ）</w:t>
      </w:r>
      <w:r>
        <w:rPr>
          <w:rFonts w:hint="default" w:ascii="Times New Roman" w:hAnsi="Times New Roman" w:cs="Times New Roman" w:eastAsiaTheme="minorEastAsia"/>
          <w:i w:val="0"/>
          <w:iCs/>
          <w:sz w:val="28"/>
          <w:szCs w:val="28"/>
          <w:highlight w:val="none"/>
        </w:rPr>
        <w:t>人，营业收入为</w:t>
      </w:r>
      <w:r>
        <w:rPr>
          <w:rFonts w:hint="default" w:ascii="Times New Roman" w:hAnsi="Times New Roman" w:cs="Times New Roman" w:eastAsiaTheme="minorEastAsia"/>
          <w:i w:val="0"/>
          <w:iCs/>
          <w:sz w:val="28"/>
          <w:szCs w:val="28"/>
          <w:highlight w:val="none"/>
          <w:u w:val="single"/>
        </w:rPr>
        <w:t>（    ）</w:t>
      </w:r>
      <w:r>
        <w:rPr>
          <w:rFonts w:hint="default" w:ascii="Times New Roman" w:hAnsi="Times New Roman" w:cs="Times New Roman" w:eastAsiaTheme="minorEastAsia"/>
          <w:i w:val="0"/>
          <w:iCs/>
          <w:sz w:val="28"/>
          <w:szCs w:val="28"/>
          <w:highlight w:val="none"/>
        </w:rPr>
        <w:t>万元，资产总额为</w:t>
      </w:r>
      <w:r>
        <w:rPr>
          <w:rFonts w:hint="default" w:ascii="Times New Roman" w:hAnsi="Times New Roman" w:cs="Times New Roman" w:eastAsiaTheme="minorEastAsia"/>
          <w:i w:val="0"/>
          <w:iCs/>
          <w:sz w:val="28"/>
          <w:szCs w:val="28"/>
          <w:highlight w:val="none"/>
          <w:u w:val="single"/>
        </w:rPr>
        <w:t>（    ）</w:t>
      </w:r>
      <w:r>
        <w:rPr>
          <w:rFonts w:hint="default" w:ascii="Times New Roman" w:hAnsi="Times New Roman" w:cs="Times New Roman" w:eastAsiaTheme="minorEastAsia"/>
          <w:i w:val="0"/>
          <w:iCs/>
          <w:sz w:val="28"/>
          <w:szCs w:val="28"/>
          <w:highlight w:val="none"/>
        </w:rPr>
        <w:t>万元，属于</w:t>
      </w:r>
      <w:r>
        <w:rPr>
          <w:rFonts w:hint="eastAsia" w:cs="Times New Roman" w:eastAsiaTheme="minorEastAsia"/>
          <w:i w:val="0"/>
          <w:iCs/>
          <w:sz w:val="28"/>
          <w:szCs w:val="28"/>
          <w:highlight w:val="none"/>
          <w:u w:val="single"/>
          <w:lang w:val="en-US" w:eastAsia="zh-CN"/>
        </w:rPr>
        <w:t xml:space="preserve">   </w:t>
      </w:r>
      <w:r>
        <w:rPr>
          <w:rFonts w:hint="default" w:ascii="Times New Roman" w:hAnsi="Times New Roman" w:cs="Times New Roman" w:eastAsiaTheme="minorEastAsia"/>
          <w:b/>
          <w:i w:val="0"/>
          <w:iCs/>
          <w:sz w:val="28"/>
          <w:szCs w:val="28"/>
          <w:highlight w:val="none"/>
          <w:u w:val="single"/>
        </w:rPr>
        <w:t>（中型企业、小型企业、微型企业）</w:t>
      </w:r>
      <w:r>
        <w:rPr>
          <w:rFonts w:hint="default" w:ascii="Times New Roman" w:hAnsi="Times New Roman" w:cs="Times New Roman" w:eastAsiaTheme="minorEastAsia"/>
          <w:i w:val="0"/>
          <w:iCs/>
          <w:sz w:val="28"/>
          <w:szCs w:val="28"/>
          <w:highlight w:val="none"/>
        </w:rPr>
        <w:t>；</w:t>
      </w:r>
    </w:p>
    <w:p w14:paraId="28FEAA70">
      <w:pPr>
        <w:spacing w:beforeLines="0" w:afterLines="0" w:line="360" w:lineRule="auto"/>
        <w:ind w:firstLine="560" w:firstLineChars="20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w:t>
      </w:r>
    </w:p>
    <w:p w14:paraId="312147A2">
      <w:pPr>
        <w:spacing w:beforeLines="0" w:afterLines="0" w:line="360" w:lineRule="auto"/>
        <w:ind w:firstLine="560" w:firstLineChars="20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以上企业，不属于大企业的分支机构，不存在控股股东为大企业的情形，也不存在与大企业的负责人为同一人的情形。</w:t>
      </w:r>
    </w:p>
    <w:p w14:paraId="2D09A2AB">
      <w:pPr>
        <w:spacing w:beforeLines="0" w:afterLines="0" w:line="360" w:lineRule="auto"/>
        <w:ind w:firstLine="560" w:firstLineChars="20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本企业对上述声明内容的真实性负责。如有虚假，将依法承担相应责任。</w:t>
      </w:r>
    </w:p>
    <w:p w14:paraId="5336F821">
      <w:pPr>
        <w:spacing w:beforeLines="0" w:afterLines="0" w:line="360" w:lineRule="auto"/>
        <w:rPr>
          <w:rFonts w:hint="default" w:ascii="Times New Roman" w:hAnsi="Times New Roman" w:cs="Times New Roman" w:eastAsiaTheme="minorEastAsia"/>
          <w:sz w:val="28"/>
          <w:szCs w:val="28"/>
          <w:highlight w:val="none"/>
        </w:rPr>
      </w:pPr>
    </w:p>
    <w:p w14:paraId="14800DA0">
      <w:pPr>
        <w:pStyle w:val="23"/>
        <w:spacing w:line="360" w:lineRule="auto"/>
        <w:rPr>
          <w:rFonts w:hint="default" w:ascii="Times New Roman" w:hAnsi="Times New Roman" w:cs="Times New Roman"/>
          <w:highlight w:val="none"/>
        </w:rPr>
      </w:pPr>
    </w:p>
    <w:p w14:paraId="25071FBD">
      <w:pPr>
        <w:spacing w:beforeLines="0" w:afterLines="0" w:line="360" w:lineRule="auto"/>
        <w:ind w:firstLine="5040" w:firstLineChars="1800"/>
        <w:rPr>
          <w:rFonts w:hint="default" w:ascii="Times New Roman" w:hAnsi="Times New Roman" w:cs="Times New Roman" w:eastAsiaTheme="minorEastAsia"/>
          <w:sz w:val="28"/>
          <w:szCs w:val="28"/>
          <w:highlight w:val="none"/>
          <w:lang w:eastAsia="zh-CN"/>
        </w:rPr>
      </w:pPr>
      <w:bookmarkStart w:id="12" w:name="OLE_LINK16"/>
      <w:r>
        <w:rPr>
          <w:rFonts w:hint="default" w:ascii="Times New Roman" w:hAnsi="Times New Roman" w:cs="Times New Roman" w:eastAsiaTheme="minorEastAsia"/>
          <w:sz w:val="28"/>
          <w:szCs w:val="28"/>
          <w:highlight w:val="none"/>
          <w:lang w:eastAsia="zh-CN"/>
        </w:rPr>
        <w:t>企业名称（盖章）：</w:t>
      </w:r>
    </w:p>
    <w:p w14:paraId="33F30DB2">
      <w:pPr>
        <w:pStyle w:val="23"/>
        <w:spacing w:line="360" w:lineRule="auto"/>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日期：</w:t>
      </w:r>
    </w:p>
    <w:p w14:paraId="37A125CC">
      <w:pPr>
        <w:numPr>
          <w:ilvl w:val="0"/>
          <w:numId w:val="7"/>
        </w:numPr>
        <w:tabs>
          <w:tab w:val="left" w:pos="4620"/>
        </w:tabs>
        <w:spacing w:line="360" w:lineRule="auto"/>
        <w:rPr>
          <w:rFonts w:ascii="Times New Roman" w:hAnsi="Times New Roman" w:eastAsiaTheme="minorEastAsia"/>
          <w:color w:val="auto"/>
          <w:szCs w:val="24"/>
          <w:highlight w:val="none"/>
        </w:rPr>
      </w:pPr>
      <w:r>
        <w:rPr>
          <w:rFonts w:ascii="Times New Roman" w:hAnsi="Times New Roman" w:eastAsiaTheme="minorEastAsia"/>
          <w:color w:val="auto"/>
          <w:szCs w:val="24"/>
          <w:highlight w:val="none"/>
        </w:rPr>
        <w:t>从业人员、营业收入、资产总额填报上一年数据，无上一年数据的新成立企业可不填报。</w:t>
      </w:r>
    </w:p>
    <w:p w14:paraId="7AB38C34">
      <w:pPr>
        <w:numPr>
          <w:ilvl w:val="0"/>
          <w:numId w:val="7"/>
        </w:numPr>
        <w:tabs>
          <w:tab w:val="left" w:pos="4620"/>
        </w:tabs>
        <w:spacing w:line="360" w:lineRule="auto"/>
        <w:rPr>
          <w:rFonts w:ascii="Times New Roman" w:hAnsi="Times New Roman" w:eastAsiaTheme="minorEastAsia"/>
          <w:color w:val="auto"/>
          <w:highlight w:val="none"/>
        </w:rPr>
      </w:pPr>
      <w:r>
        <w:rPr>
          <w:rFonts w:hint="default" w:ascii="Times New Roman" w:hAnsi="Times New Roman" w:cs="Times New Roman" w:eastAsiaTheme="minorEastAsia"/>
          <w:b w:val="0"/>
          <w:bCs w:val="0"/>
          <w:color w:val="auto"/>
          <w:szCs w:val="24"/>
          <w:highlight w:val="none"/>
        </w:rPr>
        <w:t>上述“</w:t>
      </w:r>
      <w:r>
        <w:rPr>
          <w:rFonts w:hint="default" w:ascii="Times New Roman" w:hAnsi="Times New Roman" w:cs="Times New Roman" w:eastAsiaTheme="minorEastAsia"/>
          <w:b w:val="0"/>
          <w:bCs w:val="0"/>
          <w:color w:val="auto"/>
          <w:szCs w:val="24"/>
          <w:highlight w:val="none"/>
          <w:lang w:val="zh-CN"/>
        </w:rPr>
        <w:t>标的名称</w:t>
      </w:r>
      <w:r>
        <w:rPr>
          <w:rFonts w:hint="default" w:ascii="Times New Roman" w:hAnsi="Times New Roman" w:cs="Times New Roman" w:eastAsiaTheme="minorEastAsia"/>
          <w:b w:val="0"/>
          <w:bCs w:val="0"/>
          <w:color w:val="auto"/>
          <w:szCs w:val="24"/>
          <w:highlight w:val="none"/>
        </w:rPr>
        <w:t>”，详见第三章采购需求前附表中明确的“标的名称”。</w:t>
      </w:r>
    </w:p>
    <w:p w14:paraId="30CDF190">
      <w:pPr>
        <w:numPr>
          <w:ilvl w:val="0"/>
          <w:numId w:val="7"/>
        </w:numPr>
        <w:tabs>
          <w:tab w:val="left" w:pos="4620"/>
        </w:tabs>
        <w:spacing w:line="360" w:lineRule="auto"/>
        <w:rPr>
          <w:rFonts w:ascii="Times New Roman" w:hAnsi="Times New Roman" w:eastAsiaTheme="minorEastAsia"/>
          <w:color w:val="auto"/>
          <w:highlight w:val="none"/>
        </w:rPr>
      </w:pPr>
      <w:r>
        <w:rPr>
          <w:rFonts w:hint="default" w:ascii="Times New Roman" w:hAnsi="Times New Roman" w:cs="Times New Roman" w:eastAsiaTheme="minorEastAsia"/>
          <w:b w:val="0"/>
          <w:bCs w:val="0"/>
          <w:color w:val="auto"/>
          <w:szCs w:val="24"/>
          <w:highlight w:val="none"/>
        </w:rPr>
        <w:t>上述“采购文件中明确的所属行业”，详见第三章采购需求前附表中明确的“</w:t>
      </w:r>
      <w:r>
        <w:rPr>
          <w:rFonts w:hint="default" w:ascii="Times New Roman" w:hAnsi="Times New Roman" w:cs="Times New Roman" w:eastAsiaTheme="minorEastAsia"/>
          <w:b w:val="0"/>
          <w:bCs w:val="0"/>
          <w:color w:val="auto"/>
          <w:sz w:val="21"/>
          <w:szCs w:val="24"/>
          <w:highlight w:val="none"/>
          <w:vertAlign w:val="baseline"/>
          <w:lang w:eastAsia="zh-CN"/>
        </w:rPr>
        <w:t>标的对应所属行业</w:t>
      </w:r>
      <w:r>
        <w:rPr>
          <w:rFonts w:hint="default" w:ascii="Times New Roman" w:hAnsi="Times New Roman" w:cs="Times New Roman" w:eastAsiaTheme="minorEastAsia"/>
          <w:b w:val="0"/>
          <w:bCs w:val="0"/>
          <w:color w:val="auto"/>
          <w:szCs w:val="24"/>
          <w:highlight w:val="none"/>
        </w:rPr>
        <w:t>”。</w:t>
      </w:r>
    </w:p>
    <w:p w14:paraId="260CACD2">
      <w:pPr>
        <w:spacing w:beforeLines="0" w:afterLines="0" w:line="360" w:lineRule="auto"/>
        <w:jc w:val="center"/>
        <w:rPr>
          <w:rFonts w:hint="default" w:ascii="Times New Roman" w:hAnsi="Times New Roman" w:cs="Times New Roman" w:eastAsiaTheme="minorEastAsia"/>
          <w:b/>
          <w:sz w:val="28"/>
          <w:szCs w:val="28"/>
          <w:highlight w:val="none"/>
        </w:rPr>
      </w:pPr>
    </w:p>
    <w:bookmarkEnd w:id="12"/>
    <w:p w14:paraId="6E51E37A">
      <w:pPr>
        <w:spacing w:beforeLines="0" w:afterLines="0" w:line="360" w:lineRule="auto"/>
        <w:jc w:val="center"/>
        <w:rPr>
          <w:rFonts w:hint="default" w:ascii="Times New Roman" w:hAnsi="Times New Roman" w:cs="Times New Roman" w:eastAsiaTheme="minorEastAsia"/>
          <w:b/>
          <w:spacing w:val="6"/>
          <w:sz w:val="28"/>
          <w:szCs w:val="28"/>
          <w:highlight w:val="none"/>
        </w:rPr>
      </w:pPr>
      <w:r>
        <w:rPr>
          <w:rFonts w:hint="default" w:ascii="Times New Roman" w:hAnsi="Times New Roman" w:cs="Times New Roman" w:eastAsiaTheme="minorEastAsia"/>
          <w:b/>
          <w:sz w:val="28"/>
          <w:szCs w:val="28"/>
          <w:highlight w:val="none"/>
        </w:rPr>
        <w:t>残疾人福利性单位声明函</w:t>
      </w:r>
    </w:p>
    <w:p w14:paraId="615065A6">
      <w:pPr>
        <w:spacing w:beforeLines="0" w:afterLines="0" w:line="360" w:lineRule="auto"/>
        <w:ind w:firstLine="560" w:firstLineChars="200"/>
        <w:rPr>
          <w:rFonts w:hint="default" w:ascii="Times New Roman" w:hAnsi="Times New Roman" w:cs="Times New Roman" w:eastAsiaTheme="minorEastAsia"/>
          <w:sz w:val="28"/>
          <w:szCs w:val="28"/>
          <w:highlight w:val="none"/>
        </w:rPr>
      </w:pPr>
    </w:p>
    <w:p w14:paraId="7774B705">
      <w:pPr>
        <w:spacing w:beforeLines="0" w:afterLines="0" w:line="360" w:lineRule="auto"/>
        <w:ind w:firstLine="560" w:firstLineChars="20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本单位郑重声明，根据《财政部 民政部 中国残疾人联合会关于促进残疾人就业政府采购政策的通知》（财库〔2017〕 141号）的规定，本单位为符合条件的残疾人福利性单位，且本单位参加</w:t>
      </w:r>
      <w:r>
        <w:rPr>
          <w:rFonts w:hint="default" w:ascii="Times New Roman" w:hAnsi="Times New Roman" w:cs="Times New Roman" w:eastAsiaTheme="minorEastAsia"/>
          <w:sz w:val="28"/>
          <w:szCs w:val="28"/>
          <w:highlight w:val="none"/>
          <w:u w:val="single"/>
          <w:lang w:val="en-US" w:eastAsia="zh-CN"/>
        </w:rPr>
        <w:t xml:space="preserve">        </w:t>
      </w:r>
      <w:r>
        <w:rPr>
          <w:rFonts w:hint="default" w:ascii="Times New Roman" w:hAnsi="Times New Roman" w:cs="Times New Roman" w:eastAsiaTheme="minorEastAsia"/>
          <w:sz w:val="28"/>
          <w:szCs w:val="28"/>
          <w:highlight w:val="none"/>
        </w:rPr>
        <w:t>单位的______项目采购活动提供本单位制造的货物，或者提供其他残疾人福利性单位制造的货物（不包括使用非残疾人福利性单位注册商标的货物）。</w:t>
      </w:r>
    </w:p>
    <w:p w14:paraId="0EEFBA1D">
      <w:pPr>
        <w:spacing w:beforeLines="0" w:afterLines="0" w:line="360" w:lineRule="auto"/>
        <w:ind w:firstLine="560" w:firstLineChars="20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本单位对上述声明的真实性负责。如有虚假，将依法承担相应责任。</w:t>
      </w:r>
    </w:p>
    <w:p w14:paraId="3CF7537A">
      <w:pPr>
        <w:spacing w:beforeLines="0" w:afterLines="0" w:line="360" w:lineRule="auto"/>
        <w:ind w:firstLine="584" w:firstLineChars="200"/>
        <w:rPr>
          <w:rFonts w:hint="default" w:ascii="Times New Roman" w:hAnsi="Times New Roman" w:cs="Times New Roman" w:eastAsiaTheme="minorEastAsia"/>
          <w:spacing w:val="6"/>
          <w:sz w:val="28"/>
          <w:szCs w:val="28"/>
          <w:highlight w:val="none"/>
        </w:rPr>
      </w:pPr>
    </w:p>
    <w:p w14:paraId="125C3E2C">
      <w:pPr>
        <w:spacing w:beforeLines="0" w:afterLines="0" w:line="360" w:lineRule="auto"/>
        <w:ind w:firstLine="584" w:firstLineChars="200"/>
        <w:rPr>
          <w:rFonts w:hint="default" w:ascii="Times New Roman" w:hAnsi="Times New Roman" w:cs="Times New Roman" w:eastAsiaTheme="minorEastAsia"/>
          <w:spacing w:val="6"/>
          <w:sz w:val="28"/>
          <w:szCs w:val="28"/>
          <w:highlight w:val="none"/>
        </w:rPr>
      </w:pPr>
    </w:p>
    <w:p w14:paraId="41B5B5A6">
      <w:pPr>
        <w:spacing w:beforeLines="0" w:afterLines="0" w:line="360" w:lineRule="auto"/>
        <w:ind w:firstLine="5040" w:firstLineChars="1800"/>
        <w:rPr>
          <w:rFonts w:hint="default" w:ascii="Times New Roman" w:hAnsi="Times New Roman" w:cs="Times New Roman" w:eastAsiaTheme="minorEastAsia"/>
          <w:sz w:val="28"/>
          <w:szCs w:val="28"/>
          <w:highlight w:val="none"/>
          <w:lang w:eastAsia="zh-CN"/>
        </w:rPr>
      </w:pPr>
      <w:bookmarkStart w:id="13" w:name="OLE_LINK20"/>
      <w:r>
        <w:rPr>
          <w:rFonts w:hint="default" w:ascii="Times New Roman" w:hAnsi="Times New Roman" w:cs="Times New Roman" w:eastAsiaTheme="minorEastAsia"/>
          <w:sz w:val="28"/>
          <w:szCs w:val="28"/>
          <w:highlight w:val="none"/>
          <w:lang w:eastAsia="zh-CN"/>
        </w:rPr>
        <w:t>单位名称（盖章）：</w:t>
      </w:r>
    </w:p>
    <w:p w14:paraId="52DF41FE">
      <w:pPr>
        <w:pStyle w:val="23"/>
        <w:spacing w:beforeLines="0" w:after="0" w:afterLines="0" w:line="360" w:lineRule="auto"/>
        <w:ind w:left="0" w:leftChars="0"/>
        <w:rPr>
          <w:rFonts w:hint="default" w:ascii="Times New Roman" w:hAnsi="Times New Roman" w:cs="Times New Roman"/>
          <w:highlight w:val="none"/>
          <w:lang w:val="en-US" w:eastAsia="zh-CN"/>
        </w:rPr>
      </w:pPr>
      <w:r>
        <w:rPr>
          <w:rFonts w:hint="default" w:ascii="Times New Roman" w:hAnsi="Times New Roman" w:cs="Times New Roman" w:eastAsiaTheme="minorEastAsia"/>
          <w:sz w:val="28"/>
          <w:szCs w:val="28"/>
          <w:highlight w:val="none"/>
          <w:lang w:val="en-US" w:eastAsia="zh-CN"/>
        </w:rPr>
        <w:t xml:space="preserve">                                日期：</w:t>
      </w:r>
    </w:p>
    <w:bookmarkEnd w:id="13"/>
    <w:p w14:paraId="5FE0B695">
      <w:pPr>
        <w:spacing w:line="360" w:lineRule="auto"/>
        <w:jc w:val="both"/>
        <w:outlineLvl w:val="2"/>
        <w:rPr>
          <w:rFonts w:hint="default" w:ascii="Times New Roman" w:hAnsi="Times New Roman" w:cs="Times New Roman"/>
          <w:highlight w:val="none"/>
        </w:rPr>
      </w:pPr>
    </w:p>
    <w:p w14:paraId="0FA19BF6">
      <w:pPr>
        <w:spacing w:beforeLines="0" w:afterLines="0" w:line="360" w:lineRule="auto"/>
        <w:jc w:val="left"/>
        <w:outlineLvl w:val="9"/>
        <w:rPr>
          <w:rFonts w:hint="default" w:ascii="Times New Roman" w:hAnsi="Times New Roman" w:cs="Times New Roman" w:eastAsiaTheme="minorEastAsia"/>
          <w:b/>
          <w:bCs/>
          <w:sz w:val="28"/>
          <w:szCs w:val="28"/>
          <w:highlight w:val="none"/>
          <w:u w:val="single"/>
        </w:rPr>
      </w:pPr>
      <w:r>
        <w:rPr>
          <w:rFonts w:hint="default" w:ascii="Times New Roman" w:hAnsi="Times New Roman" w:cs="Times New Roman" w:eastAsiaTheme="minorEastAsia"/>
          <w:b/>
          <w:bCs/>
          <w:sz w:val="28"/>
          <w:szCs w:val="28"/>
          <w:highlight w:val="none"/>
          <w:u w:val="single"/>
          <w:lang w:val="en-US" w:eastAsia="zh-CN"/>
        </w:rPr>
        <w:t>4.其他落实政府采购政策资格要求（如有）</w:t>
      </w:r>
    </w:p>
    <w:p w14:paraId="7910C89B">
      <w:pPr>
        <w:spacing w:beforeLines="0" w:afterLines="0" w:line="360" w:lineRule="auto"/>
        <w:jc w:val="left"/>
        <w:outlineLvl w:val="9"/>
        <w:rPr>
          <w:rFonts w:hint="default" w:ascii="Times New Roman" w:hAnsi="Times New Roman" w:cs="Times New Roman" w:eastAsiaTheme="minorEastAsia"/>
          <w:b/>
          <w:bCs/>
          <w:sz w:val="28"/>
          <w:szCs w:val="28"/>
          <w:highlight w:val="none"/>
          <w:u w:val="single"/>
          <w:lang w:val="en-US" w:eastAsia="zh-CN"/>
        </w:rPr>
      </w:pPr>
      <w:r>
        <w:rPr>
          <w:rFonts w:hint="default" w:ascii="Times New Roman" w:hAnsi="Times New Roman" w:cs="Times New Roman" w:eastAsiaTheme="minorEastAsia"/>
          <w:b/>
          <w:bCs/>
          <w:sz w:val="28"/>
          <w:szCs w:val="28"/>
          <w:highlight w:val="none"/>
          <w:u w:val="single"/>
          <w:lang w:val="en-US" w:eastAsia="zh-CN"/>
        </w:rPr>
        <w:t>5.</w:t>
      </w:r>
      <w:r>
        <w:rPr>
          <w:rFonts w:hint="default" w:ascii="Times New Roman" w:hAnsi="Times New Roman" w:cs="Times New Roman" w:eastAsiaTheme="minorEastAsia"/>
          <w:b/>
          <w:bCs/>
          <w:sz w:val="28"/>
          <w:szCs w:val="28"/>
          <w:highlight w:val="none"/>
          <w:u w:val="single"/>
          <w:lang w:val="en-US"/>
        </w:rPr>
        <w:t>法律、行政法规规定的其他条件</w:t>
      </w:r>
    </w:p>
    <w:p w14:paraId="06CC0863">
      <w:pPr>
        <w:spacing w:beforeLines="0" w:afterLines="0" w:line="360" w:lineRule="auto"/>
        <w:jc w:val="left"/>
        <w:outlineLvl w:val="9"/>
        <w:rPr>
          <w:rFonts w:hint="default" w:ascii="Times New Roman" w:hAnsi="Times New Roman" w:cs="Times New Roman" w:eastAsiaTheme="minorEastAsia"/>
          <w:b/>
          <w:bCs/>
          <w:sz w:val="28"/>
          <w:szCs w:val="28"/>
          <w:highlight w:val="none"/>
          <w:u w:val="single"/>
        </w:rPr>
      </w:pPr>
      <w:r>
        <w:rPr>
          <w:rFonts w:hint="default" w:ascii="Times New Roman" w:hAnsi="Times New Roman" w:cs="Times New Roman" w:eastAsiaTheme="minorEastAsia"/>
          <w:b/>
          <w:bCs/>
          <w:sz w:val="28"/>
          <w:szCs w:val="28"/>
          <w:highlight w:val="none"/>
          <w:u w:val="single"/>
          <w:lang w:val="en-US" w:eastAsia="zh-CN"/>
        </w:rPr>
        <w:t>6.本项目的特定资格要求</w:t>
      </w:r>
    </w:p>
    <w:p w14:paraId="2A711A90">
      <w:pPr>
        <w:spacing w:beforeLines="0" w:afterLines="0" w:line="360" w:lineRule="auto"/>
        <w:jc w:val="left"/>
        <w:outlineLvl w:val="9"/>
        <w:rPr>
          <w:rFonts w:hint="default" w:ascii="Times New Roman" w:hAnsi="Times New Roman" w:cs="Times New Roman" w:eastAsiaTheme="minorEastAsia"/>
          <w:b/>
          <w:bCs/>
          <w:sz w:val="28"/>
          <w:szCs w:val="28"/>
          <w:highlight w:val="none"/>
          <w:u w:val="single"/>
          <w:lang w:val="en-US" w:eastAsia="zh-CN"/>
        </w:rPr>
      </w:pPr>
      <w:r>
        <w:rPr>
          <w:rFonts w:hint="default" w:ascii="Times New Roman" w:hAnsi="Times New Roman" w:cs="Times New Roman" w:eastAsiaTheme="minorEastAsia"/>
          <w:b/>
          <w:bCs/>
          <w:sz w:val="28"/>
          <w:szCs w:val="28"/>
          <w:highlight w:val="none"/>
          <w:u w:val="single"/>
          <w:lang w:val="en-US" w:eastAsia="zh-CN"/>
        </w:rPr>
        <w:t>7.投标保证金证明</w:t>
      </w:r>
    </w:p>
    <w:p w14:paraId="071B53A2">
      <w:pPr>
        <w:spacing w:beforeLines="0" w:afterLines="0" w:line="360" w:lineRule="auto"/>
        <w:jc w:val="left"/>
        <w:outlineLvl w:val="9"/>
        <w:rPr>
          <w:rFonts w:hint="default" w:ascii="Times New Roman" w:hAnsi="Times New Roman" w:cs="Times New Roman" w:eastAsiaTheme="minorEastAsia"/>
          <w:b/>
          <w:bCs/>
          <w:sz w:val="28"/>
          <w:szCs w:val="28"/>
          <w:highlight w:val="none"/>
          <w:u w:val="single"/>
          <w:lang w:val="en-US" w:eastAsia="zh-CN"/>
        </w:rPr>
      </w:pPr>
      <w:r>
        <w:rPr>
          <w:rFonts w:hint="eastAsia" w:ascii="Times New Roman" w:hAnsi="Times New Roman" w:cs="Times New Roman" w:eastAsiaTheme="minorEastAsia"/>
          <w:b/>
          <w:bCs/>
          <w:sz w:val="28"/>
          <w:szCs w:val="28"/>
          <w:highlight w:val="none"/>
          <w:u w:val="single"/>
          <w:lang w:val="en-US" w:eastAsia="zh-CN"/>
        </w:rPr>
        <w:t>8</w:t>
      </w:r>
      <w:r>
        <w:rPr>
          <w:rFonts w:hint="default" w:ascii="Times New Roman" w:hAnsi="Times New Roman" w:cs="Times New Roman" w:eastAsiaTheme="minorEastAsia"/>
          <w:b/>
          <w:bCs/>
          <w:sz w:val="28"/>
          <w:szCs w:val="28"/>
          <w:highlight w:val="none"/>
          <w:u w:val="single"/>
          <w:lang w:val="en-US" w:eastAsia="zh-CN"/>
        </w:rPr>
        <w:t>.其他（如有）</w:t>
      </w:r>
    </w:p>
    <w:p w14:paraId="3C6439F1">
      <w:pPr>
        <w:spacing w:beforeLines="0" w:afterLines="0" w:line="360" w:lineRule="auto"/>
        <w:jc w:val="both"/>
        <w:outlineLvl w:val="2"/>
        <w:rPr>
          <w:rFonts w:hint="default" w:ascii="Times New Roman" w:hAnsi="Times New Roman" w:cs="Times New Roman" w:eastAsiaTheme="minorEastAsia"/>
          <w:b/>
          <w:bCs/>
          <w:sz w:val="28"/>
          <w:szCs w:val="28"/>
          <w:highlight w:val="none"/>
          <w:shd w:val="clear"/>
          <w:lang w:eastAsia="zh-CN"/>
        </w:rPr>
      </w:pPr>
    </w:p>
    <w:p w14:paraId="2B146187">
      <w:pPr>
        <w:spacing w:beforeLines="-2147483648" w:afterLines="-2147483648" w:line="360" w:lineRule="auto"/>
        <w:jc w:val="left"/>
        <w:outlineLvl w:val="9"/>
        <w:rPr>
          <w:rFonts w:hint="default" w:ascii="Times New Roman" w:hAnsi="Times New Roman" w:cs="Times New Roman" w:eastAsiaTheme="minorEastAsia"/>
          <w:b/>
          <w:bCs/>
          <w:sz w:val="28"/>
          <w:szCs w:val="28"/>
          <w:highlight w:val="none"/>
          <w:shd w:val="clear"/>
          <w:lang w:eastAsia="zh-CN"/>
        </w:rPr>
      </w:pPr>
      <w:r>
        <w:rPr>
          <w:rFonts w:hint="default" w:ascii="Times New Roman" w:hAnsi="Times New Roman" w:cs="Times New Roman" w:eastAsiaTheme="minorEastAsia"/>
          <w:b/>
          <w:bCs/>
          <w:sz w:val="28"/>
          <w:szCs w:val="28"/>
          <w:highlight w:val="none"/>
          <w:shd w:val="clear"/>
          <w:lang w:eastAsia="zh-CN"/>
        </w:rPr>
        <w:br w:type="page"/>
      </w:r>
    </w:p>
    <w:p w14:paraId="21CEEAF3">
      <w:pPr>
        <w:spacing w:beforeLines="0" w:afterLines="0" w:line="360" w:lineRule="auto"/>
        <w:jc w:val="both"/>
        <w:outlineLvl w:val="2"/>
        <w:rPr>
          <w:rFonts w:hint="default" w:ascii="Times New Roman" w:hAnsi="Times New Roman" w:cs="Times New Roman" w:eastAsiaTheme="minorEastAsia"/>
          <w:b/>
          <w:bCs/>
          <w:sz w:val="28"/>
          <w:szCs w:val="28"/>
          <w:highlight w:val="none"/>
          <w:shd w:val="clear"/>
          <w:lang w:eastAsia="zh-CN"/>
        </w:rPr>
      </w:pPr>
      <w:r>
        <w:rPr>
          <w:rFonts w:hint="default" w:ascii="Times New Roman" w:hAnsi="Times New Roman" w:cs="Times New Roman" w:eastAsiaTheme="minorEastAsia"/>
          <w:b/>
          <w:bCs/>
          <w:sz w:val="28"/>
          <w:szCs w:val="28"/>
          <w:highlight w:val="none"/>
          <w:shd w:val="clear"/>
          <w:lang w:eastAsia="zh-CN"/>
        </w:rPr>
        <w:t>二、符合性审查证明文件</w:t>
      </w:r>
      <w:r>
        <w:rPr>
          <w:rFonts w:hint="eastAsia" w:cs="Times New Roman" w:eastAsiaTheme="minorEastAsia"/>
          <w:b/>
          <w:bCs/>
          <w:sz w:val="28"/>
          <w:szCs w:val="28"/>
          <w:highlight w:val="none"/>
          <w:shd w:val="clear"/>
          <w:lang w:eastAsia="zh-CN"/>
        </w:rPr>
        <w:t>（</w:t>
      </w:r>
      <w:r>
        <w:rPr>
          <w:rFonts w:hint="eastAsia" w:ascii="Times New Roman" w:hAnsi="Times New Roman" w:cs="Times New Roman" w:eastAsiaTheme="minorEastAsia"/>
          <w:b/>
          <w:bCs/>
          <w:sz w:val="28"/>
          <w:szCs w:val="28"/>
          <w:highlight w:val="none"/>
          <w:shd w:val="clear"/>
          <w:lang w:eastAsia="zh-CN"/>
        </w:rPr>
        <w:t>格式</w:t>
      </w:r>
      <w:r>
        <w:rPr>
          <w:rFonts w:hint="default" w:ascii="Times New Roman" w:hAnsi="Times New Roman" w:cs="Times New Roman" w:eastAsiaTheme="minorEastAsia"/>
          <w:b/>
          <w:bCs/>
          <w:sz w:val="28"/>
          <w:szCs w:val="28"/>
          <w:highlight w:val="none"/>
          <w:shd w:val="clear"/>
          <w:lang w:val="zh-CN" w:eastAsia="zh-CN"/>
        </w:rPr>
        <w:t>可根据</w:t>
      </w:r>
      <w:r>
        <w:rPr>
          <w:rFonts w:hint="eastAsia" w:ascii="Times New Roman" w:hAnsi="Times New Roman" w:cs="Times New Roman" w:eastAsiaTheme="minorEastAsia"/>
          <w:b/>
          <w:bCs/>
          <w:sz w:val="28"/>
          <w:szCs w:val="28"/>
          <w:highlight w:val="none"/>
          <w:shd w:val="clear"/>
          <w:lang w:val="zh-CN" w:eastAsia="zh-CN"/>
        </w:rPr>
        <w:t>符合性审查内容自行提供并进行关联</w:t>
      </w:r>
      <w:r>
        <w:rPr>
          <w:rFonts w:hint="eastAsia" w:cs="Times New Roman" w:eastAsiaTheme="minorEastAsia"/>
          <w:b/>
          <w:bCs/>
          <w:sz w:val="28"/>
          <w:szCs w:val="28"/>
          <w:highlight w:val="none"/>
          <w:shd w:val="clear"/>
          <w:lang w:eastAsia="zh-CN"/>
        </w:rPr>
        <w:t>）</w:t>
      </w:r>
    </w:p>
    <w:p w14:paraId="7C7948FA">
      <w:pPr>
        <w:spacing w:beforeLines="0" w:afterLines="0" w:line="360" w:lineRule="auto"/>
        <w:jc w:val="both"/>
        <w:outlineLvl w:val="2"/>
        <w:rPr>
          <w:rFonts w:hint="default" w:ascii="Times New Roman" w:hAnsi="Times New Roman" w:cs="Times New Roman" w:eastAsiaTheme="minorEastAsia"/>
          <w:b/>
          <w:bCs/>
          <w:sz w:val="28"/>
          <w:szCs w:val="28"/>
          <w:highlight w:val="none"/>
          <w:shd w:val="clear"/>
          <w:lang w:val="en-US" w:eastAsia="zh-CN"/>
        </w:rPr>
      </w:pPr>
    </w:p>
    <w:p w14:paraId="4F0E37EA">
      <w:pPr>
        <w:spacing w:beforeLines="0" w:afterLines="0" w:line="360" w:lineRule="auto"/>
        <w:jc w:val="both"/>
        <w:outlineLvl w:val="2"/>
        <w:rPr>
          <w:rFonts w:hint="default" w:ascii="Times New Roman" w:hAnsi="Times New Roman" w:cs="Times New Roman" w:eastAsiaTheme="minorEastAsia"/>
          <w:b/>
          <w:bCs/>
          <w:sz w:val="28"/>
          <w:szCs w:val="28"/>
          <w:highlight w:val="none"/>
          <w:shd w:val="clear"/>
          <w:lang w:val="en-US" w:eastAsia="zh-CN"/>
        </w:rPr>
      </w:pPr>
    </w:p>
    <w:p w14:paraId="3AB2E2E2">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63DA4B61">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328E7CCD">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50B3DAE2">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7133B174">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7B133BE9">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3DE8DF89">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3D6C48D0">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484E0836">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36C5BF08">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7739BF39">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2AA624EC">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78457256">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4F89C884">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6555A6D1">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3796D9D2">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24CDAB02">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5A9C1643">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42B0A856">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2DC9252F">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6533051E">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6E2071C5">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676030BF">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0B430402">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5CA95789">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3B5F4122">
      <w:pPr>
        <w:spacing w:beforeLines="0" w:afterLines="0" w:line="360" w:lineRule="auto"/>
        <w:jc w:val="both"/>
        <w:outlineLvl w:val="2"/>
        <w:rPr>
          <w:rFonts w:hint="eastAsia" w:cs="Times New Roman" w:eastAsiaTheme="minorEastAsia"/>
          <w:b/>
          <w:bCs/>
          <w:sz w:val="28"/>
          <w:szCs w:val="28"/>
          <w:highlight w:val="none"/>
          <w:shd w:val="clear"/>
          <w:lang w:val="en-US" w:eastAsia="zh-CN"/>
        </w:rPr>
      </w:pPr>
    </w:p>
    <w:p w14:paraId="6C2E11BC">
      <w:pPr>
        <w:spacing w:beforeLines="0" w:afterLines="0" w:line="360" w:lineRule="auto"/>
        <w:jc w:val="both"/>
        <w:outlineLvl w:val="2"/>
        <w:rPr>
          <w:rFonts w:hint="eastAsia" w:ascii="Times New Roman" w:hAnsi="Times New Roman" w:cs="Times New Roman" w:eastAsiaTheme="minorEastAsia"/>
          <w:b/>
          <w:bCs/>
          <w:sz w:val="28"/>
          <w:szCs w:val="28"/>
          <w:highlight w:val="none"/>
          <w:shd w:val="clear"/>
          <w:lang w:val="en-US" w:eastAsia="zh-CN"/>
        </w:rPr>
      </w:pPr>
      <w:r>
        <w:rPr>
          <w:rFonts w:hint="eastAsia" w:cs="Times New Roman" w:eastAsiaTheme="minorEastAsia"/>
          <w:b/>
          <w:bCs/>
          <w:sz w:val="28"/>
          <w:szCs w:val="28"/>
          <w:highlight w:val="none"/>
          <w:shd w:val="clear"/>
          <w:lang w:val="en-US" w:eastAsia="zh-CN"/>
        </w:rPr>
        <w:t>三、</w:t>
      </w:r>
      <w:r>
        <w:rPr>
          <w:rFonts w:hint="eastAsia" w:ascii="Times New Roman" w:hAnsi="Times New Roman" w:cs="Times New Roman" w:eastAsiaTheme="minorEastAsia"/>
          <w:b/>
          <w:bCs/>
          <w:sz w:val="28"/>
          <w:szCs w:val="28"/>
          <w:highlight w:val="none"/>
          <w:shd w:val="clear"/>
          <w:lang w:eastAsia="zh-CN"/>
        </w:rPr>
        <w:t>投标文件编制和装订顺序（参考）</w:t>
      </w:r>
    </w:p>
    <w:p w14:paraId="18967E6E">
      <w:pPr>
        <w:spacing w:beforeLines="0" w:afterLines="0" w:line="360" w:lineRule="auto"/>
        <w:jc w:val="both"/>
        <w:outlineLvl w:val="2"/>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b/>
          <w:bCs/>
          <w:sz w:val="28"/>
          <w:szCs w:val="28"/>
          <w:highlight w:val="none"/>
          <w:shd w:val="clear"/>
          <w:lang w:val="en-US" w:eastAsia="zh-CN"/>
        </w:rPr>
        <w:t>1.投标函</w:t>
      </w:r>
    </w:p>
    <w:p w14:paraId="2B59F182">
      <w:pPr>
        <w:pStyle w:val="5"/>
        <w:spacing w:before="0" w:beforeLines="0" w:after="0" w:afterLines="0" w:line="360" w:lineRule="auto"/>
        <w:jc w:val="center"/>
        <w:rPr>
          <w:rFonts w:hint="default" w:ascii="Times New Roman" w:hAnsi="Times New Roman" w:cs="Times New Roman" w:eastAsiaTheme="minorEastAsia"/>
          <w:i/>
          <w:iCs/>
          <w:sz w:val="28"/>
          <w:szCs w:val="28"/>
          <w:highlight w:val="none"/>
          <w:u w:val="single"/>
          <w:lang w:eastAsia="zh-CN"/>
        </w:rPr>
      </w:pPr>
      <w:r>
        <w:rPr>
          <w:rFonts w:hint="default" w:ascii="Times New Roman" w:hAnsi="Times New Roman" w:cs="Times New Roman" w:eastAsiaTheme="minorEastAsia"/>
          <w:sz w:val="28"/>
          <w:szCs w:val="28"/>
          <w:highlight w:val="none"/>
        </w:rPr>
        <w:t>投标函</w:t>
      </w:r>
    </w:p>
    <w:p w14:paraId="282A4FFC">
      <w:pPr>
        <w:spacing w:beforeLines="0" w:afterLines="0" w:line="360" w:lineRule="auto"/>
        <w:rPr>
          <w:rFonts w:hint="default" w:ascii="Times New Roman" w:hAnsi="Times New Roman" w:cs="Times New Roman" w:eastAsiaTheme="minorEastAsia"/>
          <w:sz w:val="28"/>
          <w:szCs w:val="28"/>
          <w:highlight w:val="none"/>
        </w:rPr>
      </w:pPr>
      <w:bookmarkStart w:id="14" w:name="OLE_LINK35"/>
      <w:r>
        <w:rPr>
          <w:rFonts w:hint="default" w:ascii="Times New Roman" w:hAnsi="Times New Roman" w:cs="Times New Roman" w:eastAsiaTheme="minorEastAsia"/>
          <w:sz w:val="28"/>
          <w:szCs w:val="28"/>
          <w:highlight w:val="none"/>
        </w:rPr>
        <w:t>致：（采购人/采购代理机构）</w:t>
      </w:r>
    </w:p>
    <w:p w14:paraId="60878B2B">
      <w:pPr>
        <w:spacing w:beforeLines="0" w:afterLines="0" w:line="360" w:lineRule="auto"/>
        <w:ind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我方</w:t>
      </w:r>
      <w:r>
        <w:rPr>
          <w:rFonts w:hint="default" w:ascii="Times New Roman" w:hAnsi="Times New Roman" w:cs="Times New Roman" w:eastAsiaTheme="minorEastAsia"/>
          <w:sz w:val="28"/>
          <w:szCs w:val="28"/>
          <w:highlight w:val="none"/>
          <w:lang w:eastAsia="zh-CN"/>
        </w:rPr>
        <w:t>已详细审查全部招标文件和采购公告，自愿</w:t>
      </w:r>
      <w:r>
        <w:rPr>
          <w:rFonts w:hint="default" w:ascii="Times New Roman" w:hAnsi="Times New Roman" w:cs="Times New Roman" w:eastAsiaTheme="minorEastAsia"/>
          <w:sz w:val="28"/>
          <w:szCs w:val="28"/>
          <w:highlight w:val="none"/>
        </w:rPr>
        <w:t>参加（项目名称）    的投标,并做出如下承诺：</w:t>
      </w:r>
    </w:p>
    <w:p w14:paraId="30467A38">
      <w:pPr>
        <w:spacing w:beforeLines="0" w:afterLines="0" w:line="360" w:lineRule="auto"/>
        <w:ind w:firstLine="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一、</w:t>
      </w:r>
      <w:r>
        <w:rPr>
          <w:rFonts w:hint="default" w:ascii="Times New Roman" w:hAnsi="Times New Roman" w:cs="Times New Roman" w:eastAsiaTheme="minorEastAsia"/>
          <w:sz w:val="28"/>
          <w:szCs w:val="28"/>
          <w:highlight w:val="none"/>
          <w:lang w:eastAsia="zh-CN"/>
        </w:rPr>
        <w:t>本投标有效期为自提交投标文件的截止之日起</w:t>
      </w:r>
      <w:r>
        <w:rPr>
          <w:rFonts w:hint="default" w:ascii="Times New Roman" w:hAnsi="Times New Roman" w:cs="Times New Roman" w:eastAsiaTheme="minorEastAsia"/>
          <w:sz w:val="28"/>
          <w:szCs w:val="28"/>
          <w:highlight w:val="none"/>
          <w:lang w:val="en-US" w:eastAsia="zh-CN"/>
        </w:rPr>
        <w:t xml:space="preserve">    个日历日。</w:t>
      </w:r>
    </w:p>
    <w:p w14:paraId="4325ACE6">
      <w:pPr>
        <w:spacing w:beforeLines="0" w:afterLines="0" w:line="360" w:lineRule="auto"/>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val="en-US" w:eastAsia="zh-CN"/>
        </w:rPr>
        <w:t xml:space="preserve">    二、</w:t>
      </w:r>
      <w:r>
        <w:rPr>
          <w:rFonts w:hint="default" w:ascii="Times New Roman" w:hAnsi="Times New Roman" w:cs="Times New Roman" w:eastAsiaTheme="minorEastAsia"/>
          <w:bCs/>
          <w:sz w:val="28"/>
          <w:szCs w:val="28"/>
          <w:highlight w:val="none"/>
        </w:rPr>
        <w:t>我方授权(姓名和职务)代表我方（投标</w:t>
      </w:r>
      <w:r>
        <w:rPr>
          <w:rFonts w:hint="default" w:ascii="Times New Roman" w:hAnsi="Times New Roman" w:cs="Times New Roman" w:eastAsiaTheme="minorEastAsia"/>
          <w:bCs/>
          <w:sz w:val="28"/>
          <w:szCs w:val="28"/>
          <w:highlight w:val="none"/>
          <w:lang w:eastAsia="zh-CN"/>
        </w:rPr>
        <w:t>人</w:t>
      </w:r>
      <w:r>
        <w:rPr>
          <w:rFonts w:hint="default" w:ascii="Times New Roman" w:hAnsi="Times New Roman" w:cs="Times New Roman" w:eastAsiaTheme="minorEastAsia"/>
          <w:bCs/>
          <w:sz w:val="28"/>
          <w:szCs w:val="28"/>
          <w:highlight w:val="none"/>
        </w:rPr>
        <w:t>名称）全权处理本项目投标的有关事宜。</w:t>
      </w:r>
    </w:p>
    <w:p w14:paraId="28DA773F">
      <w:pPr>
        <w:spacing w:beforeLines="0" w:afterLines="0" w:line="360" w:lineRule="auto"/>
        <w:ind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三、我方提供的全部文件资料均是真实、准确的，并对此承担一切法律后果。</w:t>
      </w:r>
    </w:p>
    <w:p w14:paraId="3B635C57">
      <w:pPr>
        <w:spacing w:beforeLines="0" w:afterLines="0" w:line="360" w:lineRule="auto"/>
        <w:ind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四、我方承诺按照招标文件的要求提交投标保证金，如我方中标，支付相关代理费用，并在法律规定的期限内签订政府采购合同，按照招标文件提交履约保证金，在合同约定的期限内完成合同规定的全部义务。</w:t>
      </w:r>
    </w:p>
    <w:p w14:paraId="1CB4CA90">
      <w:pPr>
        <w:spacing w:beforeLines="0" w:afterLines="0" w:line="360" w:lineRule="auto"/>
        <w:ind w:firstLine="560" w:firstLineChars="200"/>
        <w:rPr>
          <w:rFonts w:hint="eastAsia"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eastAsia="zh-CN"/>
        </w:rPr>
        <w:t>五、</w:t>
      </w:r>
      <w:r>
        <w:rPr>
          <w:rFonts w:hint="eastAsia" w:ascii="Times New Roman" w:hAnsi="Times New Roman" w:cs="Times New Roman" w:eastAsiaTheme="minorEastAsia"/>
          <w:sz w:val="28"/>
          <w:szCs w:val="28"/>
          <w:highlight w:val="none"/>
          <w:lang w:val="en-US" w:eastAsia="zh-CN"/>
        </w:rPr>
        <w:t>投标方已详细阅读并理解了招标文件的全部，包括修改文件。我们完全理解并同意放弃对这方面有不明及误解的权利。</w:t>
      </w:r>
    </w:p>
    <w:p w14:paraId="048DEDD1">
      <w:pPr>
        <w:spacing w:beforeLines="0" w:afterLines="0" w:line="360" w:lineRule="auto"/>
        <w:ind w:firstLine="560" w:firstLineChars="200"/>
        <w:rPr>
          <w:rFonts w:hint="eastAsia" w:ascii="Times New Roman" w:hAnsi="Times New Roman" w:cs="Times New Roman" w:eastAsiaTheme="minorEastAsia"/>
          <w:sz w:val="28"/>
          <w:szCs w:val="28"/>
          <w:highlight w:val="none"/>
          <w:lang w:val="en-US" w:eastAsia="zh-CN"/>
        </w:rPr>
      </w:pPr>
      <w:r>
        <w:rPr>
          <w:rFonts w:hint="eastAsia" w:ascii="Times New Roman" w:hAnsi="Times New Roman" w:cs="Times New Roman" w:eastAsiaTheme="minorEastAsia"/>
          <w:sz w:val="28"/>
          <w:szCs w:val="28"/>
          <w:highlight w:val="none"/>
          <w:lang w:val="en-US" w:eastAsia="zh-CN"/>
        </w:rPr>
        <w:t>六、在规定的开标时间后，如果在投标有效期内撤回投标，同意投标保证金将被贵方没收。</w:t>
      </w:r>
    </w:p>
    <w:p w14:paraId="5DB32D19">
      <w:pPr>
        <w:spacing w:beforeLines="0" w:afterLines="0" w:line="360" w:lineRule="auto"/>
        <w:ind w:firstLine="560" w:firstLineChars="200"/>
        <w:rPr>
          <w:rFonts w:hint="eastAsia" w:ascii="Times New Roman" w:hAnsi="Times New Roman" w:cs="Times New Roman" w:eastAsiaTheme="minorEastAsia"/>
          <w:sz w:val="28"/>
          <w:szCs w:val="28"/>
          <w:highlight w:val="none"/>
          <w:lang w:val="en-US" w:eastAsia="zh-CN"/>
        </w:rPr>
      </w:pPr>
      <w:r>
        <w:rPr>
          <w:rFonts w:hint="eastAsia" w:ascii="Times New Roman" w:hAnsi="Times New Roman" w:cs="Times New Roman" w:eastAsiaTheme="minorEastAsia"/>
          <w:sz w:val="28"/>
          <w:szCs w:val="28"/>
          <w:highlight w:val="none"/>
          <w:lang w:val="en-US" w:eastAsia="zh-CN"/>
        </w:rPr>
        <w:t>七、投标人同意提供按照贵方可能要求的与其投标有关的一切数据或资料，完全理解贵方不一定接受最低价的投标或收到的任何投标的约定。</w:t>
      </w:r>
    </w:p>
    <w:p w14:paraId="2458D3B4">
      <w:pPr>
        <w:pStyle w:val="2"/>
        <w:spacing w:line="360" w:lineRule="auto"/>
        <w:rPr>
          <w:rFonts w:hint="default" w:ascii="Times New Roman" w:hAnsi="Times New Roman"/>
          <w:highlight w:val="none"/>
        </w:rPr>
      </w:pPr>
    </w:p>
    <w:p w14:paraId="1140CC70">
      <w:pPr>
        <w:spacing w:beforeLines="0" w:afterLines="0" w:line="360" w:lineRule="auto"/>
        <w:ind w:left="0" w:leftChars="0"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人（加盖公章）</w:t>
      </w:r>
      <w:r>
        <w:rPr>
          <w:rFonts w:hint="default" w:ascii="Times New Roman" w:hAnsi="Times New Roman" w:cs="Times New Roman" w:eastAsiaTheme="minorEastAsia"/>
          <w:sz w:val="28"/>
          <w:szCs w:val="28"/>
          <w:highlight w:val="none"/>
        </w:rPr>
        <w:t xml:space="preserve">：                </w:t>
      </w:r>
    </w:p>
    <w:p w14:paraId="4EA5A583">
      <w:pPr>
        <w:spacing w:beforeLines="0" w:afterLines="0" w:line="360" w:lineRule="auto"/>
        <w:ind w:left="0" w:leftChars="0"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联系</w:t>
      </w:r>
      <w:r>
        <w:rPr>
          <w:rFonts w:hint="default" w:ascii="Times New Roman" w:hAnsi="Times New Roman" w:cs="Times New Roman" w:eastAsiaTheme="minorEastAsia"/>
          <w:sz w:val="28"/>
          <w:szCs w:val="28"/>
          <w:highlight w:val="none"/>
        </w:rPr>
        <w:t xml:space="preserve">地址：                </w:t>
      </w:r>
    </w:p>
    <w:p w14:paraId="6CCD186D">
      <w:pPr>
        <w:spacing w:beforeLines="0" w:afterLines="0" w:line="360" w:lineRule="auto"/>
        <w:ind w:left="0" w:leftChars="0"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联系</w:t>
      </w:r>
      <w:r>
        <w:rPr>
          <w:rFonts w:hint="default" w:ascii="Times New Roman" w:hAnsi="Times New Roman" w:cs="Times New Roman" w:eastAsiaTheme="minorEastAsia"/>
          <w:sz w:val="28"/>
          <w:szCs w:val="28"/>
          <w:highlight w:val="none"/>
        </w:rPr>
        <w:t xml:space="preserve">电话：                    </w:t>
      </w:r>
      <w:r>
        <w:rPr>
          <w:rFonts w:hint="default" w:ascii="Times New Roman" w:hAnsi="Times New Roman" w:cs="Times New Roman" w:eastAsiaTheme="minorEastAsia"/>
          <w:sz w:val="28"/>
          <w:szCs w:val="28"/>
          <w:highlight w:val="none"/>
          <w:lang w:eastAsia="zh-CN"/>
        </w:rPr>
        <w:t>电子</w:t>
      </w:r>
      <w:r>
        <w:rPr>
          <w:rFonts w:hint="default" w:ascii="Times New Roman" w:hAnsi="Times New Roman" w:cs="Times New Roman" w:eastAsiaTheme="minorEastAsia"/>
          <w:sz w:val="28"/>
          <w:szCs w:val="28"/>
          <w:highlight w:val="none"/>
        </w:rPr>
        <w:t xml:space="preserve">传真：                </w:t>
      </w:r>
    </w:p>
    <w:p w14:paraId="52511249">
      <w:pPr>
        <w:spacing w:beforeLines="0" w:afterLines="0" w:line="360" w:lineRule="auto"/>
        <w:ind w:left="0" w:leftChars="0"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 xml:space="preserve">电子邮件：                </w:t>
      </w: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lang w:eastAsia="zh-CN"/>
        </w:rPr>
        <w:t>邮政编码</w:t>
      </w:r>
      <w:r>
        <w:rPr>
          <w:rFonts w:hint="default" w:ascii="Times New Roman" w:hAnsi="Times New Roman" w:cs="Times New Roman" w:eastAsiaTheme="minorEastAsia"/>
          <w:sz w:val="28"/>
          <w:szCs w:val="28"/>
          <w:highlight w:val="none"/>
        </w:rPr>
        <w:t xml:space="preserve">：                </w:t>
      </w:r>
    </w:p>
    <w:p w14:paraId="7A2DDAEF">
      <w:pPr>
        <w:spacing w:beforeLines="0" w:afterLines="0" w:line="360" w:lineRule="auto"/>
        <w:ind w:left="0" w:leftChars="0"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 xml:space="preserve">日期：                </w:t>
      </w:r>
    </w:p>
    <w:bookmarkEnd w:id="14"/>
    <w:p w14:paraId="31A553F2">
      <w:pPr>
        <w:widowControl w:val="0"/>
        <w:spacing w:beforeLines="0" w:afterLines="0" w:line="360" w:lineRule="auto"/>
        <w:jc w:val="both"/>
        <w:rPr>
          <w:rFonts w:hint="default" w:ascii="Times New Roman" w:hAnsi="Times New Roman" w:cs="Times New Roman" w:eastAsiaTheme="minorEastAsia"/>
          <w:sz w:val="28"/>
          <w:szCs w:val="28"/>
          <w:highlight w:val="none"/>
        </w:rPr>
      </w:pPr>
    </w:p>
    <w:p w14:paraId="5B1262B4">
      <w:pPr>
        <w:widowControl w:val="0"/>
        <w:spacing w:beforeLines="0" w:afterLines="0" w:line="360" w:lineRule="auto"/>
        <w:jc w:val="both"/>
        <w:rPr>
          <w:rFonts w:hint="default" w:ascii="Times New Roman" w:hAnsi="Times New Roman" w:cs="Times New Roman" w:eastAsiaTheme="minorEastAsia"/>
          <w:b/>
          <w:bCs/>
          <w:i/>
          <w:iCs/>
          <w:sz w:val="28"/>
          <w:szCs w:val="28"/>
          <w:highlight w:val="none"/>
          <w:lang w:val="en-US" w:eastAsia="zh-CN"/>
        </w:rPr>
      </w:pPr>
      <w:r>
        <w:rPr>
          <w:rFonts w:hint="default" w:ascii="Times New Roman" w:hAnsi="Times New Roman" w:cs="Times New Roman" w:eastAsiaTheme="minorEastAsia"/>
          <w:b/>
          <w:bCs/>
          <w:sz w:val="28"/>
          <w:szCs w:val="28"/>
          <w:highlight w:val="none"/>
          <w:lang w:val="en-US" w:eastAsia="zh-CN"/>
        </w:rPr>
        <w:t>2.授权委托书</w:t>
      </w:r>
      <w:r>
        <w:rPr>
          <w:rFonts w:hint="default" w:ascii="Times New Roman" w:hAnsi="Times New Roman" w:cs="Times New Roman" w:eastAsiaTheme="minorEastAsia"/>
          <w:b/>
          <w:bCs/>
          <w:i/>
          <w:iCs/>
          <w:sz w:val="28"/>
          <w:szCs w:val="28"/>
          <w:highlight w:val="none"/>
          <w:lang w:val="en-US" w:eastAsia="zh-CN"/>
        </w:rPr>
        <w:t>（法人参加需提供：</w:t>
      </w:r>
      <w:r>
        <w:rPr>
          <w:rFonts w:hint="eastAsia" w:cs="Times New Roman" w:eastAsiaTheme="minorEastAsia"/>
          <w:b/>
          <w:bCs/>
          <w:i/>
          <w:iCs/>
          <w:sz w:val="28"/>
          <w:szCs w:val="28"/>
          <w:highlight w:val="none"/>
          <w:lang w:val="en-US" w:eastAsia="zh-CN"/>
        </w:rPr>
        <w:t>法定代表人身份证明</w:t>
      </w:r>
      <w:r>
        <w:rPr>
          <w:rFonts w:hint="default" w:ascii="Times New Roman" w:hAnsi="Times New Roman" w:cs="Times New Roman" w:eastAsiaTheme="minorEastAsia"/>
          <w:b/>
          <w:bCs/>
          <w:i/>
          <w:iCs/>
          <w:sz w:val="28"/>
          <w:szCs w:val="28"/>
          <w:highlight w:val="none"/>
          <w:lang w:val="en-US" w:eastAsia="zh-CN"/>
        </w:rPr>
        <w:t>原件及本人身份证原件</w:t>
      </w:r>
      <w:r>
        <w:rPr>
          <w:rFonts w:hint="eastAsia" w:cs="Times New Roman" w:eastAsiaTheme="minorEastAsia"/>
          <w:b/>
          <w:bCs/>
          <w:i/>
          <w:iCs/>
          <w:sz w:val="28"/>
          <w:szCs w:val="28"/>
          <w:highlight w:val="none"/>
          <w:lang w:val="en-US" w:eastAsia="zh-CN"/>
        </w:rPr>
        <w:t>扫描件</w:t>
      </w:r>
      <w:r>
        <w:rPr>
          <w:rFonts w:hint="default" w:ascii="Times New Roman" w:hAnsi="Times New Roman" w:cs="Times New Roman" w:eastAsiaTheme="minorEastAsia"/>
          <w:b/>
          <w:bCs/>
          <w:i/>
          <w:iCs/>
          <w:sz w:val="28"/>
          <w:szCs w:val="28"/>
          <w:highlight w:val="none"/>
          <w:lang w:val="en-US" w:eastAsia="zh-CN"/>
        </w:rPr>
        <w:t>；</w:t>
      </w:r>
    </w:p>
    <w:p w14:paraId="2D2599D8">
      <w:pPr>
        <w:widowControl w:val="0"/>
        <w:spacing w:beforeLines="0" w:afterLines="0" w:line="360" w:lineRule="auto"/>
        <w:jc w:val="both"/>
        <w:rPr>
          <w:rFonts w:hint="default" w:ascii="Times New Roman" w:hAnsi="Times New Roman" w:cs="Times New Roman" w:eastAsiaTheme="minorEastAsia"/>
          <w:i/>
          <w:iCs/>
          <w:sz w:val="28"/>
          <w:szCs w:val="28"/>
          <w:highlight w:val="none"/>
        </w:rPr>
      </w:pPr>
      <w:r>
        <w:rPr>
          <w:rFonts w:hint="default" w:ascii="Times New Roman" w:hAnsi="Times New Roman" w:cs="Times New Roman" w:eastAsiaTheme="minorEastAsia"/>
          <w:b/>
          <w:bCs/>
          <w:i/>
          <w:iCs/>
          <w:sz w:val="28"/>
          <w:szCs w:val="28"/>
          <w:highlight w:val="none"/>
          <w:lang w:val="en-US" w:eastAsia="zh-CN"/>
        </w:rPr>
        <w:t>被授权人参加需提供：法人代表授权委托书原件及被授权人《居民身份证》原件</w:t>
      </w:r>
      <w:r>
        <w:rPr>
          <w:rFonts w:hint="eastAsia" w:cs="Times New Roman" w:eastAsiaTheme="minorEastAsia"/>
          <w:b/>
          <w:bCs/>
          <w:i/>
          <w:iCs/>
          <w:sz w:val="28"/>
          <w:szCs w:val="28"/>
          <w:highlight w:val="none"/>
          <w:lang w:val="en-US" w:eastAsia="zh-CN"/>
        </w:rPr>
        <w:t>扫描件</w:t>
      </w:r>
      <w:r>
        <w:rPr>
          <w:rFonts w:hint="default" w:ascii="Times New Roman" w:hAnsi="Times New Roman" w:cs="Times New Roman" w:eastAsiaTheme="minorEastAsia"/>
          <w:b/>
          <w:bCs/>
          <w:i/>
          <w:iCs/>
          <w:sz w:val="28"/>
          <w:szCs w:val="28"/>
          <w:highlight w:val="none"/>
          <w:lang w:val="en-US" w:eastAsia="zh-CN"/>
        </w:rPr>
        <w:t>）</w:t>
      </w:r>
    </w:p>
    <w:p w14:paraId="5CFE800E">
      <w:pPr>
        <w:spacing w:beforeLines="0" w:afterLines="0" w:line="360" w:lineRule="auto"/>
        <w:ind w:firstLine="0"/>
        <w:jc w:val="center"/>
        <w:outlineLvl w:val="2"/>
        <w:rPr>
          <w:rFonts w:hint="default" w:ascii="Times New Roman" w:hAnsi="Times New Roman" w:cs="Times New Roman" w:eastAsiaTheme="minorEastAsia"/>
          <w:b/>
          <w:bCs/>
          <w:i/>
          <w:iCs/>
          <w:sz w:val="28"/>
          <w:szCs w:val="28"/>
          <w:highlight w:val="none"/>
          <w:u w:val="single"/>
          <w:shd w:val="clear"/>
          <w:lang w:eastAsia="zh-CN"/>
        </w:rPr>
      </w:pPr>
      <w:r>
        <w:rPr>
          <w:rFonts w:hint="default" w:ascii="Times New Roman" w:hAnsi="Times New Roman" w:cs="Times New Roman" w:eastAsiaTheme="minorEastAsia"/>
          <w:b/>
          <w:bCs/>
          <w:sz w:val="28"/>
          <w:szCs w:val="28"/>
          <w:highlight w:val="none"/>
          <w:u w:val="single"/>
          <w:shd w:val="clear"/>
          <w:lang w:eastAsia="zh-CN"/>
        </w:rPr>
        <w:t>授权委托书</w:t>
      </w:r>
    </w:p>
    <w:p w14:paraId="0662F0F9">
      <w:pPr>
        <w:spacing w:beforeLines="0" w:afterLines="0" w:line="360" w:lineRule="auto"/>
        <w:jc w:val="left"/>
        <w:outlineLvl w:val="2"/>
        <w:rPr>
          <w:rFonts w:hint="default" w:ascii="Times New Roman" w:hAnsi="Times New Roman" w:cs="Times New Roman" w:eastAsiaTheme="minorEastAsia"/>
          <w:b w:val="0"/>
          <w:sz w:val="28"/>
          <w:szCs w:val="28"/>
          <w:highlight w:val="none"/>
          <w:shd w:val="clear"/>
          <w:lang w:eastAsia="zh-CN"/>
        </w:rPr>
      </w:pPr>
    </w:p>
    <w:p w14:paraId="013FDC83">
      <w:pPr>
        <w:spacing w:beforeLines="0" w:afterLines="0" w:line="360" w:lineRule="auto"/>
        <w:jc w:val="left"/>
        <w:outlineLvl w:val="2"/>
        <w:rPr>
          <w:rFonts w:hint="default" w:ascii="Times New Roman" w:hAnsi="Times New Roman" w:cs="Times New Roman" w:eastAsiaTheme="minorEastAsia"/>
          <w:b w:val="0"/>
          <w:sz w:val="28"/>
          <w:szCs w:val="28"/>
          <w:highlight w:val="none"/>
          <w:shd w:val="clear"/>
          <w:lang w:val="en-US" w:eastAsia="zh-CN"/>
        </w:rPr>
      </w:pPr>
      <w:r>
        <w:rPr>
          <w:rFonts w:hint="default" w:ascii="Times New Roman" w:hAnsi="Times New Roman" w:cs="Times New Roman" w:eastAsiaTheme="minorEastAsia"/>
          <w:b w:val="0"/>
          <w:sz w:val="28"/>
          <w:szCs w:val="28"/>
          <w:highlight w:val="none"/>
          <w:shd w:val="clear"/>
          <w:lang w:val="en-US" w:eastAsia="zh-CN"/>
        </w:rPr>
        <w:t xml:space="preserve">    本人     （姓名）系     （投标人）的法定代表人（单位负责人等），现委托     （姓名）为我方代理人。代理人根据授权，以我方名义签署、澄清确认、提交、撤回、修改（采购项目）    投标文件和处理有关事宜，其法律后果由我方承担。</w:t>
      </w:r>
    </w:p>
    <w:p w14:paraId="6943D46D">
      <w:pPr>
        <w:spacing w:beforeLines="0" w:afterLines="0" w:line="360" w:lineRule="auto"/>
        <w:jc w:val="left"/>
        <w:outlineLvl w:val="2"/>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u w:val="single"/>
          <w:lang w:val="en-US" w:eastAsia="zh-CN"/>
        </w:rPr>
        <w:t xml:space="preserve">    </w:t>
      </w:r>
      <w:r>
        <w:rPr>
          <w:rFonts w:hint="default" w:ascii="Times New Roman" w:hAnsi="Times New Roman" w:cs="Times New Roman" w:eastAsiaTheme="minorEastAsia"/>
          <w:sz w:val="28"/>
          <w:szCs w:val="28"/>
          <w:highlight w:val="none"/>
          <w:lang w:val="en-US" w:eastAsia="zh-CN"/>
        </w:rPr>
        <w:t>委托期限：自本授权委托书签署之日起至投标有效期届满之日止。</w:t>
      </w:r>
    </w:p>
    <w:p w14:paraId="681ACB8F">
      <w:pPr>
        <w:spacing w:beforeLines="0" w:afterLines="0" w:line="360" w:lineRule="auto"/>
        <w:ind w:firstLine="0"/>
        <w:jc w:val="left"/>
        <w:outlineLvl w:val="2"/>
        <w:rPr>
          <w:rFonts w:hint="default" w:ascii="Times New Roman" w:hAnsi="Times New Roman" w:cs="Times New Roman" w:eastAsiaTheme="minorEastAsia"/>
          <w:sz w:val="28"/>
          <w:szCs w:val="28"/>
          <w:highlight w:val="none"/>
          <w:u w:val="single"/>
          <w:lang w:val="en-US" w:eastAsia="zh-CN"/>
        </w:rPr>
      </w:pPr>
    </w:p>
    <w:p w14:paraId="6D66252B">
      <w:pPr>
        <w:spacing w:beforeLines="0" w:afterLines="0" w:line="360" w:lineRule="auto"/>
        <w:ind w:firstLine="0"/>
        <w:jc w:val="left"/>
        <w:outlineLvl w:val="2"/>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投标人（加盖公章）：</w:t>
      </w:r>
    </w:p>
    <w:p w14:paraId="260A7401">
      <w:pPr>
        <w:spacing w:beforeLines="0" w:afterLines="0" w:line="360" w:lineRule="auto"/>
        <w:jc w:val="left"/>
        <w:outlineLvl w:val="2"/>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法定代表人（单位负责人等）（签字或签章）：</w:t>
      </w:r>
    </w:p>
    <w:p w14:paraId="3BA800EB">
      <w:pPr>
        <w:spacing w:beforeLines="0" w:afterLines="0" w:line="360" w:lineRule="auto"/>
        <w:ind w:firstLine="0"/>
        <w:jc w:val="left"/>
        <w:outlineLvl w:val="2"/>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委托代理人（签字或签章）：</w:t>
      </w:r>
    </w:p>
    <w:p w14:paraId="4CDF7B5F">
      <w:pPr>
        <w:spacing w:beforeLines="0" w:afterLines="0" w:line="360" w:lineRule="auto"/>
        <w:jc w:val="left"/>
        <w:outlineLvl w:val="2"/>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日期：</w:t>
      </w:r>
    </w:p>
    <w:p w14:paraId="41F7A4D1">
      <w:pPr>
        <w:spacing w:beforeLines="0" w:afterLines="0" w:line="360" w:lineRule="auto"/>
        <w:jc w:val="left"/>
        <w:outlineLvl w:val="2"/>
        <w:rPr>
          <w:rFonts w:hint="default" w:ascii="Times New Roman" w:hAnsi="Times New Roman" w:cs="Times New Roman" w:eastAsiaTheme="minorEastAsia"/>
          <w:b w:val="0"/>
          <w:sz w:val="28"/>
          <w:szCs w:val="28"/>
          <w:highlight w:val="none"/>
          <w:u w:val="single"/>
          <w:shd w:val="clear"/>
          <w:lang w:eastAsia="zh-CN"/>
        </w:rPr>
      </w:pPr>
    </w:p>
    <w:p w14:paraId="74F17F38">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bookmarkStart w:id="15" w:name="OLE_LINK36"/>
      <w:bookmarkStart w:id="16" w:name="OLE_LINK37"/>
      <w:r>
        <w:rPr>
          <w:rFonts w:hint="default" w:ascii="Times New Roman" w:hAnsi="Times New Roman" w:cs="Times New Roman" w:eastAsiaTheme="minorEastAsia"/>
          <w:b w:val="0"/>
          <w:sz w:val="28"/>
          <w:szCs w:val="28"/>
          <w:highlight w:val="none"/>
          <w:shd w:val="clear"/>
          <w:lang w:val="en-US" w:eastAsia="zh-CN"/>
        </w:rPr>
        <w:t>附：法定代表人（单位负责人等）及委托代理人身份证明文</w:t>
      </w:r>
      <w:bookmarkEnd w:id="15"/>
      <w:r>
        <w:rPr>
          <w:rFonts w:hint="default" w:ascii="Times New Roman" w:hAnsi="Times New Roman" w:cs="Times New Roman" w:eastAsiaTheme="minorEastAsia"/>
          <w:b w:val="0"/>
          <w:sz w:val="28"/>
          <w:szCs w:val="28"/>
          <w:highlight w:val="none"/>
          <w:shd w:val="clear"/>
          <w:lang w:val="en-US" w:eastAsia="zh-CN"/>
        </w:rPr>
        <w:t>件</w:t>
      </w:r>
    </w:p>
    <w:p w14:paraId="10407E61">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2E43046D">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24E07698">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784300FC">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4BE9857A">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51E98399">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5E079F5F">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47766A18">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796A187D">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p w14:paraId="14751F9A">
      <w:pPr>
        <w:pStyle w:val="13"/>
        <w:spacing w:beforeLines="0" w:afterLines="0" w:line="360" w:lineRule="auto"/>
        <w:ind w:firstLine="560" w:firstLineChars="200"/>
        <w:jc w:val="left"/>
        <w:rPr>
          <w:rFonts w:hint="default" w:ascii="Times New Roman" w:hAnsi="Times New Roman" w:cs="Times New Roman" w:eastAsiaTheme="minorEastAsia"/>
          <w:b w:val="0"/>
          <w:sz w:val="28"/>
          <w:szCs w:val="28"/>
          <w:highlight w:val="none"/>
          <w:shd w:val="clear"/>
          <w:lang w:val="en-US" w:eastAsia="zh-CN"/>
        </w:rPr>
      </w:pPr>
    </w:p>
    <w:bookmarkEnd w:id="16"/>
    <w:p w14:paraId="782618AD">
      <w:pPr>
        <w:pStyle w:val="13"/>
        <w:spacing w:beforeLines="0" w:afterLines="0" w:line="360" w:lineRule="auto"/>
        <w:ind w:firstLine="0" w:firstLineChars="0"/>
        <w:rPr>
          <w:rFonts w:hint="default" w:ascii="Times New Roman" w:hAnsi="Times New Roman" w:cs="Times New Roman" w:eastAsiaTheme="minorEastAsia"/>
          <w:b/>
          <w:bCs/>
          <w:sz w:val="28"/>
          <w:szCs w:val="28"/>
          <w:highlight w:val="none"/>
          <w:lang w:eastAsia="zh-CN"/>
        </w:rPr>
      </w:pPr>
    </w:p>
    <w:p w14:paraId="4A07D0A5">
      <w:pPr>
        <w:pStyle w:val="13"/>
        <w:spacing w:beforeLines="0" w:afterLines="0" w:line="360" w:lineRule="auto"/>
        <w:ind w:firstLine="0" w:firstLineChars="0"/>
        <w:jc w:val="center"/>
        <w:rPr>
          <w:rFonts w:hint="default" w:ascii="Times New Roman" w:hAnsi="Times New Roman" w:cs="Times New Roman" w:eastAsiaTheme="minorEastAsia"/>
          <w:b/>
          <w:bCs/>
          <w:i/>
          <w:iCs/>
          <w:sz w:val="28"/>
          <w:szCs w:val="28"/>
          <w:highlight w:val="none"/>
          <w:lang w:eastAsia="zh-CN"/>
        </w:rPr>
      </w:pPr>
      <w:r>
        <w:rPr>
          <w:rFonts w:hint="default" w:ascii="Times New Roman" w:hAnsi="Times New Roman" w:cs="Times New Roman" w:eastAsiaTheme="minorEastAsia"/>
          <w:b/>
          <w:bCs/>
          <w:sz w:val="28"/>
          <w:szCs w:val="28"/>
          <w:highlight w:val="none"/>
          <w:lang w:eastAsia="zh-CN"/>
        </w:rPr>
        <w:t>法定代表人（单位负责人等）</w:t>
      </w:r>
      <w:r>
        <w:rPr>
          <w:rFonts w:hint="eastAsia" w:ascii="Times New Roman" w:hAnsi="Times New Roman" w:cs="Times New Roman" w:eastAsiaTheme="minorEastAsia"/>
          <w:b/>
          <w:bCs/>
          <w:sz w:val="28"/>
          <w:szCs w:val="28"/>
          <w:highlight w:val="none"/>
          <w:lang w:eastAsia="zh-CN"/>
        </w:rPr>
        <w:t>身份</w:t>
      </w:r>
      <w:r>
        <w:rPr>
          <w:rFonts w:hint="default" w:ascii="Times New Roman" w:hAnsi="Times New Roman" w:cs="Times New Roman" w:eastAsiaTheme="minorEastAsia"/>
          <w:b/>
          <w:bCs/>
          <w:sz w:val="28"/>
          <w:szCs w:val="28"/>
          <w:highlight w:val="none"/>
          <w:lang w:eastAsia="zh-CN"/>
        </w:rPr>
        <w:t>证明</w:t>
      </w:r>
      <w:r>
        <w:rPr>
          <w:rFonts w:hint="default" w:ascii="Times New Roman" w:hAnsi="Times New Roman" w:cs="Times New Roman" w:eastAsiaTheme="minorEastAsia"/>
          <w:b/>
          <w:bCs/>
          <w:i/>
          <w:iCs/>
          <w:sz w:val="28"/>
          <w:szCs w:val="28"/>
          <w:highlight w:val="none"/>
          <w:lang w:eastAsia="zh-CN"/>
        </w:rPr>
        <w:t>（仅供参考）</w:t>
      </w:r>
    </w:p>
    <w:p w14:paraId="447107AE">
      <w:pPr>
        <w:pStyle w:val="23"/>
        <w:spacing w:line="360" w:lineRule="auto"/>
        <w:jc w:val="center"/>
        <w:outlineLvl w:val="2"/>
        <w:rPr>
          <w:rFonts w:hint="default" w:ascii="Times New Roman" w:hAnsi="Times New Roman" w:eastAsia="仿宋_GB2312" w:cs="Times New Roman"/>
          <w:b w:val="0"/>
          <w:sz w:val="21"/>
          <w:szCs w:val="24"/>
          <w:highlight w:val="none"/>
          <w:shd w:val="clear"/>
          <w:lang w:eastAsia="zh-CN"/>
        </w:rPr>
      </w:pPr>
    </w:p>
    <w:p w14:paraId="3B1157A5">
      <w:pPr>
        <w:spacing w:beforeLines="0" w:afterLines="0" w:line="360" w:lineRule="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致：（采购人/采购代理机构）</w:t>
      </w:r>
    </w:p>
    <w:p w14:paraId="5B86B4E0">
      <w:pPr>
        <w:spacing w:beforeLines="0" w:afterLines="0" w:line="360" w:lineRule="auto"/>
        <w:ind w:firstLine="0"/>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 xml:space="preserve">    兹证明，姓名：      性别：       年龄：     职务：    ，系（投标人名称）           的法定代表人（单位负责人等）。</w:t>
      </w:r>
    </w:p>
    <w:p w14:paraId="3C036603">
      <w:pPr>
        <w:spacing w:beforeLines="0" w:afterLines="0" w:line="360" w:lineRule="auto"/>
        <w:ind w:firstLine="600"/>
        <w:rPr>
          <w:rFonts w:hint="default" w:ascii="Times New Roman" w:hAnsi="Times New Roman" w:cs="Times New Roman" w:eastAsiaTheme="minorEastAsia"/>
          <w:sz w:val="28"/>
          <w:szCs w:val="28"/>
          <w:highlight w:val="none"/>
          <w:lang w:eastAsia="zh-CN"/>
        </w:rPr>
      </w:pPr>
    </w:p>
    <w:p w14:paraId="509519A2">
      <w:pPr>
        <w:spacing w:beforeLines="0" w:afterLines="0" w:line="360" w:lineRule="auto"/>
        <w:ind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b w:val="0"/>
          <w:sz w:val="28"/>
          <w:szCs w:val="28"/>
          <w:highlight w:val="none"/>
          <w:shd w:val="clear"/>
          <w:lang w:val="en-US" w:eastAsia="zh-CN"/>
        </w:rPr>
        <w:t xml:space="preserve">    附：法定代表人（单位负责人等）身份证明文件</w:t>
      </w:r>
    </w:p>
    <w:p w14:paraId="248E7DC3">
      <w:pPr>
        <w:spacing w:beforeLines="0" w:afterLines="0" w:line="360" w:lineRule="auto"/>
        <w:ind w:left="0" w:leftChars="0" w:firstLine="0" w:firstLineChars="0"/>
        <w:rPr>
          <w:rFonts w:hint="default" w:ascii="Times New Roman" w:hAnsi="Times New Roman" w:cs="Times New Roman" w:eastAsiaTheme="minorEastAsia"/>
          <w:sz w:val="28"/>
          <w:szCs w:val="28"/>
          <w:highlight w:val="none"/>
        </w:rPr>
      </w:pPr>
    </w:p>
    <w:p w14:paraId="5C4F6A70">
      <w:pPr>
        <w:spacing w:beforeLines="0" w:afterLines="0" w:line="360" w:lineRule="auto"/>
        <w:ind w:left="0" w:leftChars="0" w:firstLine="0" w:firstLineChars="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投标</w:t>
      </w:r>
      <w:r>
        <w:rPr>
          <w:rFonts w:hint="default" w:ascii="Times New Roman" w:hAnsi="Times New Roman" w:cs="Times New Roman" w:eastAsiaTheme="minorEastAsia"/>
          <w:sz w:val="28"/>
          <w:szCs w:val="28"/>
          <w:highlight w:val="none"/>
          <w:lang w:eastAsia="zh-CN"/>
        </w:rPr>
        <w:t>人（加盖公章）</w:t>
      </w:r>
      <w:r>
        <w:rPr>
          <w:rFonts w:hint="default" w:ascii="Times New Roman" w:hAnsi="Times New Roman" w:cs="Times New Roman" w:eastAsiaTheme="minorEastAsia"/>
          <w:sz w:val="28"/>
          <w:szCs w:val="28"/>
          <w:highlight w:val="none"/>
        </w:rPr>
        <w:t xml:space="preserve">：                </w:t>
      </w:r>
    </w:p>
    <w:p w14:paraId="7776E0DC">
      <w:pPr>
        <w:spacing w:beforeLines="0" w:afterLines="0" w:line="360" w:lineRule="auto"/>
        <w:ind w:left="0" w:leftChars="0"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法定代表人（单位负责人等）（签字或盖章）</w:t>
      </w:r>
      <w:r>
        <w:rPr>
          <w:rFonts w:hint="default" w:ascii="Times New Roman" w:hAnsi="Times New Roman" w:cs="Times New Roman" w:eastAsiaTheme="minorEastAsia"/>
          <w:sz w:val="28"/>
          <w:szCs w:val="28"/>
          <w:highlight w:val="none"/>
        </w:rPr>
        <w:t xml:space="preserve"> </w:t>
      </w:r>
    </w:p>
    <w:p w14:paraId="12EAB7D1">
      <w:pPr>
        <w:spacing w:beforeLines="0" w:afterLines="0" w:line="360" w:lineRule="auto"/>
        <w:ind w:left="0" w:leftChars="0" w:firstLine="0"/>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val="en-US" w:eastAsia="zh-CN"/>
        </w:rPr>
        <w:t xml:space="preserve">        </w:t>
      </w:r>
      <w:r>
        <w:rPr>
          <w:rFonts w:hint="default" w:ascii="Times New Roman" w:hAnsi="Times New Roman" w:cs="Times New Roman" w:eastAsiaTheme="minorEastAsia"/>
          <w:sz w:val="28"/>
          <w:szCs w:val="28"/>
          <w:highlight w:val="none"/>
        </w:rPr>
        <w:t xml:space="preserve">日期：                </w:t>
      </w:r>
    </w:p>
    <w:p w14:paraId="2599E51B">
      <w:pPr>
        <w:spacing w:beforeLines="-2147483648" w:afterLines="-2147483648" w:line="360" w:lineRule="auto"/>
        <w:jc w:val="left"/>
        <w:outlineLvl w:val="9"/>
        <w:rPr>
          <w:rFonts w:hint="default" w:ascii="Times New Roman" w:hAnsi="Times New Roman" w:cs="Times New Roman" w:eastAsiaTheme="minorEastAsia"/>
          <w:b/>
          <w:bCs/>
          <w:sz w:val="28"/>
          <w:szCs w:val="28"/>
          <w:highlight w:val="none"/>
          <w:shd w:val="clear"/>
          <w:lang w:val="en-US" w:eastAsia="zh-CN"/>
        </w:rPr>
      </w:pPr>
      <w:r>
        <w:rPr>
          <w:rFonts w:hint="default" w:ascii="Times New Roman" w:hAnsi="Times New Roman" w:cs="Times New Roman" w:eastAsiaTheme="minorEastAsia"/>
          <w:b/>
          <w:bCs/>
          <w:sz w:val="28"/>
          <w:szCs w:val="28"/>
          <w:highlight w:val="none"/>
          <w:shd w:val="clear"/>
          <w:lang w:val="en-US" w:eastAsia="zh-CN"/>
        </w:rPr>
        <w:br w:type="page"/>
      </w:r>
    </w:p>
    <w:p w14:paraId="6B1ADB9C">
      <w:pPr>
        <w:spacing w:beforeLines="0" w:afterLines="0" w:line="360" w:lineRule="auto"/>
        <w:jc w:val="both"/>
        <w:outlineLvl w:val="2"/>
        <w:rPr>
          <w:rFonts w:hint="default" w:ascii="Times New Roman" w:hAnsi="Times New Roman" w:cs="Times New Roman" w:eastAsiaTheme="minorEastAsia"/>
          <w:b/>
          <w:bCs/>
          <w:sz w:val="28"/>
          <w:szCs w:val="28"/>
          <w:highlight w:val="none"/>
          <w:shd w:val="clear"/>
          <w:lang w:val="en-US" w:eastAsia="zh-CN"/>
        </w:rPr>
      </w:pPr>
      <w:r>
        <w:rPr>
          <w:rFonts w:hint="default" w:ascii="Times New Roman" w:hAnsi="Times New Roman" w:cs="Times New Roman" w:eastAsiaTheme="minorEastAsia"/>
          <w:b/>
          <w:bCs/>
          <w:sz w:val="28"/>
          <w:szCs w:val="28"/>
          <w:highlight w:val="none"/>
          <w:shd w:val="clear"/>
          <w:lang w:val="en-US" w:eastAsia="zh-CN"/>
        </w:rPr>
        <w:t>3.开标一览表</w:t>
      </w:r>
    </w:p>
    <w:p w14:paraId="294D1EC7">
      <w:pPr>
        <w:spacing w:beforeLines="0" w:afterLines="0" w:line="360" w:lineRule="auto"/>
        <w:jc w:val="center"/>
        <w:outlineLvl w:val="2"/>
        <w:rPr>
          <w:rFonts w:hint="default" w:ascii="Times New Roman" w:hAnsi="Times New Roman" w:cs="Times New Roman" w:eastAsiaTheme="minorEastAsia"/>
          <w:b/>
          <w:bCs/>
          <w:sz w:val="28"/>
          <w:szCs w:val="28"/>
          <w:highlight w:val="none"/>
          <w:shd w:val="clear"/>
          <w:lang w:val="en-US" w:eastAsia="zh-CN"/>
        </w:rPr>
      </w:pPr>
    </w:p>
    <w:p w14:paraId="16037F61">
      <w:pPr>
        <w:pStyle w:val="2"/>
        <w:spacing w:before="124" w:line="221" w:lineRule="auto"/>
        <w:ind w:left="3647"/>
        <w:rPr>
          <w:sz w:val="36"/>
          <w:szCs w:val="36"/>
        </w:rPr>
      </w:pPr>
      <w:r>
        <w:rPr>
          <w:b/>
          <w:bCs/>
          <w:spacing w:val="-6"/>
          <w:sz w:val="36"/>
          <w:szCs w:val="36"/>
        </w:rPr>
        <w:t>开标一览表</w:t>
      </w:r>
    </w:p>
    <w:p w14:paraId="55968A4D">
      <w:pPr>
        <w:spacing w:line="321" w:lineRule="auto"/>
        <w:rPr>
          <w:rFonts w:ascii="Arial"/>
          <w:sz w:val="21"/>
        </w:rPr>
      </w:pPr>
    </w:p>
    <w:p w14:paraId="379DBD39">
      <w:pPr>
        <w:pStyle w:val="2"/>
        <w:spacing w:before="81" w:line="211" w:lineRule="auto"/>
        <w:ind w:left="34"/>
        <w:rPr>
          <w:sz w:val="25"/>
          <w:szCs w:val="25"/>
        </w:rPr>
      </w:pPr>
    </w:p>
    <w:p w14:paraId="3CBBF8FD">
      <w:pPr>
        <w:pStyle w:val="2"/>
        <w:spacing w:before="182" w:line="217" w:lineRule="auto"/>
        <w:ind w:left="253"/>
        <w:rPr>
          <w:rFonts w:ascii="Arial" w:hAnsi="Arial" w:eastAsia="Arial" w:cs="Arial"/>
          <w:sz w:val="24"/>
          <w:szCs w:val="24"/>
        </w:rPr>
      </w:pPr>
      <w:r>
        <w:rPr>
          <w:spacing w:val="-1"/>
          <w:sz w:val="24"/>
          <w:szCs w:val="24"/>
        </w:rPr>
        <w:t>项目编号：</w:t>
      </w:r>
      <w:r>
        <w:rPr>
          <w:rFonts w:ascii="Arial" w:hAnsi="Arial" w:eastAsia="Arial" w:cs="Arial"/>
          <w:spacing w:val="-1"/>
          <w:sz w:val="24"/>
          <w:szCs w:val="24"/>
        </w:rPr>
        <w:t xml:space="preserve">___________________         </w:t>
      </w:r>
      <w:r>
        <w:rPr>
          <w:spacing w:val="-1"/>
          <w:sz w:val="24"/>
          <w:szCs w:val="24"/>
        </w:rPr>
        <w:t>项目名称：</w:t>
      </w:r>
      <w:r>
        <w:rPr>
          <w:rFonts w:ascii="Arial" w:hAnsi="Arial" w:eastAsia="Arial" w:cs="Arial"/>
          <w:spacing w:val="-1"/>
          <w:sz w:val="24"/>
          <w:szCs w:val="24"/>
        </w:rPr>
        <w:t>___________</w:t>
      </w:r>
    </w:p>
    <w:tbl>
      <w:tblPr>
        <w:tblStyle w:val="38"/>
        <w:tblpPr w:leftFromText="180" w:rightFromText="180" w:vertAnchor="text" w:horzAnchor="page" w:tblpX="1521" w:tblpY="139"/>
        <w:tblOverlap w:val="never"/>
        <w:tblW w:w="89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2610"/>
        <w:gridCol w:w="1800"/>
        <w:gridCol w:w="1680"/>
        <w:gridCol w:w="2122"/>
      </w:tblGrid>
      <w:tr w14:paraId="1A3D9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46" w:type="dxa"/>
            <w:vMerge w:val="restart"/>
            <w:tcBorders>
              <w:bottom w:val="nil"/>
            </w:tcBorders>
            <w:vAlign w:val="top"/>
          </w:tcPr>
          <w:p w14:paraId="3DD2510B">
            <w:pPr>
              <w:pStyle w:val="41"/>
              <w:spacing w:line="410" w:lineRule="auto"/>
            </w:pPr>
          </w:p>
          <w:p w14:paraId="740E7E8E">
            <w:pPr>
              <w:spacing w:before="78" w:line="222" w:lineRule="auto"/>
              <w:ind w:left="113"/>
              <w:rPr>
                <w:rFonts w:ascii="宋体" w:hAnsi="宋体" w:eastAsia="宋体" w:cs="宋体"/>
                <w:sz w:val="24"/>
                <w:szCs w:val="24"/>
              </w:rPr>
            </w:pPr>
            <w:r>
              <w:rPr>
                <w:rFonts w:hint="eastAsia" w:ascii="宋体" w:hAnsi="宋体" w:cs="宋体"/>
                <w:b/>
                <w:bCs/>
                <w:spacing w:val="-5"/>
                <w:sz w:val="24"/>
                <w:szCs w:val="24"/>
                <w:lang w:eastAsia="zh-CN"/>
              </w:rPr>
              <w:t>序</w:t>
            </w:r>
            <w:r>
              <w:rPr>
                <w:rFonts w:ascii="宋体" w:hAnsi="宋体" w:eastAsia="宋体" w:cs="宋体"/>
                <w:b/>
                <w:bCs/>
                <w:spacing w:val="-5"/>
                <w:sz w:val="24"/>
                <w:szCs w:val="24"/>
              </w:rPr>
              <w:t>号</w:t>
            </w:r>
          </w:p>
        </w:tc>
        <w:tc>
          <w:tcPr>
            <w:tcW w:w="2610" w:type="dxa"/>
            <w:vMerge w:val="restart"/>
            <w:tcBorders>
              <w:bottom w:val="nil"/>
            </w:tcBorders>
            <w:vAlign w:val="top"/>
          </w:tcPr>
          <w:p w14:paraId="71C22F86">
            <w:pPr>
              <w:pStyle w:val="41"/>
              <w:spacing w:line="410" w:lineRule="auto"/>
            </w:pPr>
          </w:p>
          <w:p w14:paraId="632986A3">
            <w:pPr>
              <w:spacing w:before="78" w:line="221" w:lineRule="auto"/>
              <w:jc w:val="center"/>
              <w:rPr>
                <w:rFonts w:ascii="宋体" w:hAnsi="宋体" w:eastAsia="宋体" w:cs="宋体"/>
                <w:sz w:val="24"/>
                <w:szCs w:val="24"/>
              </w:rPr>
            </w:pPr>
            <w:r>
              <w:rPr>
                <w:rFonts w:ascii="宋体" w:hAnsi="宋体" w:eastAsia="宋体" w:cs="宋体"/>
                <w:b/>
                <w:bCs/>
                <w:spacing w:val="-4"/>
                <w:sz w:val="24"/>
                <w:szCs w:val="24"/>
              </w:rPr>
              <w:t>投标人名称</w:t>
            </w:r>
          </w:p>
        </w:tc>
        <w:tc>
          <w:tcPr>
            <w:tcW w:w="3480" w:type="dxa"/>
            <w:gridSpan w:val="2"/>
            <w:vAlign w:val="top"/>
          </w:tcPr>
          <w:p w14:paraId="11EF5B92">
            <w:pPr>
              <w:spacing w:before="150" w:line="219" w:lineRule="auto"/>
              <w:ind w:left="1516"/>
              <w:rPr>
                <w:rFonts w:ascii="宋体" w:hAnsi="宋体" w:eastAsia="宋体" w:cs="宋体"/>
                <w:sz w:val="24"/>
                <w:szCs w:val="24"/>
              </w:rPr>
            </w:pPr>
            <w:r>
              <w:rPr>
                <w:rFonts w:ascii="宋体" w:hAnsi="宋体" w:eastAsia="宋体" w:cs="宋体"/>
                <w:b/>
                <w:bCs/>
                <w:spacing w:val="-5"/>
                <w:sz w:val="24"/>
                <w:szCs w:val="24"/>
              </w:rPr>
              <w:t>投标报价</w:t>
            </w:r>
          </w:p>
        </w:tc>
        <w:tc>
          <w:tcPr>
            <w:tcW w:w="2122" w:type="dxa"/>
            <w:vAlign w:val="top"/>
          </w:tcPr>
          <w:p w14:paraId="5E849CB9">
            <w:pPr>
              <w:spacing w:before="150" w:line="219" w:lineRule="auto"/>
              <w:jc w:val="center"/>
              <w:rPr>
                <w:rFonts w:ascii="宋体" w:hAnsi="宋体" w:eastAsia="宋体" w:cs="宋体"/>
                <w:b/>
                <w:bCs/>
                <w:spacing w:val="-5"/>
                <w:sz w:val="24"/>
                <w:szCs w:val="24"/>
              </w:rPr>
            </w:pPr>
            <w:r>
              <w:rPr>
                <w:rFonts w:hint="eastAsia" w:ascii="宋体" w:hAnsi="宋体" w:eastAsia="宋体" w:cs="宋体"/>
                <w:b/>
                <w:bCs/>
                <w:spacing w:val="-5"/>
                <w:sz w:val="24"/>
                <w:szCs w:val="24"/>
                <w:lang w:eastAsia="zh-CN"/>
              </w:rPr>
              <w:t>交货期限</w:t>
            </w:r>
          </w:p>
        </w:tc>
      </w:tr>
      <w:tr w14:paraId="19348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746" w:type="dxa"/>
            <w:vMerge w:val="continue"/>
            <w:tcBorders>
              <w:top w:val="nil"/>
            </w:tcBorders>
            <w:vAlign w:val="top"/>
          </w:tcPr>
          <w:p w14:paraId="7BEDE0FE">
            <w:pPr>
              <w:pStyle w:val="41"/>
            </w:pPr>
          </w:p>
        </w:tc>
        <w:tc>
          <w:tcPr>
            <w:tcW w:w="2610" w:type="dxa"/>
            <w:vMerge w:val="continue"/>
            <w:tcBorders>
              <w:top w:val="nil"/>
            </w:tcBorders>
            <w:vAlign w:val="top"/>
          </w:tcPr>
          <w:p w14:paraId="68A79A41">
            <w:pPr>
              <w:pStyle w:val="41"/>
            </w:pPr>
          </w:p>
        </w:tc>
        <w:tc>
          <w:tcPr>
            <w:tcW w:w="1800" w:type="dxa"/>
            <w:vAlign w:val="top"/>
          </w:tcPr>
          <w:p w14:paraId="3C40E0C1">
            <w:pPr>
              <w:spacing w:before="217" w:line="221" w:lineRule="auto"/>
              <w:ind w:left="765"/>
              <w:rPr>
                <w:rFonts w:ascii="宋体" w:hAnsi="宋体" w:eastAsia="宋体" w:cs="宋体"/>
                <w:sz w:val="24"/>
                <w:szCs w:val="24"/>
              </w:rPr>
            </w:pPr>
            <w:r>
              <w:rPr>
                <w:rFonts w:ascii="宋体" w:hAnsi="宋体" w:eastAsia="宋体" w:cs="宋体"/>
                <w:b/>
                <w:bCs/>
                <w:spacing w:val="-6"/>
                <w:sz w:val="24"/>
                <w:szCs w:val="24"/>
              </w:rPr>
              <w:t>大写</w:t>
            </w:r>
          </w:p>
        </w:tc>
        <w:tc>
          <w:tcPr>
            <w:tcW w:w="1680" w:type="dxa"/>
            <w:vAlign w:val="top"/>
          </w:tcPr>
          <w:p w14:paraId="5F452C6F">
            <w:pPr>
              <w:spacing w:before="217" w:line="222" w:lineRule="auto"/>
              <w:ind w:left="768"/>
              <w:rPr>
                <w:rFonts w:ascii="宋体" w:hAnsi="宋体" w:eastAsia="宋体" w:cs="宋体"/>
                <w:sz w:val="24"/>
                <w:szCs w:val="24"/>
              </w:rPr>
            </w:pPr>
            <w:r>
              <w:rPr>
                <w:rFonts w:ascii="宋体" w:hAnsi="宋体" w:eastAsia="宋体" w:cs="宋体"/>
                <w:b/>
                <w:bCs/>
                <w:spacing w:val="-7"/>
                <w:sz w:val="24"/>
                <w:szCs w:val="24"/>
              </w:rPr>
              <w:t>小写</w:t>
            </w:r>
          </w:p>
        </w:tc>
        <w:tc>
          <w:tcPr>
            <w:tcW w:w="2122" w:type="dxa"/>
            <w:vAlign w:val="top"/>
          </w:tcPr>
          <w:p w14:paraId="54B3B28F">
            <w:pPr>
              <w:spacing w:before="217" w:line="222" w:lineRule="auto"/>
              <w:ind w:left="768"/>
              <w:rPr>
                <w:rFonts w:ascii="宋体" w:hAnsi="宋体" w:eastAsia="宋体" w:cs="宋体"/>
                <w:b/>
                <w:bCs/>
                <w:spacing w:val="-7"/>
                <w:sz w:val="24"/>
                <w:szCs w:val="24"/>
              </w:rPr>
            </w:pPr>
          </w:p>
        </w:tc>
      </w:tr>
      <w:tr w14:paraId="22CFA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746" w:type="dxa"/>
            <w:vAlign w:val="top"/>
          </w:tcPr>
          <w:p w14:paraId="3BB0E903">
            <w:pPr>
              <w:pStyle w:val="41"/>
            </w:pPr>
          </w:p>
        </w:tc>
        <w:tc>
          <w:tcPr>
            <w:tcW w:w="2610" w:type="dxa"/>
            <w:vAlign w:val="top"/>
          </w:tcPr>
          <w:p w14:paraId="48D67A42">
            <w:pPr>
              <w:pStyle w:val="41"/>
            </w:pPr>
          </w:p>
        </w:tc>
        <w:tc>
          <w:tcPr>
            <w:tcW w:w="1800" w:type="dxa"/>
            <w:vAlign w:val="top"/>
          </w:tcPr>
          <w:p w14:paraId="6791C1ED">
            <w:pPr>
              <w:pStyle w:val="41"/>
            </w:pPr>
          </w:p>
        </w:tc>
        <w:tc>
          <w:tcPr>
            <w:tcW w:w="1680" w:type="dxa"/>
            <w:vAlign w:val="top"/>
          </w:tcPr>
          <w:p w14:paraId="6E1C6835">
            <w:pPr>
              <w:pStyle w:val="41"/>
            </w:pPr>
          </w:p>
        </w:tc>
        <w:tc>
          <w:tcPr>
            <w:tcW w:w="2122" w:type="dxa"/>
            <w:vAlign w:val="top"/>
          </w:tcPr>
          <w:p w14:paraId="47E476BD">
            <w:pPr>
              <w:pStyle w:val="41"/>
            </w:pPr>
          </w:p>
        </w:tc>
      </w:tr>
    </w:tbl>
    <w:p w14:paraId="7944DC19">
      <w:pPr>
        <w:spacing w:line="147" w:lineRule="exact"/>
      </w:pPr>
    </w:p>
    <w:p w14:paraId="7FF182AA">
      <w:pPr>
        <w:pStyle w:val="2"/>
        <w:keepNext w:val="0"/>
        <w:keepLines w:val="0"/>
        <w:pageBreakBefore w:val="0"/>
        <w:widowControl w:val="0"/>
        <w:kinsoku/>
        <w:wordWrap/>
        <w:overflowPunct/>
        <w:topLinePunct w:val="0"/>
        <w:autoSpaceDE/>
        <w:autoSpaceDN/>
        <w:bidi w:val="0"/>
        <w:adjustRightInd/>
        <w:snapToGrid/>
        <w:spacing w:before="315" w:line="520" w:lineRule="exact"/>
        <w:ind w:left="9"/>
        <w:textAlignment w:val="auto"/>
        <w:rPr>
          <w:rFonts w:ascii="宋体" w:hAnsi="宋体" w:eastAsia="宋体" w:cs="宋体"/>
          <w:b/>
          <w:bCs/>
          <w:kern w:val="2"/>
          <w:sz w:val="24"/>
          <w:szCs w:val="24"/>
          <w:lang w:val="en-US" w:eastAsia="en-US" w:bidi="ar-SA"/>
        </w:rPr>
      </w:pPr>
      <w:r>
        <w:rPr>
          <w:b/>
          <w:bCs/>
          <w:sz w:val="24"/>
          <w:szCs w:val="24"/>
        </w:rPr>
        <w:t>注：</w:t>
      </w:r>
      <w:r>
        <w:rPr>
          <w:rFonts w:ascii="宋体" w:hAnsi="宋体" w:eastAsia="宋体" w:cs="宋体"/>
          <w:b/>
          <w:bCs/>
          <w:kern w:val="2"/>
          <w:sz w:val="24"/>
          <w:szCs w:val="24"/>
          <w:lang w:val="en-US" w:eastAsia="en-US" w:bidi="ar-SA"/>
        </w:rPr>
        <w:t>1</w:t>
      </w:r>
      <w:r>
        <w:rPr>
          <w:rFonts w:hint="eastAsia" w:ascii="宋体" w:hAnsi="宋体" w:eastAsia="宋体" w:cs="宋体"/>
          <w:b/>
          <w:bCs/>
          <w:kern w:val="2"/>
          <w:sz w:val="24"/>
          <w:szCs w:val="24"/>
          <w:lang w:val="en-US" w:eastAsia="zh-CN" w:bidi="ar-SA"/>
        </w:rPr>
        <w:t>、</w:t>
      </w:r>
      <w:r>
        <w:rPr>
          <w:rFonts w:ascii="宋体" w:hAnsi="宋体" w:eastAsia="宋体" w:cs="宋体"/>
          <w:b/>
          <w:bCs/>
          <w:kern w:val="2"/>
          <w:sz w:val="24"/>
          <w:szCs w:val="24"/>
          <w:lang w:val="en-US" w:eastAsia="en-US" w:bidi="ar-SA"/>
        </w:rPr>
        <w:t>此表中，投标报价应和《投标分项报价表》中的总价相一致。</w:t>
      </w:r>
    </w:p>
    <w:p w14:paraId="4DD864C2">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2、对含糊不清或不确定的报价将视为无效报价。报价表述限于中文大写或阿拉伯数字小写，均已核定准确无误，若投标报价大小写不一致，以大写金额为准。</w:t>
      </w:r>
    </w:p>
    <w:p w14:paraId="3B3761FB">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3、如果我方中标，我方将在采购文件规定的时间内签订合同。如果我方违约，除没收投标保证金外，贵方有权终止我方中标并选择其它中标供应商。</w:t>
      </w:r>
    </w:p>
    <w:p w14:paraId="410173A0">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4、贵方的中标通知书和本采购投标文件将构成约束双方的合同。</w:t>
      </w:r>
    </w:p>
    <w:p w14:paraId="76104F9D">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482" w:firstLineChars="200"/>
        <w:textAlignment w:val="auto"/>
        <w:rPr>
          <w:rFonts w:ascii="宋体" w:hAnsi="宋体" w:eastAsia="宋体" w:cs="宋体"/>
          <w:b/>
          <w:bCs/>
          <w:kern w:val="2"/>
          <w:sz w:val="24"/>
          <w:szCs w:val="24"/>
          <w:lang w:val="en-US" w:eastAsia="en-US" w:bidi="ar-SA"/>
        </w:rPr>
      </w:pPr>
      <w:r>
        <w:rPr>
          <w:rFonts w:hint="eastAsia" w:ascii="宋体" w:hAnsi="宋体" w:eastAsia="宋体" w:cs="宋体"/>
          <w:b/>
          <w:bCs/>
          <w:kern w:val="2"/>
          <w:sz w:val="24"/>
          <w:szCs w:val="24"/>
          <w:lang w:val="en-US" w:eastAsia="zh-CN" w:bidi="ar-SA"/>
        </w:rPr>
        <w:t>5、如果我方未中标，贵方没有必要对我方做出任何解释和说明，我方将充分尊重和理解贵方的选择。</w:t>
      </w:r>
    </w:p>
    <w:p w14:paraId="4D40D9A3">
      <w:pPr>
        <w:spacing w:line="285" w:lineRule="auto"/>
        <w:rPr>
          <w:rFonts w:ascii="Arial"/>
          <w:sz w:val="21"/>
        </w:rPr>
      </w:pPr>
    </w:p>
    <w:p w14:paraId="592F4DA0">
      <w:pPr>
        <w:spacing w:line="285" w:lineRule="auto"/>
        <w:rPr>
          <w:rFonts w:ascii="Arial"/>
          <w:sz w:val="21"/>
        </w:rPr>
      </w:pPr>
    </w:p>
    <w:p w14:paraId="7209FE56">
      <w:pPr>
        <w:pStyle w:val="2"/>
        <w:spacing w:before="79" w:line="217" w:lineRule="auto"/>
        <w:ind w:left="12"/>
        <w:rPr>
          <w:rFonts w:ascii="Arial" w:hAnsi="Arial" w:eastAsia="Arial" w:cs="Arial"/>
          <w:sz w:val="24"/>
          <w:szCs w:val="24"/>
        </w:rPr>
      </w:pPr>
      <w:r>
        <w:rPr>
          <w:spacing w:val="-7"/>
          <w:sz w:val="24"/>
          <w:szCs w:val="24"/>
        </w:rPr>
        <w:t>投标人名称（加盖公章</w:t>
      </w:r>
      <w:r>
        <w:rPr>
          <w:sz w:val="24"/>
          <w:szCs w:val="24"/>
        </w:rPr>
        <w:t>）：</w:t>
      </w:r>
      <w:r>
        <w:rPr>
          <w:rFonts w:ascii="Arial" w:hAnsi="Arial" w:eastAsia="Arial" w:cs="Arial"/>
          <w:spacing w:val="-7"/>
          <w:sz w:val="24"/>
          <w:szCs w:val="24"/>
        </w:rPr>
        <w:t>___________</w:t>
      </w:r>
    </w:p>
    <w:p w14:paraId="435D9B76">
      <w:pPr>
        <w:pStyle w:val="2"/>
        <w:spacing w:before="210" w:line="217" w:lineRule="auto"/>
        <w:ind w:left="51"/>
        <w:rPr>
          <w:sz w:val="24"/>
          <w:szCs w:val="24"/>
        </w:rPr>
        <w:sectPr>
          <w:headerReference r:id="rId5" w:type="default"/>
          <w:footerReference r:id="rId6" w:type="default"/>
          <w:pgSz w:w="11907" w:h="16840"/>
          <w:pgMar w:top="1165" w:right="1133" w:bottom="1057" w:left="1700" w:header="830" w:footer="886" w:gutter="0"/>
          <w:pgNumType w:fmt="decimal"/>
          <w:cols w:space="720" w:num="1"/>
        </w:sectPr>
      </w:pPr>
      <w:r>
        <w:rPr>
          <w:spacing w:val="-7"/>
          <w:sz w:val="24"/>
          <w:szCs w:val="24"/>
        </w:rPr>
        <w:t>日期：</w:t>
      </w:r>
      <w:r>
        <w:rPr>
          <w:rFonts w:ascii="Arial" w:hAnsi="Arial" w:eastAsia="Arial" w:cs="Arial"/>
          <w:spacing w:val="-7"/>
          <w:sz w:val="24"/>
          <w:szCs w:val="24"/>
        </w:rPr>
        <w:t>_____</w:t>
      </w:r>
      <w:r>
        <w:rPr>
          <w:spacing w:val="-7"/>
          <w:sz w:val="24"/>
          <w:szCs w:val="24"/>
        </w:rPr>
        <w:t>年</w:t>
      </w:r>
      <w:r>
        <w:rPr>
          <w:rFonts w:ascii="Arial" w:hAnsi="Arial" w:eastAsia="Arial" w:cs="Arial"/>
          <w:spacing w:val="-7"/>
          <w:sz w:val="24"/>
          <w:szCs w:val="24"/>
        </w:rPr>
        <w:t>______</w:t>
      </w:r>
      <w:r>
        <w:rPr>
          <w:spacing w:val="-7"/>
          <w:sz w:val="24"/>
          <w:szCs w:val="24"/>
        </w:rPr>
        <w:t>月</w:t>
      </w:r>
      <w:r>
        <w:rPr>
          <w:rFonts w:ascii="Arial" w:hAnsi="Arial" w:eastAsia="Arial" w:cs="Arial"/>
          <w:spacing w:val="-7"/>
          <w:sz w:val="24"/>
          <w:szCs w:val="24"/>
        </w:rPr>
        <w:t>_____</w:t>
      </w:r>
    </w:p>
    <w:p w14:paraId="1F89A97D">
      <w:pPr>
        <w:spacing w:beforeLines="-2147483648" w:afterLines="-2147483648" w:line="360" w:lineRule="auto"/>
        <w:jc w:val="left"/>
        <w:outlineLvl w:val="9"/>
        <w:rPr>
          <w:rFonts w:hint="default" w:ascii="Times New Roman" w:hAnsi="Times New Roman" w:cs="Times New Roman" w:eastAsiaTheme="minorEastAsia"/>
          <w:b/>
          <w:bCs/>
          <w:sz w:val="28"/>
          <w:szCs w:val="28"/>
          <w:highlight w:val="none"/>
          <w:shd w:val="clear"/>
          <w:lang w:val="en-US" w:eastAsia="zh-CN"/>
        </w:rPr>
      </w:pPr>
    </w:p>
    <w:p w14:paraId="4AFB7F14">
      <w:pPr>
        <w:pStyle w:val="2"/>
        <w:spacing w:before="78" w:line="219" w:lineRule="auto"/>
        <w:ind w:left="124"/>
        <w:rPr>
          <w:rFonts w:hint="default" w:ascii="Times New Roman" w:hAnsi="Times New Roman" w:cs="Times New Roman" w:eastAsiaTheme="minorEastAsia"/>
          <w:b/>
          <w:bCs/>
          <w:kern w:val="2"/>
          <w:sz w:val="28"/>
          <w:szCs w:val="28"/>
          <w:highlight w:val="none"/>
          <w:shd w:val="clear"/>
          <w:lang w:val="en-US" w:eastAsia="zh-CN" w:bidi="ar-SA"/>
        </w:rPr>
      </w:pPr>
      <w:r>
        <w:rPr>
          <w:rFonts w:hint="default" w:ascii="Times New Roman" w:hAnsi="Times New Roman" w:cs="Times New Roman" w:eastAsiaTheme="minorEastAsia"/>
          <w:b/>
          <w:bCs/>
          <w:kern w:val="2"/>
          <w:sz w:val="28"/>
          <w:szCs w:val="28"/>
          <w:highlight w:val="none"/>
          <w:shd w:val="clear"/>
          <w:lang w:val="en-US" w:eastAsia="zh-CN" w:bidi="ar-SA"/>
        </w:rPr>
        <w:t>4</w:t>
      </w:r>
      <w:r>
        <w:rPr>
          <w:rFonts w:hint="eastAsia" w:ascii="Times New Roman" w:hAnsi="Times New Roman" w:cs="Times New Roman" w:eastAsiaTheme="minorEastAsia"/>
          <w:b/>
          <w:bCs/>
          <w:kern w:val="2"/>
          <w:sz w:val="28"/>
          <w:szCs w:val="28"/>
          <w:highlight w:val="none"/>
          <w:shd w:val="clear"/>
          <w:lang w:val="en-US" w:eastAsia="zh-CN" w:bidi="ar-SA"/>
        </w:rPr>
        <w:t>.</w:t>
      </w:r>
      <w:r>
        <w:rPr>
          <w:rFonts w:hint="default" w:ascii="Times New Roman" w:hAnsi="Times New Roman" w:cs="Times New Roman" w:eastAsiaTheme="minorEastAsia"/>
          <w:b/>
          <w:bCs/>
          <w:kern w:val="2"/>
          <w:sz w:val="28"/>
          <w:szCs w:val="28"/>
          <w:highlight w:val="none"/>
          <w:shd w:val="clear"/>
          <w:lang w:val="en-US" w:eastAsia="zh-CN" w:bidi="ar-SA"/>
        </w:rPr>
        <w:t>投标分项报价表</w:t>
      </w:r>
    </w:p>
    <w:p w14:paraId="33ECDD4C">
      <w:pPr>
        <w:spacing w:line="363" w:lineRule="auto"/>
        <w:rPr>
          <w:rFonts w:ascii="Arial"/>
          <w:sz w:val="21"/>
        </w:rPr>
      </w:pPr>
    </w:p>
    <w:p w14:paraId="47B6E303">
      <w:pPr>
        <w:pStyle w:val="2"/>
        <w:spacing w:before="117" w:line="219" w:lineRule="auto"/>
        <w:ind w:left="5869"/>
        <w:rPr>
          <w:sz w:val="36"/>
          <w:szCs w:val="36"/>
        </w:rPr>
      </w:pPr>
      <w:r>
        <w:rPr>
          <w:b/>
          <w:bCs/>
          <w:spacing w:val="-5"/>
          <w:sz w:val="36"/>
          <w:szCs w:val="36"/>
        </w:rPr>
        <w:t>投标分项报价表</w:t>
      </w:r>
    </w:p>
    <w:p w14:paraId="7F5AD133">
      <w:pPr>
        <w:spacing w:line="408" w:lineRule="auto"/>
        <w:rPr>
          <w:rFonts w:ascii="Arial"/>
          <w:sz w:val="21"/>
        </w:rPr>
      </w:pPr>
    </w:p>
    <w:p w14:paraId="78D6B002">
      <w:pPr>
        <w:pStyle w:val="2"/>
        <w:spacing w:before="81" w:line="212" w:lineRule="auto"/>
        <w:ind w:left="146"/>
        <w:rPr>
          <w:sz w:val="25"/>
          <w:szCs w:val="25"/>
        </w:rPr>
      </w:pPr>
      <w:r>
        <w:rPr>
          <w:b/>
          <w:bCs/>
          <w:i/>
          <w:iCs/>
          <w:color w:val="FF0000"/>
          <w:spacing w:val="-12"/>
          <w:sz w:val="25"/>
          <w:szCs w:val="25"/>
        </w:rPr>
        <w:t>（格式示例一，适用于设备采购）</w:t>
      </w:r>
    </w:p>
    <w:p w14:paraId="5319EEFD">
      <w:pPr>
        <w:pStyle w:val="2"/>
        <w:spacing w:before="264" w:line="188" w:lineRule="auto"/>
        <w:ind w:left="126"/>
        <w:rPr>
          <w:sz w:val="24"/>
          <w:szCs w:val="24"/>
        </w:rPr>
      </w:pPr>
      <w:r>
        <w:rPr>
          <w:sz w:val="24"/>
          <w:szCs w:val="24"/>
        </w:rPr>
        <w:t>项目编号</w:t>
      </w:r>
      <w:r>
        <w:rPr>
          <w:rFonts w:ascii="Arial" w:hAnsi="Arial" w:eastAsia="Arial" w:cs="Arial"/>
          <w:sz w:val="24"/>
          <w:szCs w:val="24"/>
        </w:rPr>
        <w:t>/</w:t>
      </w:r>
      <w:r>
        <w:rPr>
          <w:sz w:val="24"/>
          <w:szCs w:val="24"/>
        </w:rPr>
        <w:t>包号：            项目名称：          报价单位：人民币元</w:t>
      </w:r>
    </w:p>
    <w:tbl>
      <w:tblPr>
        <w:tblStyle w:val="38"/>
        <w:tblW w:w="14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2209"/>
        <w:gridCol w:w="1115"/>
        <w:gridCol w:w="1229"/>
        <w:gridCol w:w="1412"/>
        <w:gridCol w:w="1412"/>
        <w:gridCol w:w="1412"/>
        <w:gridCol w:w="1413"/>
        <w:gridCol w:w="961"/>
        <w:gridCol w:w="971"/>
        <w:gridCol w:w="1203"/>
      </w:tblGrid>
      <w:tr w14:paraId="75D02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888" w:type="dxa"/>
            <w:vAlign w:val="top"/>
          </w:tcPr>
          <w:p w14:paraId="30CF588A">
            <w:pPr>
              <w:pStyle w:val="41"/>
              <w:spacing w:line="301" w:lineRule="auto"/>
            </w:pPr>
          </w:p>
          <w:p w14:paraId="45C301F0">
            <w:pPr>
              <w:spacing w:before="78" w:line="222" w:lineRule="auto"/>
              <w:ind w:left="210"/>
              <w:rPr>
                <w:rFonts w:ascii="宋体" w:hAnsi="宋体" w:eastAsia="宋体" w:cs="宋体"/>
                <w:sz w:val="24"/>
                <w:szCs w:val="24"/>
              </w:rPr>
            </w:pPr>
            <w:r>
              <w:rPr>
                <w:rFonts w:ascii="宋体" w:hAnsi="宋体" w:eastAsia="宋体" w:cs="宋体"/>
                <w:b/>
                <w:bCs/>
                <w:spacing w:val="-5"/>
                <w:sz w:val="24"/>
                <w:szCs w:val="24"/>
              </w:rPr>
              <w:t>序号</w:t>
            </w:r>
          </w:p>
        </w:tc>
        <w:tc>
          <w:tcPr>
            <w:tcW w:w="2209" w:type="dxa"/>
            <w:vAlign w:val="top"/>
          </w:tcPr>
          <w:p w14:paraId="22F89B4E">
            <w:pPr>
              <w:pStyle w:val="41"/>
              <w:spacing w:line="302" w:lineRule="auto"/>
            </w:pPr>
            <w:r>
              <w:drawing>
                <wp:anchor distT="0" distB="0" distL="0" distR="0" simplePos="0" relativeHeight="251660288" behindDoc="0" locked="0" layoutInCell="1" allowOverlap="1">
                  <wp:simplePos x="0" y="0"/>
                  <wp:positionH relativeFrom="rightMargin">
                    <wp:posOffset>-778510</wp:posOffset>
                  </wp:positionH>
                  <wp:positionV relativeFrom="topMargin">
                    <wp:posOffset>-3175</wp:posOffset>
                  </wp:positionV>
                  <wp:extent cx="839470" cy="1016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2"/>
                          <a:stretch>
                            <a:fillRect/>
                          </a:stretch>
                        </pic:blipFill>
                        <pic:spPr>
                          <a:xfrm>
                            <a:off x="0" y="0"/>
                            <a:ext cx="839613" cy="10363"/>
                          </a:xfrm>
                          <a:prstGeom prst="rect">
                            <a:avLst/>
                          </a:prstGeom>
                        </pic:spPr>
                      </pic:pic>
                    </a:graphicData>
                  </a:graphic>
                </wp:anchor>
              </w:drawing>
            </w:r>
          </w:p>
          <w:p w14:paraId="5E574173">
            <w:pPr>
              <w:spacing w:before="78" w:line="221" w:lineRule="auto"/>
              <w:ind w:left="634"/>
              <w:rPr>
                <w:rFonts w:ascii="宋体" w:hAnsi="宋体" w:eastAsia="宋体" w:cs="宋体"/>
                <w:sz w:val="24"/>
                <w:szCs w:val="24"/>
              </w:rPr>
            </w:pPr>
            <w:r>
              <w:rPr>
                <w:rFonts w:ascii="宋体" w:hAnsi="宋体" w:eastAsia="宋体" w:cs="宋体"/>
                <w:b/>
                <w:bCs/>
                <w:spacing w:val="-5"/>
                <w:sz w:val="24"/>
                <w:szCs w:val="24"/>
              </w:rPr>
              <w:t>分项名称</w:t>
            </w:r>
          </w:p>
        </w:tc>
        <w:tc>
          <w:tcPr>
            <w:tcW w:w="1115" w:type="dxa"/>
            <w:vAlign w:val="top"/>
          </w:tcPr>
          <w:p w14:paraId="01C96145">
            <w:pPr>
              <w:pStyle w:val="41"/>
              <w:spacing w:line="302" w:lineRule="auto"/>
            </w:pPr>
          </w:p>
          <w:p w14:paraId="1DC10285">
            <w:pPr>
              <w:spacing w:before="78" w:line="221" w:lineRule="auto"/>
              <w:ind w:left="203"/>
              <w:rPr>
                <w:rFonts w:ascii="宋体" w:hAnsi="宋体" w:eastAsia="宋体" w:cs="宋体"/>
                <w:sz w:val="24"/>
                <w:szCs w:val="24"/>
              </w:rPr>
            </w:pPr>
            <w:r>
              <w:rPr>
                <w:rFonts w:ascii="宋体" w:hAnsi="宋体" w:eastAsia="宋体" w:cs="宋体"/>
                <w:b/>
                <w:bCs/>
                <w:spacing w:val="-6"/>
                <w:sz w:val="24"/>
                <w:szCs w:val="24"/>
              </w:rPr>
              <w:t>制造商</w:t>
            </w:r>
          </w:p>
        </w:tc>
        <w:tc>
          <w:tcPr>
            <w:tcW w:w="1229" w:type="dxa"/>
            <w:vAlign w:val="top"/>
          </w:tcPr>
          <w:p w14:paraId="05E04733">
            <w:pPr>
              <w:pStyle w:val="41"/>
              <w:spacing w:before="226" w:line="220" w:lineRule="auto"/>
              <w:ind w:left="215"/>
              <w:rPr>
                <w:rFonts w:ascii="宋体" w:hAnsi="宋体" w:eastAsia="宋体" w:cs="宋体"/>
                <w:sz w:val="24"/>
                <w:szCs w:val="24"/>
              </w:rPr>
            </w:pPr>
            <w:r>
              <w:drawing>
                <wp:anchor distT="0" distB="0" distL="0" distR="0" simplePos="0" relativeHeight="251661312" behindDoc="0" locked="0" layoutInCell="1" allowOverlap="1">
                  <wp:simplePos x="0" y="0"/>
                  <wp:positionH relativeFrom="rightMargin">
                    <wp:posOffset>-590550</wp:posOffset>
                  </wp:positionH>
                  <wp:positionV relativeFrom="topMargin">
                    <wp:posOffset>-3175</wp:posOffset>
                  </wp:positionV>
                  <wp:extent cx="610870" cy="1016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3"/>
                          <a:stretch>
                            <a:fillRect/>
                          </a:stretch>
                        </pic:blipFill>
                        <pic:spPr>
                          <a:xfrm>
                            <a:off x="0" y="0"/>
                            <a:ext cx="611002" cy="10363"/>
                          </a:xfrm>
                          <a:prstGeom prst="rect">
                            <a:avLst/>
                          </a:prstGeom>
                        </pic:spPr>
                      </pic:pic>
                    </a:graphicData>
                  </a:graphic>
                </wp:anchor>
              </w:drawing>
            </w:r>
            <w:r>
              <w:rPr>
                <w:rFonts w:ascii="宋体" w:hAnsi="宋体" w:eastAsia="宋体" w:cs="宋体"/>
                <w:b/>
                <w:bCs/>
                <w:spacing w:val="1"/>
                <w:sz w:val="24"/>
                <w:szCs w:val="24"/>
              </w:rPr>
              <w:t>产地</w:t>
            </w:r>
            <w:r>
              <w:rPr>
                <w:b/>
                <w:bCs/>
                <w:spacing w:val="1"/>
                <w:sz w:val="24"/>
                <w:szCs w:val="24"/>
              </w:rPr>
              <w:t>/</w:t>
            </w:r>
            <w:r>
              <w:rPr>
                <w:rFonts w:ascii="宋体" w:hAnsi="宋体" w:eastAsia="宋体" w:cs="宋体"/>
                <w:b/>
                <w:bCs/>
                <w:spacing w:val="1"/>
                <w:sz w:val="24"/>
                <w:szCs w:val="24"/>
              </w:rPr>
              <w:t>国</w:t>
            </w:r>
          </w:p>
          <w:p w14:paraId="5686E4EE">
            <w:pPr>
              <w:spacing w:before="25" w:line="221" w:lineRule="auto"/>
              <w:ind w:left="501"/>
              <w:rPr>
                <w:rFonts w:ascii="宋体" w:hAnsi="宋体" w:eastAsia="宋体" w:cs="宋体"/>
                <w:sz w:val="24"/>
                <w:szCs w:val="24"/>
              </w:rPr>
            </w:pPr>
            <w:r>
              <w:rPr>
                <w:rFonts w:ascii="宋体" w:hAnsi="宋体" w:eastAsia="宋体" w:cs="宋体"/>
                <w:b/>
                <w:bCs/>
                <w:spacing w:val="-3"/>
                <w:sz w:val="24"/>
                <w:szCs w:val="24"/>
              </w:rPr>
              <w:t>别</w:t>
            </w:r>
          </w:p>
        </w:tc>
        <w:tc>
          <w:tcPr>
            <w:tcW w:w="1412" w:type="dxa"/>
            <w:vAlign w:val="top"/>
          </w:tcPr>
          <w:p w14:paraId="1F92343E">
            <w:pPr>
              <w:pStyle w:val="41"/>
              <w:spacing w:before="1" w:line="150" w:lineRule="auto"/>
              <w:ind w:left="237" w:right="221" w:hanging="216"/>
              <w:rPr>
                <w:rFonts w:ascii="宋体" w:hAnsi="宋体" w:eastAsia="宋体" w:cs="宋体"/>
                <w:sz w:val="24"/>
                <w:szCs w:val="24"/>
              </w:rPr>
            </w:pPr>
            <w:r>
              <w:rPr>
                <w:spacing w:val="-8"/>
                <w:position w:val="32"/>
                <w:sz w:val="24"/>
                <w:szCs w:val="24"/>
              </w:rPr>
              <w:t>__</w:t>
            </w:r>
            <w:r>
              <w:rPr>
                <w:spacing w:val="21"/>
                <w:position w:val="32"/>
                <w:sz w:val="24"/>
                <w:szCs w:val="24"/>
              </w:rPr>
              <w:t xml:space="preserve"> </w:t>
            </w:r>
            <w:r>
              <w:rPr>
                <w:rFonts w:ascii="宋体" w:hAnsi="宋体" w:eastAsia="宋体" w:cs="宋体"/>
                <w:b/>
                <w:bCs/>
                <w:spacing w:val="-8"/>
                <w:sz w:val="24"/>
                <w:szCs w:val="24"/>
              </w:rPr>
              <w:t>制造商</w:t>
            </w:r>
            <w:r>
              <w:rPr>
                <w:rFonts w:ascii="宋体" w:hAnsi="宋体" w:eastAsia="宋体" w:cs="宋体"/>
                <w:sz w:val="24"/>
                <w:szCs w:val="24"/>
              </w:rPr>
              <w:t xml:space="preserve">  </w:t>
            </w:r>
            <w:r>
              <w:rPr>
                <w:rFonts w:ascii="宋体" w:hAnsi="宋体" w:eastAsia="宋体" w:cs="宋体"/>
                <w:b/>
                <w:bCs/>
                <w:spacing w:val="-6"/>
                <w:sz w:val="24"/>
                <w:szCs w:val="24"/>
              </w:rPr>
              <w:t>统一信用</w:t>
            </w:r>
          </w:p>
          <w:p w14:paraId="130CCEEA">
            <w:pPr>
              <w:spacing w:line="206" w:lineRule="auto"/>
              <w:ind w:left="471"/>
              <w:rPr>
                <w:rFonts w:ascii="宋体" w:hAnsi="宋体" w:eastAsia="宋体" w:cs="宋体"/>
                <w:sz w:val="24"/>
                <w:szCs w:val="24"/>
              </w:rPr>
            </w:pPr>
            <w:r>
              <w:rPr>
                <w:rFonts w:ascii="宋体" w:hAnsi="宋体" w:eastAsia="宋体" w:cs="宋体"/>
                <w:b/>
                <w:bCs/>
                <w:spacing w:val="-5"/>
                <w:sz w:val="24"/>
                <w:szCs w:val="24"/>
              </w:rPr>
              <w:t>代码</w:t>
            </w:r>
          </w:p>
        </w:tc>
        <w:tc>
          <w:tcPr>
            <w:tcW w:w="1412" w:type="dxa"/>
            <w:vAlign w:val="top"/>
          </w:tcPr>
          <w:p w14:paraId="274E5211">
            <w:pPr>
              <w:spacing w:before="226" w:line="242" w:lineRule="auto"/>
              <w:ind w:left="474" w:right="339" w:hanging="119"/>
              <w:rPr>
                <w:rFonts w:ascii="宋体" w:hAnsi="宋体" w:eastAsia="宋体" w:cs="宋体"/>
                <w:sz w:val="24"/>
                <w:szCs w:val="24"/>
              </w:rPr>
            </w:pPr>
            <w:r>
              <w:rPr>
                <w:rFonts w:ascii="宋体" w:hAnsi="宋体" w:eastAsia="宋体" w:cs="宋体"/>
                <w:b/>
                <w:bCs/>
                <w:spacing w:val="-6"/>
                <w:sz w:val="24"/>
                <w:szCs w:val="24"/>
              </w:rPr>
              <w:t>制造商</w:t>
            </w:r>
            <w:r>
              <w:rPr>
                <w:rFonts w:ascii="宋体" w:hAnsi="宋体" w:eastAsia="宋体" w:cs="宋体"/>
                <w:spacing w:val="1"/>
                <w:sz w:val="24"/>
                <w:szCs w:val="24"/>
              </w:rPr>
              <w:t xml:space="preserve"> </w:t>
            </w:r>
            <w:r>
              <w:rPr>
                <w:rFonts w:ascii="宋体" w:hAnsi="宋体" w:eastAsia="宋体" w:cs="宋体"/>
                <w:b/>
                <w:bCs/>
                <w:spacing w:val="-6"/>
                <w:sz w:val="24"/>
                <w:szCs w:val="24"/>
              </w:rPr>
              <w:t>规模</w:t>
            </w:r>
          </w:p>
        </w:tc>
        <w:tc>
          <w:tcPr>
            <w:tcW w:w="1412" w:type="dxa"/>
            <w:vAlign w:val="top"/>
          </w:tcPr>
          <w:p w14:paraId="3BBC7465">
            <w:pPr>
              <w:pStyle w:val="41"/>
              <w:spacing w:line="302" w:lineRule="auto"/>
            </w:pPr>
          </w:p>
          <w:p w14:paraId="795CBA37">
            <w:pPr>
              <w:spacing w:before="78" w:line="220" w:lineRule="auto"/>
              <w:ind w:left="492"/>
              <w:rPr>
                <w:rFonts w:ascii="宋体" w:hAnsi="宋体" w:eastAsia="宋体" w:cs="宋体"/>
                <w:sz w:val="24"/>
                <w:szCs w:val="24"/>
              </w:rPr>
            </w:pPr>
            <w:r>
              <w:rPr>
                <w:rFonts w:ascii="宋体" w:hAnsi="宋体" w:eastAsia="宋体" w:cs="宋体"/>
                <w:b/>
                <w:bCs/>
                <w:spacing w:val="-10"/>
                <w:sz w:val="24"/>
                <w:szCs w:val="24"/>
              </w:rPr>
              <w:t>品牌</w:t>
            </w:r>
          </w:p>
        </w:tc>
        <w:tc>
          <w:tcPr>
            <w:tcW w:w="1413" w:type="dxa"/>
            <w:vAlign w:val="top"/>
          </w:tcPr>
          <w:p w14:paraId="1833776C">
            <w:pPr>
              <w:pStyle w:val="41"/>
              <w:spacing w:line="302" w:lineRule="auto"/>
            </w:pPr>
          </w:p>
          <w:p w14:paraId="6E3BC521">
            <w:pPr>
              <w:spacing w:before="78" w:line="220" w:lineRule="auto"/>
              <w:ind w:left="120"/>
              <w:rPr>
                <w:rFonts w:ascii="宋体" w:hAnsi="宋体" w:eastAsia="宋体" w:cs="宋体"/>
                <w:sz w:val="24"/>
                <w:szCs w:val="24"/>
              </w:rPr>
            </w:pPr>
            <w:r>
              <w:rPr>
                <w:rFonts w:ascii="宋体" w:hAnsi="宋体" w:eastAsia="宋体" w:cs="宋体"/>
                <w:b/>
                <w:bCs/>
                <w:spacing w:val="-6"/>
                <w:sz w:val="24"/>
                <w:szCs w:val="24"/>
              </w:rPr>
              <w:t>规格、型号</w:t>
            </w:r>
          </w:p>
        </w:tc>
        <w:tc>
          <w:tcPr>
            <w:tcW w:w="961" w:type="dxa"/>
            <w:vAlign w:val="top"/>
          </w:tcPr>
          <w:p w14:paraId="371C7C1D">
            <w:pPr>
              <w:spacing w:before="225" w:line="219" w:lineRule="auto"/>
              <w:ind w:left="251"/>
              <w:rPr>
                <w:rFonts w:ascii="宋体" w:hAnsi="宋体" w:eastAsia="宋体" w:cs="宋体"/>
                <w:sz w:val="24"/>
                <w:szCs w:val="24"/>
              </w:rPr>
            </w:pPr>
            <w:r>
              <w:rPr>
                <w:rFonts w:ascii="宋体" w:hAnsi="宋体" w:eastAsia="宋体" w:cs="宋体"/>
                <w:b/>
                <w:bCs/>
                <w:spacing w:val="-6"/>
                <w:sz w:val="24"/>
                <w:szCs w:val="24"/>
              </w:rPr>
              <w:t>单价</w:t>
            </w:r>
          </w:p>
          <w:p w14:paraId="18D0BE6A">
            <w:pPr>
              <w:spacing w:before="27" w:line="221" w:lineRule="auto"/>
              <w:ind w:left="136"/>
              <w:rPr>
                <w:rFonts w:ascii="宋体" w:hAnsi="宋体" w:eastAsia="宋体" w:cs="宋体"/>
                <w:sz w:val="24"/>
                <w:szCs w:val="24"/>
              </w:rPr>
            </w:pPr>
            <w:r>
              <w:rPr>
                <w:rFonts w:ascii="宋体" w:hAnsi="宋体" w:eastAsia="宋体" w:cs="宋体"/>
                <w:b/>
                <w:bCs/>
                <w:spacing w:val="-12"/>
                <w:sz w:val="24"/>
                <w:szCs w:val="24"/>
              </w:rPr>
              <w:t>（元）</w:t>
            </w:r>
          </w:p>
        </w:tc>
        <w:tc>
          <w:tcPr>
            <w:tcW w:w="971" w:type="dxa"/>
            <w:vAlign w:val="top"/>
          </w:tcPr>
          <w:p w14:paraId="0810C5F7">
            <w:pPr>
              <w:pStyle w:val="41"/>
              <w:spacing w:line="302" w:lineRule="auto"/>
            </w:pPr>
          </w:p>
          <w:p w14:paraId="22534175">
            <w:pPr>
              <w:spacing w:before="78" w:line="220" w:lineRule="auto"/>
              <w:ind w:left="255"/>
              <w:rPr>
                <w:rFonts w:ascii="宋体" w:hAnsi="宋体" w:eastAsia="宋体" w:cs="宋体"/>
                <w:sz w:val="24"/>
                <w:szCs w:val="24"/>
              </w:rPr>
            </w:pPr>
            <w:r>
              <w:rPr>
                <w:rFonts w:ascii="宋体" w:hAnsi="宋体" w:eastAsia="宋体" w:cs="宋体"/>
                <w:b/>
                <w:bCs/>
                <w:spacing w:val="-6"/>
                <w:sz w:val="24"/>
                <w:szCs w:val="24"/>
              </w:rPr>
              <w:t>数量</w:t>
            </w:r>
          </w:p>
        </w:tc>
        <w:tc>
          <w:tcPr>
            <w:tcW w:w="1203" w:type="dxa"/>
            <w:vAlign w:val="top"/>
          </w:tcPr>
          <w:p w14:paraId="339B371C">
            <w:pPr>
              <w:pStyle w:val="41"/>
              <w:spacing w:line="302" w:lineRule="auto"/>
            </w:pPr>
          </w:p>
          <w:p w14:paraId="7D3EC0E9">
            <w:pPr>
              <w:spacing w:before="78" w:line="219" w:lineRule="auto"/>
              <w:ind w:right="3"/>
              <w:jc w:val="right"/>
              <w:rPr>
                <w:rFonts w:ascii="宋体" w:hAnsi="宋体" w:eastAsia="宋体" w:cs="宋体"/>
                <w:sz w:val="24"/>
                <w:szCs w:val="24"/>
              </w:rPr>
            </w:pPr>
            <w:r>
              <w:rPr>
                <w:rFonts w:ascii="宋体" w:hAnsi="宋体" w:eastAsia="宋体" w:cs="宋体"/>
                <w:b/>
                <w:bCs/>
                <w:spacing w:val="-28"/>
                <w:sz w:val="24"/>
                <w:szCs w:val="24"/>
              </w:rPr>
              <w:t>合价（元）</w:t>
            </w:r>
          </w:p>
        </w:tc>
      </w:tr>
      <w:tr w14:paraId="7FB62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88" w:type="dxa"/>
            <w:vAlign w:val="top"/>
          </w:tcPr>
          <w:p w14:paraId="3563F292">
            <w:pPr>
              <w:pStyle w:val="41"/>
              <w:spacing w:before="217" w:line="199" w:lineRule="auto"/>
              <w:ind w:left="391"/>
              <w:rPr>
                <w:sz w:val="24"/>
                <w:szCs w:val="24"/>
              </w:rPr>
            </w:pPr>
            <w:r>
              <w:rPr>
                <w:sz w:val="24"/>
                <w:szCs w:val="24"/>
              </w:rPr>
              <w:t>1</w:t>
            </w:r>
          </w:p>
        </w:tc>
        <w:tc>
          <w:tcPr>
            <w:tcW w:w="2209" w:type="dxa"/>
            <w:vAlign w:val="top"/>
          </w:tcPr>
          <w:p w14:paraId="6728E771">
            <w:pPr>
              <w:pStyle w:val="41"/>
              <w:spacing w:before="37" w:line="223" w:lineRule="auto"/>
              <w:ind w:left="752" w:right="223" w:hanging="520"/>
              <w:rPr>
                <w:rFonts w:ascii="宋体" w:hAnsi="宋体" w:eastAsia="宋体" w:cs="宋体"/>
                <w:sz w:val="24"/>
                <w:szCs w:val="24"/>
              </w:rPr>
            </w:pPr>
            <w:r>
              <w:rPr>
                <w:rFonts w:ascii="宋体" w:hAnsi="宋体" w:eastAsia="宋体" w:cs="宋体"/>
                <w:sz w:val="24"/>
                <w:szCs w:val="24"/>
              </w:rPr>
              <w:t>主设备</w:t>
            </w:r>
            <w:r>
              <w:rPr>
                <w:sz w:val="24"/>
                <w:szCs w:val="24"/>
              </w:rPr>
              <w:t>/</w:t>
            </w:r>
            <w:r>
              <w:rPr>
                <w:rFonts w:ascii="宋体" w:hAnsi="宋体" w:eastAsia="宋体" w:cs="宋体"/>
                <w:sz w:val="24"/>
                <w:szCs w:val="24"/>
              </w:rPr>
              <w:t xml:space="preserve">系统及标 </w:t>
            </w:r>
            <w:r>
              <w:rPr>
                <w:rFonts w:ascii="宋体" w:hAnsi="宋体" w:eastAsia="宋体" w:cs="宋体"/>
                <w:spacing w:val="-3"/>
                <w:sz w:val="24"/>
                <w:szCs w:val="24"/>
              </w:rPr>
              <w:t>准附件</w:t>
            </w:r>
          </w:p>
        </w:tc>
        <w:tc>
          <w:tcPr>
            <w:tcW w:w="1115" w:type="dxa"/>
            <w:vAlign w:val="top"/>
          </w:tcPr>
          <w:p w14:paraId="74CC56A6">
            <w:pPr>
              <w:pStyle w:val="41"/>
            </w:pPr>
          </w:p>
        </w:tc>
        <w:tc>
          <w:tcPr>
            <w:tcW w:w="1229" w:type="dxa"/>
            <w:vAlign w:val="top"/>
          </w:tcPr>
          <w:p w14:paraId="2401A0DB">
            <w:pPr>
              <w:pStyle w:val="41"/>
            </w:pPr>
          </w:p>
        </w:tc>
        <w:tc>
          <w:tcPr>
            <w:tcW w:w="1412" w:type="dxa"/>
            <w:vAlign w:val="top"/>
          </w:tcPr>
          <w:p w14:paraId="5AEBFD4D">
            <w:pPr>
              <w:pStyle w:val="41"/>
            </w:pPr>
          </w:p>
        </w:tc>
        <w:tc>
          <w:tcPr>
            <w:tcW w:w="1412" w:type="dxa"/>
            <w:vAlign w:val="top"/>
          </w:tcPr>
          <w:p w14:paraId="3A510B88">
            <w:pPr>
              <w:pStyle w:val="41"/>
            </w:pPr>
          </w:p>
        </w:tc>
        <w:tc>
          <w:tcPr>
            <w:tcW w:w="1412" w:type="dxa"/>
            <w:vAlign w:val="top"/>
          </w:tcPr>
          <w:p w14:paraId="71038C47">
            <w:pPr>
              <w:pStyle w:val="41"/>
            </w:pPr>
          </w:p>
        </w:tc>
        <w:tc>
          <w:tcPr>
            <w:tcW w:w="1413" w:type="dxa"/>
            <w:vAlign w:val="top"/>
          </w:tcPr>
          <w:p w14:paraId="6B256BD8">
            <w:pPr>
              <w:pStyle w:val="41"/>
            </w:pPr>
          </w:p>
        </w:tc>
        <w:tc>
          <w:tcPr>
            <w:tcW w:w="961" w:type="dxa"/>
            <w:vAlign w:val="top"/>
          </w:tcPr>
          <w:p w14:paraId="28FACE4D">
            <w:pPr>
              <w:pStyle w:val="41"/>
            </w:pPr>
          </w:p>
        </w:tc>
        <w:tc>
          <w:tcPr>
            <w:tcW w:w="971" w:type="dxa"/>
            <w:vAlign w:val="top"/>
          </w:tcPr>
          <w:p w14:paraId="4EAB8006">
            <w:pPr>
              <w:pStyle w:val="41"/>
            </w:pPr>
          </w:p>
        </w:tc>
        <w:tc>
          <w:tcPr>
            <w:tcW w:w="1203" w:type="dxa"/>
            <w:vAlign w:val="top"/>
          </w:tcPr>
          <w:p w14:paraId="5921DA8B">
            <w:pPr>
              <w:pStyle w:val="41"/>
            </w:pPr>
          </w:p>
        </w:tc>
      </w:tr>
      <w:tr w14:paraId="2994A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888" w:type="dxa"/>
            <w:vAlign w:val="top"/>
          </w:tcPr>
          <w:p w14:paraId="35BB58A1">
            <w:pPr>
              <w:pStyle w:val="41"/>
              <w:spacing w:before="46" w:line="198" w:lineRule="auto"/>
              <w:ind w:left="278"/>
              <w:rPr>
                <w:sz w:val="24"/>
                <w:szCs w:val="24"/>
              </w:rPr>
            </w:pPr>
            <w:r>
              <w:rPr>
                <w:spacing w:val="6"/>
                <w:sz w:val="24"/>
                <w:szCs w:val="24"/>
              </w:rPr>
              <w:t>1.1</w:t>
            </w:r>
          </w:p>
        </w:tc>
        <w:tc>
          <w:tcPr>
            <w:tcW w:w="2209" w:type="dxa"/>
            <w:vAlign w:val="top"/>
          </w:tcPr>
          <w:p w14:paraId="1E81B0A7">
            <w:pPr>
              <w:pStyle w:val="41"/>
              <w:spacing w:before="194" w:line="80" w:lineRule="exact"/>
              <w:ind w:left="889"/>
              <w:rPr>
                <w:sz w:val="24"/>
                <w:szCs w:val="24"/>
              </w:rPr>
            </w:pPr>
            <w:r>
              <w:rPr>
                <w:spacing w:val="-14"/>
                <w:position w:val="1"/>
                <w:sz w:val="24"/>
                <w:szCs w:val="24"/>
              </w:rPr>
              <w:t>……</w:t>
            </w:r>
          </w:p>
        </w:tc>
        <w:tc>
          <w:tcPr>
            <w:tcW w:w="1115" w:type="dxa"/>
            <w:vAlign w:val="top"/>
          </w:tcPr>
          <w:p w14:paraId="680E4C88">
            <w:pPr>
              <w:pStyle w:val="41"/>
            </w:pPr>
          </w:p>
        </w:tc>
        <w:tc>
          <w:tcPr>
            <w:tcW w:w="1229" w:type="dxa"/>
            <w:vAlign w:val="top"/>
          </w:tcPr>
          <w:p w14:paraId="09508DF2">
            <w:pPr>
              <w:pStyle w:val="41"/>
            </w:pPr>
          </w:p>
        </w:tc>
        <w:tc>
          <w:tcPr>
            <w:tcW w:w="1412" w:type="dxa"/>
            <w:vAlign w:val="top"/>
          </w:tcPr>
          <w:p w14:paraId="50E92D71">
            <w:pPr>
              <w:pStyle w:val="41"/>
            </w:pPr>
          </w:p>
        </w:tc>
        <w:tc>
          <w:tcPr>
            <w:tcW w:w="1412" w:type="dxa"/>
            <w:vAlign w:val="top"/>
          </w:tcPr>
          <w:p w14:paraId="3867D9B1">
            <w:pPr>
              <w:pStyle w:val="41"/>
            </w:pPr>
          </w:p>
        </w:tc>
        <w:tc>
          <w:tcPr>
            <w:tcW w:w="1412" w:type="dxa"/>
            <w:vAlign w:val="top"/>
          </w:tcPr>
          <w:p w14:paraId="75AF915F">
            <w:pPr>
              <w:pStyle w:val="41"/>
            </w:pPr>
          </w:p>
        </w:tc>
        <w:tc>
          <w:tcPr>
            <w:tcW w:w="1413" w:type="dxa"/>
            <w:vAlign w:val="top"/>
          </w:tcPr>
          <w:p w14:paraId="35DCDA8C">
            <w:pPr>
              <w:pStyle w:val="41"/>
            </w:pPr>
          </w:p>
        </w:tc>
        <w:tc>
          <w:tcPr>
            <w:tcW w:w="961" w:type="dxa"/>
            <w:vAlign w:val="top"/>
          </w:tcPr>
          <w:p w14:paraId="60005DAF">
            <w:pPr>
              <w:pStyle w:val="41"/>
            </w:pPr>
          </w:p>
        </w:tc>
        <w:tc>
          <w:tcPr>
            <w:tcW w:w="971" w:type="dxa"/>
            <w:vAlign w:val="top"/>
          </w:tcPr>
          <w:p w14:paraId="4C11C71F">
            <w:pPr>
              <w:pStyle w:val="41"/>
            </w:pPr>
          </w:p>
        </w:tc>
        <w:tc>
          <w:tcPr>
            <w:tcW w:w="1203" w:type="dxa"/>
            <w:vAlign w:val="top"/>
          </w:tcPr>
          <w:p w14:paraId="23D9AFFE">
            <w:pPr>
              <w:pStyle w:val="41"/>
            </w:pPr>
          </w:p>
        </w:tc>
      </w:tr>
      <w:tr w14:paraId="25379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888" w:type="dxa"/>
            <w:vAlign w:val="top"/>
          </w:tcPr>
          <w:p w14:paraId="6CC8BA2C">
            <w:pPr>
              <w:pStyle w:val="41"/>
              <w:spacing w:before="45" w:line="199" w:lineRule="auto"/>
              <w:ind w:left="278"/>
              <w:rPr>
                <w:sz w:val="24"/>
                <w:szCs w:val="24"/>
              </w:rPr>
            </w:pPr>
            <w:r>
              <w:rPr>
                <w:spacing w:val="6"/>
                <w:sz w:val="24"/>
                <w:szCs w:val="24"/>
              </w:rPr>
              <w:t>1.2</w:t>
            </w:r>
          </w:p>
        </w:tc>
        <w:tc>
          <w:tcPr>
            <w:tcW w:w="2209" w:type="dxa"/>
            <w:vAlign w:val="top"/>
          </w:tcPr>
          <w:p w14:paraId="77BB540C">
            <w:pPr>
              <w:pStyle w:val="41"/>
              <w:spacing w:before="195" w:line="79" w:lineRule="exact"/>
              <w:ind w:left="889"/>
              <w:rPr>
                <w:sz w:val="24"/>
                <w:szCs w:val="24"/>
              </w:rPr>
            </w:pPr>
            <w:r>
              <w:rPr>
                <w:spacing w:val="-14"/>
                <w:position w:val="1"/>
                <w:sz w:val="24"/>
                <w:szCs w:val="24"/>
              </w:rPr>
              <w:t>……</w:t>
            </w:r>
          </w:p>
        </w:tc>
        <w:tc>
          <w:tcPr>
            <w:tcW w:w="1115" w:type="dxa"/>
            <w:vAlign w:val="top"/>
          </w:tcPr>
          <w:p w14:paraId="1973E399">
            <w:pPr>
              <w:pStyle w:val="41"/>
            </w:pPr>
          </w:p>
        </w:tc>
        <w:tc>
          <w:tcPr>
            <w:tcW w:w="1229" w:type="dxa"/>
            <w:vAlign w:val="top"/>
          </w:tcPr>
          <w:p w14:paraId="5CC92E0A">
            <w:pPr>
              <w:pStyle w:val="41"/>
            </w:pPr>
          </w:p>
        </w:tc>
        <w:tc>
          <w:tcPr>
            <w:tcW w:w="1412" w:type="dxa"/>
            <w:vAlign w:val="top"/>
          </w:tcPr>
          <w:p w14:paraId="7D2AEFE3">
            <w:pPr>
              <w:pStyle w:val="41"/>
            </w:pPr>
          </w:p>
        </w:tc>
        <w:tc>
          <w:tcPr>
            <w:tcW w:w="1412" w:type="dxa"/>
            <w:vAlign w:val="top"/>
          </w:tcPr>
          <w:p w14:paraId="17484621">
            <w:pPr>
              <w:pStyle w:val="41"/>
            </w:pPr>
          </w:p>
        </w:tc>
        <w:tc>
          <w:tcPr>
            <w:tcW w:w="1412" w:type="dxa"/>
            <w:vAlign w:val="top"/>
          </w:tcPr>
          <w:p w14:paraId="660ED5C0">
            <w:pPr>
              <w:pStyle w:val="41"/>
            </w:pPr>
          </w:p>
        </w:tc>
        <w:tc>
          <w:tcPr>
            <w:tcW w:w="1413" w:type="dxa"/>
            <w:vAlign w:val="top"/>
          </w:tcPr>
          <w:p w14:paraId="32A516FC">
            <w:pPr>
              <w:pStyle w:val="41"/>
            </w:pPr>
          </w:p>
        </w:tc>
        <w:tc>
          <w:tcPr>
            <w:tcW w:w="961" w:type="dxa"/>
            <w:vAlign w:val="top"/>
          </w:tcPr>
          <w:p w14:paraId="5BFD314D">
            <w:pPr>
              <w:pStyle w:val="41"/>
            </w:pPr>
          </w:p>
        </w:tc>
        <w:tc>
          <w:tcPr>
            <w:tcW w:w="971" w:type="dxa"/>
            <w:vAlign w:val="top"/>
          </w:tcPr>
          <w:p w14:paraId="512D32DC">
            <w:pPr>
              <w:pStyle w:val="41"/>
            </w:pPr>
          </w:p>
        </w:tc>
        <w:tc>
          <w:tcPr>
            <w:tcW w:w="1203" w:type="dxa"/>
            <w:vAlign w:val="top"/>
          </w:tcPr>
          <w:p w14:paraId="52842977">
            <w:pPr>
              <w:pStyle w:val="41"/>
            </w:pPr>
          </w:p>
        </w:tc>
      </w:tr>
      <w:tr w14:paraId="139AA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8" w:type="dxa"/>
            <w:vAlign w:val="top"/>
          </w:tcPr>
          <w:p w14:paraId="58150F6F">
            <w:pPr>
              <w:pStyle w:val="41"/>
              <w:spacing w:before="58" w:line="201" w:lineRule="auto"/>
              <w:ind w:left="382"/>
              <w:rPr>
                <w:sz w:val="24"/>
                <w:szCs w:val="24"/>
              </w:rPr>
            </w:pPr>
            <w:r>
              <w:rPr>
                <w:spacing w:val="1"/>
                <w:sz w:val="24"/>
                <w:szCs w:val="24"/>
              </w:rPr>
              <w:t>2</w:t>
            </w:r>
          </w:p>
        </w:tc>
        <w:tc>
          <w:tcPr>
            <w:tcW w:w="2209" w:type="dxa"/>
            <w:vAlign w:val="top"/>
          </w:tcPr>
          <w:p w14:paraId="26380023">
            <w:pPr>
              <w:spacing w:before="36" w:line="207" w:lineRule="auto"/>
              <w:ind w:left="634"/>
              <w:rPr>
                <w:rFonts w:ascii="宋体" w:hAnsi="宋体" w:eastAsia="宋体" w:cs="宋体"/>
                <w:sz w:val="24"/>
                <w:szCs w:val="24"/>
              </w:rPr>
            </w:pPr>
            <w:r>
              <w:rPr>
                <w:rFonts w:ascii="宋体" w:hAnsi="宋体" w:eastAsia="宋体" w:cs="宋体"/>
                <w:spacing w:val="-3"/>
                <w:sz w:val="24"/>
                <w:szCs w:val="24"/>
              </w:rPr>
              <w:t>备品备件</w:t>
            </w:r>
          </w:p>
        </w:tc>
        <w:tc>
          <w:tcPr>
            <w:tcW w:w="1115" w:type="dxa"/>
            <w:vAlign w:val="top"/>
          </w:tcPr>
          <w:p w14:paraId="326F9367">
            <w:pPr>
              <w:pStyle w:val="41"/>
            </w:pPr>
          </w:p>
        </w:tc>
        <w:tc>
          <w:tcPr>
            <w:tcW w:w="1229" w:type="dxa"/>
            <w:vAlign w:val="top"/>
          </w:tcPr>
          <w:p w14:paraId="1683FFB6">
            <w:pPr>
              <w:pStyle w:val="41"/>
            </w:pPr>
          </w:p>
        </w:tc>
        <w:tc>
          <w:tcPr>
            <w:tcW w:w="1412" w:type="dxa"/>
            <w:vAlign w:val="top"/>
          </w:tcPr>
          <w:p w14:paraId="05827686">
            <w:pPr>
              <w:pStyle w:val="41"/>
            </w:pPr>
          </w:p>
        </w:tc>
        <w:tc>
          <w:tcPr>
            <w:tcW w:w="1412" w:type="dxa"/>
            <w:vAlign w:val="top"/>
          </w:tcPr>
          <w:p w14:paraId="32C16226">
            <w:pPr>
              <w:pStyle w:val="41"/>
            </w:pPr>
          </w:p>
        </w:tc>
        <w:tc>
          <w:tcPr>
            <w:tcW w:w="1412" w:type="dxa"/>
            <w:vAlign w:val="top"/>
          </w:tcPr>
          <w:p w14:paraId="5F229182">
            <w:pPr>
              <w:pStyle w:val="41"/>
            </w:pPr>
          </w:p>
        </w:tc>
        <w:tc>
          <w:tcPr>
            <w:tcW w:w="1413" w:type="dxa"/>
            <w:vAlign w:val="top"/>
          </w:tcPr>
          <w:p w14:paraId="0E074039">
            <w:pPr>
              <w:pStyle w:val="41"/>
            </w:pPr>
          </w:p>
        </w:tc>
        <w:tc>
          <w:tcPr>
            <w:tcW w:w="961" w:type="dxa"/>
            <w:vAlign w:val="top"/>
          </w:tcPr>
          <w:p w14:paraId="5E9BD9A1">
            <w:pPr>
              <w:pStyle w:val="41"/>
            </w:pPr>
          </w:p>
        </w:tc>
        <w:tc>
          <w:tcPr>
            <w:tcW w:w="971" w:type="dxa"/>
            <w:vAlign w:val="top"/>
          </w:tcPr>
          <w:p w14:paraId="1B3AAE37">
            <w:pPr>
              <w:pStyle w:val="41"/>
            </w:pPr>
          </w:p>
        </w:tc>
        <w:tc>
          <w:tcPr>
            <w:tcW w:w="1203" w:type="dxa"/>
            <w:vAlign w:val="top"/>
          </w:tcPr>
          <w:p w14:paraId="0EBAFCF4">
            <w:pPr>
              <w:pStyle w:val="41"/>
            </w:pPr>
          </w:p>
        </w:tc>
      </w:tr>
      <w:tr w14:paraId="7E09A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8" w:type="dxa"/>
            <w:vAlign w:val="top"/>
          </w:tcPr>
          <w:p w14:paraId="6BC3385D">
            <w:pPr>
              <w:pStyle w:val="41"/>
              <w:spacing w:before="59" w:line="201" w:lineRule="auto"/>
              <w:ind w:left="383"/>
              <w:rPr>
                <w:sz w:val="24"/>
                <w:szCs w:val="24"/>
              </w:rPr>
            </w:pPr>
            <w:r>
              <w:rPr>
                <w:sz w:val="24"/>
                <w:szCs w:val="24"/>
              </w:rPr>
              <w:t>3</w:t>
            </w:r>
          </w:p>
        </w:tc>
        <w:tc>
          <w:tcPr>
            <w:tcW w:w="2209" w:type="dxa"/>
            <w:vAlign w:val="top"/>
          </w:tcPr>
          <w:p w14:paraId="25F799C3">
            <w:pPr>
              <w:spacing w:before="38" w:line="206" w:lineRule="auto"/>
              <w:ind w:left="632"/>
              <w:rPr>
                <w:rFonts w:ascii="宋体" w:hAnsi="宋体" w:eastAsia="宋体" w:cs="宋体"/>
                <w:sz w:val="24"/>
                <w:szCs w:val="24"/>
              </w:rPr>
            </w:pPr>
            <w:r>
              <w:rPr>
                <w:rFonts w:ascii="宋体" w:hAnsi="宋体" w:eastAsia="宋体" w:cs="宋体"/>
                <w:spacing w:val="-2"/>
                <w:sz w:val="24"/>
                <w:szCs w:val="24"/>
              </w:rPr>
              <w:t>专用工具</w:t>
            </w:r>
          </w:p>
        </w:tc>
        <w:tc>
          <w:tcPr>
            <w:tcW w:w="1115" w:type="dxa"/>
            <w:vAlign w:val="top"/>
          </w:tcPr>
          <w:p w14:paraId="0BDAB0B2">
            <w:pPr>
              <w:pStyle w:val="41"/>
            </w:pPr>
          </w:p>
        </w:tc>
        <w:tc>
          <w:tcPr>
            <w:tcW w:w="1229" w:type="dxa"/>
            <w:vAlign w:val="top"/>
          </w:tcPr>
          <w:p w14:paraId="68DA40BA">
            <w:pPr>
              <w:pStyle w:val="41"/>
            </w:pPr>
          </w:p>
        </w:tc>
        <w:tc>
          <w:tcPr>
            <w:tcW w:w="1412" w:type="dxa"/>
            <w:vAlign w:val="top"/>
          </w:tcPr>
          <w:p w14:paraId="1E98D58C">
            <w:pPr>
              <w:pStyle w:val="41"/>
            </w:pPr>
          </w:p>
        </w:tc>
        <w:tc>
          <w:tcPr>
            <w:tcW w:w="1412" w:type="dxa"/>
            <w:vAlign w:val="top"/>
          </w:tcPr>
          <w:p w14:paraId="0FD0CCB3">
            <w:pPr>
              <w:pStyle w:val="41"/>
            </w:pPr>
          </w:p>
        </w:tc>
        <w:tc>
          <w:tcPr>
            <w:tcW w:w="1412" w:type="dxa"/>
            <w:vAlign w:val="top"/>
          </w:tcPr>
          <w:p w14:paraId="3212397D">
            <w:pPr>
              <w:pStyle w:val="41"/>
            </w:pPr>
          </w:p>
        </w:tc>
        <w:tc>
          <w:tcPr>
            <w:tcW w:w="1413" w:type="dxa"/>
            <w:vAlign w:val="top"/>
          </w:tcPr>
          <w:p w14:paraId="1AD5EF40">
            <w:pPr>
              <w:pStyle w:val="41"/>
            </w:pPr>
          </w:p>
        </w:tc>
        <w:tc>
          <w:tcPr>
            <w:tcW w:w="961" w:type="dxa"/>
            <w:vAlign w:val="top"/>
          </w:tcPr>
          <w:p w14:paraId="3C2E5CA1">
            <w:pPr>
              <w:pStyle w:val="41"/>
            </w:pPr>
          </w:p>
        </w:tc>
        <w:tc>
          <w:tcPr>
            <w:tcW w:w="971" w:type="dxa"/>
            <w:vAlign w:val="top"/>
          </w:tcPr>
          <w:p w14:paraId="42A6D892">
            <w:pPr>
              <w:pStyle w:val="41"/>
            </w:pPr>
          </w:p>
        </w:tc>
        <w:tc>
          <w:tcPr>
            <w:tcW w:w="1203" w:type="dxa"/>
            <w:vAlign w:val="top"/>
          </w:tcPr>
          <w:p w14:paraId="48247045">
            <w:pPr>
              <w:pStyle w:val="41"/>
            </w:pPr>
          </w:p>
        </w:tc>
      </w:tr>
      <w:tr w14:paraId="4454A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8" w:type="dxa"/>
            <w:vAlign w:val="top"/>
          </w:tcPr>
          <w:p w14:paraId="56750664">
            <w:pPr>
              <w:pStyle w:val="41"/>
              <w:spacing w:before="62" w:line="199" w:lineRule="auto"/>
              <w:ind w:left="376"/>
              <w:rPr>
                <w:sz w:val="24"/>
                <w:szCs w:val="24"/>
              </w:rPr>
            </w:pPr>
            <w:r>
              <w:rPr>
                <w:spacing w:val="7"/>
                <w:sz w:val="24"/>
                <w:szCs w:val="24"/>
              </w:rPr>
              <w:t>4</w:t>
            </w:r>
          </w:p>
        </w:tc>
        <w:tc>
          <w:tcPr>
            <w:tcW w:w="2209" w:type="dxa"/>
            <w:vAlign w:val="top"/>
          </w:tcPr>
          <w:p w14:paraId="064204E8">
            <w:pPr>
              <w:spacing w:before="38" w:line="206" w:lineRule="auto"/>
              <w:ind w:left="155"/>
              <w:rPr>
                <w:rFonts w:ascii="宋体" w:hAnsi="宋体" w:eastAsia="宋体" w:cs="宋体"/>
                <w:sz w:val="24"/>
                <w:szCs w:val="24"/>
              </w:rPr>
            </w:pPr>
            <w:r>
              <w:rPr>
                <w:rFonts w:ascii="宋体" w:hAnsi="宋体" w:eastAsia="宋体" w:cs="宋体"/>
                <w:spacing w:val="-2"/>
                <w:sz w:val="24"/>
                <w:szCs w:val="24"/>
              </w:rPr>
              <w:t>安装、调试、检验</w:t>
            </w:r>
          </w:p>
        </w:tc>
        <w:tc>
          <w:tcPr>
            <w:tcW w:w="1115" w:type="dxa"/>
            <w:vAlign w:val="top"/>
          </w:tcPr>
          <w:p w14:paraId="70D12AFC">
            <w:pPr>
              <w:pStyle w:val="41"/>
            </w:pPr>
          </w:p>
        </w:tc>
        <w:tc>
          <w:tcPr>
            <w:tcW w:w="1229" w:type="dxa"/>
            <w:vAlign w:val="top"/>
          </w:tcPr>
          <w:p w14:paraId="44DECA4F">
            <w:pPr>
              <w:pStyle w:val="41"/>
            </w:pPr>
          </w:p>
        </w:tc>
        <w:tc>
          <w:tcPr>
            <w:tcW w:w="1412" w:type="dxa"/>
            <w:vAlign w:val="top"/>
          </w:tcPr>
          <w:p w14:paraId="1CCBFD90">
            <w:pPr>
              <w:pStyle w:val="41"/>
            </w:pPr>
          </w:p>
        </w:tc>
        <w:tc>
          <w:tcPr>
            <w:tcW w:w="1412" w:type="dxa"/>
            <w:vAlign w:val="top"/>
          </w:tcPr>
          <w:p w14:paraId="12739ED5">
            <w:pPr>
              <w:pStyle w:val="41"/>
            </w:pPr>
          </w:p>
        </w:tc>
        <w:tc>
          <w:tcPr>
            <w:tcW w:w="1412" w:type="dxa"/>
            <w:vAlign w:val="top"/>
          </w:tcPr>
          <w:p w14:paraId="652E9048">
            <w:pPr>
              <w:pStyle w:val="41"/>
            </w:pPr>
          </w:p>
        </w:tc>
        <w:tc>
          <w:tcPr>
            <w:tcW w:w="1413" w:type="dxa"/>
            <w:vAlign w:val="top"/>
          </w:tcPr>
          <w:p w14:paraId="4E096739">
            <w:pPr>
              <w:pStyle w:val="41"/>
            </w:pPr>
          </w:p>
        </w:tc>
        <w:tc>
          <w:tcPr>
            <w:tcW w:w="961" w:type="dxa"/>
            <w:vAlign w:val="top"/>
          </w:tcPr>
          <w:p w14:paraId="1D86AD08">
            <w:pPr>
              <w:pStyle w:val="41"/>
            </w:pPr>
          </w:p>
        </w:tc>
        <w:tc>
          <w:tcPr>
            <w:tcW w:w="971" w:type="dxa"/>
            <w:vAlign w:val="top"/>
          </w:tcPr>
          <w:p w14:paraId="2BB15D4B">
            <w:pPr>
              <w:pStyle w:val="41"/>
            </w:pPr>
          </w:p>
        </w:tc>
        <w:tc>
          <w:tcPr>
            <w:tcW w:w="1203" w:type="dxa"/>
            <w:vAlign w:val="top"/>
          </w:tcPr>
          <w:p w14:paraId="7853F661">
            <w:pPr>
              <w:pStyle w:val="41"/>
            </w:pPr>
          </w:p>
        </w:tc>
      </w:tr>
      <w:tr w14:paraId="1E2BD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8" w:type="dxa"/>
            <w:vAlign w:val="top"/>
          </w:tcPr>
          <w:p w14:paraId="017CC0DC">
            <w:pPr>
              <w:pStyle w:val="41"/>
              <w:spacing w:before="62" w:line="199" w:lineRule="auto"/>
              <w:ind w:left="383"/>
              <w:rPr>
                <w:sz w:val="24"/>
                <w:szCs w:val="24"/>
              </w:rPr>
            </w:pPr>
            <w:r>
              <w:rPr>
                <w:sz w:val="24"/>
                <w:szCs w:val="24"/>
              </w:rPr>
              <w:t>5</w:t>
            </w:r>
          </w:p>
        </w:tc>
        <w:tc>
          <w:tcPr>
            <w:tcW w:w="2209" w:type="dxa"/>
            <w:vAlign w:val="top"/>
          </w:tcPr>
          <w:p w14:paraId="139AA28F">
            <w:pPr>
              <w:spacing w:before="39" w:line="205" w:lineRule="auto"/>
              <w:ind w:left="872"/>
              <w:rPr>
                <w:rFonts w:ascii="宋体" w:hAnsi="宋体" w:eastAsia="宋体" w:cs="宋体"/>
                <w:sz w:val="24"/>
                <w:szCs w:val="24"/>
              </w:rPr>
            </w:pPr>
            <w:r>
              <w:rPr>
                <w:rFonts w:ascii="宋体" w:hAnsi="宋体" w:eastAsia="宋体" w:cs="宋体"/>
                <w:spacing w:val="-3"/>
                <w:sz w:val="24"/>
                <w:szCs w:val="24"/>
              </w:rPr>
              <w:t>培训</w:t>
            </w:r>
          </w:p>
        </w:tc>
        <w:tc>
          <w:tcPr>
            <w:tcW w:w="1115" w:type="dxa"/>
            <w:vAlign w:val="top"/>
          </w:tcPr>
          <w:p w14:paraId="3BED14B5">
            <w:pPr>
              <w:pStyle w:val="41"/>
            </w:pPr>
          </w:p>
        </w:tc>
        <w:tc>
          <w:tcPr>
            <w:tcW w:w="1229" w:type="dxa"/>
            <w:vAlign w:val="top"/>
          </w:tcPr>
          <w:p w14:paraId="30D328E3">
            <w:pPr>
              <w:pStyle w:val="41"/>
            </w:pPr>
          </w:p>
        </w:tc>
        <w:tc>
          <w:tcPr>
            <w:tcW w:w="1412" w:type="dxa"/>
            <w:vAlign w:val="top"/>
          </w:tcPr>
          <w:p w14:paraId="3F470F53">
            <w:pPr>
              <w:pStyle w:val="41"/>
            </w:pPr>
          </w:p>
        </w:tc>
        <w:tc>
          <w:tcPr>
            <w:tcW w:w="1412" w:type="dxa"/>
            <w:vAlign w:val="top"/>
          </w:tcPr>
          <w:p w14:paraId="5A278CBD">
            <w:pPr>
              <w:pStyle w:val="41"/>
            </w:pPr>
          </w:p>
        </w:tc>
        <w:tc>
          <w:tcPr>
            <w:tcW w:w="1412" w:type="dxa"/>
            <w:vAlign w:val="top"/>
          </w:tcPr>
          <w:p w14:paraId="61C9592B">
            <w:pPr>
              <w:pStyle w:val="41"/>
            </w:pPr>
          </w:p>
        </w:tc>
        <w:tc>
          <w:tcPr>
            <w:tcW w:w="1413" w:type="dxa"/>
            <w:vAlign w:val="top"/>
          </w:tcPr>
          <w:p w14:paraId="5E070043">
            <w:pPr>
              <w:pStyle w:val="41"/>
            </w:pPr>
          </w:p>
        </w:tc>
        <w:tc>
          <w:tcPr>
            <w:tcW w:w="961" w:type="dxa"/>
            <w:vAlign w:val="top"/>
          </w:tcPr>
          <w:p w14:paraId="2431A786">
            <w:pPr>
              <w:pStyle w:val="41"/>
            </w:pPr>
          </w:p>
        </w:tc>
        <w:tc>
          <w:tcPr>
            <w:tcW w:w="971" w:type="dxa"/>
            <w:vAlign w:val="top"/>
          </w:tcPr>
          <w:p w14:paraId="1D3F4E1B">
            <w:pPr>
              <w:pStyle w:val="41"/>
            </w:pPr>
          </w:p>
        </w:tc>
        <w:tc>
          <w:tcPr>
            <w:tcW w:w="1203" w:type="dxa"/>
            <w:vAlign w:val="top"/>
          </w:tcPr>
          <w:p w14:paraId="76364563">
            <w:pPr>
              <w:pStyle w:val="41"/>
            </w:pPr>
          </w:p>
        </w:tc>
      </w:tr>
      <w:tr w14:paraId="4ABAF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8" w:type="dxa"/>
            <w:vAlign w:val="top"/>
          </w:tcPr>
          <w:p w14:paraId="47FC82D2">
            <w:pPr>
              <w:pStyle w:val="41"/>
              <w:spacing w:before="60" w:line="202" w:lineRule="auto"/>
              <w:ind w:left="381"/>
              <w:rPr>
                <w:sz w:val="24"/>
                <w:szCs w:val="24"/>
              </w:rPr>
            </w:pPr>
            <w:r>
              <w:rPr>
                <w:spacing w:val="2"/>
                <w:sz w:val="24"/>
                <w:szCs w:val="24"/>
              </w:rPr>
              <w:t>6</w:t>
            </w:r>
          </w:p>
        </w:tc>
        <w:tc>
          <w:tcPr>
            <w:tcW w:w="2209" w:type="dxa"/>
            <w:vAlign w:val="top"/>
          </w:tcPr>
          <w:p w14:paraId="704E1689">
            <w:pPr>
              <w:spacing w:before="39" w:line="205" w:lineRule="auto"/>
              <w:ind w:left="631"/>
              <w:rPr>
                <w:rFonts w:ascii="宋体" w:hAnsi="宋体" w:eastAsia="宋体" w:cs="宋体"/>
                <w:sz w:val="24"/>
                <w:szCs w:val="24"/>
              </w:rPr>
            </w:pPr>
            <w:r>
              <w:rPr>
                <w:rFonts w:ascii="宋体" w:hAnsi="宋体" w:eastAsia="宋体" w:cs="宋体"/>
                <w:spacing w:val="-2"/>
                <w:sz w:val="24"/>
                <w:szCs w:val="24"/>
              </w:rPr>
              <w:t>售后服务</w:t>
            </w:r>
          </w:p>
        </w:tc>
        <w:tc>
          <w:tcPr>
            <w:tcW w:w="1115" w:type="dxa"/>
            <w:vAlign w:val="top"/>
          </w:tcPr>
          <w:p w14:paraId="0FFF3F1D">
            <w:pPr>
              <w:pStyle w:val="41"/>
            </w:pPr>
          </w:p>
        </w:tc>
        <w:tc>
          <w:tcPr>
            <w:tcW w:w="1229" w:type="dxa"/>
            <w:vAlign w:val="top"/>
          </w:tcPr>
          <w:p w14:paraId="08862F49">
            <w:pPr>
              <w:pStyle w:val="41"/>
            </w:pPr>
          </w:p>
        </w:tc>
        <w:tc>
          <w:tcPr>
            <w:tcW w:w="1412" w:type="dxa"/>
            <w:vAlign w:val="top"/>
          </w:tcPr>
          <w:p w14:paraId="6DA3E252">
            <w:pPr>
              <w:pStyle w:val="41"/>
            </w:pPr>
          </w:p>
        </w:tc>
        <w:tc>
          <w:tcPr>
            <w:tcW w:w="1412" w:type="dxa"/>
            <w:vAlign w:val="top"/>
          </w:tcPr>
          <w:p w14:paraId="09D46098">
            <w:pPr>
              <w:pStyle w:val="41"/>
            </w:pPr>
          </w:p>
        </w:tc>
        <w:tc>
          <w:tcPr>
            <w:tcW w:w="1412" w:type="dxa"/>
            <w:vAlign w:val="top"/>
          </w:tcPr>
          <w:p w14:paraId="0FCDFD3A">
            <w:pPr>
              <w:pStyle w:val="41"/>
            </w:pPr>
          </w:p>
        </w:tc>
        <w:tc>
          <w:tcPr>
            <w:tcW w:w="1413" w:type="dxa"/>
            <w:vAlign w:val="top"/>
          </w:tcPr>
          <w:p w14:paraId="0AE01362">
            <w:pPr>
              <w:pStyle w:val="41"/>
            </w:pPr>
          </w:p>
        </w:tc>
        <w:tc>
          <w:tcPr>
            <w:tcW w:w="961" w:type="dxa"/>
            <w:vAlign w:val="top"/>
          </w:tcPr>
          <w:p w14:paraId="4EB6C29C">
            <w:pPr>
              <w:pStyle w:val="41"/>
            </w:pPr>
          </w:p>
        </w:tc>
        <w:tc>
          <w:tcPr>
            <w:tcW w:w="971" w:type="dxa"/>
            <w:vAlign w:val="top"/>
          </w:tcPr>
          <w:p w14:paraId="39385AF8">
            <w:pPr>
              <w:pStyle w:val="41"/>
            </w:pPr>
          </w:p>
        </w:tc>
        <w:tc>
          <w:tcPr>
            <w:tcW w:w="1203" w:type="dxa"/>
            <w:vAlign w:val="top"/>
          </w:tcPr>
          <w:p w14:paraId="4729CAAA">
            <w:pPr>
              <w:pStyle w:val="41"/>
            </w:pPr>
          </w:p>
        </w:tc>
      </w:tr>
      <w:tr w14:paraId="319AE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8" w:type="dxa"/>
            <w:vAlign w:val="top"/>
          </w:tcPr>
          <w:p w14:paraId="20E08F00">
            <w:pPr>
              <w:pStyle w:val="41"/>
              <w:spacing w:before="61" w:line="199" w:lineRule="auto"/>
              <w:ind w:left="384"/>
              <w:rPr>
                <w:sz w:val="24"/>
                <w:szCs w:val="24"/>
              </w:rPr>
            </w:pPr>
            <w:r>
              <w:rPr>
                <w:sz w:val="24"/>
                <w:szCs w:val="24"/>
              </w:rPr>
              <w:t>7</w:t>
            </w:r>
          </w:p>
        </w:tc>
        <w:tc>
          <w:tcPr>
            <w:tcW w:w="2209" w:type="dxa"/>
            <w:vAlign w:val="top"/>
          </w:tcPr>
          <w:p w14:paraId="20379366">
            <w:pPr>
              <w:spacing w:before="38" w:line="206" w:lineRule="auto"/>
              <w:ind w:left="872"/>
              <w:rPr>
                <w:rFonts w:ascii="宋体" w:hAnsi="宋体" w:eastAsia="宋体" w:cs="宋体"/>
                <w:sz w:val="24"/>
                <w:szCs w:val="24"/>
              </w:rPr>
            </w:pPr>
            <w:r>
              <w:rPr>
                <w:rFonts w:ascii="宋体" w:hAnsi="宋体" w:eastAsia="宋体" w:cs="宋体"/>
                <w:spacing w:val="-3"/>
                <w:sz w:val="24"/>
                <w:szCs w:val="24"/>
              </w:rPr>
              <w:t>其他</w:t>
            </w:r>
          </w:p>
        </w:tc>
        <w:tc>
          <w:tcPr>
            <w:tcW w:w="1115" w:type="dxa"/>
            <w:vAlign w:val="top"/>
          </w:tcPr>
          <w:p w14:paraId="08DF2498">
            <w:pPr>
              <w:pStyle w:val="41"/>
            </w:pPr>
          </w:p>
        </w:tc>
        <w:tc>
          <w:tcPr>
            <w:tcW w:w="1229" w:type="dxa"/>
            <w:vAlign w:val="top"/>
          </w:tcPr>
          <w:p w14:paraId="00779FAC">
            <w:pPr>
              <w:pStyle w:val="41"/>
            </w:pPr>
          </w:p>
        </w:tc>
        <w:tc>
          <w:tcPr>
            <w:tcW w:w="1412" w:type="dxa"/>
            <w:vAlign w:val="top"/>
          </w:tcPr>
          <w:p w14:paraId="2FB8B9E7">
            <w:pPr>
              <w:pStyle w:val="41"/>
            </w:pPr>
          </w:p>
        </w:tc>
        <w:tc>
          <w:tcPr>
            <w:tcW w:w="1412" w:type="dxa"/>
            <w:vAlign w:val="top"/>
          </w:tcPr>
          <w:p w14:paraId="2184CD3B">
            <w:pPr>
              <w:pStyle w:val="41"/>
            </w:pPr>
          </w:p>
        </w:tc>
        <w:tc>
          <w:tcPr>
            <w:tcW w:w="1412" w:type="dxa"/>
            <w:vAlign w:val="top"/>
          </w:tcPr>
          <w:p w14:paraId="3C52B574">
            <w:pPr>
              <w:pStyle w:val="41"/>
            </w:pPr>
          </w:p>
        </w:tc>
        <w:tc>
          <w:tcPr>
            <w:tcW w:w="1413" w:type="dxa"/>
            <w:vAlign w:val="top"/>
          </w:tcPr>
          <w:p w14:paraId="70CD0DDD">
            <w:pPr>
              <w:pStyle w:val="41"/>
            </w:pPr>
          </w:p>
        </w:tc>
        <w:tc>
          <w:tcPr>
            <w:tcW w:w="961" w:type="dxa"/>
            <w:vAlign w:val="top"/>
          </w:tcPr>
          <w:p w14:paraId="0D2CD98C">
            <w:pPr>
              <w:pStyle w:val="41"/>
            </w:pPr>
          </w:p>
        </w:tc>
        <w:tc>
          <w:tcPr>
            <w:tcW w:w="971" w:type="dxa"/>
            <w:vAlign w:val="top"/>
          </w:tcPr>
          <w:p w14:paraId="6E017CF1">
            <w:pPr>
              <w:pStyle w:val="41"/>
            </w:pPr>
          </w:p>
        </w:tc>
        <w:tc>
          <w:tcPr>
            <w:tcW w:w="1203" w:type="dxa"/>
            <w:vAlign w:val="top"/>
          </w:tcPr>
          <w:p w14:paraId="1EFD1092">
            <w:pPr>
              <w:pStyle w:val="41"/>
            </w:pPr>
          </w:p>
        </w:tc>
      </w:tr>
      <w:tr w14:paraId="21A0F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88" w:type="dxa"/>
            <w:vAlign w:val="top"/>
          </w:tcPr>
          <w:p w14:paraId="5EF53098">
            <w:pPr>
              <w:pStyle w:val="41"/>
              <w:spacing w:before="214" w:line="202" w:lineRule="auto"/>
              <w:ind w:left="381"/>
              <w:rPr>
                <w:sz w:val="24"/>
                <w:szCs w:val="24"/>
              </w:rPr>
            </w:pPr>
            <w:r>
              <w:rPr>
                <w:spacing w:val="2"/>
                <w:sz w:val="24"/>
                <w:szCs w:val="24"/>
              </w:rPr>
              <w:t>8</w:t>
            </w:r>
          </w:p>
        </w:tc>
        <w:tc>
          <w:tcPr>
            <w:tcW w:w="2209" w:type="dxa"/>
            <w:vAlign w:val="top"/>
          </w:tcPr>
          <w:p w14:paraId="086AF747">
            <w:pPr>
              <w:spacing w:before="38" w:line="220" w:lineRule="auto"/>
              <w:ind w:left="153"/>
              <w:rPr>
                <w:rFonts w:ascii="宋体" w:hAnsi="宋体" w:eastAsia="宋体" w:cs="宋体"/>
                <w:sz w:val="24"/>
                <w:szCs w:val="24"/>
              </w:rPr>
            </w:pPr>
            <w:r>
              <w:rPr>
                <w:rFonts w:ascii="宋体" w:hAnsi="宋体" w:eastAsia="宋体" w:cs="宋体"/>
                <w:spacing w:val="-2"/>
                <w:sz w:val="24"/>
                <w:szCs w:val="24"/>
              </w:rPr>
              <w:t>至最终目的地运保</w:t>
            </w:r>
          </w:p>
          <w:p w14:paraId="55275BD4">
            <w:pPr>
              <w:spacing w:before="26" w:line="204" w:lineRule="auto"/>
              <w:ind w:left="1004"/>
              <w:rPr>
                <w:rFonts w:ascii="宋体" w:hAnsi="宋体" w:eastAsia="宋体" w:cs="宋体"/>
                <w:sz w:val="24"/>
                <w:szCs w:val="24"/>
              </w:rPr>
            </w:pPr>
            <w:r>
              <w:rPr>
                <w:rFonts w:ascii="宋体" w:hAnsi="宋体" w:eastAsia="宋体" w:cs="宋体"/>
                <w:sz w:val="24"/>
                <w:szCs w:val="24"/>
              </w:rPr>
              <w:t>费</w:t>
            </w:r>
          </w:p>
        </w:tc>
        <w:tc>
          <w:tcPr>
            <w:tcW w:w="1115" w:type="dxa"/>
            <w:vAlign w:val="top"/>
          </w:tcPr>
          <w:p w14:paraId="4B93E4E8">
            <w:pPr>
              <w:pStyle w:val="41"/>
            </w:pPr>
          </w:p>
        </w:tc>
        <w:tc>
          <w:tcPr>
            <w:tcW w:w="1229" w:type="dxa"/>
            <w:vAlign w:val="top"/>
          </w:tcPr>
          <w:p w14:paraId="0007BC45">
            <w:pPr>
              <w:pStyle w:val="41"/>
            </w:pPr>
          </w:p>
        </w:tc>
        <w:tc>
          <w:tcPr>
            <w:tcW w:w="1412" w:type="dxa"/>
            <w:vAlign w:val="top"/>
          </w:tcPr>
          <w:p w14:paraId="38FFA852">
            <w:pPr>
              <w:pStyle w:val="41"/>
            </w:pPr>
          </w:p>
        </w:tc>
        <w:tc>
          <w:tcPr>
            <w:tcW w:w="1412" w:type="dxa"/>
            <w:vAlign w:val="top"/>
          </w:tcPr>
          <w:p w14:paraId="0242F930">
            <w:pPr>
              <w:pStyle w:val="41"/>
            </w:pPr>
          </w:p>
        </w:tc>
        <w:tc>
          <w:tcPr>
            <w:tcW w:w="1412" w:type="dxa"/>
            <w:vAlign w:val="top"/>
          </w:tcPr>
          <w:p w14:paraId="555D2623">
            <w:pPr>
              <w:pStyle w:val="41"/>
            </w:pPr>
          </w:p>
        </w:tc>
        <w:tc>
          <w:tcPr>
            <w:tcW w:w="1413" w:type="dxa"/>
            <w:vAlign w:val="top"/>
          </w:tcPr>
          <w:p w14:paraId="3A2CF9D4">
            <w:pPr>
              <w:pStyle w:val="41"/>
            </w:pPr>
          </w:p>
        </w:tc>
        <w:tc>
          <w:tcPr>
            <w:tcW w:w="961" w:type="dxa"/>
            <w:vAlign w:val="top"/>
          </w:tcPr>
          <w:p w14:paraId="2191DF88">
            <w:pPr>
              <w:pStyle w:val="41"/>
            </w:pPr>
          </w:p>
        </w:tc>
        <w:tc>
          <w:tcPr>
            <w:tcW w:w="971" w:type="dxa"/>
            <w:vAlign w:val="top"/>
          </w:tcPr>
          <w:p w14:paraId="0F5C32C5">
            <w:pPr>
              <w:pStyle w:val="41"/>
            </w:pPr>
          </w:p>
        </w:tc>
        <w:tc>
          <w:tcPr>
            <w:tcW w:w="1203" w:type="dxa"/>
            <w:vAlign w:val="top"/>
          </w:tcPr>
          <w:p w14:paraId="68980369">
            <w:pPr>
              <w:pStyle w:val="41"/>
            </w:pPr>
          </w:p>
        </w:tc>
      </w:tr>
      <w:tr w14:paraId="64346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022" w:type="dxa"/>
            <w:gridSpan w:val="10"/>
            <w:vAlign w:val="top"/>
          </w:tcPr>
          <w:p w14:paraId="0B5C6F7D">
            <w:pPr>
              <w:spacing w:before="41" w:line="207" w:lineRule="auto"/>
              <w:ind w:left="5923"/>
              <w:rPr>
                <w:rFonts w:ascii="宋体" w:hAnsi="宋体" w:eastAsia="宋体" w:cs="宋体"/>
                <w:sz w:val="24"/>
                <w:szCs w:val="24"/>
              </w:rPr>
            </w:pPr>
            <w:r>
              <w:rPr>
                <w:rFonts w:ascii="宋体" w:hAnsi="宋体" w:eastAsia="宋体" w:cs="宋体"/>
                <w:b/>
                <w:bCs/>
                <w:spacing w:val="-7"/>
                <w:sz w:val="24"/>
                <w:szCs w:val="24"/>
              </w:rPr>
              <w:t>总价（元）</w:t>
            </w:r>
          </w:p>
        </w:tc>
        <w:tc>
          <w:tcPr>
            <w:tcW w:w="1203" w:type="dxa"/>
            <w:vAlign w:val="top"/>
          </w:tcPr>
          <w:p w14:paraId="1ECE48BC">
            <w:pPr>
              <w:pStyle w:val="41"/>
            </w:pPr>
          </w:p>
        </w:tc>
      </w:tr>
    </w:tbl>
    <w:p w14:paraId="1BF6D641">
      <w:pPr>
        <w:pStyle w:val="2"/>
        <w:spacing w:before="276" w:line="212" w:lineRule="auto"/>
        <w:ind w:left="151"/>
        <w:rPr>
          <w:sz w:val="25"/>
          <w:szCs w:val="25"/>
        </w:rPr>
      </w:pPr>
      <w:r>
        <w:rPr>
          <w:b/>
          <w:bCs/>
          <w:i/>
          <w:iCs/>
          <w:color w:val="FF0000"/>
          <w:spacing w:val="-14"/>
          <w:sz w:val="25"/>
          <w:szCs w:val="25"/>
        </w:rPr>
        <w:t>说明：制造商规模请填写</w:t>
      </w:r>
      <w:r>
        <w:rPr>
          <w:color w:val="FF0000"/>
          <w:spacing w:val="-78"/>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中型</w:t>
      </w:r>
      <w:r>
        <w:rPr>
          <w:color w:val="FF0000"/>
          <w:spacing w:val="-88"/>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w:t>
      </w:r>
      <w:r>
        <w:rPr>
          <w:color w:val="FF0000"/>
          <w:spacing w:val="-69"/>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小型</w:t>
      </w:r>
      <w:r>
        <w:rPr>
          <w:color w:val="FF0000"/>
          <w:spacing w:val="-85"/>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w:t>
      </w:r>
      <w:r>
        <w:rPr>
          <w:color w:val="FF0000"/>
          <w:spacing w:val="-69"/>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微型</w:t>
      </w:r>
      <w:r>
        <w:rPr>
          <w:color w:val="FF0000"/>
          <w:spacing w:val="-85"/>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或</w:t>
      </w:r>
      <w:r>
        <w:rPr>
          <w:color w:val="FF0000"/>
          <w:spacing w:val="-82"/>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其他</w:t>
      </w:r>
      <w:r>
        <w:rPr>
          <w:color w:val="FF0000"/>
          <w:spacing w:val="-85"/>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，中小企业的定义见第二章《投标人须知》。</w:t>
      </w:r>
    </w:p>
    <w:p w14:paraId="60A7E6B5">
      <w:pPr>
        <w:spacing w:line="212" w:lineRule="auto"/>
        <w:rPr>
          <w:sz w:val="25"/>
          <w:szCs w:val="25"/>
        </w:rPr>
      </w:pPr>
    </w:p>
    <w:p w14:paraId="6D986221">
      <w:pPr>
        <w:spacing w:line="212" w:lineRule="auto"/>
        <w:rPr>
          <w:sz w:val="25"/>
          <w:szCs w:val="25"/>
        </w:rPr>
      </w:pPr>
    </w:p>
    <w:p w14:paraId="34807DD4">
      <w:pPr>
        <w:spacing w:line="212" w:lineRule="auto"/>
        <w:rPr>
          <w:sz w:val="25"/>
          <w:szCs w:val="25"/>
        </w:rPr>
      </w:pPr>
    </w:p>
    <w:p w14:paraId="281BEC5E">
      <w:pPr>
        <w:spacing w:line="212" w:lineRule="auto"/>
        <w:rPr>
          <w:sz w:val="25"/>
          <w:szCs w:val="25"/>
        </w:rPr>
      </w:pPr>
    </w:p>
    <w:p w14:paraId="393B16E2">
      <w:pPr>
        <w:spacing w:line="212" w:lineRule="auto"/>
        <w:rPr>
          <w:sz w:val="25"/>
          <w:szCs w:val="25"/>
        </w:rPr>
      </w:pPr>
    </w:p>
    <w:p w14:paraId="7C4D3292">
      <w:pPr>
        <w:pStyle w:val="2"/>
        <w:spacing w:before="81" w:line="211" w:lineRule="auto"/>
        <w:ind w:left="146"/>
        <w:rPr>
          <w:sz w:val="25"/>
          <w:szCs w:val="25"/>
        </w:rPr>
      </w:pPr>
      <w:r>
        <w:rPr>
          <w:b/>
          <w:bCs/>
          <w:i/>
          <w:iCs/>
          <w:color w:val="FF0000"/>
          <w:spacing w:val="-12"/>
          <w:sz w:val="25"/>
          <w:szCs w:val="25"/>
        </w:rPr>
        <w:t>（格式示例二，适用于多种设备报价）</w:t>
      </w:r>
    </w:p>
    <w:p w14:paraId="05FFE4AD">
      <w:pPr>
        <w:pStyle w:val="2"/>
        <w:spacing w:before="265" w:line="188" w:lineRule="auto"/>
        <w:ind w:left="126"/>
        <w:rPr>
          <w:sz w:val="24"/>
          <w:szCs w:val="24"/>
        </w:rPr>
      </w:pPr>
      <w:r>
        <w:rPr>
          <w:sz w:val="24"/>
          <w:szCs w:val="24"/>
        </w:rPr>
        <w:t>项目编号</w:t>
      </w:r>
      <w:r>
        <w:rPr>
          <w:rFonts w:ascii="Arial" w:hAnsi="Arial" w:eastAsia="Arial" w:cs="Arial"/>
          <w:sz w:val="24"/>
          <w:szCs w:val="24"/>
        </w:rPr>
        <w:t>/</w:t>
      </w:r>
      <w:r>
        <w:rPr>
          <w:sz w:val="24"/>
          <w:szCs w:val="24"/>
        </w:rPr>
        <w:t>包号：         项目名称：          报价单位：人民币元</w:t>
      </w:r>
    </w:p>
    <w:tbl>
      <w:tblPr>
        <w:tblStyle w:val="38"/>
        <w:tblW w:w="14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7"/>
        <w:gridCol w:w="1276"/>
        <w:gridCol w:w="1608"/>
        <w:gridCol w:w="1146"/>
        <w:gridCol w:w="1521"/>
        <w:gridCol w:w="1521"/>
        <w:gridCol w:w="1521"/>
        <w:gridCol w:w="1521"/>
        <w:gridCol w:w="1243"/>
        <w:gridCol w:w="1007"/>
        <w:gridCol w:w="1254"/>
      </w:tblGrid>
      <w:tr w14:paraId="6B93F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607" w:type="dxa"/>
            <w:textDirection w:val="tbRlV"/>
            <w:vAlign w:val="top"/>
          </w:tcPr>
          <w:p w14:paraId="0FE9C381">
            <w:pPr>
              <w:spacing w:before="253" w:line="210" w:lineRule="auto"/>
              <w:ind w:left="226"/>
              <w:rPr>
                <w:rFonts w:ascii="宋体" w:hAnsi="宋体" w:eastAsia="宋体" w:cs="宋体"/>
                <w:sz w:val="24"/>
                <w:szCs w:val="24"/>
              </w:rPr>
            </w:pPr>
            <w:r>
              <w:rPr>
                <w:rFonts w:ascii="宋体" w:hAnsi="宋体" w:eastAsia="宋体" w:cs="宋体"/>
                <w:b/>
                <w:bCs/>
                <w:spacing w:val="33"/>
                <w:sz w:val="24"/>
                <w:szCs w:val="24"/>
              </w:rPr>
              <w:t>序号</w:t>
            </w:r>
          </w:p>
        </w:tc>
        <w:tc>
          <w:tcPr>
            <w:tcW w:w="1276" w:type="dxa"/>
            <w:vAlign w:val="top"/>
          </w:tcPr>
          <w:p w14:paraId="6C507DAF">
            <w:pPr>
              <w:pStyle w:val="41"/>
              <w:spacing w:line="302" w:lineRule="auto"/>
            </w:pPr>
          </w:p>
          <w:p w14:paraId="6BAFF4EA">
            <w:pPr>
              <w:spacing w:before="78" w:line="220" w:lineRule="auto"/>
              <w:ind w:left="115"/>
              <w:rPr>
                <w:rFonts w:ascii="宋体" w:hAnsi="宋体" w:eastAsia="宋体" w:cs="宋体"/>
                <w:sz w:val="24"/>
                <w:szCs w:val="24"/>
              </w:rPr>
            </w:pPr>
            <w:r>
              <w:rPr>
                <w:rFonts w:ascii="宋体" w:hAnsi="宋体" w:eastAsia="宋体" w:cs="宋体"/>
                <w:b/>
                <w:bCs/>
                <w:spacing w:val="-5"/>
                <w:sz w:val="24"/>
                <w:szCs w:val="24"/>
              </w:rPr>
              <w:t>分项名称</w:t>
            </w:r>
          </w:p>
        </w:tc>
        <w:tc>
          <w:tcPr>
            <w:tcW w:w="1608" w:type="dxa"/>
            <w:vAlign w:val="top"/>
          </w:tcPr>
          <w:p w14:paraId="077C0CB3">
            <w:pPr>
              <w:pStyle w:val="41"/>
              <w:spacing w:line="302" w:lineRule="auto"/>
            </w:pPr>
            <w:r>
              <w:drawing>
                <wp:anchor distT="0" distB="0" distL="0" distR="0" simplePos="0" relativeHeight="251663360" behindDoc="0" locked="0" layoutInCell="1" allowOverlap="1">
                  <wp:simplePos x="0" y="0"/>
                  <wp:positionH relativeFrom="rightMargin">
                    <wp:posOffset>-1028700</wp:posOffset>
                  </wp:positionH>
                  <wp:positionV relativeFrom="topMargin">
                    <wp:posOffset>-3175</wp:posOffset>
                  </wp:positionV>
                  <wp:extent cx="610870" cy="1016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4"/>
                          <a:stretch>
                            <a:fillRect/>
                          </a:stretch>
                        </pic:blipFill>
                        <pic:spPr>
                          <a:xfrm>
                            <a:off x="0" y="0"/>
                            <a:ext cx="611002" cy="10363"/>
                          </a:xfrm>
                          <a:prstGeom prst="rect">
                            <a:avLst/>
                          </a:prstGeom>
                        </pic:spPr>
                      </pic:pic>
                    </a:graphicData>
                  </a:graphic>
                </wp:anchor>
              </w:drawing>
            </w:r>
          </w:p>
          <w:p w14:paraId="591FA910">
            <w:pPr>
              <w:spacing w:before="78" w:line="221" w:lineRule="auto"/>
              <w:ind w:left="112"/>
              <w:rPr>
                <w:rFonts w:ascii="宋体" w:hAnsi="宋体" w:eastAsia="宋体" w:cs="宋体"/>
                <w:sz w:val="24"/>
                <w:szCs w:val="24"/>
              </w:rPr>
            </w:pPr>
            <w:r>
              <w:rPr>
                <w:rFonts w:ascii="宋体" w:hAnsi="宋体" w:eastAsia="宋体" w:cs="宋体"/>
                <w:b/>
                <w:bCs/>
                <w:spacing w:val="-6"/>
                <w:sz w:val="24"/>
                <w:szCs w:val="24"/>
              </w:rPr>
              <w:t>制造商</w:t>
            </w:r>
          </w:p>
        </w:tc>
        <w:tc>
          <w:tcPr>
            <w:tcW w:w="1146" w:type="dxa"/>
            <w:vAlign w:val="top"/>
          </w:tcPr>
          <w:p w14:paraId="499EB10B">
            <w:pPr>
              <w:pStyle w:val="41"/>
              <w:spacing w:before="227" w:line="242" w:lineRule="auto"/>
              <w:ind w:left="115" w:right="227" w:hanging="2"/>
              <w:rPr>
                <w:rFonts w:ascii="宋体" w:hAnsi="宋体" w:eastAsia="宋体" w:cs="宋体"/>
                <w:sz w:val="24"/>
                <w:szCs w:val="24"/>
              </w:rPr>
            </w:pPr>
            <w:r>
              <w:drawing>
                <wp:anchor distT="0" distB="0" distL="0" distR="0" simplePos="0" relativeHeight="251665408" behindDoc="0" locked="0" layoutInCell="1" allowOverlap="1">
                  <wp:simplePos x="0" y="0"/>
                  <wp:positionH relativeFrom="rightMargin">
                    <wp:posOffset>-308610</wp:posOffset>
                  </wp:positionH>
                  <wp:positionV relativeFrom="topMargin">
                    <wp:posOffset>-3175</wp:posOffset>
                  </wp:positionV>
                  <wp:extent cx="306070" cy="1016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5"/>
                          <a:stretch>
                            <a:fillRect/>
                          </a:stretch>
                        </pic:blipFill>
                        <pic:spPr>
                          <a:xfrm>
                            <a:off x="0" y="0"/>
                            <a:ext cx="306186" cy="10363"/>
                          </a:xfrm>
                          <a:prstGeom prst="rect">
                            <a:avLst/>
                          </a:prstGeom>
                        </pic:spPr>
                      </pic:pic>
                    </a:graphicData>
                  </a:graphic>
                </wp:anchor>
              </w:drawing>
            </w:r>
            <w:r>
              <w:rPr>
                <w:rFonts w:ascii="宋体" w:hAnsi="宋体" w:eastAsia="宋体" w:cs="宋体"/>
                <w:b/>
                <w:bCs/>
                <w:spacing w:val="1"/>
                <w:sz w:val="24"/>
                <w:szCs w:val="24"/>
              </w:rPr>
              <w:t>产地</w:t>
            </w:r>
            <w:r>
              <w:rPr>
                <w:b/>
                <w:bCs/>
                <w:spacing w:val="1"/>
                <w:sz w:val="24"/>
                <w:szCs w:val="24"/>
              </w:rPr>
              <w:t>/</w:t>
            </w:r>
            <w:r>
              <w:rPr>
                <w:rFonts w:ascii="宋体" w:hAnsi="宋体" w:eastAsia="宋体" w:cs="宋体"/>
                <w:b/>
                <w:bCs/>
                <w:spacing w:val="1"/>
                <w:sz w:val="24"/>
                <w:szCs w:val="24"/>
              </w:rPr>
              <w:t>国</w:t>
            </w:r>
            <w:r>
              <w:rPr>
                <w:rFonts w:ascii="宋体" w:hAnsi="宋体" w:eastAsia="宋体" w:cs="宋体"/>
                <w:sz w:val="24"/>
                <w:szCs w:val="24"/>
              </w:rPr>
              <w:t xml:space="preserve"> </w:t>
            </w:r>
            <w:r>
              <w:rPr>
                <w:rFonts w:ascii="宋体" w:hAnsi="宋体" w:eastAsia="宋体" w:cs="宋体"/>
                <w:b/>
                <w:bCs/>
                <w:spacing w:val="-3"/>
                <w:sz w:val="24"/>
                <w:szCs w:val="24"/>
              </w:rPr>
              <w:t>别</w:t>
            </w:r>
          </w:p>
        </w:tc>
        <w:tc>
          <w:tcPr>
            <w:tcW w:w="1521" w:type="dxa"/>
            <w:vAlign w:val="top"/>
          </w:tcPr>
          <w:p w14:paraId="39EF822E">
            <w:pPr>
              <w:spacing w:before="70" w:line="221" w:lineRule="auto"/>
              <w:ind w:left="406"/>
              <w:rPr>
                <w:rFonts w:ascii="宋体" w:hAnsi="宋体" w:eastAsia="宋体" w:cs="宋体"/>
                <w:sz w:val="24"/>
                <w:szCs w:val="24"/>
              </w:rPr>
            </w:pPr>
            <w:r>
              <w:drawing>
                <wp:anchor distT="0" distB="0" distL="0" distR="0" simplePos="0" relativeHeight="251664384" behindDoc="0" locked="0" layoutInCell="1" allowOverlap="1">
                  <wp:simplePos x="0" y="0"/>
                  <wp:positionH relativeFrom="rightMargin">
                    <wp:posOffset>-971550</wp:posOffset>
                  </wp:positionH>
                  <wp:positionV relativeFrom="topMargin">
                    <wp:posOffset>-3175</wp:posOffset>
                  </wp:positionV>
                  <wp:extent cx="460375" cy="1016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6"/>
                          <a:stretch>
                            <a:fillRect/>
                          </a:stretch>
                        </pic:blipFill>
                        <pic:spPr>
                          <a:xfrm>
                            <a:off x="0" y="0"/>
                            <a:ext cx="460118" cy="10363"/>
                          </a:xfrm>
                          <a:prstGeom prst="rect">
                            <a:avLst/>
                          </a:prstGeom>
                        </pic:spPr>
                      </pic:pic>
                    </a:graphicData>
                  </a:graphic>
                </wp:anchor>
              </w:drawing>
            </w:r>
            <w:r>
              <w:rPr>
                <w:rFonts w:ascii="宋体" w:hAnsi="宋体" w:eastAsia="宋体" w:cs="宋体"/>
                <w:b/>
                <w:bCs/>
                <w:spacing w:val="-6"/>
                <w:sz w:val="24"/>
                <w:szCs w:val="24"/>
              </w:rPr>
              <w:t>制造商</w:t>
            </w:r>
          </w:p>
          <w:p w14:paraId="255A9F9B">
            <w:pPr>
              <w:spacing w:before="24" w:line="219" w:lineRule="auto"/>
              <w:ind w:left="171"/>
              <w:rPr>
                <w:rFonts w:ascii="宋体" w:hAnsi="宋体" w:eastAsia="宋体" w:cs="宋体"/>
                <w:sz w:val="24"/>
                <w:szCs w:val="24"/>
              </w:rPr>
            </w:pPr>
            <w:r>
              <w:rPr>
                <w:rFonts w:ascii="宋体" w:hAnsi="宋体" w:eastAsia="宋体" w:cs="宋体"/>
                <w:b/>
                <w:bCs/>
                <w:spacing w:val="-5"/>
                <w:sz w:val="24"/>
                <w:szCs w:val="24"/>
              </w:rPr>
              <w:t>统一信用代</w:t>
            </w:r>
          </w:p>
          <w:p w14:paraId="2882DA9D">
            <w:pPr>
              <w:spacing w:before="27" w:line="206" w:lineRule="auto"/>
              <w:ind w:left="644"/>
              <w:rPr>
                <w:rFonts w:ascii="宋体" w:hAnsi="宋体" w:eastAsia="宋体" w:cs="宋体"/>
                <w:sz w:val="24"/>
                <w:szCs w:val="24"/>
              </w:rPr>
            </w:pPr>
            <w:r>
              <w:rPr>
                <w:rFonts w:ascii="宋体" w:hAnsi="宋体" w:eastAsia="宋体" w:cs="宋体"/>
                <w:b/>
                <w:bCs/>
                <w:spacing w:val="-3"/>
                <w:sz w:val="24"/>
                <w:szCs w:val="24"/>
              </w:rPr>
              <w:t>码</w:t>
            </w:r>
          </w:p>
        </w:tc>
        <w:tc>
          <w:tcPr>
            <w:tcW w:w="1521" w:type="dxa"/>
            <w:vAlign w:val="top"/>
          </w:tcPr>
          <w:p w14:paraId="176BF013">
            <w:pPr>
              <w:spacing w:before="226" w:line="242" w:lineRule="auto"/>
              <w:ind w:left="526" w:right="397" w:hanging="120"/>
              <w:rPr>
                <w:rFonts w:ascii="宋体" w:hAnsi="宋体" w:eastAsia="宋体" w:cs="宋体"/>
                <w:sz w:val="24"/>
                <w:szCs w:val="24"/>
              </w:rPr>
            </w:pPr>
            <w:r>
              <w:rPr>
                <w:rFonts w:ascii="宋体" w:hAnsi="宋体" w:eastAsia="宋体" w:cs="宋体"/>
                <w:b/>
                <w:bCs/>
                <w:spacing w:val="-6"/>
                <w:sz w:val="24"/>
                <w:szCs w:val="24"/>
              </w:rPr>
              <w:t>制造商</w:t>
            </w:r>
            <w:r>
              <w:rPr>
                <w:rFonts w:ascii="宋体" w:hAnsi="宋体" w:eastAsia="宋体" w:cs="宋体"/>
                <w:spacing w:val="1"/>
                <w:sz w:val="24"/>
                <w:szCs w:val="24"/>
              </w:rPr>
              <w:t xml:space="preserve"> </w:t>
            </w:r>
            <w:r>
              <w:rPr>
                <w:rFonts w:ascii="宋体" w:hAnsi="宋体" w:eastAsia="宋体" w:cs="宋体"/>
                <w:b/>
                <w:bCs/>
                <w:spacing w:val="-6"/>
                <w:sz w:val="24"/>
                <w:szCs w:val="24"/>
              </w:rPr>
              <w:t>规模</w:t>
            </w:r>
          </w:p>
        </w:tc>
        <w:tc>
          <w:tcPr>
            <w:tcW w:w="1521" w:type="dxa"/>
            <w:vAlign w:val="top"/>
          </w:tcPr>
          <w:p w14:paraId="6C9C8C2E">
            <w:pPr>
              <w:pStyle w:val="41"/>
              <w:spacing w:line="302" w:lineRule="auto"/>
            </w:pPr>
          </w:p>
          <w:p w14:paraId="57F564EC">
            <w:pPr>
              <w:spacing w:before="78" w:line="220" w:lineRule="auto"/>
              <w:ind w:left="548"/>
              <w:rPr>
                <w:rFonts w:ascii="宋体" w:hAnsi="宋体" w:eastAsia="宋体" w:cs="宋体"/>
                <w:sz w:val="24"/>
                <w:szCs w:val="24"/>
              </w:rPr>
            </w:pPr>
            <w:r>
              <w:rPr>
                <w:rFonts w:ascii="宋体" w:hAnsi="宋体" w:eastAsia="宋体" w:cs="宋体"/>
                <w:b/>
                <w:bCs/>
                <w:spacing w:val="-10"/>
                <w:sz w:val="24"/>
                <w:szCs w:val="24"/>
              </w:rPr>
              <w:t>品牌</w:t>
            </w:r>
          </w:p>
        </w:tc>
        <w:tc>
          <w:tcPr>
            <w:tcW w:w="1521" w:type="dxa"/>
            <w:vAlign w:val="top"/>
          </w:tcPr>
          <w:p w14:paraId="4E2F83D4">
            <w:pPr>
              <w:pStyle w:val="41"/>
              <w:spacing w:line="302" w:lineRule="auto"/>
            </w:pPr>
          </w:p>
          <w:p w14:paraId="70DC49E4">
            <w:pPr>
              <w:spacing w:before="78" w:line="220" w:lineRule="auto"/>
              <w:ind w:left="117"/>
              <w:rPr>
                <w:rFonts w:ascii="宋体" w:hAnsi="宋体" w:eastAsia="宋体" w:cs="宋体"/>
                <w:sz w:val="24"/>
                <w:szCs w:val="24"/>
              </w:rPr>
            </w:pPr>
            <w:r>
              <w:rPr>
                <w:rFonts w:ascii="宋体" w:hAnsi="宋体" w:eastAsia="宋体" w:cs="宋体"/>
                <w:b/>
                <w:bCs/>
                <w:spacing w:val="-4"/>
                <w:sz w:val="24"/>
                <w:szCs w:val="24"/>
              </w:rPr>
              <w:t>规格、型号</w:t>
            </w:r>
          </w:p>
        </w:tc>
        <w:tc>
          <w:tcPr>
            <w:tcW w:w="1243" w:type="dxa"/>
            <w:vAlign w:val="top"/>
          </w:tcPr>
          <w:p w14:paraId="3F4FEED7">
            <w:pPr>
              <w:pStyle w:val="41"/>
              <w:spacing w:line="302" w:lineRule="auto"/>
            </w:pPr>
          </w:p>
          <w:p w14:paraId="2F5B8D14">
            <w:pPr>
              <w:spacing w:before="78" w:line="219" w:lineRule="auto"/>
              <w:jc w:val="right"/>
              <w:rPr>
                <w:rFonts w:ascii="宋体" w:hAnsi="宋体" w:eastAsia="宋体" w:cs="宋体"/>
                <w:sz w:val="24"/>
                <w:szCs w:val="24"/>
              </w:rPr>
            </w:pPr>
            <w:r>
              <w:rPr>
                <w:rFonts w:ascii="宋体" w:hAnsi="宋体" w:eastAsia="宋体" w:cs="宋体"/>
                <w:b/>
                <w:bCs/>
                <w:spacing w:val="-19"/>
                <w:sz w:val="24"/>
                <w:szCs w:val="24"/>
              </w:rPr>
              <w:t>单价（元）</w:t>
            </w:r>
          </w:p>
        </w:tc>
        <w:tc>
          <w:tcPr>
            <w:tcW w:w="1007" w:type="dxa"/>
            <w:vAlign w:val="top"/>
          </w:tcPr>
          <w:p w14:paraId="445B08B2">
            <w:pPr>
              <w:pStyle w:val="41"/>
              <w:spacing w:line="302" w:lineRule="auto"/>
            </w:pPr>
          </w:p>
          <w:p w14:paraId="1E28C082">
            <w:pPr>
              <w:spacing w:before="78" w:line="220" w:lineRule="auto"/>
              <w:ind w:left="119"/>
              <w:rPr>
                <w:rFonts w:ascii="宋体" w:hAnsi="宋体" w:eastAsia="宋体" w:cs="宋体"/>
                <w:sz w:val="24"/>
                <w:szCs w:val="24"/>
              </w:rPr>
            </w:pPr>
            <w:r>
              <w:rPr>
                <w:rFonts w:ascii="宋体" w:hAnsi="宋体" w:eastAsia="宋体" w:cs="宋体"/>
                <w:b/>
                <w:bCs/>
                <w:spacing w:val="-6"/>
                <w:sz w:val="24"/>
                <w:szCs w:val="24"/>
              </w:rPr>
              <w:t>数量</w:t>
            </w:r>
          </w:p>
        </w:tc>
        <w:tc>
          <w:tcPr>
            <w:tcW w:w="1254" w:type="dxa"/>
            <w:vAlign w:val="top"/>
          </w:tcPr>
          <w:p w14:paraId="265682EF">
            <w:pPr>
              <w:pStyle w:val="41"/>
              <w:spacing w:line="302" w:lineRule="auto"/>
            </w:pPr>
          </w:p>
          <w:p w14:paraId="3618CC10">
            <w:pPr>
              <w:spacing w:before="78" w:line="219" w:lineRule="auto"/>
              <w:jc w:val="right"/>
              <w:rPr>
                <w:rFonts w:ascii="宋体" w:hAnsi="宋体" w:eastAsia="宋体" w:cs="宋体"/>
                <w:sz w:val="24"/>
                <w:szCs w:val="24"/>
              </w:rPr>
            </w:pPr>
            <w:r>
              <w:rPr>
                <w:rFonts w:ascii="宋体" w:hAnsi="宋体" w:eastAsia="宋体" w:cs="宋体"/>
                <w:b/>
                <w:bCs/>
                <w:spacing w:val="-18"/>
                <w:sz w:val="24"/>
                <w:szCs w:val="24"/>
              </w:rPr>
              <w:t>合价（元）</w:t>
            </w:r>
          </w:p>
        </w:tc>
      </w:tr>
      <w:tr w14:paraId="36398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07" w:type="dxa"/>
            <w:vAlign w:val="top"/>
          </w:tcPr>
          <w:p w14:paraId="02EB15BE">
            <w:pPr>
              <w:pStyle w:val="41"/>
              <w:spacing w:before="46" w:line="198" w:lineRule="auto"/>
              <w:ind w:left="134"/>
              <w:rPr>
                <w:sz w:val="24"/>
                <w:szCs w:val="24"/>
              </w:rPr>
            </w:pPr>
            <w:r>
              <w:rPr>
                <w:sz w:val="24"/>
                <w:szCs w:val="24"/>
              </w:rPr>
              <w:t>1</w:t>
            </w:r>
          </w:p>
        </w:tc>
        <w:tc>
          <w:tcPr>
            <w:tcW w:w="1276" w:type="dxa"/>
            <w:vAlign w:val="top"/>
          </w:tcPr>
          <w:p w14:paraId="576FEDDA">
            <w:pPr>
              <w:pStyle w:val="41"/>
            </w:pPr>
          </w:p>
        </w:tc>
        <w:tc>
          <w:tcPr>
            <w:tcW w:w="1608" w:type="dxa"/>
            <w:vAlign w:val="top"/>
          </w:tcPr>
          <w:p w14:paraId="4286FEDA">
            <w:pPr>
              <w:pStyle w:val="41"/>
            </w:pPr>
          </w:p>
        </w:tc>
        <w:tc>
          <w:tcPr>
            <w:tcW w:w="1146" w:type="dxa"/>
            <w:vAlign w:val="top"/>
          </w:tcPr>
          <w:p w14:paraId="3D87EC49">
            <w:pPr>
              <w:pStyle w:val="41"/>
            </w:pPr>
          </w:p>
        </w:tc>
        <w:tc>
          <w:tcPr>
            <w:tcW w:w="1521" w:type="dxa"/>
            <w:vAlign w:val="top"/>
          </w:tcPr>
          <w:p w14:paraId="5B2DEED1">
            <w:pPr>
              <w:pStyle w:val="41"/>
            </w:pPr>
          </w:p>
        </w:tc>
        <w:tc>
          <w:tcPr>
            <w:tcW w:w="1521" w:type="dxa"/>
            <w:vAlign w:val="top"/>
          </w:tcPr>
          <w:p w14:paraId="326E4778">
            <w:pPr>
              <w:pStyle w:val="41"/>
            </w:pPr>
          </w:p>
        </w:tc>
        <w:tc>
          <w:tcPr>
            <w:tcW w:w="1521" w:type="dxa"/>
            <w:vAlign w:val="top"/>
          </w:tcPr>
          <w:p w14:paraId="5A502314">
            <w:pPr>
              <w:pStyle w:val="41"/>
            </w:pPr>
          </w:p>
        </w:tc>
        <w:tc>
          <w:tcPr>
            <w:tcW w:w="1521" w:type="dxa"/>
            <w:vAlign w:val="top"/>
          </w:tcPr>
          <w:p w14:paraId="563078CB">
            <w:pPr>
              <w:pStyle w:val="41"/>
            </w:pPr>
          </w:p>
        </w:tc>
        <w:tc>
          <w:tcPr>
            <w:tcW w:w="1243" w:type="dxa"/>
            <w:vAlign w:val="top"/>
          </w:tcPr>
          <w:p w14:paraId="44B7D10E">
            <w:pPr>
              <w:pStyle w:val="41"/>
            </w:pPr>
          </w:p>
        </w:tc>
        <w:tc>
          <w:tcPr>
            <w:tcW w:w="1007" w:type="dxa"/>
            <w:vAlign w:val="top"/>
          </w:tcPr>
          <w:p w14:paraId="45843F32">
            <w:pPr>
              <w:pStyle w:val="41"/>
            </w:pPr>
          </w:p>
        </w:tc>
        <w:tc>
          <w:tcPr>
            <w:tcW w:w="1254" w:type="dxa"/>
            <w:vAlign w:val="top"/>
          </w:tcPr>
          <w:p w14:paraId="145B783B">
            <w:pPr>
              <w:pStyle w:val="41"/>
            </w:pPr>
          </w:p>
        </w:tc>
      </w:tr>
      <w:tr w14:paraId="65BC6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7" w:type="dxa"/>
            <w:vAlign w:val="top"/>
          </w:tcPr>
          <w:p w14:paraId="0A1166EF">
            <w:pPr>
              <w:pStyle w:val="41"/>
              <w:spacing w:before="44" w:line="199" w:lineRule="auto"/>
              <w:ind w:left="125"/>
              <w:rPr>
                <w:sz w:val="24"/>
                <w:szCs w:val="24"/>
              </w:rPr>
            </w:pPr>
            <w:r>
              <w:rPr>
                <w:spacing w:val="1"/>
                <w:sz w:val="24"/>
                <w:szCs w:val="24"/>
              </w:rPr>
              <w:t>2</w:t>
            </w:r>
          </w:p>
        </w:tc>
        <w:tc>
          <w:tcPr>
            <w:tcW w:w="1276" w:type="dxa"/>
            <w:vAlign w:val="top"/>
          </w:tcPr>
          <w:p w14:paraId="35E25B30">
            <w:pPr>
              <w:pStyle w:val="41"/>
            </w:pPr>
          </w:p>
        </w:tc>
        <w:tc>
          <w:tcPr>
            <w:tcW w:w="1608" w:type="dxa"/>
            <w:vAlign w:val="top"/>
          </w:tcPr>
          <w:p w14:paraId="4298F780">
            <w:pPr>
              <w:pStyle w:val="41"/>
            </w:pPr>
          </w:p>
        </w:tc>
        <w:tc>
          <w:tcPr>
            <w:tcW w:w="1146" w:type="dxa"/>
            <w:vAlign w:val="top"/>
          </w:tcPr>
          <w:p w14:paraId="187F596A">
            <w:pPr>
              <w:pStyle w:val="41"/>
            </w:pPr>
          </w:p>
        </w:tc>
        <w:tc>
          <w:tcPr>
            <w:tcW w:w="1521" w:type="dxa"/>
            <w:vAlign w:val="top"/>
          </w:tcPr>
          <w:p w14:paraId="5FB19235">
            <w:pPr>
              <w:pStyle w:val="41"/>
            </w:pPr>
          </w:p>
        </w:tc>
        <w:tc>
          <w:tcPr>
            <w:tcW w:w="1521" w:type="dxa"/>
            <w:vAlign w:val="top"/>
          </w:tcPr>
          <w:p w14:paraId="26EF40D7">
            <w:pPr>
              <w:pStyle w:val="41"/>
            </w:pPr>
          </w:p>
        </w:tc>
        <w:tc>
          <w:tcPr>
            <w:tcW w:w="1521" w:type="dxa"/>
            <w:vAlign w:val="top"/>
          </w:tcPr>
          <w:p w14:paraId="2B99F78E">
            <w:pPr>
              <w:pStyle w:val="41"/>
            </w:pPr>
          </w:p>
        </w:tc>
        <w:tc>
          <w:tcPr>
            <w:tcW w:w="1521" w:type="dxa"/>
            <w:vAlign w:val="top"/>
          </w:tcPr>
          <w:p w14:paraId="4ACFAF50">
            <w:pPr>
              <w:pStyle w:val="41"/>
            </w:pPr>
          </w:p>
        </w:tc>
        <w:tc>
          <w:tcPr>
            <w:tcW w:w="1243" w:type="dxa"/>
            <w:vAlign w:val="top"/>
          </w:tcPr>
          <w:p w14:paraId="2C60895D">
            <w:pPr>
              <w:pStyle w:val="41"/>
            </w:pPr>
          </w:p>
        </w:tc>
        <w:tc>
          <w:tcPr>
            <w:tcW w:w="1007" w:type="dxa"/>
            <w:vAlign w:val="top"/>
          </w:tcPr>
          <w:p w14:paraId="31F7DEFA">
            <w:pPr>
              <w:pStyle w:val="41"/>
            </w:pPr>
          </w:p>
        </w:tc>
        <w:tc>
          <w:tcPr>
            <w:tcW w:w="1254" w:type="dxa"/>
            <w:vAlign w:val="top"/>
          </w:tcPr>
          <w:p w14:paraId="0F20783D">
            <w:pPr>
              <w:pStyle w:val="41"/>
            </w:pPr>
          </w:p>
        </w:tc>
      </w:tr>
      <w:tr w14:paraId="3D9D8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07" w:type="dxa"/>
            <w:vAlign w:val="top"/>
          </w:tcPr>
          <w:p w14:paraId="5C93A136">
            <w:pPr>
              <w:pStyle w:val="41"/>
              <w:spacing w:before="46" w:line="198" w:lineRule="auto"/>
              <w:ind w:left="126"/>
              <w:rPr>
                <w:sz w:val="24"/>
                <w:szCs w:val="24"/>
              </w:rPr>
            </w:pPr>
            <w:r>
              <w:rPr>
                <w:sz w:val="24"/>
                <w:szCs w:val="24"/>
              </w:rPr>
              <w:t>3</w:t>
            </w:r>
          </w:p>
        </w:tc>
        <w:tc>
          <w:tcPr>
            <w:tcW w:w="1276" w:type="dxa"/>
            <w:vAlign w:val="top"/>
          </w:tcPr>
          <w:p w14:paraId="22232E4F">
            <w:pPr>
              <w:pStyle w:val="41"/>
            </w:pPr>
          </w:p>
        </w:tc>
        <w:tc>
          <w:tcPr>
            <w:tcW w:w="1608" w:type="dxa"/>
            <w:vAlign w:val="top"/>
          </w:tcPr>
          <w:p w14:paraId="61F773D2">
            <w:pPr>
              <w:pStyle w:val="41"/>
            </w:pPr>
          </w:p>
        </w:tc>
        <w:tc>
          <w:tcPr>
            <w:tcW w:w="1146" w:type="dxa"/>
            <w:vAlign w:val="top"/>
          </w:tcPr>
          <w:p w14:paraId="4BE1A4B0">
            <w:pPr>
              <w:pStyle w:val="41"/>
            </w:pPr>
          </w:p>
        </w:tc>
        <w:tc>
          <w:tcPr>
            <w:tcW w:w="1521" w:type="dxa"/>
            <w:vAlign w:val="top"/>
          </w:tcPr>
          <w:p w14:paraId="1A41DAAC">
            <w:pPr>
              <w:pStyle w:val="41"/>
            </w:pPr>
          </w:p>
        </w:tc>
        <w:tc>
          <w:tcPr>
            <w:tcW w:w="1521" w:type="dxa"/>
            <w:vAlign w:val="top"/>
          </w:tcPr>
          <w:p w14:paraId="6CC4A88B">
            <w:pPr>
              <w:pStyle w:val="41"/>
            </w:pPr>
          </w:p>
        </w:tc>
        <w:tc>
          <w:tcPr>
            <w:tcW w:w="1521" w:type="dxa"/>
            <w:vAlign w:val="top"/>
          </w:tcPr>
          <w:p w14:paraId="13716DC8">
            <w:pPr>
              <w:pStyle w:val="41"/>
            </w:pPr>
          </w:p>
        </w:tc>
        <w:tc>
          <w:tcPr>
            <w:tcW w:w="1521" w:type="dxa"/>
            <w:vAlign w:val="top"/>
          </w:tcPr>
          <w:p w14:paraId="3B7A4DB1">
            <w:pPr>
              <w:pStyle w:val="41"/>
            </w:pPr>
          </w:p>
        </w:tc>
        <w:tc>
          <w:tcPr>
            <w:tcW w:w="1243" w:type="dxa"/>
            <w:vAlign w:val="top"/>
          </w:tcPr>
          <w:p w14:paraId="05AA565A">
            <w:pPr>
              <w:pStyle w:val="41"/>
            </w:pPr>
          </w:p>
        </w:tc>
        <w:tc>
          <w:tcPr>
            <w:tcW w:w="1007" w:type="dxa"/>
            <w:vAlign w:val="top"/>
          </w:tcPr>
          <w:p w14:paraId="0A27A460">
            <w:pPr>
              <w:pStyle w:val="41"/>
            </w:pPr>
          </w:p>
        </w:tc>
        <w:tc>
          <w:tcPr>
            <w:tcW w:w="1254" w:type="dxa"/>
            <w:vAlign w:val="top"/>
          </w:tcPr>
          <w:p w14:paraId="006DC29E">
            <w:pPr>
              <w:pStyle w:val="41"/>
            </w:pPr>
          </w:p>
        </w:tc>
      </w:tr>
      <w:tr w14:paraId="7515B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7" w:type="dxa"/>
            <w:vAlign w:val="top"/>
          </w:tcPr>
          <w:p w14:paraId="3593E763">
            <w:pPr>
              <w:pStyle w:val="41"/>
              <w:spacing w:before="48" w:line="197" w:lineRule="auto"/>
              <w:ind w:left="119"/>
              <w:rPr>
                <w:sz w:val="24"/>
                <w:szCs w:val="24"/>
              </w:rPr>
            </w:pPr>
            <w:r>
              <w:rPr>
                <w:spacing w:val="7"/>
                <w:sz w:val="24"/>
                <w:szCs w:val="24"/>
              </w:rPr>
              <w:t>4</w:t>
            </w:r>
          </w:p>
        </w:tc>
        <w:tc>
          <w:tcPr>
            <w:tcW w:w="1276" w:type="dxa"/>
            <w:vAlign w:val="top"/>
          </w:tcPr>
          <w:p w14:paraId="67938F82">
            <w:pPr>
              <w:pStyle w:val="41"/>
            </w:pPr>
          </w:p>
        </w:tc>
        <w:tc>
          <w:tcPr>
            <w:tcW w:w="1608" w:type="dxa"/>
            <w:vAlign w:val="top"/>
          </w:tcPr>
          <w:p w14:paraId="54A5BA1C">
            <w:pPr>
              <w:pStyle w:val="41"/>
            </w:pPr>
          </w:p>
        </w:tc>
        <w:tc>
          <w:tcPr>
            <w:tcW w:w="1146" w:type="dxa"/>
            <w:vAlign w:val="top"/>
          </w:tcPr>
          <w:p w14:paraId="75E24064">
            <w:pPr>
              <w:pStyle w:val="41"/>
            </w:pPr>
          </w:p>
        </w:tc>
        <w:tc>
          <w:tcPr>
            <w:tcW w:w="1521" w:type="dxa"/>
            <w:vAlign w:val="top"/>
          </w:tcPr>
          <w:p w14:paraId="366ED28D">
            <w:pPr>
              <w:pStyle w:val="41"/>
            </w:pPr>
          </w:p>
        </w:tc>
        <w:tc>
          <w:tcPr>
            <w:tcW w:w="1521" w:type="dxa"/>
            <w:vAlign w:val="top"/>
          </w:tcPr>
          <w:p w14:paraId="1245E7F9">
            <w:pPr>
              <w:pStyle w:val="41"/>
            </w:pPr>
          </w:p>
        </w:tc>
        <w:tc>
          <w:tcPr>
            <w:tcW w:w="1521" w:type="dxa"/>
            <w:vAlign w:val="top"/>
          </w:tcPr>
          <w:p w14:paraId="27BD816F">
            <w:pPr>
              <w:pStyle w:val="41"/>
            </w:pPr>
          </w:p>
        </w:tc>
        <w:tc>
          <w:tcPr>
            <w:tcW w:w="1521" w:type="dxa"/>
            <w:vAlign w:val="top"/>
          </w:tcPr>
          <w:p w14:paraId="518A3393">
            <w:pPr>
              <w:pStyle w:val="41"/>
            </w:pPr>
          </w:p>
        </w:tc>
        <w:tc>
          <w:tcPr>
            <w:tcW w:w="1243" w:type="dxa"/>
            <w:vAlign w:val="top"/>
          </w:tcPr>
          <w:p w14:paraId="43F10166">
            <w:pPr>
              <w:pStyle w:val="41"/>
            </w:pPr>
          </w:p>
        </w:tc>
        <w:tc>
          <w:tcPr>
            <w:tcW w:w="1007" w:type="dxa"/>
            <w:vAlign w:val="top"/>
          </w:tcPr>
          <w:p w14:paraId="17C2BBB3">
            <w:pPr>
              <w:pStyle w:val="41"/>
            </w:pPr>
          </w:p>
        </w:tc>
        <w:tc>
          <w:tcPr>
            <w:tcW w:w="1254" w:type="dxa"/>
            <w:vAlign w:val="top"/>
          </w:tcPr>
          <w:p w14:paraId="49B73272">
            <w:pPr>
              <w:pStyle w:val="41"/>
            </w:pPr>
          </w:p>
        </w:tc>
      </w:tr>
      <w:tr w14:paraId="2D0C5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7" w:type="dxa"/>
            <w:vAlign w:val="top"/>
          </w:tcPr>
          <w:p w14:paraId="3ACFA292">
            <w:pPr>
              <w:pStyle w:val="41"/>
              <w:spacing w:before="196" w:line="76" w:lineRule="exact"/>
              <w:ind w:left="135"/>
              <w:rPr>
                <w:sz w:val="24"/>
                <w:szCs w:val="24"/>
              </w:rPr>
            </w:pPr>
            <w:r>
              <w:rPr>
                <w:position w:val="1"/>
                <w:sz w:val="24"/>
                <w:szCs w:val="24"/>
              </w:rPr>
              <w:t>…</w:t>
            </w:r>
          </w:p>
        </w:tc>
        <w:tc>
          <w:tcPr>
            <w:tcW w:w="1276" w:type="dxa"/>
            <w:vAlign w:val="top"/>
          </w:tcPr>
          <w:p w14:paraId="14A0C22D">
            <w:pPr>
              <w:pStyle w:val="41"/>
            </w:pPr>
          </w:p>
        </w:tc>
        <w:tc>
          <w:tcPr>
            <w:tcW w:w="1608" w:type="dxa"/>
            <w:vAlign w:val="top"/>
          </w:tcPr>
          <w:p w14:paraId="427B6CB9">
            <w:pPr>
              <w:pStyle w:val="41"/>
            </w:pPr>
          </w:p>
        </w:tc>
        <w:tc>
          <w:tcPr>
            <w:tcW w:w="1146" w:type="dxa"/>
            <w:vAlign w:val="top"/>
          </w:tcPr>
          <w:p w14:paraId="0F8250AD">
            <w:pPr>
              <w:pStyle w:val="41"/>
            </w:pPr>
          </w:p>
        </w:tc>
        <w:tc>
          <w:tcPr>
            <w:tcW w:w="1521" w:type="dxa"/>
            <w:vAlign w:val="top"/>
          </w:tcPr>
          <w:p w14:paraId="41937704">
            <w:pPr>
              <w:pStyle w:val="41"/>
            </w:pPr>
          </w:p>
        </w:tc>
        <w:tc>
          <w:tcPr>
            <w:tcW w:w="1521" w:type="dxa"/>
            <w:vAlign w:val="top"/>
          </w:tcPr>
          <w:p w14:paraId="7F537B14">
            <w:pPr>
              <w:pStyle w:val="41"/>
            </w:pPr>
          </w:p>
        </w:tc>
        <w:tc>
          <w:tcPr>
            <w:tcW w:w="1521" w:type="dxa"/>
            <w:vAlign w:val="top"/>
          </w:tcPr>
          <w:p w14:paraId="63D0444E">
            <w:pPr>
              <w:pStyle w:val="41"/>
            </w:pPr>
          </w:p>
        </w:tc>
        <w:tc>
          <w:tcPr>
            <w:tcW w:w="1521" w:type="dxa"/>
            <w:vAlign w:val="top"/>
          </w:tcPr>
          <w:p w14:paraId="3458FDEA">
            <w:pPr>
              <w:pStyle w:val="41"/>
            </w:pPr>
          </w:p>
        </w:tc>
        <w:tc>
          <w:tcPr>
            <w:tcW w:w="1243" w:type="dxa"/>
            <w:vAlign w:val="top"/>
          </w:tcPr>
          <w:p w14:paraId="09162067">
            <w:pPr>
              <w:pStyle w:val="41"/>
            </w:pPr>
          </w:p>
        </w:tc>
        <w:tc>
          <w:tcPr>
            <w:tcW w:w="1007" w:type="dxa"/>
            <w:vAlign w:val="top"/>
          </w:tcPr>
          <w:p w14:paraId="7799689B">
            <w:pPr>
              <w:pStyle w:val="41"/>
            </w:pPr>
          </w:p>
        </w:tc>
        <w:tc>
          <w:tcPr>
            <w:tcW w:w="1254" w:type="dxa"/>
            <w:vAlign w:val="top"/>
          </w:tcPr>
          <w:p w14:paraId="3A53F816">
            <w:pPr>
              <w:pStyle w:val="41"/>
            </w:pPr>
          </w:p>
        </w:tc>
      </w:tr>
      <w:tr w14:paraId="50E14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971" w:type="dxa"/>
            <w:gridSpan w:val="10"/>
            <w:vAlign w:val="top"/>
          </w:tcPr>
          <w:p w14:paraId="41150BFE">
            <w:pPr>
              <w:spacing w:before="42" w:line="206" w:lineRule="auto"/>
              <w:ind w:left="11673"/>
              <w:rPr>
                <w:rFonts w:ascii="宋体" w:hAnsi="宋体" w:eastAsia="宋体" w:cs="宋体"/>
                <w:sz w:val="24"/>
                <w:szCs w:val="24"/>
              </w:rPr>
            </w:pPr>
            <w:r>
              <w:rPr>
                <w:rFonts w:ascii="宋体" w:hAnsi="宋体" w:eastAsia="宋体" w:cs="宋体"/>
                <w:b/>
                <w:bCs/>
                <w:spacing w:val="-7"/>
                <w:sz w:val="24"/>
                <w:szCs w:val="24"/>
              </w:rPr>
              <w:t>总价（元）</w:t>
            </w:r>
          </w:p>
        </w:tc>
        <w:tc>
          <w:tcPr>
            <w:tcW w:w="1254" w:type="dxa"/>
            <w:vAlign w:val="top"/>
          </w:tcPr>
          <w:p w14:paraId="31CA8C74">
            <w:pPr>
              <w:pStyle w:val="41"/>
            </w:pPr>
          </w:p>
        </w:tc>
      </w:tr>
    </w:tbl>
    <w:p w14:paraId="657F97C3">
      <w:pPr>
        <w:pStyle w:val="2"/>
        <w:spacing w:before="275" w:line="212" w:lineRule="auto"/>
        <w:ind w:left="151"/>
        <w:rPr>
          <w:sz w:val="25"/>
          <w:szCs w:val="25"/>
        </w:rPr>
        <w:sectPr>
          <w:footerReference r:id="rId7" w:type="default"/>
          <w:pgSz w:w="16840" w:h="11907"/>
          <w:pgMar w:top="1165" w:right="1304" w:bottom="1059" w:left="1305" w:header="830" w:footer="885" w:gutter="0"/>
          <w:pgNumType w:fmt="decimal"/>
          <w:cols w:space="720" w:num="1"/>
        </w:sectPr>
      </w:pPr>
      <w:r>
        <w:rPr>
          <w:b/>
          <w:bCs/>
          <w:i/>
          <w:iCs/>
          <w:color w:val="FF0000"/>
          <w:spacing w:val="-14"/>
          <w:sz w:val="25"/>
          <w:szCs w:val="25"/>
        </w:rPr>
        <w:t>说明：制造商规模请填写</w:t>
      </w:r>
      <w:r>
        <w:rPr>
          <w:color w:val="FF0000"/>
          <w:spacing w:val="-78"/>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中型</w:t>
      </w:r>
      <w:r>
        <w:rPr>
          <w:color w:val="FF0000"/>
          <w:spacing w:val="-88"/>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w:t>
      </w:r>
      <w:r>
        <w:rPr>
          <w:color w:val="FF0000"/>
          <w:spacing w:val="-69"/>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小型</w:t>
      </w:r>
      <w:r>
        <w:rPr>
          <w:color w:val="FF0000"/>
          <w:spacing w:val="-85"/>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w:t>
      </w:r>
      <w:r>
        <w:rPr>
          <w:color w:val="FF0000"/>
          <w:spacing w:val="-69"/>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微型</w:t>
      </w:r>
      <w:r>
        <w:rPr>
          <w:color w:val="FF0000"/>
          <w:spacing w:val="-85"/>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或</w:t>
      </w:r>
      <w:r>
        <w:rPr>
          <w:color w:val="FF0000"/>
          <w:spacing w:val="-82"/>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其他</w:t>
      </w:r>
      <w:r>
        <w:rPr>
          <w:color w:val="FF0000"/>
          <w:spacing w:val="-85"/>
          <w:sz w:val="25"/>
          <w:szCs w:val="25"/>
        </w:rPr>
        <w:t xml:space="preserve"> </w:t>
      </w:r>
      <w:r>
        <w:rPr>
          <w:rFonts w:ascii="Arial" w:hAnsi="Arial" w:eastAsia="Arial" w:cs="Arial"/>
          <w:b/>
          <w:bCs/>
          <w:i/>
          <w:iCs/>
          <w:color w:val="FF0000"/>
          <w:spacing w:val="-14"/>
          <w:sz w:val="25"/>
          <w:szCs w:val="25"/>
        </w:rPr>
        <w:t>”</w:t>
      </w:r>
      <w:r>
        <w:rPr>
          <w:b/>
          <w:bCs/>
          <w:i/>
          <w:iCs/>
          <w:color w:val="FF0000"/>
          <w:spacing w:val="-14"/>
          <w:sz w:val="25"/>
          <w:szCs w:val="25"/>
        </w:rPr>
        <w:t>，中小企业的定义见第二章《投标人须知》</w:t>
      </w:r>
    </w:p>
    <w:p w14:paraId="780DB478">
      <w:pPr>
        <w:pStyle w:val="2"/>
        <w:spacing w:before="78" w:line="219" w:lineRule="auto"/>
        <w:ind w:left="124"/>
        <w:rPr>
          <w:rFonts w:hint="default" w:ascii="Times New Roman" w:hAnsi="Times New Roman" w:cs="Times New Roman" w:eastAsiaTheme="minorEastAsia"/>
          <w:b/>
          <w:bCs/>
          <w:kern w:val="2"/>
          <w:sz w:val="28"/>
          <w:szCs w:val="28"/>
          <w:highlight w:val="none"/>
          <w:shd w:val="clear"/>
          <w:lang w:val="en-US" w:eastAsia="zh-CN" w:bidi="ar-SA"/>
        </w:rPr>
      </w:pPr>
      <w:r>
        <w:rPr>
          <w:rFonts w:hint="default" w:ascii="Times New Roman" w:hAnsi="Times New Roman" w:cs="Times New Roman" w:eastAsiaTheme="minorEastAsia"/>
          <w:b/>
          <w:bCs/>
          <w:kern w:val="2"/>
          <w:sz w:val="28"/>
          <w:szCs w:val="28"/>
          <w:highlight w:val="none"/>
          <w:shd w:val="clear"/>
          <w:lang w:val="en-US" w:eastAsia="zh-CN" w:bidi="ar-SA"/>
        </w:rPr>
        <w:t>5</w:t>
      </w:r>
      <w:r>
        <w:rPr>
          <w:rFonts w:hint="eastAsia" w:ascii="Times New Roman" w:hAnsi="Times New Roman" w:cs="Times New Roman" w:eastAsiaTheme="minorEastAsia"/>
          <w:b/>
          <w:bCs/>
          <w:kern w:val="2"/>
          <w:sz w:val="28"/>
          <w:szCs w:val="28"/>
          <w:highlight w:val="none"/>
          <w:shd w:val="clear"/>
          <w:lang w:val="en-US" w:eastAsia="zh-CN" w:bidi="ar-SA"/>
        </w:rPr>
        <w:t>.</w:t>
      </w:r>
      <w:r>
        <w:rPr>
          <w:rFonts w:hint="default" w:ascii="Times New Roman" w:hAnsi="Times New Roman" w:cs="Times New Roman" w:eastAsiaTheme="minorEastAsia"/>
          <w:b/>
          <w:bCs/>
          <w:kern w:val="2"/>
          <w:sz w:val="28"/>
          <w:szCs w:val="28"/>
          <w:highlight w:val="none"/>
          <w:shd w:val="clear"/>
          <w:lang w:val="en-US" w:eastAsia="zh-CN" w:bidi="ar-SA"/>
        </w:rPr>
        <w:t>合同条款偏离表</w:t>
      </w:r>
    </w:p>
    <w:p w14:paraId="257CC055">
      <w:pPr>
        <w:spacing w:line="248" w:lineRule="auto"/>
        <w:rPr>
          <w:rFonts w:ascii="Arial"/>
          <w:sz w:val="21"/>
        </w:rPr>
      </w:pPr>
    </w:p>
    <w:p w14:paraId="344BFADF">
      <w:pPr>
        <w:spacing w:line="248" w:lineRule="auto"/>
        <w:rPr>
          <w:rFonts w:ascii="Arial"/>
          <w:sz w:val="21"/>
        </w:rPr>
      </w:pPr>
    </w:p>
    <w:p w14:paraId="785ACEC7">
      <w:pPr>
        <w:pStyle w:val="2"/>
        <w:spacing w:before="117" w:line="220" w:lineRule="auto"/>
        <w:ind w:left="3400"/>
        <w:rPr>
          <w:sz w:val="36"/>
          <w:szCs w:val="36"/>
        </w:rPr>
      </w:pPr>
      <w:r>
        <w:rPr>
          <w:b/>
          <w:bCs/>
          <w:spacing w:val="-5"/>
          <w:sz w:val="36"/>
          <w:szCs w:val="36"/>
        </w:rPr>
        <w:t>合同条款偏离表</w:t>
      </w:r>
    </w:p>
    <w:p w14:paraId="036ABF23">
      <w:pPr>
        <w:spacing w:line="296" w:lineRule="auto"/>
        <w:rPr>
          <w:rFonts w:ascii="Arial"/>
          <w:sz w:val="21"/>
        </w:rPr>
      </w:pPr>
    </w:p>
    <w:p w14:paraId="0A9C6B3B">
      <w:pPr>
        <w:spacing w:line="297" w:lineRule="auto"/>
        <w:rPr>
          <w:rFonts w:ascii="Arial"/>
          <w:sz w:val="21"/>
        </w:rPr>
      </w:pPr>
    </w:p>
    <w:p w14:paraId="355E388C">
      <w:pPr>
        <w:pStyle w:val="2"/>
        <w:spacing w:before="78" w:line="217" w:lineRule="auto"/>
        <w:ind w:left="486"/>
        <w:rPr>
          <w:rFonts w:ascii="Arial" w:hAnsi="Arial" w:eastAsia="Arial" w:cs="Arial"/>
          <w:sz w:val="24"/>
          <w:szCs w:val="24"/>
        </w:rPr>
      </w:pPr>
      <w:r>
        <w:rPr>
          <w:spacing w:val="-1"/>
          <w:sz w:val="24"/>
          <w:szCs w:val="24"/>
        </w:rPr>
        <w:t>项目编号</w:t>
      </w:r>
      <w:r>
        <w:rPr>
          <w:rFonts w:ascii="Arial" w:hAnsi="Arial" w:eastAsia="Arial" w:cs="Arial"/>
          <w:spacing w:val="-1"/>
          <w:sz w:val="24"/>
          <w:szCs w:val="24"/>
        </w:rPr>
        <w:t>/</w:t>
      </w:r>
      <w:r>
        <w:rPr>
          <w:spacing w:val="-1"/>
          <w:sz w:val="24"/>
          <w:szCs w:val="24"/>
        </w:rPr>
        <w:t>包号：</w:t>
      </w:r>
      <w:r>
        <w:rPr>
          <w:rFonts w:ascii="Arial" w:hAnsi="Arial" w:eastAsia="Arial" w:cs="Arial"/>
          <w:spacing w:val="-1"/>
          <w:sz w:val="24"/>
          <w:szCs w:val="24"/>
        </w:rPr>
        <w:t xml:space="preserve">___________________         </w:t>
      </w:r>
      <w:r>
        <w:rPr>
          <w:spacing w:val="-1"/>
          <w:sz w:val="24"/>
          <w:szCs w:val="24"/>
        </w:rPr>
        <w:t>项目名称：</w:t>
      </w:r>
      <w:r>
        <w:rPr>
          <w:rFonts w:ascii="Arial" w:hAnsi="Arial" w:eastAsia="Arial" w:cs="Arial"/>
          <w:spacing w:val="-1"/>
          <w:sz w:val="24"/>
          <w:szCs w:val="24"/>
        </w:rPr>
        <w:t>____________</w:t>
      </w:r>
    </w:p>
    <w:p w14:paraId="115F4880">
      <w:pPr>
        <w:spacing w:line="147" w:lineRule="exact"/>
      </w:pPr>
    </w:p>
    <w:tbl>
      <w:tblPr>
        <w:tblStyle w:val="38"/>
        <w:tblW w:w="92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8"/>
        <w:gridCol w:w="1771"/>
        <w:gridCol w:w="1675"/>
        <w:gridCol w:w="1675"/>
        <w:gridCol w:w="1876"/>
        <w:gridCol w:w="1138"/>
      </w:tblGrid>
      <w:tr w14:paraId="36FEC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8" w:type="dxa"/>
            <w:vAlign w:val="top"/>
          </w:tcPr>
          <w:p w14:paraId="185A0D7B">
            <w:pPr>
              <w:pStyle w:val="41"/>
              <w:spacing w:line="270" w:lineRule="auto"/>
            </w:pPr>
          </w:p>
          <w:p w14:paraId="016B2944">
            <w:pPr>
              <w:spacing w:before="78" w:line="222" w:lineRule="auto"/>
              <w:ind w:left="344"/>
              <w:rPr>
                <w:rFonts w:ascii="宋体" w:hAnsi="宋体" w:eastAsia="宋体" w:cs="宋体"/>
                <w:sz w:val="24"/>
                <w:szCs w:val="24"/>
              </w:rPr>
            </w:pPr>
            <w:r>
              <w:rPr>
                <w:rFonts w:ascii="宋体" w:hAnsi="宋体" w:eastAsia="宋体" w:cs="宋体"/>
                <w:spacing w:val="-3"/>
                <w:sz w:val="24"/>
                <w:szCs w:val="24"/>
              </w:rPr>
              <w:t>序号</w:t>
            </w:r>
          </w:p>
        </w:tc>
        <w:tc>
          <w:tcPr>
            <w:tcW w:w="1771" w:type="dxa"/>
            <w:vAlign w:val="top"/>
          </w:tcPr>
          <w:p w14:paraId="1685A330">
            <w:pPr>
              <w:spacing w:before="193" w:line="243" w:lineRule="auto"/>
              <w:ind w:left="296" w:right="163" w:hanging="124"/>
              <w:rPr>
                <w:rFonts w:ascii="宋体" w:hAnsi="宋体" w:eastAsia="宋体" w:cs="宋体"/>
                <w:sz w:val="24"/>
                <w:szCs w:val="24"/>
              </w:rPr>
            </w:pPr>
            <w:r>
              <w:rPr>
                <w:rFonts w:ascii="宋体" w:hAnsi="宋体" w:eastAsia="宋体" w:cs="宋体"/>
                <w:spacing w:val="-2"/>
                <w:sz w:val="24"/>
                <w:szCs w:val="24"/>
              </w:rPr>
              <w:t>招标文件条目</w:t>
            </w:r>
            <w:r>
              <w:rPr>
                <w:rFonts w:ascii="宋体" w:hAnsi="宋体" w:eastAsia="宋体" w:cs="宋体"/>
                <w:sz w:val="24"/>
                <w:szCs w:val="24"/>
              </w:rPr>
              <w:t xml:space="preserve"> </w:t>
            </w:r>
            <w:r>
              <w:rPr>
                <w:rFonts w:ascii="宋体" w:hAnsi="宋体" w:eastAsia="宋体" w:cs="宋体"/>
                <w:spacing w:val="-5"/>
                <w:sz w:val="24"/>
                <w:szCs w:val="24"/>
              </w:rPr>
              <w:t>号（页码）</w:t>
            </w:r>
          </w:p>
        </w:tc>
        <w:tc>
          <w:tcPr>
            <w:tcW w:w="1675" w:type="dxa"/>
            <w:vAlign w:val="top"/>
          </w:tcPr>
          <w:p w14:paraId="5AE22E45">
            <w:pPr>
              <w:pStyle w:val="41"/>
              <w:spacing w:line="270" w:lineRule="auto"/>
            </w:pPr>
          </w:p>
          <w:p w14:paraId="040AD323">
            <w:pPr>
              <w:spacing w:before="78" w:line="220" w:lineRule="auto"/>
              <w:ind w:left="124"/>
              <w:rPr>
                <w:rFonts w:ascii="宋体" w:hAnsi="宋体" w:eastAsia="宋体" w:cs="宋体"/>
                <w:sz w:val="24"/>
                <w:szCs w:val="24"/>
              </w:rPr>
            </w:pPr>
            <w:r>
              <w:rPr>
                <w:rFonts w:ascii="宋体" w:hAnsi="宋体" w:eastAsia="宋体" w:cs="宋体"/>
                <w:spacing w:val="-2"/>
                <w:sz w:val="24"/>
                <w:szCs w:val="24"/>
              </w:rPr>
              <w:t>招标文件要求</w:t>
            </w:r>
          </w:p>
        </w:tc>
        <w:tc>
          <w:tcPr>
            <w:tcW w:w="1675" w:type="dxa"/>
            <w:vAlign w:val="top"/>
          </w:tcPr>
          <w:p w14:paraId="54823992">
            <w:pPr>
              <w:pStyle w:val="41"/>
              <w:spacing w:line="270" w:lineRule="auto"/>
            </w:pPr>
          </w:p>
          <w:p w14:paraId="4E4F19CD">
            <w:pPr>
              <w:spacing w:before="78" w:line="220" w:lineRule="auto"/>
              <w:ind w:left="127"/>
              <w:rPr>
                <w:rFonts w:ascii="宋体" w:hAnsi="宋体" w:eastAsia="宋体" w:cs="宋体"/>
                <w:sz w:val="24"/>
                <w:szCs w:val="24"/>
              </w:rPr>
            </w:pPr>
            <w:r>
              <w:rPr>
                <w:rFonts w:ascii="宋体" w:hAnsi="宋体" w:eastAsia="宋体" w:cs="宋体"/>
                <w:spacing w:val="-2"/>
                <w:sz w:val="24"/>
                <w:szCs w:val="24"/>
              </w:rPr>
              <w:t>投标文件内容</w:t>
            </w:r>
          </w:p>
        </w:tc>
        <w:tc>
          <w:tcPr>
            <w:tcW w:w="1876" w:type="dxa"/>
            <w:vAlign w:val="top"/>
          </w:tcPr>
          <w:p w14:paraId="7ECAA12F">
            <w:pPr>
              <w:pStyle w:val="41"/>
              <w:spacing w:line="270" w:lineRule="auto"/>
            </w:pPr>
          </w:p>
          <w:p w14:paraId="125A4C72">
            <w:pPr>
              <w:spacing w:before="78" w:line="220" w:lineRule="auto"/>
              <w:ind w:left="465"/>
              <w:rPr>
                <w:rFonts w:ascii="宋体" w:hAnsi="宋体" w:eastAsia="宋体" w:cs="宋体"/>
                <w:sz w:val="24"/>
                <w:szCs w:val="24"/>
              </w:rPr>
            </w:pPr>
            <w:r>
              <w:rPr>
                <w:rFonts w:ascii="宋体" w:hAnsi="宋体" w:eastAsia="宋体" w:cs="宋体"/>
                <w:spacing w:val="-2"/>
                <w:sz w:val="24"/>
                <w:szCs w:val="24"/>
              </w:rPr>
              <w:t>偏离情况</w:t>
            </w:r>
          </w:p>
        </w:tc>
        <w:tc>
          <w:tcPr>
            <w:tcW w:w="1138" w:type="dxa"/>
            <w:vAlign w:val="top"/>
          </w:tcPr>
          <w:p w14:paraId="1FEEB114">
            <w:pPr>
              <w:pStyle w:val="41"/>
              <w:spacing w:line="270" w:lineRule="auto"/>
            </w:pPr>
          </w:p>
          <w:p w14:paraId="0FAAB29A">
            <w:pPr>
              <w:spacing w:before="78" w:line="220" w:lineRule="auto"/>
              <w:ind w:left="336"/>
              <w:rPr>
                <w:rFonts w:ascii="宋体" w:hAnsi="宋体" w:eastAsia="宋体" w:cs="宋体"/>
                <w:sz w:val="24"/>
                <w:szCs w:val="24"/>
              </w:rPr>
            </w:pPr>
            <w:r>
              <w:rPr>
                <w:rFonts w:ascii="宋体" w:hAnsi="宋体" w:eastAsia="宋体" w:cs="宋体"/>
                <w:spacing w:val="-4"/>
                <w:sz w:val="24"/>
                <w:szCs w:val="24"/>
              </w:rPr>
              <w:t>说明</w:t>
            </w:r>
          </w:p>
        </w:tc>
      </w:tr>
      <w:tr w14:paraId="58C3F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9293" w:type="dxa"/>
            <w:gridSpan w:val="6"/>
            <w:vAlign w:val="top"/>
          </w:tcPr>
          <w:p w14:paraId="0E6B6669">
            <w:pPr>
              <w:spacing w:before="38" w:line="219" w:lineRule="auto"/>
              <w:ind w:left="116"/>
              <w:rPr>
                <w:rFonts w:ascii="宋体" w:hAnsi="宋体" w:eastAsia="宋体" w:cs="宋体"/>
                <w:sz w:val="24"/>
                <w:szCs w:val="24"/>
              </w:rPr>
            </w:pPr>
            <w:r>
              <w:rPr>
                <w:rFonts w:ascii="宋体" w:hAnsi="宋体" w:eastAsia="宋体" w:cs="宋体"/>
                <w:b/>
                <w:bCs/>
                <w:spacing w:val="-2"/>
                <w:sz w:val="24"/>
                <w:szCs w:val="24"/>
              </w:rPr>
              <w:t>对本项目合同条款的偏离情况</w:t>
            </w:r>
            <w:r>
              <w:rPr>
                <w:rFonts w:ascii="宋体" w:hAnsi="宋体" w:eastAsia="宋体" w:cs="宋体"/>
                <w:spacing w:val="-2"/>
                <w:sz w:val="24"/>
                <w:szCs w:val="24"/>
              </w:rPr>
              <w:t>（应进行选择，未选择</w:t>
            </w:r>
            <w:r>
              <w:rPr>
                <w:rFonts w:ascii="宋体" w:hAnsi="宋体" w:eastAsia="宋体" w:cs="宋体"/>
                <w:b/>
                <w:bCs/>
                <w:spacing w:val="-2"/>
                <w:sz w:val="24"/>
                <w:szCs w:val="24"/>
              </w:rPr>
              <w:t>投标无效</w:t>
            </w:r>
            <w:r>
              <w:rPr>
                <w:rFonts w:ascii="宋体" w:hAnsi="宋体" w:eastAsia="宋体" w:cs="宋体"/>
                <w:spacing w:val="-60"/>
                <w:sz w:val="24"/>
                <w:szCs w:val="24"/>
              </w:rPr>
              <w:t>）：</w:t>
            </w:r>
          </w:p>
          <w:p w14:paraId="5A77A0C1">
            <w:pPr>
              <w:pStyle w:val="41"/>
              <w:spacing w:before="26" w:line="229" w:lineRule="auto"/>
              <w:ind w:left="118" w:right="115" w:firstLine="11"/>
              <w:rPr>
                <w:rFonts w:ascii="宋体" w:hAnsi="宋体" w:eastAsia="宋体" w:cs="宋体"/>
                <w:sz w:val="24"/>
                <w:szCs w:val="24"/>
              </w:rPr>
            </w:pPr>
            <w:r>
              <w:rPr>
                <w:rFonts w:hint="eastAsia" w:eastAsia="宋体"/>
                <w:b/>
                <w:bCs/>
                <w:sz w:val="24"/>
                <w:szCs w:val="24"/>
                <w:lang w:eastAsia="zh-CN"/>
              </w:rPr>
              <w:t>☑</w:t>
            </w:r>
            <w:r>
              <w:rPr>
                <w:rFonts w:ascii="宋体" w:hAnsi="宋体" w:eastAsia="宋体" w:cs="宋体"/>
                <w:b/>
                <w:bCs/>
                <w:sz w:val="24"/>
                <w:szCs w:val="24"/>
              </w:rPr>
              <w:t>无偏离</w:t>
            </w:r>
            <w:r>
              <w:rPr>
                <w:rFonts w:ascii="宋体" w:hAnsi="宋体" w:eastAsia="宋体" w:cs="宋体"/>
                <w:sz w:val="24"/>
                <w:szCs w:val="24"/>
              </w:rPr>
              <w:t>（如无偏离，仅选择无偏离即可；无偏离即为对合同条款中的所有要求，均视</w:t>
            </w:r>
            <w:r>
              <w:rPr>
                <w:rFonts w:ascii="宋体" w:hAnsi="宋体" w:eastAsia="宋体" w:cs="宋体"/>
                <w:spacing w:val="-11"/>
                <w:sz w:val="24"/>
                <w:szCs w:val="24"/>
              </w:rPr>
              <w:t>作供应商已对之理解和响应。）</w:t>
            </w:r>
          </w:p>
          <w:p w14:paraId="7993A47A">
            <w:pPr>
              <w:pStyle w:val="41"/>
              <w:spacing w:before="25" w:line="223" w:lineRule="auto"/>
              <w:ind w:left="137" w:right="133" w:hanging="7"/>
              <w:rPr>
                <w:rFonts w:ascii="宋体" w:hAnsi="宋体" w:eastAsia="宋体" w:cs="宋体"/>
                <w:sz w:val="24"/>
                <w:szCs w:val="24"/>
              </w:rPr>
            </w:pPr>
            <w:r>
              <w:rPr>
                <w:rFonts w:hint="eastAsia" w:eastAsia="宋体"/>
                <w:b/>
                <w:bCs/>
                <w:spacing w:val="-1"/>
                <w:sz w:val="24"/>
                <w:szCs w:val="24"/>
                <w:lang w:eastAsia="zh-CN"/>
              </w:rPr>
              <w:t>☑</w:t>
            </w:r>
            <w:r>
              <w:rPr>
                <w:rFonts w:ascii="宋体" w:hAnsi="宋体" w:eastAsia="宋体" w:cs="宋体"/>
                <w:b/>
                <w:bCs/>
                <w:spacing w:val="-1"/>
                <w:sz w:val="24"/>
                <w:szCs w:val="24"/>
              </w:rPr>
              <w:t>有偏离</w:t>
            </w:r>
            <w:r>
              <w:rPr>
                <w:rFonts w:ascii="宋体" w:hAnsi="宋体" w:eastAsia="宋体" w:cs="宋体"/>
                <w:spacing w:val="-1"/>
                <w:sz w:val="24"/>
                <w:szCs w:val="24"/>
              </w:rPr>
              <w:t>（如有偏离，则应在本表中对偏离项逐一列明，否则</w:t>
            </w:r>
            <w:r>
              <w:rPr>
                <w:rFonts w:ascii="宋体" w:hAnsi="宋体" w:eastAsia="宋体" w:cs="宋体"/>
                <w:b/>
                <w:bCs/>
                <w:spacing w:val="-1"/>
                <w:sz w:val="24"/>
                <w:szCs w:val="24"/>
              </w:rPr>
              <w:t>投标无效</w:t>
            </w:r>
            <w:r>
              <w:rPr>
                <w:rFonts w:ascii="宋体" w:hAnsi="宋体" w:eastAsia="宋体" w:cs="宋体"/>
                <w:spacing w:val="-1"/>
                <w:sz w:val="24"/>
                <w:szCs w:val="24"/>
              </w:rPr>
              <w:t>；对合同条款中</w:t>
            </w:r>
            <w:r>
              <w:rPr>
                <w:rFonts w:ascii="宋体" w:hAnsi="宋体" w:eastAsia="宋体" w:cs="宋体"/>
                <w:spacing w:val="-5"/>
                <w:sz w:val="24"/>
                <w:szCs w:val="24"/>
              </w:rPr>
              <w:t>的所有要求，除本表列明的偏离外，均视作供应商已对之理</w:t>
            </w:r>
            <w:r>
              <w:rPr>
                <w:rFonts w:ascii="宋体" w:hAnsi="宋体" w:eastAsia="宋体" w:cs="宋体"/>
                <w:spacing w:val="-6"/>
                <w:sz w:val="24"/>
                <w:szCs w:val="24"/>
              </w:rPr>
              <w:t>解和响应。）</w:t>
            </w:r>
          </w:p>
        </w:tc>
      </w:tr>
      <w:tr w14:paraId="7EC40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8" w:type="dxa"/>
            <w:vAlign w:val="top"/>
          </w:tcPr>
          <w:p w14:paraId="03C89B37">
            <w:pPr>
              <w:pStyle w:val="41"/>
            </w:pPr>
          </w:p>
        </w:tc>
        <w:tc>
          <w:tcPr>
            <w:tcW w:w="1771" w:type="dxa"/>
            <w:vAlign w:val="top"/>
          </w:tcPr>
          <w:p w14:paraId="0D981936">
            <w:pPr>
              <w:pStyle w:val="41"/>
            </w:pPr>
          </w:p>
        </w:tc>
        <w:tc>
          <w:tcPr>
            <w:tcW w:w="1675" w:type="dxa"/>
            <w:vAlign w:val="top"/>
          </w:tcPr>
          <w:p w14:paraId="7112A09E">
            <w:pPr>
              <w:pStyle w:val="41"/>
            </w:pPr>
          </w:p>
        </w:tc>
        <w:tc>
          <w:tcPr>
            <w:tcW w:w="1675" w:type="dxa"/>
            <w:vAlign w:val="top"/>
          </w:tcPr>
          <w:p w14:paraId="044B149B">
            <w:pPr>
              <w:pStyle w:val="41"/>
            </w:pPr>
          </w:p>
        </w:tc>
        <w:tc>
          <w:tcPr>
            <w:tcW w:w="1876" w:type="dxa"/>
            <w:vAlign w:val="top"/>
          </w:tcPr>
          <w:p w14:paraId="5B9E2304">
            <w:pPr>
              <w:pStyle w:val="41"/>
            </w:pPr>
          </w:p>
        </w:tc>
        <w:tc>
          <w:tcPr>
            <w:tcW w:w="1138" w:type="dxa"/>
            <w:vAlign w:val="top"/>
          </w:tcPr>
          <w:p w14:paraId="0F34721A">
            <w:pPr>
              <w:pStyle w:val="41"/>
            </w:pPr>
          </w:p>
        </w:tc>
      </w:tr>
      <w:tr w14:paraId="47CD2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8" w:type="dxa"/>
            <w:vAlign w:val="top"/>
          </w:tcPr>
          <w:p w14:paraId="72A91256">
            <w:pPr>
              <w:pStyle w:val="41"/>
            </w:pPr>
          </w:p>
        </w:tc>
        <w:tc>
          <w:tcPr>
            <w:tcW w:w="1771" w:type="dxa"/>
            <w:vAlign w:val="top"/>
          </w:tcPr>
          <w:p w14:paraId="2C0EDB6D">
            <w:pPr>
              <w:pStyle w:val="41"/>
            </w:pPr>
          </w:p>
        </w:tc>
        <w:tc>
          <w:tcPr>
            <w:tcW w:w="1675" w:type="dxa"/>
            <w:vAlign w:val="top"/>
          </w:tcPr>
          <w:p w14:paraId="5172F636">
            <w:pPr>
              <w:pStyle w:val="41"/>
            </w:pPr>
          </w:p>
        </w:tc>
        <w:tc>
          <w:tcPr>
            <w:tcW w:w="1675" w:type="dxa"/>
            <w:vAlign w:val="top"/>
          </w:tcPr>
          <w:p w14:paraId="40A02BD2">
            <w:pPr>
              <w:pStyle w:val="41"/>
            </w:pPr>
          </w:p>
        </w:tc>
        <w:tc>
          <w:tcPr>
            <w:tcW w:w="1876" w:type="dxa"/>
            <w:vAlign w:val="top"/>
          </w:tcPr>
          <w:p w14:paraId="70E0331B">
            <w:pPr>
              <w:pStyle w:val="41"/>
            </w:pPr>
          </w:p>
        </w:tc>
        <w:tc>
          <w:tcPr>
            <w:tcW w:w="1138" w:type="dxa"/>
            <w:vAlign w:val="top"/>
          </w:tcPr>
          <w:p w14:paraId="5B10AE79">
            <w:pPr>
              <w:pStyle w:val="41"/>
            </w:pPr>
          </w:p>
        </w:tc>
      </w:tr>
      <w:tr w14:paraId="32096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8" w:type="dxa"/>
            <w:vAlign w:val="top"/>
          </w:tcPr>
          <w:p w14:paraId="44439DA1">
            <w:pPr>
              <w:pStyle w:val="41"/>
            </w:pPr>
          </w:p>
        </w:tc>
        <w:tc>
          <w:tcPr>
            <w:tcW w:w="1771" w:type="dxa"/>
            <w:vAlign w:val="top"/>
          </w:tcPr>
          <w:p w14:paraId="705D477C">
            <w:pPr>
              <w:pStyle w:val="41"/>
            </w:pPr>
          </w:p>
        </w:tc>
        <w:tc>
          <w:tcPr>
            <w:tcW w:w="1675" w:type="dxa"/>
            <w:vAlign w:val="top"/>
          </w:tcPr>
          <w:p w14:paraId="7E8B243D">
            <w:pPr>
              <w:pStyle w:val="41"/>
            </w:pPr>
          </w:p>
        </w:tc>
        <w:tc>
          <w:tcPr>
            <w:tcW w:w="1675" w:type="dxa"/>
            <w:vAlign w:val="top"/>
          </w:tcPr>
          <w:p w14:paraId="664D4FE1">
            <w:pPr>
              <w:pStyle w:val="41"/>
            </w:pPr>
          </w:p>
        </w:tc>
        <w:tc>
          <w:tcPr>
            <w:tcW w:w="1876" w:type="dxa"/>
            <w:vAlign w:val="top"/>
          </w:tcPr>
          <w:p w14:paraId="6C9C4D70">
            <w:pPr>
              <w:pStyle w:val="41"/>
            </w:pPr>
          </w:p>
        </w:tc>
        <w:tc>
          <w:tcPr>
            <w:tcW w:w="1138" w:type="dxa"/>
            <w:vAlign w:val="top"/>
          </w:tcPr>
          <w:p w14:paraId="2247EFF1">
            <w:pPr>
              <w:pStyle w:val="41"/>
            </w:pPr>
          </w:p>
        </w:tc>
      </w:tr>
      <w:tr w14:paraId="0936E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8" w:type="dxa"/>
            <w:vAlign w:val="top"/>
          </w:tcPr>
          <w:p w14:paraId="22F5B145">
            <w:pPr>
              <w:pStyle w:val="41"/>
            </w:pPr>
          </w:p>
        </w:tc>
        <w:tc>
          <w:tcPr>
            <w:tcW w:w="1771" w:type="dxa"/>
            <w:vAlign w:val="top"/>
          </w:tcPr>
          <w:p w14:paraId="091494B5">
            <w:pPr>
              <w:pStyle w:val="41"/>
            </w:pPr>
          </w:p>
        </w:tc>
        <w:tc>
          <w:tcPr>
            <w:tcW w:w="1675" w:type="dxa"/>
            <w:vAlign w:val="top"/>
          </w:tcPr>
          <w:p w14:paraId="063C74D4">
            <w:pPr>
              <w:pStyle w:val="41"/>
            </w:pPr>
          </w:p>
        </w:tc>
        <w:tc>
          <w:tcPr>
            <w:tcW w:w="1675" w:type="dxa"/>
            <w:vAlign w:val="top"/>
          </w:tcPr>
          <w:p w14:paraId="07012201">
            <w:pPr>
              <w:pStyle w:val="41"/>
            </w:pPr>
          </w:p>
        </w:tc>
        <w:tc>
          <w:tcPr>
            <w:tcW w:w="1876" w:type="dxa"/>
            <w:vAlign w:val="top"/>
          </w:tcPr>
          <w:p w14:paraId="770070EB">
            <w:pPr>
              <w:pStyle w:val="41"/>
            </w:pPr>
          </w:p>
        </w:tc>
        <w:tc>
          <w:tcPr>
            <w:tcW w:w="1138" w:type="dxa"/>
            <w:vAlign w:val="top"/>
          </w:tcPr>
          <w:p w14:paraId="013B73F4">
            <w:pPr>
              <w:pStyle w:val="41"/>
            </w:pPr>
          </w:p>
        </w:tc>
      </w:tr>
    </w:tbl>
    <w:p w14:paraId="1F4EBE1B">
      <w:pPr>
        <w:pStyle w:val="2"/>
        <w:spacing w:before="314" w:line="220" w:lineRule="auto"/>
        <w:ind w:left="122"/>
        <w:rPr>
          <w:sz w:val="24"/>
          <w:szCs w:val="24"/>
        </w:rPr>
      </w:pPr>
      <w:r>
        <w:rPr>
          <w:spacing w:val="9"/>
          <w:sz w:val="24"/>
          <w:szCs w:val="24"/>
        </w:rPr>
        <w:t>注：</w:t>
      </w:r>
      <w:r>
        <w:rPr>
          <w:rFonts w:ascii="Arial" w:hAnsi="Arial" w:eastAsia="Arial" w:cs="Arial"/>
          <w:spacing w:val="9"/>
          <w:sz w:val="24"/>
          <w:szCs w:val="24"/>
        </w:rPr>
        <w:t>“</w:t>
      </w:r>
      <w:r>
        <w:rPr>
          <w:spacing w:val="9"/>
          <w:sz w:val="24"/>
          <w:szCs w:val="24"/>
        </w:rPr>
        <w:t>偏离情况</w:t>
      </w:r>
      <w:r>
        <w:rPr>
          <w:rFonts w:ascii="Arial" w:hAnsi="Arial" w:eastAsia="Arial" w:cs="Arial"/>
          <w:spacing w:val="9"/>
          <w:sz w:val="24"/>
          <w:szCs w:val="24"/>
        </w:rPr>
        <w:t>”</w:t>
      </w:r>
      <w:r>
        <w:rPr>
          <w:spacing w:val="9"/>
          <w:sz w:val="24"/>
          <w:szCs w:val="24"/>
        </w:rPr>
        <w:t>列应据实填写</w:t>
      </w:r>
      <w:r>
        <w:rPr>
          <w:rFonts w:ascii="Arial" w:hAnsi="Arial" w:eastAsia="Arial" w:cs="Arial"/>
          <w:spacing w:val="9"/>
          <w:sz w:val="24"/>
          <w:szCs w:val="24"/>
        </w:rPr>
        <w:t>“</w:t>
      </w:r>
      <w:r>
        <w:rPr>
          <w:spacing w:val="9"/>
          <w:sz w:val="24"/>
          <w:szCs w:val="24"/>
        </w:rPr>
        <w:t>正偏离</w:t>
      </w:r>
      <w:r>
        <w:rPr>
          <w:rFonts w:ascii="Arial" w:hAnsi="Arial" w:eastAsia="Arial" w:cs="Arial"/>
          <w:spacing w:val="9"/>
          <w:sz w:val="24"/>
          <w:szCs w:val="24"/>
        </w:rPr>
        <w:t>”</w:t>
      </w:r>
      <w:r>
        <w:rPr>
          <w:spacing w:val="9"/>
          <w:sz w:val="24"/>
          <w:szCs w:val="24"/>
        </w:rPr>
        <w:t>或</w:t>
      </w:r>
      <w:r>
        <w:rPr>
          <w:rFonts w:ascii="Arial" w:hAnsi="Arial" w:eastAsia="Arial" w:cs="Arial"/>
          <w:spacing w:val="9"/>
          <w:sz w:val="24"/>
          <w:szCs w:val="24"/>
        </w:rPr>
        <w:t>“</w:t>
      </w:r>
      <w:r>
        <w:rPr>
          <w:rFonts w:ascii="Arial" w:hAnsi="Arial" w:eastAsia="Arial" w:cs="Arial"/>
          <w:spacing w:val="-48"/>
          <w:sz w:val="24"/>
          <w:szCs w:val="24"/>
        </w:rPr>
        <w:t xml:space="preserve"> </w:t>
      </w:r>
      <w:r>
        <w:rPr>
          <w:spacing w:val="9"/>
          <w:sz w:val="24"/>
          <w:szCs w:val="24"/>
        </w:rPr>
        <w:t>负偏离</w:t>
      </w:r>
      <w:r>
        <w:rPr>
          <w:rFonts w:ascii="Arial" w:hAnsi="Arial" w:eastAsia="Arial" w:cs="Arial"/>
          <w:spacing w:val="9"/>
          <w:sz w:val="24"/>
          <w:szCs w:val="24"/>
        </w:rPr>
        <w:t>”</w:t>
      </w:r>
      <w:r>
        <w:rPr>
          <w:spacing w:val="9"/>
          <w:sz w:val="24"/>
          <w:szCs w:val="24"/>
        </w:rPr>
        <w:t>。</w:t>
      </w:r>
    </w:p>
    <w:p w14:paraId="1DEEE840">
      <w:pPr>
        <w:spacing w:line="277" w:lineRule="auto"/>
        <w:rPr>
          <w:rFonts w:ascii="Arial"/>
          <w:sz w:val="21"/>
        </w:rPr>
      </w:pPr>
    </w:p>
    <w:p w14:paraId="7D1FFF10">
      <w:pPr>
        <w:spacing w:line="277" w:lineRule="auto"/>
        <w:rPr>
          <w:rFonts w:ascii="Arial"/>
          <w:sz w:val="21"/>
        </w:rPr>
      </w:pPr>
    </w:p>
    <w:p w14:paraId="30D388E5">
      <w:pPr>
        <w:spacing w:line="277" w:lineRule="auto"/>
        <w:rPr>
          <w:rFonts w:ascii="Arial"/>
          <w:sz w:val="21"/>
        </w:rPr>
      </w:pPr>
    </w:p>
    <w:p w14:paraId="479EA3DA">
      <w:pPr>
        <w:pStyle w:val="2"/>
        <w:spacing w:before="78" w:line="189" w:lineRule="auto"/>
        <w:ind w:left="125"/>
        <w:rPr>
          <w:sz w:val="24"/>
          <w:szCs w:val="24"/>
        </w:rPr>
      </w:pPr>
      <w:r>
        <w:rPr>
          <w:spacing w:val="-14"/>
          <w:sz w:val="24"/>
          <w:szCs w:val="24"/>
        </w:rPr>
        <w:t>投标人名称（加盖公章</w:t>
      </w:r>
      <w:r>
        <w:rPr>
          <w:spacing w:val="-5"/>
          <w:sz w:val="24"/>
          <w:szCs w:val="24"/>
        </w:rPr>
        <w:t>）：</w:t>
      </w:r>
    </w:p>
    <w:p w14:paraId="4D8409F8">
      <w:pPr>
        <w:spacing w:line="20" w:lineRule="exact"/>
        <w:ind w:left="3351"/>
        <w:rPr>
          <w:rFonts w:ascii="Arial" w:hAnsi="Arial" w:eastAsia="Arial" w:cs="Arial"/>
          <w:sz w:val="24"/>
          <w:szCs w:val="24"/>
        </w:rPr>
      </w:pPr>
      <w:r>
        <w:rPr>
          <w:rFonts w:ascii="Arial" w:hAnsi="Arial" w:eastAsia="Arial" w:cs="Arial"/>
          <w:spacing w:val="-2"/>
          <w:position w:val="5"/>
          <w:sz w:val="24"/>
          <w:szCs w:val="24"/>
        </w:rPr>
        <w:t>___________</w:t>
      </w:r>
    </w:p>
    <w:p w14:paraId="5F563708">
      <w:pPr>
        <w:pStyle w:val="2"/>
        <w:spacing w:before="226" w:line="219" w:lineRule="auto"/>
        <w:ind w:left="164"/>
        <w:rPr>
          <w:sz w:val="24"/>
          <w:szCs w:val="24"/>
        </w:rPr>
      </w:pPr>
      <w:r>
        <w:rPr>
          <w:spacing w:val="-7"/>
          <w:sz w:val="24"/>
          <w:szCs w:val="24"/>
        </w:rPr>
        <w:t>日期：</w:t>
      </w:r>
      <w:r>
        <w:rPr>
          <w:rFonts w:ascii="Arial" w:hAnsi="Arial" w:eastAsia="Arial" w:cs="Arial"/>
          <w:spacing w:val="-7"/>
          <w:sz w:val="24"/>
          <w:szCs w:val="24"/>
        </w:rPr>
        <w:t>_____</w:t>
      </w:r>
      <w:r>
        <w:rPr>
          <w:spacing w:val="-7"/>
          <w:sz w:val="24"/>
          <w:szCs w:val="24"/>
        </w:rPr>
        <w:t>年</w:t>
      </w:r>
      <w:r>
        <w:rPr>
          <w:rFonts w:ascii="Arial" w:hAnsi="Arial" w:eastAsia="Arial" w:cs="Arial"/>
          <w:spacing w:val="-7"/>
          <w:sz w:val="24"/>
          <w:szCs w:val="24"/>
        </w:rPr>
        <w:t>______</w:t>
      </w:r>
      <w:r>
        <w:rPr>
          <w:spacing w:val="-7"/>
          <w:sz w:val="24"/>
          <w:szCs w:val="24"/>
        </w:rPr>
        <w:t>月</w:t>
      </w:r>
      <w:r>
        <w:rPr>
          <w:rFonts w:ascii="Arial" w:hAnsi="Arial" w:eastAsia="Arial" w:cs="Arial"/>
          <w:spacing w:val="-7"/>
          <w:sz w:val="24"/>
          <w:szCs w:val="24"/>
        </w:rPr>
        <w:t>_____</w:t>
      </w:r>
      <w:r>
        <w:rPr>
          <w:rFonts w:ascii="Arial" w:hAnsi="Arial" w:eastAsia="Arial" w:cs="Arial"/>
          <w:spacing w:val="-10"/>
          <w:sz w:val="24"/>
          <w:szCs w:val="24"/>
        </w:rPr>
        <w:t xml:space="preserve"> </w:t>
      </w:r>
      <w:r>
        <w:rPr>
          <w:spacing w:val="-7"/>
          <w:sz w:val="24"/>
          <w:szCs w:val="24"/>
        </w:rPr>
        <w:t>日</w:t>
      </w:r>
    </w:p>
    <w:p w14:paraId="7CF55885">
      <w:pPr>
        <w:spacing w:line="219" w:lineRule="auto"/>
        <w:rPr>
          <w:sz w:val="24"/>
          <w:szCs w:val="24"/>
        </w:rPr>
        <w:sectPr>
          <w:headerReference r:id="rId8" w:type="default"/>
          <w:footerReference r:id="rId9" w:type="default"/>
          <w:pgSz w:w="11907" w:h="16840"/>
          <w:pgMar w:top="1165" w:right="1020" w:bottom="1060" w:left="1588" w:header="830" w:footer="886" w:gutter="0"/>
          <w:pgNumType w:fmt="decimal"/>
          <w:cols w:space="720" w:num="1"/>
        </w:sectPr>
      </w:pPr>
    </w:p>
    <w:p w14:paraId="5F783A92">
      <w:pPr>
        <w:pStyle w:val="2"/>
        <w:spacing w:before="78" w:line="219" w:lineRule="auto"/>
        <w:ind w:left="124"/>
        <w:rPr>
          <w:rFonts w:hint="default" w:ascii="Times New Roman" w:hAnsi="Times New Roman" w:cs="Times New Roman" w:eastAsiaTheme="minorEastAsia"/>
          <w:b/>
          <w:bCs/>
          <w:kern w:val="2"/>
          <w:sz w:val="28"/>
          <w:szCs w:val="28"/>
          <w:highlight w:val="none"/>
          <w:shd w:val="clear"/>
          <w:lang w:val="en-US" w:eastAsia="zh-CN" w:bidi="ar-SA"/>
        </w:rPr>
      </w:pPr>
      <w:r>
        <w:rPr>
          <w:rFonts w:hint="default" w:ascii="Times New Roman" w:hAnsi="Times New Roman" w:cs="Times New Roman" w:eastAsiaTheme="minorEastAsia"/>
          <w:b/>
          <w:bCs/>
          <w:kern w:val="2"/>
          <w:sz w:val="28"/>
          <w:szCs w:val="28"/>
          <w:highlight w:val="none"/>
          <w:shd w:val="clear"/>
          <w:lang w:val="en-US" w:eastAsia="zh-CN" w:bidi="ar-SA"/>
        </w:rPr>
        <w:t>6</w:t>
      </w:r>
      <w:r>
        <w:rPr>
          <w:rFonts w:hint="eastAsia" w:ascii="Times New Roman" w:hAnsi="Times New Roman" w:cs="Times New Roman" w:eastAsiaTheme="minorEastAsia"/>
          <w:b/>
          <w:bCs/>
          <w:kern w:val="2"/>
          <w:sz w:val="28"/>
          <w:szCs w:val="28"/>
          <w:highlight w:val="none"/>
          <w:shd w:val="clear"/>
          <w:lang w:val="en-US" w:eastAsia="zh-CN" w:bidi="ar-SA"/>
        </w:rPr>
        <w:t>.</w:t>
      </w:r>
      <w:r>
        <w:rPr>
          <w:rFonts w:hint="default" w:ascii="Times New Roman" w:hAnsi="Times New Roman" w:cs="Times New Roman" w:eastAsiaTheme="minorEastAsia"/>
          <w:b/>
          <w:bCs/>
          <w:kern w:val="2"/>
          <w:sz w:val="28"/>
          <w:szCs w:val="28"/>
          <w:highlight w:val="none"/>
          <w:shd w:val="clear"/>
          <w:lang w:val="en-US" w:eastAsia="zh-CN" w:bidi="ar-SA"/>
        </w:rPr>
        <w:t>采购需求偏离表</w:t>
      </w:r>
    </w:p>
    <w:p w14:paraId="68BBBEC0">
      <w:pPr>
        <w:pStyle w:val="2"/>
        <w:spacing w:before="198" w:line="219" w:lineRule="auto"/>
        <w:ind w:left="3579"/>
        <w:rPr>
          <w:sz w:val="36"/>
          <w:szCs w:val="36"/>
        </w:rPr>
      </w:pPr>
      <w:r>
        <w:rPr>
          <w:b/>
          <w:bCs/>
          <w:spacing w:val="-5"/>
          <w:sz w:val="36"/>
          <w:szCs w:val="36"/>
        </w:rPr>
        <w:t>采购需求偏离表</w:t>
      </w:r>
    </w:p>
    <w:p w14:paraId="7A8E29D0">
      <w:pPr>
        <w:pStyle w:val="2"/>
        <w:spacing w:before="256" w:line="219" w:lineRule="auto"/>
        <w:ind w:left="668"/>
        <w:rPr>
          <w:rFonts w:ascii="Arial" w:hAnsi="Arial" w:eastAsia="Arial" w:cs="Arial"/>
          <w:sz w:val="24"/>
          <w:szCs w:val="24"/>
        </w:rPr>
      </w:pPr>
      <w:r>
        <w:rPr>
          <w:sz w:val="24"/>
          <w:szCs w:val="24"/>
        </w:rPr>
        <w:t>项目编号</w:t>
      </w:r>
      <w:r>
        <w:rPr>
          <w:rFonts w:ascii="Arial" w:hAnsi="Arial" w:eastAsia="Arial" w:cs="Arial"/>
          <w:sz w:val="24"/>
          <w:szCs w:val="24"/>
        </w:rPr>
        <w:t>/</w:t>
      </w:r>
      <w:r>
        <w:rPr>
          <w:sz w:val="24"/>
          <w:szCs w:val="24"/>
        </w:rPr>
        <w:t>包号：</w:t>
      </w:r>
      <w:r>
        <w:rPr>
          <w:rFonts w:ascii="Arial" w:hAnsi="Arial" w:eastAsia="Arial" w:cs="Arial"/>
          <w:sz w:val="24"/>
          <w:szCs w:val="24"/>
        </w:rPr>
        <w:t>___________</w:t>
      </w:r>
      <w:r>
        <w:rPr>
          <w:rFonts w:ascii="Arial" w:hAnsi="Arial" w:eastAsia="Arial" w:cs="Arial"/>
          <w:spacing w:val="-1"/>
          <w:sz w:val="24"/>
          <w:szCs w:val="24"/>
        </w:rPr>
        <w:t xml:space="preserve">________         </w:t>
      </w:r>
      <w:r>
        <w:rPr>
          <w:spacing w:val="-1"/>
          <w:sz w:val="24"/>
          <w:szCs w:val="24"/>
        </w:rPr>
        <w:t>项目名称：</w:t>
      </w:r>
      <w:r>
        <w:rPr>
          <w:rFonts w:ascii="Arial" w:hAnsi="Arial" w:eastAsia="Arial" w:cs="Arial"/>
          <w:spacing w:val="-1"/>
          <w:sz w:val="24"/>
          <w:szCs w:val="24"/>
        </w:rPr>
        <w:t>___________</w:t>
      </w:r>
    </w:p>
    <w:p w14:paraId="3A794159">
      <w:pPr>
        <w:spacing w:line="146" w:lineRule="exact"/>
      </w:pPr>
    </w:p>
    <w:tbl>
      <w:tblPr>
        <w:tblStyle w:val="38"/>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1481"/>
        <w:gridCol w:w="2383"/>
        <w:gridCol w:w="2125"/>
        <w:gridCol w:w="1874"/>
        <w:gridCol w:w="1014"/>
      </w:tblGrid>
      <w:tr w14:paraId="3530A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779" w:type="dxa"/>
            <w:vAlign w:val="top"/>
          </w:tcPr>
          <w:p w14:paraId="3D857CE6">
            <w:pPr>
              <w:pStyle w:val="41"/>
              <w:spacing w:line="330" w:lineRule="auto"/>
            </w:pPr>
          </w:p>
          <w:p w14:paraId="6182799B">
            <w:pPr>
              <w:spacing w:before="78" w:line="222" w:lineRule="auto"/>
              <w:ind w:left="154"/>
              <w:rPr>
                <w:rFonts w:ascii="宋体" w:hAnsi="宋体" w:eastAsia="宋体" w:cs="宋体"/>
                <w:sz w:val="24"/>
                <w:szCs w:val="24"/>
              </w:rPr>
            </w:pPr>
            <w:r>
              <w:rPr>
                <w:rFonts w:ascii="宋体" w:hAnsi="宋体" w:eastAsia="宋体" w:cs="宋体"/>
                <w:spacing w:val="-3"/>
                <w:sz w:val="24"/>
                <w:szCs w:val="24"/>
              </w:rPr>
              <w:t>序号</w:t>
            </w:r>
          </w:p>
        </w:tc>
        <w:tc>
          <w:tcPr>
            <w:tcW w:w="1481" w:type="dxa"/>
            <w:vAlign w:val="top"/>
          </w:tcPr>
          <w:p w14:paraId="2294F9CB">
            <w:pPr>
              <w:pStyle w:val="41"/>
              <w:spacing w:before="257" w:line="230" w:lineRule="auto"/>
              <w:ind w:left="219" w:right="138" w:hanging="71"/>
              <w:rPr>
                <w:sz w:val="24"/>
                <w:szCs w:val="24"/>
              </w:rPr>
            </w:pPr>
            <w:r>
              <w:rPr>
                <w:rFonts w:ascii="宋体" w:hAnsi="宋体" w:eastAsia="宋体" w:cs="宋体"/>
                <w:spacing w:val="-3"/>
                <w:sz w:val="24"/>
                <w:szCs w:val="24"/>
              </w:rPr>
              <w:t>招标文件条</w:t>
            </w:r>
            <w:r>
              <w:rPr>
                <w:rFonts w:ascii="宋体" w:hAnsi="宋体" w:eastAsia="宋体" w:cs="宋体"/>
                <w:spacing w:val="3"/>
                <w:sz w:val="24"/>
                <w:szCs w:val="24"/>
              </w:rPr>
              <w:t xml:space="preserve"> </w:t>
            </w:r>
            <w:r>
              <w:rPr>
                <w:rFonts w:ascii="宋体" w:hAnsi="宋体" w:eastAsia="宋体" w:cs="宋体"/>
                <w:spacing w:val="-5"/>
                <w:sz w:val="24"/>
                <w:szCs w:val="24"/>
              </w:rPr>
              <w:t>目号</w:t>
            </w:r>
            <w:r>
              <w:rPr>
                <w:spacing w:val="-5"/>
                <w:sz w:val="24"/>
                <w:szCs w:val="24"/>
              </w:rPr>
              <w:t>(</w:t>
            </w:r>
            <w:r>
              <w:rPr>
                <w:rFonts w:ascii="宋体" w:hAnsi="宋体" w:eastAsia="宋体" w:cs="宋体"/>
                <w:spacing w:val="-5"/>
                <w:sz w:val="24"/>
                <w:szCs w:val="24"/>
              </w:rPr>
              <w:t>页码</w:t>
            </w:r>
            <w:r>
              <w:rPr>
                <w:spacing w:val="-5"/>
                <w:sz w:val="24"/>
                <w:szCs w:val="24"/>
              </w:rPr>
              <w:t>)</w:t>
            </w:r>
          </w:p>
        </w:tc>
        <w:tc>
          <w:tcPr>
            <w:tcW w:w="2383" w:type="dxa"/>
            <w:vAlign w:val="top"/>
          </w:tcPr>
          <w:p w14:paraId="016620FB">
            <w:pPr>
              <w:pStyle w:val="41"/>
              <w:spacing w:line="330" w:lineRule="auto"/>
            </w:pPr>
          </w:p>
          <w:p w14:paraId="68BB745C">
            <w:pPr>
              <w:spacing w:before="78" w:line="220" w:lineRule="auto"/>
              <w:ind w:left="479"/>
              <w:rPr>
                <w:rFonts w:ascii="宋体" w:hAnsi="宋体" w:eastAsia="宋体" w:cs="宋体"/>
                <w:sz w:val="24"/>
                <w:szCs w:val="24"/>
              </w:rPr>
            </w:pPr>
            <w:r>
              <w:rPr>
                <w:rFonts w:ascii="宋体" w:hAnsi="宋体" w:eastAsia="宋体" w:cs="宋体"/>
                <w:spacing w:val="-2"/>
                <w:sz w:val="24"/>
                <w:szCs w:val="24"/>
              </w:rPr>
              <w:t>招标文件要求</w:t>
            </w:r>
          </w:p>
        </w:tc>
        <w:tc>
          <w:tcPr>
            <w:tcW w:w="2125" w:type="dxa"/>
            <w:vAlign w:val="top"/>
          </w:tcPr>
          <w:p w14:paraId="4743E5EA">
            <w:pPr>
              <w:pStyle w:val="41"/>
              <w:spacing w:line="330" w:lineRule="auto"/>
            </w:pPr>
          </w:p>
          <w:p w14:paraId="63629F4B">
            <w:pPr>
              <w:spacing w:before="78" w:line="220" w:lineRule="auto"/>
              <w:ind w:left="353"/>
              <w:rPr>
                <w:rFonts w:ascii="宋体" w:hAnsi="宋体" w:eastAsia="宋体" w:cs="宋体"/>
                <w:sz w:val="24"/>
                <w:szCs w:val="24"/>
              </w:rPr>
            </w:pPr>
            <w:r>
              <w:rPr>
                <w:rFonts w:ascii="宋体" w:hAnsi="宋体" w:eastAsia="宋体" w:cs="宋体"/>
                <w:spacing w:val="-2"/>
                <w:sz w:val="24"/>
                <w:szCs w:val="24"/>
              </w:rPr>
              <w:t>投标响应内容</w:t>
            </w:r>
          </w:p>
        </w:tc>
        <w:tc>
          <w:tcPr>
            <w:tcW w:w="1874" w:type="dxa"/>
            <w:vAlign w:val="top"/>
          </w:tcPr>
          <w:p w14:paraId="54CA4702">
            <w:pPr>
              <w:pStyle w:val="41"/>
              <w:spacing w:line="330" w:lineRule="auto"/>
            </w:pPr>
          </w:p>
          <w:p w14:paraId="5A3A8A7F">
            <w:pPr>
              <w:spacing w:before="78" w:line="220" w:lineRule="auto"/>
              <w:ind w:left="465"/>
              <w:rPr>
                <w:rFonts w:ascii="宋体" w:hAnsi="宋体" w:eastAsia="宋体" w:cs="宋体"/>
                <w:sz w:val="24"/>
                <w:szCs w:val="24"/>
              </w:rPr>
            </w:pPr>
            <w:r>
              <w:rPr>
                <w:rFonts w:ascii="宋体" w:hAnsi="宋体" w:eastAsia="宋体" w:cs="宋体"/>
                <w:spacing w:val="-2"/>
                <w:sz w:val="24"/>
                <w:szCs w:val="24"/>
              </w:rPr>
              <w:t>偏离情况</w:t>
            </w:r>
          </w:p>
        </w:tc>
        <w:tc>
          <w:tcPr>
            <w:tcW w:w="1014" w:type="dxa"/>
            <w:vAlign w:val="top"/>
          </w:tcPr>
          <w:p w14:paraId="5AB2F94D">
            <w:pPr>
              <w:pStyle w:val="41"/>
              <w:spacing w:line="330" w:lineRule="auto"/>
            </w:pPr>
          </w:p>
          <w:p w14:paraId="251C4BE9">
            <w:pPr>
              <w:spacing w:before="78" w:line="220" w:lineRule="auto"/>
              <w:ind w:left="276"/>
              <w:rPr>
                <w:rFonts w:ascii="宋体" w:hAnsi="宋体" w:eastAsia="宋体" w:cs="宋体"/>
                <w:sz w:val="24"/>
                <w:szCs w:val="24"/>
              </w:rPr>
            </w:pPr>
            <w:r>
              <w:rPr>
                <w:rFonts w:ascii="宋体" w:hAnsi="宋体" w:eastAsia="宋体" w:cs="宋体"/>
                <w:spacing w:val="-4"/>
                <w:sz w:val="24"/>
                <w:szCs w:val="24"/>
              </w:rPr>
              <w:t>说明</w:t>
            </w:r>
          </w:p>
        </w:tc>
      </w:tr>
      <w:tr w14:paraId="57089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0AFCBDA4">
            <w:pPr>
              <w:pStyle w:val="41"/>
            </w:pPr>
          </w:p>
        </w:tc>
        <w:tc>
          <w:tcPr>
            <w:tcW w:w="1481" w:type="dxa"/>
            <w:vAlign w:val="top"/>
          </w:tcPr>
          <w:p w14:paraId="24793C3E">
            <w:pPr>
              <w:pStyle w:val="41"/>
            </w:pPr>
          </w:p>
        </w:tc>
        <w:tc>
          <w:tcPr>
            <w:tcW w:w="2383" w:type="dxa"/>
            <w:vAlign w:val="top"/>
          </w:tcPr>
          <w:p w14:paraId="1D14FB8C">
            <w:pPr>
              <w:pStyle w:val="41"/>
            </w:pPr>
          </w:p>
        </w:tc>
        <w:tc>
          <w:tcPr>
            <w:tcW w:w="2125" w:type="dxa"/>
            <w:vAlign w:val="top"/>
          </w:tcPr>
          <w:p w14:paraId="74DB2CD3">
            <w:pPr>
              <w:pStyle w:val="41"/>
            </w:pPr>
          </w:p>
        </w:tc>
        <w:tc>
          <w:tcPr>
            <w:tcW w:w="1874" w:type="dxa"/>
            <w:vAlign w:val="top"/>
          </w:tcPr>
          <w:p w14:paraId="1E4DAC75">
            <w:pPr>
              <w:pStyle w:val="41"/>
            </w:pPr>
          </w:p>
        </w:tc>
        <w:tc>
          <w:tcPr>
            <w:tcW w:w="1014" w:type="dxa"/>
            <w:vAlign w:val="top"/>
          </w:tcPr>
          <w:p w14:paraId="5E3F1132">
            <w:pPr>
              <w:pStyle w:val="41"/>
            </w:pPr>
          </w:p>
        </w:tc>
      </w:tr>
      <w:tr w14:paraId="5E16E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308CC3AF">
            <w:pPr>
              <w:pStyle w:val="41"/>
            </w:pPr>
          </w:p>
        </w:tc>
        <w:tc>
          <w:tcPr>
            <w:tcW w:w="1481" w:type="dxa"/>
            <w:vAlign w:val="top"/>
          </w:tcPr>
          <w:p w14:paraId="65361A86">
            <w:pPr>
              <w:pStyle w:val="41"/>
            </w:pPr>
          </w:p>
        </w:tc>
        <w:tc>
          <w:tcPr>
            <w:tcW w:w="2383" w:type="dxa"/>
            <w:vAlign w:val="top"/>
          </w:tcPr>
          <w:p w14:paraId="3A55E651">
            <w:pPr>
              <w:pStyle w:val="41"/>
            </w:pPr>
          </w:p>
        </w:tc>
        <w:tc>
          <w:tcPr>
            <w:tcW w:w="2125" w:type="dxa"/>
            <w:vAlign w:val="top"/>
          </w:tcPr>
          <w:p w14:paraId="4CC9EC04">
            <w:pPr>
              <w:pStyle w:val="41"/>
            </w:pPr>
          </w:p>
        </w:tc>
        <w:tc>
          <w:tcPr>
            <w:tcW w:w="1874" w:type="dxa"/>
            <w:vAlign w:val="top"/>
          </w:tcPr>
          <w:p w14:paraId="3C51D9C8">
            <w:pPr>
              <w:pStyle w:val="41"/>
            </w:pPr>
          </w:p>
        </w:tc>
        <w:tc>
          <w:tcPr>
            <w:tcW w:w="1014" w:type="dxa"/>
            <w:vAlign w:val="top"/>
          </w:tcPr>
          <w:p w14:paraId="2EF842A0">
            <w:pPr>
              <w:pStyle w:val="41"/>
            </w:pPr>
          </w:p>
        </w:tc>
      </w:tr>
      <w:tr w14:paraId="553F7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3C3D6282">
            <w:pPr>
              <w:pStyle w:val="41"/>
            </w:pPr>
          </w:p>
        </w:tc>
        <w:tc>
          <w:tcPr>
            <w:tcW w:w="1481" w:type="dxa"/>
            <w:vAlign w:val="top"/>
          </w:tcPr>
          <w:p w14:paraId="52ED88BF">
            <w:pPr>
              <w:pStyle w:val="41"/>
            </w:pPr>
          </w:p>
        </w:tc>
        <w:tc>
          <w:tcPr>
            <w:tcW w:w="2383" w:type="dxa"/>
            <w:vAlign w:val="top"/>
          </w:tcPr>
          <w:p w14:paraId="5C5E0E0B">
            <w:pPr>
              <w:pStyle w:val="41"/>
            </w:pPr>
          </w:p>
        </w:tc>
        <w:tc>
          <w:tcPr>
            <w:tcW w:w="2125" w:type="dxa"/>
            <w:vAlign w:val="top"/>
          </w:tcPr>
          <w:p w14:paraId="5FB18784">
            <w:pPr>
              <w:pStyle w:val="41"/>
            </w:pPr>
          </w:p>
        </w:tc>
        <w:tc>
          <w:tcPr>
            <w:tcW w:w="1874" w:type="dxa"/>
            <w:vAlign w:val="top"/>
          </w:tcPr>
          <w:p w14:paraId="194403CC">
            <w:pPr>
              <w:pStyle w:val="41"/>
            </w:pPr>
          </w:p>
        </w:tc>
        <w:tc>
          <w:tcPr>
            <w:tcW w:w="1014" w:type="dxa"/>
            <w:vAlign w:val="top"/>
          </w:tcPr>
          <w:p w14:paraId="72BFFA92">
            <w:pPr>
              <w:pStyle w:val="41"/>
            </w:pPr>
          </w:p>
        </w:tc>
      </w:tr>
      <w:tr w14:paraId="660ED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4A890AE7">
            <w:pPr>
              <w:pStyle w:val="41"/>
            </w:pPr>
          </w:p>
        </w:tc>
        <w:tc>
          <w:tcPr>
            <w:tcW w:w="1481" w:type="dxa"/>
            <w:vAlign w:val="top"/>
          </w:tcPr>
          <w:p w14:paraId="0ADB327E">
            <w:pPr>
              <w:pStyle w:val="41"/>
            </w:pPr>
          </w:p>
        </w:tc>
        <w:tc>
          <w:tcPr>
            <w:tcW w:w="2383" w:type="dxa"/>
            <w:vAlign w:val="top"/>
          </w:tcPr>
          <w:p w14:paraId="5D6F7C34">
            <w:pPr>
              <w:pStyle w:val="41"/>
            </w:pPr>
          </w:p>
        </w:tc>
        <w:tc>
          <w:tcPr>
            <w:tcW w:w="2125" w:type="dxa"/>
            <w:vAlign w:val="top"/>
          </w:tcPr>
          <w:p w14:paraId="025ADFEC">
            <w:pPr>
              <w:pStyle w:val="41"/>
            </w:pPr>
          </w:p>
        </w:tc>
        <w:tc>
          <w:tcPr>
            <w:tcW w:w="1874" w:type="dxa"/>
            <w:vAlign w:val="top"/>
          </w:tcPr>
          <w:p w14:paraId="42C495B4">
            <w:pPr>
              <w:pStyle w:val="41"/>
            </w:pPr>
          </w:p>
        </w:tc>
        <w:tc>
          <w:tcPr>
            <w:tcW w:w="1014" w:type="dxa"/>
            <w:vAlign w:val="top"/>
          </w:tcPr>
          <w:p w14:paraId="3F1F0F5F">
            <w:pPr>
              <w:pStyle w:val="41"/>
            </w:pPr>
          </w:p>
        </w:tc>
      </w:tr>
      <w:tr w14:paraId="103F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79" w:type="dxa"/>
            <w:vAlign w:val="top"/>
          </w:tcPr>
          <w:p w14:paraId="1DD961D8">
            <w:pPr>
              <w:pStyle w:val="41"/>
            </w:pPr>
          </w:p>
        </w:tc>
        <w:tc>
          <w:tcPr>
            <w:tcW w:w="1481" w:type="dxa"/>
            <w:vAlign w:val="top"/>
          </w:tcPr>
          <w:p w14:paraId="0486D9A7">
            <w:pPr>
              <w:pStyle w:val="41"/>
            </w:pPr>
          </w:p>
        </w:tc>
        <w:tc>
          <w:tcPr>
            <w:tcW w:w="2383" w:type="dxa"/>
            <w:vAlign w:val="top"/>
          </w:tcPr>
          <w:p w14:paraId="6E48C295">
            <w:pPr>
              <w:pStyle w:val="41"/>
            </w:pPr>
          </w:p>
        </w:tc>
        <w:tc>
          <w:tcPr>
            <w:tcW w:w="2125" w:type="dxa"/>
            <w:vAlign w:val="top"/>
          </w:tcPr>
          <w:p w14:paraId="4982EC06">
            <w:pPr>
              <w:pStyle w:val="41"/>
            </w:pPr>
          </w:p>
        </w:tc>
        <w:tc>
          <w:tcPr>
            <w:tcW w:w="1874" w:type="dxa"/>
            <w:vAlign w:val="top"/>
          </w:tcPr>
          <w:p w14:paraId="1D245715">
            <w:pPr>
              <w:pStyle w:val="41"/>
            </w:pPr>
          </w:p>
        </w:tc>
        <w:tc>
          <w:tcPr>
            <w:tcW w:w="1014" w:type="dxa"/>
            <w:vAlign w:val="top"/>
          </w:tcPr>
          <w:p w14:paraId="20B24D1C">
            <w:pPr>
              <w:pStyle w:val="41"/>
            </w:pPr>
          </w:p>
        </w:tc>
      </w:tr>
      <w:tr w14:paraId="19CF0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79" w:type="dxa"/>
            <w:vAlign w:val="top"/>
          </w:tcPr>
          <w:p w14:paraId="51F1050F">
            <w:pPr>
              <w:pStyle w:val="41"/>
            </w:pPr>
          </w:p>
        </w:tc>
        <w:tc>
          <w:tcPr>
            <w:tcW w:w="1481" w:type="dxa"/>
            <w:vAlign w:val="top"/>
          </w:tcPr>
          <w:p w14:paraId="2A85B018">
            <w:pPr>
              <w:pStyle w:val="41"/>
            </w:pPr>
          </w:p>
        </w:tc>
        <w:tc>
          <w:tcPr>
            <w:tcW w:w="2383" w:type="dxa"/>
            <w:vAlign w:val="top"/>
          </w:tcPr>
          <w:p w14:paraId="6FB68664">
            <w:pPr>
              <w:pStyle w:val="41"/>
            </w:pPr>
          </w:p>
        </w:tc>
        <w:tc>
          <w:tcPr>
            <w:tcW w:w="2125" w:type="dxa"/>
            <w:vAlign w:val="top"/>
          </w:tcPr>
          <w:p w14:paraId="0BAFDE87">
            <w:pPr>
              <w:pStyle w:val="41"/>
            </w:pPr>
          </w:p>
        </w:tc>
        <w:tc>
          <w:tcPr>
            <w:tcW w:w="1874" w:type="dxa"/>
            <w:vAlign w:val="top"/>
          </w:tcPr>
          <w:p w14:paraId="6EBE3C3D">
            <w:pPr>
              <w:pStyle w:val="41"/>
            </w:pPr>
          </w:p>
        </w:tc>
        <w:tc>
          <w:tcPr>
            <w:tcW w:w="1014" w:type="dxa"/>
            <w:vAlign w:val="top"/>
          </w:tcPr>
          <w:p w14:paraId="436E2210">
            <w:pPr>
              <w:pStyle w:val="41"/>
            </w:pPr>
          </w:p>
        </w:tc>
      </w:tr>
    </w:tbl>
    <w:p w14:paraId="03A0B437">
      <w:pPr>
        <w:spacing w:line="264" w:lineRule="auto"/>
        <w:rPr>
          <w:rFonts w:ascii="Arial"/>
          <w:sz w:val="21"/>
        </w:rPr>
      </w:pPr>
    </w:p>
    <w:p w14:paraId="727F83C9">
      <w:pPr>
        <w:spacing w:line="264" w:lineRule="auto"/>
        <w:rPr>
          <w:rFonts w:ascii="Arial"/>
          <w:sz w:val="21"/>
        </w:rPr>
      </w:pPr>
    </w:p>
    <w:p w14:paraId="38640B35">
      <w:pPr>
        <w:spacing w:line="264" w:lineRule="auto"/>
        <w:rPr>
          <w:rFonts w:ascii="Arial"/>
          <w:sz w:val="21"/>
        </w:rPr>
      </w:pPr>
    </w:p>
    <w:p w14:paraId="683E1ACB">
      <w:pPr>
        <w:pStyle w:val="2"/>
        <w:spacing w:before="78" w:line="224" w:lineRule="auto"/>
        <w:ind w:left="304"/>
        <w:rPr>
          <w:sz w:val="24"/>
          <w:szCs w:val="24"/>
        </w:rPr>
      </w:pPr>
      <w:r>
        <w:rPr>
          <w:spacing w:val="-17"/>
          <w:sz w:val="24"/>
          <w:szCs w:val="24"/>
        </w:rPr>
        <w:t>注：</w:t>
      </w:r>
    </w:p>
    <w:p w14:paraId="3DEE77A3">
      <w:pPr>
        <w:pStyle w:val="2"/>
        <w:spacing w:before="20" w:line="229" w:lineRule="auto"/>
        <w:ind w:left="330" w:right="377" w:hanging="9"/>
        <w:rPr>
          <w:sz w:val="24"/>
          <w:szCs w:val="24"/>
        </w:rPr>
      </w:pPr>
      <w:r>
        <w:rPr>
          <w:rFonts w:ascii="Arial" w:hAnsi="Arial" w:eastAsia="Arial" w:cs="Arial"/>
          <w:sz w:val="24"/>
          <w:szCs w:val="24"/>
        </w:rPr>
        <w:t>1.</w:t>
      </w:r>
      <w:r>
        <w:rPr>
          <w:rFonts w:ascii="Arial" w:hAnsi="Arial" w:eastAsia="Arial" w:cs="Arial"/>
          <w:spacing w:val="63"/>
          <w:sz w:val="24"/>
          <w:szCs w:val="24"/>
        </w:rPr>
        <w:t xml:space="preserve"> </w:t>
      </w:r>
      <w:r>
        <w:rPr>
          <w:sz w:val="24"/>
          <w:szCs w:val="24"/>
        </w:rPr>
        <w:t>对招标文件中的所有商务、技术要求，除本表所列明的所有偏</w:t>
      </w:r>
      <w:r>
        <w:rPr>
          <w:spacing w:val="-1"/>
          <w:sz w:val="24"/>
          <w:szCs w:val="24"/>
        </w:rPr>
        <w:t>离外，均视作供应商</w:t>
      </w:r>
      <w:r>
        <w:rPr>
          <w:sz w:val="24"/>
          <w:szCs w:val="24"/>
        </w:rPr>
        <w:t xml:space="preserve"> </w:t>
      </w:r>
      <w:r>
        <w:rPr>
          <w:spacing w:val="-1"/>
          <w:sz w:val="24"/>
          <w:szCs w:val="24"/>
        </w:rPr>
        <w:t>已对之理解和响应。此表中若无任何文字说</w:t>
      </w:r>
      <w:r>
        <w:rPr>
          <w:spacing w:val="-2"/>
          <w:sz w:val="24"/>
          <w:szCs w:val="24"/>
        </w:rPr>
        <w:t>明，内容为空白的，</w:t>
      </w:r>
      <w:r>
        <w:rPr>
          <w:b/>
          <w:bCs/>
          <w:spacing w:val="-2"/>
          <w:sz w:val="24"/>
          <w:szCs w:val="24"/>
        </w:rPr>
        <w:t>投标无效。</w:t>
      </w:r>
    </w:p>
    <w:p w14:paraId="3942F36C">
      <w:pPr>
        <w:pStyle w:val="2"/>
        <w:spacing w:before="25" w:line="220" w:lineRule="auto"/>
        <w:ind w:left="312"/>
        <w:rPr>
          <w:sz w:val="24"/>
          <w:szCs w:val="24"/>
        </w:rPr>
      </w:pPr>
      <w:r>
        <w:rPr>
          <w:rFonts w:ascii="Arial" w:hAnsi="Arial" w:eastAsia="Arial" w:cs="Arial"/>
          <w:spacing w:val="10"/>
          <w:sz w:val="24"/>
          <w:szCs w:val="24"/>
        </w:rPr>
        <w:t>2.“</w:t>
      </w:r>
      <w:r>
        <w:rPr>
          <w:spacing w:val="10"/>
          <w:sz w:val="24"/>
          <w:szCs w:val="24"/>
        </w:rPr>
        <w:t>偏离情况</w:t>
      </w:r>
      <w:r>
        <w:rPr>
          <w:rFonts w:ascii="Arial" w:hAnsi="Arial" w:eastAsia="Arial" w:cs="Arial"/>
          <w:spacing w:val="10"/>
          <w:sz w:val="24"/>
          <w:szCs w:val="24"/>
        </w:rPr>
        <w:t>”</w:t>
      </w:r>
      <w:r>
        <w:rPr>
          <w:spacing w:val="10"/>
          <w:sz w:val="24"/>
          <w:szCs w:val="24"/>
        </w:rPr>
        <w:t>列应据实填写</w:t>
      </w:r>
      <w:r>
        <w:rPr>
          <w:rFonts w:ascii="Arial" w:hAnsi="Arial" w:eastAsia="Arial" w:cs="Arial"/>
          <w:spacing w:val="10"/>
          <w:sz w:val="24"/>
          <w:szCs w:val="24"/>
        </w:rPr>
        <w:t>“</w:t>
      </w:r>
      <w:r>
        <w:rPr>
          <w:spacing w:val="10"/>
          <w:sz w:val="24"/>
          <w:szCs w:val="24"/>
        </w:rPr>
        <w:t>无偏离</w:t>
      </w:r>
      <w:r>
        <w:rPr>
          <w:rFonts w:ascii="Arial" w:hAnsi="Arial" w:eastAsia="Arial" w:cs="Arial"/>
          <w:spacing w:val="10"/>
          <w:sz w:val="24"/>
          <w:szCs w:val="24"/>
        </w:rPr>
        <w:t>”</w:t>
      </w:r>
      <w:r>
        <w:rPr>
          <w:rFonts w:ascii="Arial" w:hAnsi="Arial" w:eastAsia="Arial" w:cs="Arial"/>
          <w:spacing w:val="-41"/>
          <w:sz w:val="24"/>
          <w:szCs w:val="24"/>
        </w:rPr>
        <w:t xml:space="preserve"> </w:t>
      </w:r>
      <w:r>
        <w:rPr>
          <w:spacing w:val="10"/>
          <w:sz w:val="24"/>
          <w:szCs w:val="24"/>
        </w:rPr>
        <w:t>、</w:t>
      </w:r>
      <w:r>
        <w:rPr>
          <w:rFonts w:ascii="Arial" w:hAnsi="Arial" w:eastAsia="Arial" w:cs="Arial"/>
          <w:spacing w:val="10"/>
          <w:sz w:val="24"/>
          <w:szCs w:val="24"/>
        </w:rPr>
        <w:t>“</w:t>
      </w:r>
      <w:r>
        <w:rPr>
          <w:spacing w:val="10"/>
          <w:sz w:val="24"/>
          <w:szCs w:val="24"/>
        </w:rPr>
        <w:t>正偏离</w:t>
      </w:r>
      <w:r>
        <w:rPr>
          <w:rFonts w:ascii="Arial" w:hAnsi="Arial" w:eastAsia="Arial" w:cs="Arial"/>
          <w:spacing w:val="10"/>
          <w:sz w:val="24"/>
          <w:szCs w:val="24"/>
        </w:rPr>
        <w:t>”</w:t>
      </w:r>
      <w:r>
        <w:rPr>
          <w:spacing w:val="10"/>
          <w:sz w:val="24"/>
          <w:szCs w:val="24"/>
        </w:rPr>
        <w:t>或</w:t>
      </w:r>
      <w:r>
        <w:rPr>
          <w:rFonts w:ascii="Arial" w:hAnsi="Arial" w:eastAsia="Arial" w:cs="Arial"/>
          <w:spacing w:val="10"/>
          <w:sz w:val="24"/>
          <w:szCs w:val="24"/>
        </w:rPr>
        <w:t>“</w:t>
      </w:r>
      <w:r>
        <w:rPr>
          <w:rFonts w:ascii="Arial" w:hAnsi="Arial" w:eastAsia="Arial" w:cs="Arial"/>
          <w:spacing w:val="-47"/>
          <w:sz w:val="24"/>
          <w:szCs w:val="24"/>
        </w:rPr>
        <w:t xml:space="preserve"> </w:t>
      </w:r>
      <w:r>
        <w:rPr>
          <w:spacing w:val="10"/>
          <w:sz w:val="24"/>
          <w:szCs w:val="24"/>
        </w:rPr>
        <w:t>负偏离</w:t>
      </w:r>
      <w:r>
        <w:rPr>
          <w:rFonts w:ascii="Arial" w:hAnsi="Arial" w:eastAsia="Arial" w:cs="Arial"/>
          <w:spacing w:val="10"/>
          <w:sz w:val="24"/>
          <w:szCs w:val="24"/>
        </w:rPr>
        <w:t>”</w:t>
      </w:r>
      <w:r>
        <w:rPr>
          <w:spacing w:val="10"/>
          <w:sz w:val="24"/>
          <w:szCs w:val="24"/>
        </w:rPr>
        <w:t>。</w:t>
      </w:r>
    </w:p>
    <w:p w14:paraId="03F24337">
      <w:pPr>
        <w:spacing w:line="249" w:lineRule="auto"/>
        <w:rPr>
          <w:rFonts w:ascii="Arial"/>
          <w:sz w:val="21"/>
        </w:rPr>
      </w:pPr>
    </w:p>
    <w:p w14:paraId="5C04D857">
      <w:pPr>
        <w:spacing w:line="249" w:lineRule="auto"/>
        <w:rPr>
          <w:rFonts w:ascii="Arial"/>
          <w:sz w:val="21"/>
        </w:rPr>
      </w:pPr>
    </w:p>
    <w:p w14:paraId="0015F0F4">
      <w:pPr>
        <w:spacing w:line="249" w:lineRule="auto"/>
        <w:rPr>
          <w:rFonts w:ascii="Arial"/>
          <w:sz w:val="21"/>
        </w:rPr>
      </w:pPr>
    </w:p>
    <w:p w14:paraId="5742406D">
      <w:pPr>
        <w:spacing w:line="250" w:lineRule="auto"/>
        <w:rPr>
          <w:rFonts w:ascii="Arial"/>
          <w:sz w:val="21"/>
        </w:rPr>
      </w:pPr>
    </w:p>
    <w:p w14:paraId="4BF8817C">
      <w:pPr>
        <w:spacing w:line="250" w:lineRule="auto"/>
        <w:rPr>
          <w:rFonts w:ascii="Arial"/>
          <w:sz w:val="21"/>
        </w:rPr>
      </w:pPr>
    </w:p>
    <w:p w14:paraId="2789C61F">
      <w:pPr>
        <w:pStyle w:val="2"/>
        <w:spacing w:before="79" w:line="188" w:lineRule="auto"/>
        <w:ind w:left="307"/>
        <w:rPr>
          <w:sz w:val="24"/>
          <w:szCs w:val="24"/>
        </w:rPr>
      </w:pPr>
      <w:r>
        <w:rPr>
          <w:spacing w:val="-14"/>
          <w:sz w:val="24"/>
          <w:szCs w:val="24"/>
        </w:rPr>
        <w:t>投标人名称（加盖公章</w:t>
      </w:r>
      <w:r>
        <w:rPr>
          <w:spacing w:val="-5"/>
          <w:sz w:val="24"/>
          <w:szCs w:val="24"/>
        </w:rPr>
        <w:t>）：</w:t>
      </w:r>
    </w:p>
    <w:p w14:paraId="498E7DD0">
      <w:pPr>
        <w:spacing w:line="19" w:lineRule="exact"/>
        <w:ind w:left="3533"/>
        <w:rPr>
          <w:rFonts w:ascii="Arial" w:hAnsi="Arial" w:eastAsia="Arial" w:cs="Arial"/>
          <w:sz w:val="24"/>
          <w:szCs w:val="24"/>
        </w:rPr>
      </w:pPr>
      <w:r>
        <w:rPr>
          <w:rFonts w:ascii="Arial" w:hAnsi="Arial" w:eastAsia="Arial" w:cs="Arial"/>
          <w:spacing w:val="-2"/>
          <w:position w:val="5"/>
          <w:sz w:val="24"/>
          <w:szCs w:val="24"/>
        </w:rPr>
        <w:t>___________</w:t>
      </w:r>
    </w:p>
    <w:p w14:paraId="341F3065">
      <w:pPr>
        <w:pStyle w:val="2"/>
        <w:spacing w:before="229" w:line="217" w:lineRule="auto"/>
        <w:ind w:left="346"/>
        <w:rPr>
          <w:sz w:val="24"/>
          <w:szCs w:val="24"/>
        </w:rPr>
        <w:sectPr>
          <w:headerReference r:id="rId10" w:type="default"/>
          <w:footerReference r:id="rId11" w:type="default"/>
          <w:pgSz w:w="11907" w:h="16840"/>
          <w:pgMar w:top="1165" w:right="839" w:bottom="1060" w:left="1406" w:header="830" w:footer="886" w:gutter="0"/>
          <w:pgNumType w:fmt="decimal"/>
          <w:cols w:space="720" w:num="1"/>
        </w:sectPr>
      </w:pPr>
      <w:r>
        <w:rPr>
          <w:spacing w:val="-7"/>
          <w:sz w:val="24"/>
          <w:szCs w:val="24"/>
        </w:rPr>
        <w:t>日期：</w:t>
      </w:r>
      <w:r>
        <w:rPr>
          <w:rFonts w:ascii="Arial" w:hAnsi="Arial" w:eastAsia="Arial" w:cs="Arial"/>
          <w:spacing w:val="-7"/>
          <w:sz w:val="24"/>
          <w:szCs w:val="24"/>
        </w:rPr>
        <w:t>_____</w:t>
      </w:r>
      <w:r>
        <w:rPr>
          <w:spacing w:val="-7"/>
          <w:sz w:val="24"/>
          <w:szCs w:val="24"/>
        </w:rPr>
        <w:t>年</w:t>
      </w:r>
      <w:r>
        <w:rPr>
          <w:rFonts w:ascii="Arial" w:hAnsi="Arial" w:eastAsia="Arial" w:cs="Arial"/>
          <w:spacing w:val="-7"/>
          <w:sz w:val="24"/>
          <w:szCs w:val="24"/>
        </w:rPr>
        <w:t>______</w:t>
      </w:r>
      <w:r>
        <w:rPr>
          <w:spacing w:val="-7"/>
          <w:sz w:val="24"/>
          <w:szCs w:val="24"/>
        </w:rPr>
        <w:t>月</w:t>
      </w:r>
      <w:r>
        <w:rPr>
          <w:rFonts w:ascii="Arial" w:hAnsi="Arial" w:eastAsia="Arial" w:cs="Arial"/>
          <w:spacing w:val="-7"/>
          <w:sz w:val="24"/>
          <w:szCs w:val="24"/>
        </w:rPr>
        <w:t>_____</w:t>
      </w:r>
    </w:p>
    <w:p w14:paraId="51A5D3D4">
      <w:pPr>
        <w:pStyle w:val="13"/>
        <w:numPr>
          <w:ilvl w:val="0"/>
          <w:numId w:val="0"/>
        </w:numPr>
        <w:spacing w:before="156" w:beforeLines="0" w:after="0" w:afterLines="0" w:line="360" w:lineRule="auto"/>
        <w:jc w:val="both"/>
        <w:rPr>
          <w:rFonts w:hint="default" w:ascii="Times New Roman" w:hAnsi="Times New Roman" w:cs="Times New Roman" w:eastAsiaTheme="minorEastAsia"/>
          <w:b/>
          <w:bCs/>
          <w:sz w:val="28"/>
          <w:szCs w:val="28"/>
          <w:highlight w:val="none"/>
          <w:shd w:val="clear" w:color="auto" w:fill="FFFFFF"/>
          <w:lang w:val="en-US" w:eastAsia="zh-CN"/>
        </w:rPr>
      </w:pPr>
      <w:r>
        <w:rPr>
          <w:rFonts w:hint="eastAsia" w:ascii="Times New Roman" w:hAnsi="Times New Roman" w:cs="Times New Roman" w:eastAsiaTheme="minorEastAsia"/>
          <w:b/>
          <w:bCs/>
          <w:kern w:val="2"/>
          <w:sz w:val="28"/>
          <w:szCs w:val="28"/>
          <w:shd w:val="clear" w:fill="FFFFFF"/>
          <w:lang w:val="en-US" w:eastAsia="zh-CN" w:bidi="ar-SA"/>
        </w:rPr>
        <w:t>7</w:t>
      </w:r>
      <w:r>
        <w:rPr>
          <w:rFonts w:hint="default" w:ascii="Times New Roman" w:hAnsi="Times New Roman" w:cs="Times New Roman" w:eastAsiaTheme="minorEastAsia"/>
          <w:b/>
          <w:bCs/>
          <w:kern w:val="2"/>
          <w:sz w:val="28"/>
          <w:szCs w:val="28"/>
          <w:shd w:val="clear" w:fill="FFFFFF"/>
          <w:lang w:val="en-US" w:eastAsia="zh-CN" w:bidi="ar-SA"/>
        </w:rPr>
        <w:t>.</w:t>
      </w:r>
      <w:r>
        <w:rPr>
          <w:rFonts w:hint="default" w:ascii="Times New Roman" w:hAnsi="Times New Roman" w:cs="Times New Roman" w:eastAsiaTheme="minorEastAsia"/>
          <w:b/>
          <w:bCs/>
          <w:sz w:val="28"/>
          <w:szCs w:val="28"/>
          <w:highlight w:val="none"/>
          <w:shd w:val="clear" w:color="auto" w:fill="FFFFFF"/>
          <w:lang w:val="en-US" w:eastAsia="zh-CN"/>
        </w:rPr>
        <w:t>其他符合性审查证明文件（如符合实质性要求有的证明文件等）</w:t>
      </w:r>
    </w:p>
    <w:p w14:paraId="6C0AD921">
      <w:pPr>
        <w:pStyle w:val="13"/>
        <w:numPr>
          <w:ilvl w:val="0"/>
          <w:numId w:val="0"/>
        </w:numPr>
        <w:spacing w:before="156" w:beforeLines="0" w:after="0" w:afterLines="0" w:line="360" w:lineRule="auto"/>
        <w:ind w:left="0" w:leftChars="0" w:firstLine="640" w:firstLineChars="0"/>
        <w:jc w:val="both"/>
        <w:rPr>
          <w:rFonts w:hint="default" w:ascii="Times New Roman" w:hAnsi="Times New Roman" w:cs="Times New Roman" w:eastAsiaTheme="minorEastAsia"/>
          <w:sz w:val="28"/>
          <w:szCs w:val="28"/>
          <w:highlight w:val="none"/>
          <w:u w:val="single"/>
        </w:rPr>
      </w:pPr>
    </w:p>
    <w:p w14:paraId="0BAF49B3">
      <w:pPr>
        <w:spacing w:line="360" w:lineRule="auto"/>
        <w:ind w:firstLine="703" w:firstLineChars="250"/>
        <w:rPr>
          <w:rFonts w:hint="eastAsia" w:ascii="Times New Roman" w:hAnsi="Times New Roman" w:cs="Times New Roman" w:eastAsiaTheme="minorEastAsia"/>
          <w:b/>
          <w:bCs/>
          <w:sz w:val="28"/>
          <w:szCs w:val="28"/>
          <w:highlight w:val="none"/>
          <w:lang w:val="en-US" w:eastAsia="zh-CN"/>
        </w:rPr>
      </w:pPr>
      <w:r>
        <w:rPr>
          <w:rFonts w:hint="eastAsia" w:ascii="Times New Roman" w:hAnsi="Times New Roman" w:cs="Times New Roman" w:eastAsiaTheme="minorEastAsia"/>
          <w:b/>
          <w:bCs/>
          <w:sz w:val="28"/>
          <w:szCs w:val="28"/>
          <w:highlight w:val="none"/>
          <w:shd w:val="clear"/>
          <w:lang w:val="en-US" w:eastAsia="zh-CN"/>
        </w:rPr>
        <w:t>四</w:t>
      </w:r>
      <w:r>
        <w:rPr>
          <w:rFonts w:hint="default" w:ascii="Times New Roman" w:hAnsi="Times New Roman" w:cs="Times New Roman" w:eastAsiaTheme="minorEastAsia"/>
          <w:b/>
          <w:bCs/>
          <w:sz w:val="28"/>
          <w:szCs w:val="28"/>
          <w:highlight w:val="none"/>
          <w:shd w:val="clear"/>
          <w:lang w:val="en-US" w:eastAsia="zh-CN"/>
        </w:rPr>
        <w:t>、</w:t>
      </w:r>
      <w:r>
        <w:rPr>
          <w:rFonts w:hint="default" w:ascii="Times New Roman" w:hAnsi="Times New Roman" w:cs="Times New Roman" w:eastAsiaTheme="minorEastAsia"/>
          <w:b/>
          <w:bCs/>
          <w:sz w:val="28"/>
          <w:szCs w:val="28"/>
          <w:highlight w:val="none"/>
          <w:lang w:val="en-US" w:eastAsia="zh-CN"/>
        </w:rPr>
        <w:t>招标文件要求提供或投标人认为应附的其他材料</w:t>
      </w:r>
      <w:r>
        <w:rPr>
          <w:rFonts w:hint="eastAsia" w:ascii="Times New Roman" w:hAnsi="Times New Roman" w:cs="Times New Roman" w:eastAsiaTheme="minorEastAsia"/>
          <w:b/>
          <w:bCs/>
          <w:sz w:val="28"/>
          <w:szCs w:val="28"/>
          <w:highlight w:val="none"/>
          <w:lang w:val="en-US" w:eastAsia="zh-CN"/>
        </w:rPr>
        <w:t>（根据评审标准技术商务评审因素）格式自拟</w:t>
      </w:r>
    </w:p>
    <w:p w14:paraId="00E8D7C1">
      <w:pPr>
        <w:spacing w:line="360" w:lineRule="auto"/>
        <w:ind w:firstLine="703" w:firstLineChars="250"/>
        <w:rPr>
          <w:rFonts w:hint="default" w:ascii="Times New Roman" w:hAnsi="Times New Roman" w:cs="Times New Roman" w:eastAsiaTheme="minorEastAsia"/>
          <w:b/>
          <w:bCs/>
          <w:sz w:val="28"/>
          <w:szCs w:val="28"/>
          <w:highlight w:val="none"/>
          <w:lang w:val="en-US" w:eastAsia="zh-CN"/>
        </w:rPr>
      </w:pPr>
    </w:p>
    <w:sectPr>
      <w:headerReference r:id="rId12" w:type="default"/>
      <w:footerReference r:id="rId13" w:type="default"/>
      <w:pgSz w:w="11906" w:h="16838"/>
      <w:pgMar w:top="1383" w:right="1417" w:bottom="1383"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FD5B8">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9796C">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239796C">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6A12">
    <w:pPr>
      <w:pStyle w:val="1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8AAFB">
                          <w:pPr>
                            <w:pStyle w:val="16"/>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618AAFB">
                    <w:pPr>
                      <w:pStyle w:val="16"/>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7C6C7">
    <w:pPr>
      <w:pStyle w:val="1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2A703">
                          <w:pPr>
                            <w:pStyle w:val="1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852A703">
                    <w:pPr>
                      <w:pStyle w:val="1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1FE4F">
    <w:pPr>
      <w:pStyle w:val="1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319F1">
                          <w:pPr>
                            <w:pStyle w:val="1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2A319F1">
                    <w:pPr>
                      <w:pStyle w:val="1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FC4D5">
    <w:pPr>
      <w:pStyle w:val="16"/>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E47A6A">
                          <w:pPr>
                            <w:pStyle w:val="1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8E47A6A">
                    <w:pPr>
                      <w:pStyle w:val="16"/>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EB198">
    <w:pPr>
      <w:pStyle w:val="16"/>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50680">
                          <w:pPr>
                            <w:pStyle w:val="16"/>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4450680">
                    <w:pPr>
                      <w:pStyle w:val="1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8D1A8">
    <w:pPr>
      <w:pStyle w:val="2"/>
      <w:pBdr>
        <w:bottom w:val="none" w:color="auto" w:sz="0" w:space="0"/>
      </w:pBdr>
      <w:spacing w:before="48" w:line="219" w:lineRule="auto"/>
      <w:jc w:val="right"/>
      <w:rPr>
        <w:rFonts w:hint="eastAsia" w:eastAsia="宋体"/>
        <w:sz w:val="18"/>
        <w:szCs w:val="18"/>
        <w:lang w:eastAsia="zh-CN"/>
      </w:rPr>
    </w:pPr>
    <w:r>
      <w:rPr>
        <w:rFonts w:hint="eastAsia"/>
        <w:spacing w:val="-1"/>
        <w:sz w:val="18"/>
        <w:szCs w:val="18"/>
        <w:lang w:eastAsia="zh-CN"/>
      </w:rPr>
      <w:t>政府采购公开招标</w:t>
    </w:r>
    <w:r>
      <w:rPr>
        <w:spacing w:val="-1"/>
        <w:sz w:val="18"/>
        <w:szCs w:val="18"/>
      </w:rPr>
      <w:t>文件</w:t>
    </w:r>
    <w:r>
      <w:drawing>
        <wp:anchor distT="0" distB="0" distL="0" distR="0" simplePos="0" relativeHeight="251662336" behindDoc="0" locked="0" layoutInCell="0" allowOverlap="1">
          <wp:simplePos x="0" y="0"/>
          <wp:positionH relativeFrom="page">
            <wp:posOffset>1079500</wp:posOffset>
          </wp:positionH>
          <wp:positionV relativeFrom="page">
            <wp:posOffset>701040</wp:posOffset>
          </wp:positionV>
          <wp:extent cx="5760720" cy="825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760627" cy="844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4953D">
    <w:pPr>
      <w:pStyle w:val="2"/>
      <w:pBdr>
        <w:bottom w:val="none" w:color="auto" w:sz="0" w:space="0"/>
      </w:pBdr>
      <w:spacing w:before="48" w:line="219" w:lineRule="auto"/>
      <w:jc w:val="right"/>
      <w:rPr>
        <w:sz w:val="18"/>
        <w:szCs w:val="18"/>
      </w:rPr>
    </w:pPr>
    <w:r>
      <w:rPr>
        <w:rFonts w:hint="default"/>
        <w:spacing w:val="-1"/>
        <w:sz w:val="18"/>
        <w:szCs w:val="18"/>
        <w:lang w:val="en-US"/>
      </w:rPr>
      <w:drawing>
        <wp:anchor distT="0" distB="0" distL="0" distR="0" simplePos="0" relativeHeight="251659264" behindDoc="0" locked="0" layoutInCell="0" allowOverlap="1">
          <wp:simplePos x="0" y="0"/>
          <wp:positionH relativeFrom="page">
            <wp:posOffset>1079500</wp:posOffset>
          </wp:positionH>
          <wp:positionV relativeFrom="page">
            <wp:posOffset>701040</wp:posOffset>
          </wp:positionV>
          <wp:extent cx="5760720" cy="8255"/>
          <wp:effectExtent l="0" t="0" r="0" b="0"/>
          <wp:wrapNone/>
          <wp:docPr id="7" name="IM 8"/>
          <wp:cNvGraphicFramePr/>
          <a:graphic xmlns:a="http://schemas.openxmlformats.org/drawingml/2006/main">
            <a:graphicData uri="http://schemas.openxmlformats.org/drawingml/2006/picture">
              <pic:pic xmlns:pic="http://schemas.openxmlformats.org/drawingml/2006/picture">
                <pic:nvPicPr>
                  <pic:cNvPr id="7" name="IM 8"/>
                  <pic:cNvPicPr/>
                </pic:nvPicPr>
                <pic:blipFill>
                  <a:blip r:embed="rId1"/>
                  <a:stretch>
                    <a:fillRect/>
                  </a:stretch>
                </pic:blipFill>
                <pic:spPr>
                  <a:xfrm>
                    <a:off x="0" y="0"/>
                    <a:ext cx="5760627" cy="8441"/>
                  </a:xfrm>
                  <a:prstGeom prst="rect">
                    <a:avLst/>
                  </a:prstGeom>
                </pic:spPr>
              </pic:pic>
            </a:graphicData>
          </a:graphic>
        </wp:anchor>
      </w:drawing>
    </w:r>
    <w:r>
      <w:rPr>
        <w:rFonts w:hint="eastAsia"/>
        <w:spacing w:val="-1"/>
        <w:sz w:val="18"/>
        <w:szCs w:val="18"/>
        <w:lang w:eastAsia="zh-CN"/>
      </w:rPr>
      <w:t>政府采购公开招标</w:t>
    </w:r>
    <w:r>
      <w:rPr>
        <w:spacing w:val="-1"/>
        <w:sz w:val="18"/>
        <w:szCs w:val="18"/>
      </w:rPr>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84213">
    <w:pPr>
      <w:pStyle w:val="2"/>
      <w:spacing w:before="48" w:line="219" w:lineRule="auto"/>
      <w:jc w:val="right"/>
      <w:rPr>
        <w:rFonts w:hint="eastAsia" w:eastAsia="宋体"/>
        <w:sz w:val="18"/>
        <w:szCs w:val="18"/>
        <w:lang w:eastAsia="zh-CN"/>
      </w:rPr>
    </w:pPr>
    <w:r>
      <w:drawing>
        <wp:anchor distT="0" distB="0" distL="0" distR="0" simplePos="0" relativeHeight="251672576" behindDoc="0" locked="0" layoutInCell="0" allowOverlap="1">
          <wp:simplePos x="0" y="0"/>
          <wp:positionH relativeFrom="page">
            <wp:posOffset>1079500</wp:posOffset>
          </wp:positionH>
          <wp:positionV relativeFrom="page">
            <wp:posOffset>701040</wp:posOffset>
          </wp:positionV>
          <wp:extent cx="5760720" cy="8255"/>
          <wp:effectExtent l="0" t="0" r="0" b="0"/>
          <wp:wrapNone/>
          <wp:docPr id="10" name="IM 44"/>
          <wp:cNvGraphicFramePr/>
          <a:graphic xmlns:a="http://schemas.openxmlformats.org/drawingml/2006/main">
            <a:graphicData uri="http://schemas.openxmlformats.org/drawingml/2006/picture">
              <pic:pic xmlns:pic="http://schemas.openxmlformats.org/drawingml/2006/picture">
                <pic:nvPicPr>
                  <pic:cNvPr id="10" name="IM 44"/>
                  <pic:cNvPicPr/>
                </pic:nvPicPr>
                <pic:blipFill>
                  <a:blip r:embed="rId1"/>
                  <a:stretch>
                    <a:fillRect/>
                  </a:stretch>
                </pic:blipFill>
                <pic:spPr>
                  <a:xfrm>
                    <a:off x="0" y="0"/>
                    <a:ext cx="5760627" cy="8441"/>
                  </a:xfrm>
                  <a:prstGeom prst="rect">
                    <a:avLst/>
                  </a:prstGeom>
                </pic:spPr>
              </pic:pic>
            </a:graphicData>
          </a:graphic>
        </wp:anchor>
      </w:drawing>
    </w:r>
    <w:r>
      <w:rPr>
        <w:rFonts w:hint="eastAsia"/>
        <w:spacing w:val="-1"/>
        <w:sz w:val="18"/>
        <w:szCs w:val="18"/>
        <w:lang w:eastAsia="zh-CN"/>
      </w:rP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60939">
    <w:pPr>
      <w:pStyle w:val="2"/>
      <w:spacing w:before="48" w:line="219" w:lineRule="auto"/>
      <w:jc w:val="right"/>
      <w:rPr>
        <w:rFonts w:hint="eastAsia" w:eastAsia="宋体"/>
        <w:sz w:val="18"/>
        <w:szCs w:val="18"/>
        <w:lang w:eastAsia="zh-CN"/>
      </w:rPr>
    </w:pPr>
    <w:r>
      <w:drawing>
        <wp:anchor distT="0" distB="0" distL="0" distR="0" simplePos="0" relativeHeight="251673600" behindDoc="0" locked="0" layoutInCell="0" allowOverlap="1">
          <wp:simplePos x="0" y="0"/>
          <wp:positionH relativeFrom="page">
            <wp:posOffset>1079500</wp:posOffset>
          </wp:positionH>
          <wp:positionV relativeFrom="page">
            <wp:posOffset>701040</wp:posOffset>
          </wp:positionV>
          <wp:extent cx="5760720" cy="825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760627" cy="8441"/>
                  </a:xfrm>
                  <a:prstGeom prst="rect">
                    <a:avLst/>
                  </a:prstGeom>
                </pic:spPr>
              </pic:pic>
            </a:graphicData>
          </a:graphic>
        </wp:anchor>
      </w:drawing>
    </w:r>
    <w:r>
      <w:rPr>
        <w:rFonts w:hint="eastAsia"/>
        <w:spacing w:val="-1"/>
        <w:sz w:val="18"/>
        <w:szCs w:val="18"/>
        <w:lang w:eastAsia="zh-CN"/>
      </w:rP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C765C">
    <w:pPr>
      <w:pStyle w:val="17"/>
    </w:pPr>
    <w:r>
      <w:rPr>
        <w:rFonts w:hint="eastAsia"/>
        <w:spacing w:val="-1"/>
        <w:sz w:val="18"/>
        <w:szCs w:val="18"/>
        <w:lang w:val="en-US" w:eastAsia="zh-CN"/>
      </w:rPr>
      <w:t xml:space="preserve">                                                      </w:t>
    </w:r>
    <w:r>
      <w:rPr>
        <w:rFonts w:hint="eastAsia"/>
        <w:spacing w:val="-1"/>
        <w:sz w:val="18"/>
        <w:szCs w:val="18"/>
        <w:lang w:eastAsia="zh-CN"/>
      </w:rP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7703D"/>
    <w:multiLevelType w:val="singleLevel"/>
    <w:tmpl w:val="8F67703D"/>
    <w:lvl w:ilvl="0" w:tentative="0">
      <w:start w:val="1"/>
      <w:numFmt w:val="decimal"/>
      <w:suff w:val="nothing"/>
      <w:lvlText w:val="%1、"/>
      <w:lvlJc w:val="left"/>
    </w:lvl>
  </w:abstractNum>
  <w:abstractNum w:abstractNumId="1">
    <w:nsid w:val="D1AB9947"/>
    <w:multiLevelType w:val="singleLevel"/>
    <w:tmpl w:val="D1AB9947"/>
    <w:lvl w:ilvl="0" w:tentative="0">
      <w:start w:val="6"/>
      <w:numFmt w:val="chineseCounting"/>
      <w:suff w:val="nothing"/>
      <w:lvlText w:val="%1、"/>
      <w:lvlJc w:val="left"/>
      <w:rPr>
        <w:rFonts w:hint="eastAsia"/>
      </w:rPr>
    </w:lvl>
  </w:abstractNum>
  <w:abstractNum w:abstractNumId="2">
    <w:nsid w:val="190A4B78"/>
    <w:multiLevelType w:val="singleLevel"/>
    <w:tmpl w:val="190A4B78"/>
    <w:lvl w:ilvl="0" w:tentative="0">
      <w:start w:val="1"/>
      <w:numFmt w:val="decimal"/>
      <w:suff w:val="nothing"/>
      <w:lvlText w:val="%1、"/>
      <w:lvlJc w:val="left"/>
    </w:lvl>
  </w:abstractNum>
  <w:abstractNum w:abstractNumId="3">
    <w:nsid w:val="272E1B57"/>
    <w:multiLevelType w:val="singleLevel"/>
    <w:tmpl w:val="272E1B57"/>
    <w:lvl w:ilvl="0" w:tentative="0">
      <w:start w:val="1"/>
      <w:numFmt w:val="chineseCounting"/>
      <w:suff w:val="nothing"/>
      <w:lvlText w:val="%1、"/>
      <w:lvlJc w:val="left"/>
      <w:rPr>
        <w:rFonts w:hint="eastAsia"/>
      </w:rPr>
    </w:lvl>
  </w:abstractNum>
  <w:abstractNum w:abstractNumId="4">
    <w:nsid w:val="2DA70413"/>
    <w:multiLevelType w:val="singleLevel"/>
    <w:tmpl w:val="2DA70413"/>
    <w:lvl w:ilvl="0" w:tentative="0">
      <w:start w:val="1"/>
      <w:numFmt w:val="decimal"/>
      <w:suff w:val="nothing"/>
      <w:lvlText w:val="%1、"/>
      <w:lvlJc w:val="left"/>
    </w:lvl>
  </w:abstractNum>
  <w:abstractNum w:abstractNumId="5">
    <w:nsid w:val="67469E83"/>
    <w:multiLevelType w:val="singleLevel"/>
    <w:tmpl w:val="67469E83"/>
    <w:lvl w:ilvl="0" w:tentative="0">
      <w:start w:val="1"/>
      <w:numFmt w:val="decimal"/>
      <w:suff w:val="nothing"/>
      <w:lvlText w:val="（%1）"/>
      <w:lvlJc w:val="left"/>
    </w:lvl>
  </w:abstractNum>
  <w:abstractNum w:abstractNumId="6">
    <w:nsid w:val="6789B3D8"/>
    <w:multiLevelType w:val="singleLevel"/>
    <w:tmpl w:val="6789B3D8"/>
    <w:lvl w:ilvl="0" w:tentative="0">
      <w:start w:val="1"/>
      <w:numFmt w:val="decimal"/>
      <w:suff w:val="nothing"/>
      <w:lvlText w:val="%1."/>
      <w:lvlJc w:val="left"/>
    </w:lvl>
  </w:abstractNum>
  <w:num w:numId="1">
    <w:abstractNumId w:val="1"/>
  </w:num>
  <w:num w:numId="2">
    <w:abstractNumId w:val="5"/>
  </w:num>
  <w:num w:numId="3">
    <w:abstractNumId w:val="3"/>
  </w:num>
  <w:num w:numId="4">
    <w:abstractNumId w:val="4"/>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3MTMzMTJhZmI4ZmZjNjFjNTE3ZTRiYzk2YTcyMDYifQ=="/>
  </w:docVars>
  <w:rsids>
    <w:rsidRoot w:val="00854E9C"/>
    <w:rsid w:val="00032292"/>
    <w:rsid w:val="00057F12"/>
    <w:rsid w:val="00062498"/>
    <w:rsid w:val="000909BE"/>
    <w:rsid w:val="000B59CB"/>
    <w:rsid w:val="000E54D5"/>
    <w:rsid w:val="0011121D"/>
    <w:rsid w:val="00112679"/>
    <w:rsid w:val="001532B0"/>
    <w:rsid w:val="00154925"/>
    <w:rsid w:val="00177961"/>
    <w:rsid w:val="00186BF0"/>
    <w:rsid w:val="00197BC6"/>
    <w:rsid w:val="001D1D33"/>
    <w:rsid w:val="00224299"/>
    <w:rsid w:val="00250EA7"/>
    <w:rsid w:val="00262990"/>
    <w:rsid w:val="002713B7"/>
    <w:rsid w:val="00273618"/>
    <w:rsid w:val="00275BF7"/>
    <w:rsid w:val="002E0F98"/>
    <w:rsid w:val="0031728E"/>
    <w:rsid w:val="00362B38"/>
    <w:rsid w:val="00383285"/>
    <w:rsid w:val="003844B4"/>
    <w:rsid w:val="003938A0"/>
    <w:rsid w:val="003A4BA5"/>
    <w:rsid w:val="003C468C"/>
    <w:rsid w:val="003C4C92"/>
    <w:rsid w:val="003C6D20"/>
    <w:rsid w:val="003E1FC8"/>
    <w:rsid w:val="00401459"/>
    <w:rsid w:val="00405077"/>
    <w:rsid w:val="00413F03"/>
    <w:rsid w:val="004407EC"/>
    <w:rsid w:val="0045780B"/>
    <w:rsid w:val="004D1F53"/>
    <w:rsid w:val="004D2614"/>
    <w:rsid w:val="004F2A41"/>
    <w:rsid w:val="00504A84"/>
    <w:rsid w:val="00516638"/>
    <w:rsid w:val="00584F01"/>
    <w:rsid w:val="005B5F9D"/>
    <w:rsid w:val="005E21D5"/>
    <w:rsid w:val="005F02EC"/>
    <w:rsid w:val="0061192B"/>
    <w:rsid w:val="00624183"/>
    <w:rsid w:val="00643BE3"/>
    <w:rsid w:val="00646FA9"/>
    <w:rsid w:val="00657410"/>
    <w:rsid w:val="0069043F"/>
    <w:rsid w:val="006A41AB"/>
    <w:rsid w:val="006B63A6"/>
    <w:rsid w:val="006D3C0B"/>
    <w:rsid w:val="006E0FA3"/>
    <w:rsid w:val="00702368"/>
    <w:rsid w:val="00707821"/>
    <w:rsid w:val="00745A71"/>
    <w:rsid w:val="00770061"/>
    <w:rsid w:val="007A6510"/>
    <w:rsid w:val="007A6B02"/>
    <w:rsid w:val="007C0737"/>
    <w:rsid w:val="007D0998"/>
    <w:rsid w:val="00804270"/>
    <w:rsid w:val="008175E4"/>
    <w:rsid w:val="00822502"/>
    <w:rsid w:val="008412F9"/>
    <w:rsid w:val="00845FEC"/>
    <w:rsid w:val="00854E9C"/>
    <w:rsid w:val="00872F88"/>
    <w:rsid w:val="00880975"/>
    <w:rsid w:val="00895518"/>
    <w:rsid w:val="00895875"/>
    <w:rsid w:val="008A0DE7"/>
    <w:rsid w:val="008A5808"/>
    <w:rsid w:val="00902B13"/>
    <w:rsid w:val="00904793"/>
    <w:rsid w:val="009072EC"/>
    <w:rsid w:val="00915F5A"/>
    <w:rsid w:val="009561E2"/>
    <w:rsid w:val="0097332A"/>
    <w:rsid w:val="009817A6"/>
    <w:rsid w:val="00A40DD8"/>
    <w:rsid w:val="00A55ABB"/>
    <w:rsid w:val="00A67D04"/>
    <w:rsid w:val="00A87E1E"/>
    <w:rsid w:val="00A94916"/>
    <w:rsid w:val="00AA7853"/>
    <w:rsid w:val="00AB5ADF"/>
    <w:rsid w:val="00AD378B"/>
    <w:rsid w:val="00AF137F"/>
    <w:rsid w:val="00B03D57"/>
    <w:rsid w:val="00B0507A"/>
    <w:rsid w:val="00B22B8A"/>
    <w:rsid w:val="00B41DEE"/>
    <w:rsid w:val="00B65511"/>
    <w:rsid w:val="00B73AC8"/>
    <w:rsid w:val="00B866D6"/>
    <w:rsid w:val="00B9225C"/>
    <w:rsid w:val="00BA4488"/>
    <w:rsid w:val="00BE4837"/>
    <w:rsid w:val="00BF0B73"/>
    <w:rsid w:val="00C25585"/>
    <w:rsid w:val="00C65FE3"/>
    <w:rsid w:val="00C823C4"/>
    <w:rsid w:val="00C84624"/>
    <w:rsid w:val="00CD3305"/>
    <w:rsid w:val="00CF4054"/>
    <w:rsid w:val="00D067C2"/>
    <w:rsid w:val="00D314A1"/>
    <w:rsid w:val="00D72BB0"/>
    <w:rsid w:val="00D978A2"/>
    <w:rsid w:val="00E45036"/>
    <w:rsid w:val="00E53900"/>
    <w:rsid w:val="00E7731F"/>
    <w:rsid w:val="00E83497"/>
    <w:rsid w:val="00E94E37"/>
    <w:rsid w:val="00E9767C"/>
    <w:rsid w:val="00EB281E"/>
    <w:rsid w:val="00EE46F3"/>
    <w:rsid w:val="00EF1DF8"/>
    <w:rsid w:val="00EF2254"/>
    <w:rsid w:val="00EF7C5B"/>
    <w:rsid w:val="00F45C76"/>
    <w:rsid w:val="00F527BD"/>
    <w:rsid w:val="00F65ADD"/>
    <w:rsid w:val="00F70207"/>
    <w:rsid w:val="00F77DF6"/>
    <w:rsid w:val="00F8363F"/>
    <w:rsid w:val="00FC0460"/>
    <w:rsid w:val="00FC299D"/>
    <w:rsid w:val="010827C0"/>
    <w:rsid w:val="011265D4"/>
    <w:rsid w:val="013E6E1F"/>
    <w:rsid w:val="0147778C"/>
    <w:rsid w:val="01536131"/>
    <w:rsid w:val="01677BE2"/>
    <w:rsid w:val="018823E2"/>
    <w:rsid w:val="018C152A"/>
    <w:rsid w:val="018F6A3E"/>
    <w:rsid w:val="0197670B"/>
    <w:rsid w:val="01A544B3"/>
    <w:rsid w:val="01C901A1"/>
    <w:rsid w:val="01D12DF8"/>
    <w:rsid w:val="01DD41C2"/>
    <w:rsid w:val="01F340A4"/>
    <w:rsid w:val="01F93068"/>
    <w:rsid w:val="0224362A"/>
    <w:rsid w:val="02467A44"/>
    <w:rsid w:val="027D172A"/>
    <w:rsid w:val="027F0C8A"/>
    <w:rsid w:val="0288005D"/>
    <w:rsid w:val="02975C2C"/>
    <w:rsid w:val="02B31439"/>
    <w:rsid w:val="02CF57C0"/>
    <w:rsid w:val="02E4100B"/>
    <w:rsid w:val="02E64D83"/>
    <w:rsid w:val="030557CC"/>
    <w:rsid w:val="030E51FC"/>
    <w:rsid w:val="0332621A"/>
    <w:rsid w:val="034F7FF4"/>
    <w:rsid w:val="035C5045"/>
    <w:rsid w:val="036C34DA"/>
    <w:rsid w:val="039D18E6"/>
    <w:rsid w:val="03AD28E2"/>
    <w:rsid w:val="03AF33C7"/>
    <w:rsid w:val="03C31BA3"/>
    <w:rsid w:val="03CC65BF"/>
    <w:rsid w:val="03D746CC"/>
    <w:rsid w:val="03F04E05"/>
    <w:rsid w:val="03F60FF6"/>
    <w:rsid w:val="040C07B1"/>
    <w:rsid w:val="040C0819"/>
    <w:rsid w:val="040E27E3"/>
    <w:rsid w:val="04126E2F"/>
    <w:rsid w:val="04153AA4"/>
    <w:rsid w:val="04243DB5"/>
    <w:rsid w:val="04520BEF"/>
    <w:rsid w:val="04534146"/>
    <w:rsid w:val="0462668B"/>
    <w:rsid w:val="04730898"/>
    <w:rsid w:val="04754611"/>
    <w:rsid w:val="04797268"/>
    <w:rsid w:val="0482288A"/>
    <w:rsid w:val="04874344"/>
    <w:rsid w:val="04934A97"/>
    <w:rsid w:val="04A62A1C"/>
    <w:rsid w:val="04A87A50"/>
    <w:rsid w:val="04B54A0D"/>
    <w:rsid w:val="04B70785"/>
    <w:rsid w:val="04C14DAD"/>
    <w:rsid w:val="04C307C7"/>
    <w:rsid w:val="04C53E4B"/>
    <w:rsid w:val="04CA6D21"/>
    <w:rsid w:val="04EE7963"/>
    <w:rsid w:val="04FA2D68"/>
    <w:rsid w:val="05397915"/>
    <w:rsid w:val="05432019"/>
    <w:rsid w:val="054E2A1E"/>
    <w:rsid w:val="055108BB"/>
    <w:rsid w:val="056D52E8"/>
    <w:rsid w:val="05777F14"/>
    <w:rsid w:val="05804295"/>
    <w:rsid w:val="05836A03"/>
    <w:rsid w:val="05A72BE0"/>
    <w:rsid w:val="05AC22B4"/>
    <w:rsid w:val="05AF5AB7"/>
    <w:rsid w:val="05C70C5A"/>
    <w:rsid w:val="05CD5D86"/>
    <w:rsid w:val="05D215EF"/>
    <w:rsid w:val="05EC37DD"/>
    <w:rsid w:val="05ED1043"/>
    <w:rsid w:val="05F257ED"/>
    <w:rsid w:val="06255A88"/>
    <w:rsid w:val="066421C7"/>
    <w:rsid w:val="06654211"/>
    <w:rsid w:val="0667442D"/>
    <w:rsid w:val="066F1F5D"/>
    <w:rsid w:val="069C7C11"/>
    <w:rsid w:val="069F7723"/>
    <w:rsid w:val="06A05249"/>
    <w:rsid w:val="06C90C44"/>
    <w:rsid w:val="06CF0F7F"/>
    <w:rsid w:val="06D14BB8"/>
    <w:rsid w:val="06DE5C00"/>
    <w:rsid w:val="07027CB2"/>
    <w:rsid w:val="0714287C"/>
    <w:rsid w:val="073E6F3C"/>
    <w:rsid w:val="07405339"/>
    <w:rsid w:val="07441979"/>
    <w:rsid w:val="075336DE"/>
    <w:rsid w:val="075F4BF7"/>
    <w:rsid w:val="07671ACA"/>
    <w:rsid w:val="07687960"/>
    <w:rsid w:val="078C182C"/>
    <w:rsid w:val="0793326B"/>
    <w:rsid w:val="07A50D69"/>
    <w:rsid w:val="07AA2823"/>
    <w:rsid w:val="07B40FAC"/>
    <w:rsid w:val="07C644D1"/>
    <w:rsid w:val="07E55609"/>
    <w:rsid w:val="07E75618"/>
    <w:rsid w:val="07EA0E72"/>
    <w:rsid w:val="07FF02EE"/>
    <w:rsid w:val="08135A38"/>
    <w:rsid w:val="08167EB9"/>
    <w:rsid w:val="08404F36"/>
    <w:rsid w:val="08597DA5"/>
    <w:rsid w:val="085D7896"/>
    <w:rsid w:val="086C1A35"/>
    <w:rsid w:val="087E15BA"/>
    <w:rsid w:val="08832305"/>
    <w:rsid w:val="08AC24CE"/>
    <w:rsid w:val="08DC7725"/>
    <w:rsid w:val="08E07822"/>
    <w:rsid w:val="08ED62FB"/>
    <w:rsid w:val="08F5187C"/>
    <w:rsid w:val="08FF26FB"/>
    <w:rsid w:val="090146C5"/>
    <w:rsid w:val="09187C60"/>
    <w:rsid w:val="091D21CC"/>
    <w:rsid w:val="091F4B4B"/>
    <w:rsid w:val="09212671"/>
    <w:rsid w:val="092B5268"/>
    <w:rsid w:val="09391199"/>
    <w:rsid w:val="09645F3F"/>
    <w:rsid w:val="096F17B4"/>
    <w:rsid w:val="097F55EA"/>
    <w:rsid w:val="09972933"/>
    <w:rsid w:val="09A03EDE"/>
    <w:rsid w:val="09AC33EF"/>
    <w:rsid w:val="09E75808"/>
    <w:rsid w:val="0A043E59"/>
    <w:rsid w:val="0A0855DF"/>
    <w:rsid w:val="0A0A73CC"/>
    <w:rsid w:val="0A107ED7"/>
    <w:rsid w:val="0A12645E"/>
    <w:rsid w:val="0A216BB3"/>
    <w:rsid w:val="0A2A3A6B"/>
    <w:rsid w:val="0A363205"/>
    <w:rsid w:val="0A4520A0"/>
    <w:rsid w:val="0A4E6440"/>
    <w:rsid w:val="0A544CC8"/>
    <w:rsid w:val="0A5D3B7D"/>
    <w:rsid w:val="0A5F652B"/>
    <w:rsid w:val="0A686C9B"/>
    <w:rsid w:val="0A6D7B38"/>
    <w:rsid w:val="0A8D01BA"/>
    <w:rsid w:val="0A9D041D"/>
    <w:rsid w:val="0AB241FB"/>
    <w:rsid w:val="0AC736EC"/>
    <w:rsid w:val="0AD520B3"/>
    <w:rsid w:val="0B114967"/>
    <w:rsid w:val="0B1F7084"/>
    <w:rsid w:val="0B2226D0"/>
    <w:rsid w:val="0B2D61F5"/>
    <w:rsid w:val="0B307195"/>
    <w:rsid w:val="0B310B66"/>
    <w:rsid w:val="0B457ECA"/>
    <w:rsid w:val="0B552993"/>
    <w:rsid w:val="0B59666F"/>
    <w:rsid w:val="0B9F3D21"/>
    <w:rsid w:val="0BA92503"/>
    <w:rsid w:val="0BD9237C"/>
    <w:rsid w:val="0BDB744F"/>
    <w:rsid w:val="0BF56037"/>
    <w:rsid w:val="0C112E71"/>
    <w:rsid w:val="0C3923C8"/>
    <w:rsid w:val="0C7A1229"/>
    <w:rsid w:val="0C9F186A"/>
    <w:rsid w:val="0CA2050C"/>
    <w:rsid w:val="0CA60ED7"/>
    <w:rsid w:val="0CAA625A"/>
    <w:rsid w:val="0CB87DFC"/>
    <w:rsid w:val="0CCD5339"/>
    <w:rsid w:val="0CEC2F96"/>
    <w:rsid w:val="0CF27873"/>
    <w:rsid w:val="0D006A41"/>
    <w:rsid w:val="0D1129FD"/>
    <w:rsid w:val="0D1644B7"/>
    <w:rsid w:val="0D224C0A"/>
    <w:rsid w:val="0D5279EB"/>
    <w:rsid w:val="0D5A25F6"/>
    <w:rsid w:val="0D6E071F"/>
    <w:rsid w:val="0D725B91"/>
    <w:rsid w:val="0D870F11"/>
    <w:rsid w:val="0D8B0A01"/>
    <w:rsid w:val="0D921B4A"/>
    <w:rsid w:val="0DA970D9"/>
    <w:rsid w:val="0DB14818"/>
    <w:rsid w:val="0DB735A4"/>
    <w:rsid w:val="0DC95E8B"/>
    <w:rsid w:val="0DDE3227"/>
    <w:rsid w:val="0DFE7E9F"/>
    <w:rsid w:val="0E0464E0"/>
    <w:rsid w:val="0E415DA1"/>
    <w:rsid w:val="0E440BB0"/>
    <w:rsid w:val="0E543124"/>
    <w:rsid w:val="0E6F48A6"/>
    <w:rsid w:val="0E707BF7"/>
    <w:rsid w:val="0E7C2FD9"/>
    <w:rsid w:val="0EA21BDD"/>
    <w:rsid w:val="0EB50F32"/>
    <w:rsid w:val="0EB87144"/>
    <w:rsid w:val="0EC0482A"/>
    <w:rsid w:val="0EE303C9"/>
    <w:rsid w:val="0EE505E5"/>
    <w:rsid w:val="0EEE7499"/>
    <w:rsid w:val="0EF6634E"/>
    <w:rsid w:val="0F0721DA"/>
    <w:rsid w:val="0F1862C4"/>
    <w:rsid w:val="0F3341F4"/>
    <w:rsid w:val="0F3E6E18"/>
    <w:rsid w:val="0F5D63CD"/>
    <w:rsid w:val="0F6307F3"/>
    <w:rsid w:val="0F6634D4"/>
    <w:rsid w:val="0F73799F"/>
    <w:rsid w:val="0F9D1A23"/>
    <w:rsid w:val="0FA63AAE"/>
    <w:rsid w:val="0FA67D74"/>
    <w:rsid w:val="0FC365A2"/>
    <w:rsid w:val="0FC4644C"/>
    <w:rsid w:val="0FC760A3"/>
    <w:rsid w:val="0FD02A96"/>
    <w:rsid w:val="0FD348E1"/>
    <w:rsid w:val="0FE73EE9"/>
    <w:rsid w:val="0FED3BB2"/>
    <w:rsid w:val="0FFA4FC9"/>
    <w:rsid w:val="101F6E5E"/>
    <w:rsid w:val="10475ACA"/>
    <w:rsid w:val="105B0B5E"/>
    <w:rsid w:val="105F391B"/>
    <w:rsid w:val="10635C65"/>
    <w:rsid w:val="10686EC2"/>
    <w:rsid w:val="10771710"/>
    <w:rsid w:val="108C51BC"/>
    <w:rsid w:val="10A110B4"/>
    <w:rsid w:val="10B61896"/>
    <w:rsid w:val="10B65D95"/>
    <w:rsid w:val="10C1325E"/>
    <w:rsid w:val="10CD7582"/>
    <w:rsid w:val="10DB1C9F"/>
    <w:rsid w:val="10DF26A3"/>
    <w:rsid w:val="10E21D72"/>
    <w:rsid w:val="10E33830"/>
    <w:rsid w:val="10E458CA"/>
    <w:rsid w:val="11205904"/>
    <w:rsid w:val="11344FBA"/>
    <w:rsid w:val="11475A92"/>
    <w:rsid w:val="1164596F"/>
    <w:rsid w:val="11B06C88"/>
    <w:rsid w:val="11EC7608"/>
    <w:rsid w:val="12042B30"/>
    <w:rsid w:val="120945EA"/>
    <w:rsid w:val="120B2110"/>
    <w:rsid w:val="120C0F58"/>
    <w:rsid w:val="121216F1"/>
    <w:rsid w:val="12152F8F"/>
    <w:rsid w:val="12212740"/>
    <w:rsid w:val="12486EC1"/>
    <w:rsid w:val="1249414E"/>
    <w:rsid w:val="12614426"/>
    <w:rsid w:val="129B31C9"/>
    <w:rsid w:val="12A62454"/>
    <w:rsid w:val="12C21D05"/>
    <w:rsid w:val="12CF75E2"/>
    <w:rsid w:val="12F17558"/>
    <w:rsid w:val="12F47048"/>
    <w:rsid w:val="12FB3D0F"/>
    <w:rsid w:val="13051003"/>
    <w:rsid w:val="131B635F"/>
    <w:rsid w:val="136E2BA5"/>
    <w:rsid w:val="13963C5C"/>
    <w:rsid w:val="13990439"/>
    <w:rsid w:val="139D148E"/>
    <w:rsid w:val="13B668C3"/>
    <w:rsid w:val="13C54541"/>
    <w:rsid w:val="13D9323B"/>
    <w:rsid w:val="13DF1289"/>
    <w:rsid w:val="13DF3855"/>
    <w:rsid w:val="13EA35C5"/>
    <w:rsid w:val="13EC7D20"/>
    <w:rsid w:val="13EE3A98"/>
    <w:rsid w:val="13FA068E"/>
    <w:rsid w:val="14050106"/>
    <w:rsid w:val="141259D8"/>
    <w:rsid w:val="141F1EA3"/>
    <w:rsid w:val="1425602A"/>
    <w:rsid w:val="14261483"/>
    <w:rsid w:val="142A7E88"/>
    <w:rsid w:val="142B6A9A"/>
    <w:rsid w:val="1438617E"/>
    <w:rsid w:val="143F0797"/>
    <w:rsid w:val="145B57FC"/>
    <w:rsid w:val="14710FC6"/>
    <w:rsid w:val="1473140B"/>
    <w:rsid w:val="14740441"/>
    <w:rsid w:val="14816EF4"/>
    <w:rsid w:val="148646E7"/>
    <w:rsid w:val="14916BA5"/>
    <w:rsid w:val="14A8037D"/>
    <w:rsid w:val="14BA5827"/>
    <w:rsid w:val="14BE482C"/>
    <w:rsid w:val="14E16E52"/>
    <w:rsid w:val="14E60C13"/>
    <w:rsid w:val="14ED1B04"/>
    <w:rsid w:val="14F7697C"/>
    <w:rsid w:val="14FE784E"/>
    <w:rsid w:val="153C0833"/>
    <w:rsid w:val="154E022A"/>
    <w:rsid w:val="15567B46"/>
    <w:rsid w:val="155E69FB"/>
    <w:rsid w:val="157062A4"/>
    <w:rsid w:val="15804BC3"/>
    <w:rsid w:val="158521DA"/>
    <w:rsid w:val="15924739"/>
    <w:rsid w:val="15B47667"/>
    <w:rsid w:val="15BB3E4D"/>
    <w:rsid w:val="15C54CCC"/>
    <w:rsid w:val="15CB499D"/>
    <w:rsid w:val="15E11B06"/>
    <w:rsid w:val="15F24D42"/>
    <w:rsid w:val="15F6718A"/>
    <w:rsid w:val="15FB473D"/>
    <w:rsid w:val="15FF1F8C"/>
    <w:rsid w:val="16096967"/>
    <w:rsid w:val="16110B93"/>
    <w:rsid w:val="161E5E30"/>
    <w:rsid w:val="163D4862"/>
    <w:rsid w:val="166B7621"/>
    <w:rsid w:val="168E50BE"/>
    <w:rsid w:val="169C5A2D"/>
    <w:rsid w:val="169D71E8"/>
    <w:rsid w:val="16A900BB"/>
    <w:rsid w:val="16B35411"/>
    <w:rsid w:val="16C259D6"/>
    <w:rsid w:val="16D178F5"/>
    <w:rsid w:val="16D35CC0"/>
    <w:rsid w:val="16DB3138"/>
    <w:rsid w:val="16ED0036"/>
    <w:rsid w:val="16F564C3"/>
    <w:rsid w:val="16F75359"/>
    <w:rsid w:val="17013AE2"/>
    <w:rsid w:val="170B670F"/>
    <w:rsid w:val="170D3106"/>
    <w:rsid w:val="17141A67"/>
    <w:rsid w:val="17290094"/>
    <w:rsid w:val="172F2B7E"/>
    <w:rsid w:val="174D31CB"/>
    <w:rsid w:val="179B7A92"/>
    <w:rsid w:val="17A87E47"/>
    <w:rsid w:val="17C23110"/>
    <w:rsid w:val="17C23271"/>
    <w:rsid w:val="17C4348D"/>
    <w:rsid w:val="17ED4E8E"/>
    <w:rsid w:val="17F20599"/>
    <w:rsid w:val="17F378CF"/>
    <w:rsid w:val="17FA6D4D"/>
    <w:rsid w:val="180A7985"/>
    <w:rsid w:val="181B7ED6"/>
    <w:rsid w:val="183049C9"/>
    <w:rsid w:val="18567E5D"/>
    <w:rsid w:val="188350F6"/>
    <w:rsid w:val="188B534B"/>
    <w:rsid w:val="18905905"/>
    <w:rsid w:val="18B47385"/>
    <w:rsid w:val="18CB25F9"/>
    <w:rsid w:val="18CC77BD"/>
    <w:rsid w:val="18E84F59"/>
    <w:rsid w:val="19035452"/>
    <w:rsid w:val="190F0738"/>
    <w:rsid w:val="191D2361"/>
    <w:rsid w:val="19297EBB"/>
    <w:rsid w:val="194505FE"/>
    <w:rsid w:val="195014AA"/>
    <w:rsid w:val="19670574"/>
    <w:rsid w:val="19766A09"/>
    <w:rsid w:val="1977008B"/>
    <w:rsid w:val="197B1F90"/>
    <w:rsid w:val="197F766C"/>
    <w:rsid w:val="198B3B37"/>
    <w:rsid w:val="19923117"/>
    <w:rsid w:val="19A60971"/>
    <w:rsid w:val="19B45B4F"/>
    <w:rsid w:val="19B5733A"/>
    <w:rsid w:val="19C57C95"/>
    <w:rsid w:val="19F3263E"/>
    <w:rsid w:val="19F623FE"/>
    <w:rsid w:val="1A071055"/>
    <w:rsid w:val="1A165AF6"/>
    <w:rsid w:val="1A1E6CC4"/>
    <w:rsid w:val="1A3F5F9B"/>
    <w:rsid w:val="1A667BFA"/>
    <w:rsid w:val="1AF10274"/>
    <w:rsid w:val="1B096EF5"/>
    <w:rsid w:val="1B197D8B"/>
    <w:rsid w:val="1B293607"/>
    <w:rsid w:val="1B371B06"/>
    <w:rsid w:val="1B3853CA"/>
    <w:rsid w:val="1B665EBA"/>
    <w:rsid w:val="1B8A66C7"/>
    <w:rsid w:val="1BA55384"/>
    <w:rsid w:val="1BAD6152"/>
    <w:rsid w:val="1BD071F5"/>
    <w:rsid w:val="1BF12290"/>
    <w:rsid w:val="1BF34C27"/>
    <w:rsid w:val="1BF613CE"/>
    <w:rsid w:val="1C09740B"/>
    <w:rsid w:val="1C1C325F"/>
    <w:rsid w:val="1C1F5136"/>
    <w:rsid w:val="1C20344D"/>
    <w:rsid w:val="1C27223D"/>
    <w:rsid w:val="1C3F337C"/>
    <w:rsid w:val="1C4D11BA"/>
    <w:rsid w:val="1C4D129D"/>
    <w:rsid w:val="1C4F52EF"/>
    <w:rsid w:val="1C6B037B"/>
    <w:rsid w:val="1C9135A4"/>
    <w:rsid w:val="1CA17753"/>
    <w:rsid w:val="1CB03FE0"/>
    <w:rsid w:val="1CDB6B83"/>
    <w:rsid w:val="1CDC4DD5"/>
    <w:rsid w:val="1CE65A14"/>
    <w:rsid w:val="1CFE521E"/>
    <w:rsid w:val="1D045D16"/>
    <w:rsid w:val="1D101429"/>
    <w:rsid w:val="1D3C246B"/>
    <w:rsid w:val="1D3C5874"/>
    <w:rsid w:val="1D3C768A"/>
    <w:rsid w:val="1D4806BC"/>
    <w:rsid w:val="1D556936"/>
    <w:rsid w:val="1D6E48D2"/>
    <w:rsid w:val="1D7C032C"/>
    <w:rsid w:val="1D85546D"/>
    <w:rsid w:val="1D892C79"/>
    <w:rsid w:val="1D8B05A9"/>
    <w:rsid w:val="1D954F84"/>
    <w:rsid w:val="1DAF4298"/>
    <w:rsid w:val="1DD2442A"/>
    <w:rsid w:val="1DFF7BBC"/>
    <w:rsid w:val="1E036392"/>
    <w:rsid w:val="1E1D56A5"/>
    <w:rsid w:val="1E2B73DD"/>
    <w:rsid w:val="1E5F67A8"/>
    <w:rsid w:val="1E605592"/>
    <w:rsid w:val="1E6826AB"/>
    <w:rsid w:val="1E80114A"/>
    <w:rsid w:val="1E93220F"/>
    <w:rsid w:val="1E9D1A25"/>
    <w:rsid w:val="1EE2244B"/>
    <w:rsid w:val="1EE53CE9"/>
    <w:rsid w:val="1EF53F2C"/>
    <w:rsid w:val="1F0C1276"/>
    <w:rsid w:val="1F212F73"/>
    <w:rsid w:val="1F443106"/>
    <w:rsid w:val="1F552C1D"/>
    <w:rsid w:val="1F664E2A"/>
    <w:rsid w:val="1F6B7FA1"/>
    <w:rsid w:val="1F826B41"/>
    <w:rsid w:val="1FA72182"/>
    <w:rsid w:val="1FAC5786"/>
    <w:rsid w:val="1FCB7909"/>
    <w:rsid w:val="1FCF6E73"/>
    <w:rsid w:val="1FDC0AC8"/>
    <w:rsid w:val="1FDC2058"/>
    <w:rsid w:val="1FE12702"/>
    <w:rsid w:val="1FE62B24"/>
    <w:rsid w:val="1FF025B6"/>
    <w:rsid w:val="1FF64400"/>
    <w:rsid w:val="1FFC2999"/>
    <w:rsid w:val="20031C3F"/>
    <w:rsid w:val="200563F1"/>
    <w:rsid w:val="200D4F69"/>
    <w:rsid w:val="200F7270"/>
    <w:rsid w:val="20106605"/>
    <w:rsid w:val="20167FA8"/>
    <w:rsid w:val="2039253E"/>
    <w:rsid w:val="203C5FDD"/>
    <w:rsid w:val="20416343"/>
    <w:rsid w:val="20466FF7"/>
    <w:rsid w:val="20692E24"/>
    <w:rsid w:val="206F7868"/>
    <w:rsid w:val="20735A50"/>
    <w:rsid w:val="209459C7"/>
    <w:rsid w:val="20994D8B"/>
    <w:rsid w:val="20A7403F"/>
    <w:rsid w:val="20E468E3"/>
    <w:rsid w:val="20EF7337"/>
    <w:rsid w:val="20F85F56"/>
    <w:rsid w:val="210B3804"/>
    <w:rsid w:val="212913C1"/>
    <w:rsid w:val="21336F8E"/>
    <w:rsid w:val="21511E4F"/>
    <w:rsid w:val="215869F4"/>
    <w:rsid w:val="21635AC5"/>
    <w:rsid w:val="21AC0FAC"/>
    <w:rsid w:val="21B225A8"/>
    <w:rsid w:val="21B87493"/>
    <w:rsid w:val="21BF0821"/>
    <w:rsid w:val="21D04698"/>
    <w:rsid w:val="21F07200"/>
    <w:rsid w:val="21F221C9"/>
    <w:rsid w:val="21F62EBD"/>
    <w:rsid w:val="220402FD"/>
    <w:rsid w:val="220C4CDC"/>
    <w:rsid w:val="221A5FC5"/>
    <w:rsid w:val="221B5C2F"/>
    <w:rsid w:val="221E7C3E"/>
    <w:rsid w:val="222E1C63"/>
    <w:rsid w:val="223A10C5"/>
    <w:rsid w:val="22525B39"/>
    <w:rsid w:val="225673D8"/>
    <w:rsid w:val="229972C4"/>
    <w:rsid w:val="22A77705"/>
    <w:rsid w:val="22BE6D2B"/>
    <w:rsid w:val="22D12F02"/>
    <w:rsid w:val="22D327D6"/>
    <w:rsid w:val="23046E34"/>
    <w:rsid w:val="23221C49"/>
    <w:rsid w:val="2326370F"/>
    <w:rsid w:val="23442129"/>
    <w:rsid w:val="234611FA"/>
    <w:rsid w:val="23511E39"/>
    <w:rsid w:val="23571659"/>
    <w:rsid w:val="23627FFE"/>
    <w:rsid w:val="23637918"/>
    <w:rsid w:val="23664A1C"/>
    <w:rsid w:val="23700025"/>
    <w:rsid w:val="23724C32"/>
    <w:rsid w:val="239E3A26"/>
    <w:rsid w:val="23A17E51"/>
    <w:rsid w:val="23C14C3E"/>
    <w:rsid w:val="23C95987"/>
    <w:rsid w:val="23ED78C8"/>
    <w:rsid w:val="24013373"/>
    <w:rsid w:val="241443C1"/>
    <w:rsid w:val="241E3F25"/>
    <w:rsid w:val="24294678"/>
    <w:rsid w:val="242C5960"/>
    <w:rsid w:val="2444412B"/>
    <w:rsid w:val="2446737E"/>
    <w:rsid w:val="244D0366"/>
    <w:rsid w:val="248E1AB7"/>
    <w:rsid w:val="24AC1531"/>
    <w:rsid w:val="24E54A43"/>
    <w:rsid w:val="24F37DA3"/>
    <w:rsid w:val="24F53213"/>
    <w:rsid w:val="25034EC9"/>
    <w:rsid w:val="251E295E"/>
    <w:rsid w:val="2527505B"/>
    <w:rsid w:val="25587434"/>
    <w:rsid w:val="25616BF7"/>
    <w:rsid w:val="25656BFC"/>
    <w:rsid w:val="25897AC4"/>
    <w:rsid w:val="25900E53"/>
    <w:rsid w:val="259A582D"/>
    <w:rsid w:val="25B863E4"/>
    <w:rsid w:val="25D83D42"/>
    <w:rsid w:val="25F0369F"/>
    <w:rsid w:val="25F478CC"/>
    <w:rsid w:val="2604714B"/>
    <w:rsid w:val="26103D41"/>
    <w:rsid w:val="26136E9E"/>
    <w:rsid w:val="261C6242"/>
    <w:rsid w:val="261F5032"/>
    <w:rsid w:val="26324D1C"/>
    <w:rsid w:val="26365FAB"/>
    <w:rsid w:val="2657371E"/>
    <w:rsid w:val="265E4AAD"/>
    <w:rsid w:val="26907B25"/>
    <w:rsid w:val="26AA5F44"/>
    <w:rsid w:val="26BD6B08"/>
    <w:rsid w:val="26C66091"/>
    <w:rsid w:val="26D74864"/>
    <w:rsid w:val="26E1123A"/>
    <w:rsid w:val="26EFA9FA"/>
    <w:rsid w:val="26FB67A0"/>
    <w:rsid w:val="26FD2518"/>
    <w:rsid w:val="27035654"/>
    <w:rsid w:val="27085698"/>
    <w:rsid w:val="27301857"/>
    <w:rsid w:val="274E31B1"/>
    <w:rsid w:val="276E6F72"/>
    <w:rsid w:val="277D0F63"/>
    <w:rsid w:val="277F8B19"/>
    <w:rsid w:val="278850B6"/>
    <w:rsid w:val="27983FEE"/>
    <w:rsid w:val="279D33B3"/>
    <w:rsid w:val="279F738C"/>
    <w:rsid w:val="27BB7CDD"/>
    <w:rsid w:val="27D663B3"/>
    <w:rsid w:val="27DB5705"/>
    <w:rsid w:val="27E65454"/>
    <w:rsid w:val="27EE1E60"/>
    <w:rsid w:val="27EF4BF5"/>
    <w:rsid w:val="281E645D"/>
    <w:rsid w:val="28237BC7"/>
    <w:rsid w:val="286B1971"/>
    <w:rsid w:val="2878467C"/>
    <w:rsid w:val="2879797C"/>
    <w:rsid w:val="28834023"/>
    <w:rsid w:val="28B01215"/>
    <w:rsid w:val="28B03C18"/>
    <w:rsid w:val="28BF3AB9"/>
    <w:rsid w:val="28C01E2B"/>
    <w:rsid w:val="28C46940"/>
    <w:rsid w:val="28CD5F1A"/>
    <w:rsid w:val="28DB0637"/>
    <w:rsid w:val="28E6363A"/>
    <w:rsid w:val="28F11C08"/>
    <w:rsid w:val="29046EDC"/>
    <w:rsid w:val="291E7391"/>
    <w:rsid w:val="294B4E6E"/>
    <w:rsid w:val="29583A35"/>
    <w:rsid w:val="297A7E50"/>
    <w:rsid w:val="297E7214"/>
    <w:rsid w:val="29AA0009"/>
    <w:rsid w:val="29B449E4"/>
    <w:rsid w:val="29BE1E27"/>
    <w:rsid w:val="29E21551"/>
    <w:rsid w:val="2A155EC2"/>
    <w:rsid w:val="2A2C6C70"/>
    <w:rsid w:val="2A442896"/>
    <w:rsid w:val="2A683FD1"/>
    <w:rsid w:val="2A9E191C"/>
    <w:rsid w:val="2AA50EFC"/>
    <w:rsid w:val="2AAB228B"/>
    <w:rsid w:val="2ADB7170"/>
    <w:rsid w:val="2AE112B3"/>
    <w:rsid w:val="2AE9366F"/>
    <w:rsid w:val="2AEB029F"/>
    <w:rsid w:val="2AFC6642"/>
    <w:rsid w:val="2B0760E4"/>
    <w:rsid w:val="2B0A5203"/>
    <w:rsid w:val="2B221916"/>
    <w:rsid w:val="2B762899"/>
    <w:rsid w:val="2B9A4D4C"/>
    <w:rsid w:val="2BB227A2"/>
    <w:rsid w:val="2BCE70A3"/>
    <w:rsid w:val="2BEE6525"/>
    <w:rsid w:val="2BEE78FB"/>
    <w:rsid w:val="2C002302"/>
    <w:rsid w:val="2C251BC9"/>
    <w:rsid w:val="2C317389"/>
    <w:rsid w:val="2C5A021C"/>
    <w:rsid w:val="2C9A4365"/>
    <w:rsid w:val="2CA60F5C"/>
    <w:rsid w:val="2CB36F3E"/>
    <w:rsid w:val="2CC30841"/>
    <w:rsid w:val="2CD02638"/>
    <w:rsid w:val="2CE81CFA"/>
    <w:rsid w:val="2CEB4BC0"/>
    <w:rsid w:val="2CF2794B"/>
    <w:rsid w:val="2D014005"/>
    <w:rsid w:val="2D053ED4"/>
    <w:rsid w:val="2D216834"/>
    <w:rsid w:val="2D295360"/>
    <w:rsid w:val="2D4349FC"/>
    <w:rsid w:val="2D551D95"/>
    <w:rsid w:val="2D684463"/>
    <w:rsid w:val="2D6B7AAF"/>
    <w:rsid w:val="2D7623B6"/>
    <w:rsid w:val="2D8363D0"/>
    <w:rsid w:val="2D90387C"/>
    <w:rsid w:val="2D917516"/>
    <w:rsid w:val="2DA855FF"/>
    <w:rsid w:val="2DBE5E99"/>
    <w:rsid w:val="2DBF0527"/>
    <w:rsid w:val="2DDC1CCB"/>
    <w:rsid w:val="2DF91630"/>
    <w:rsid w:val="2E4D3017"/>
    <w:rsid w:val="2E9F30A1"/>
    <w:rsid w:val="2EC13E2B"/>
    <w:rsid w:val="2ED24AAD"/>
    <w:rsid w:val="2EF97E0E"/>
    <w:rsid w:val="2EFA733D"/>
    <w:rsid w:val="2F340AA1"/>
    <w:rsid w:val="2F46365E"/>
    <w:rsid w:val="2F4A3E20"/>
    <w:rsid w:val="2F4E3708"/>
    <w:rsid w:val="2F7B66D0"/>
    <w:rsid w:val="2F807842"/>
    <w:rsid w:val="2F8A52E3"/>
    <w:rsid w:val="2FD00FEB"/>
    <w:rsid w:val="2FD44E34"/>
    <w:rsid w:val="2FEC3129"/>
    <w:rsid w:val="2FF33398"/>
    <w:rsid w:val="2FFB03B1"/>
    <w:rsid w:val="2FFF709B"/>
    <w:rsid w:val="3049300A"/>
    <w:rsid w:val="304F5466"/>
    <w:rsid w:val="305024F2"/>
    <w:rsid w:val="305D413A"/>
    <w:rsid w:val="309B1C14"/>
    <w:rsid w:val="30AA08EF"/>
    <w:rsid w:val="30FE1366"/>
    <w:rsid w:val="30FF50DE"/>
    <w:rsid w:val="311C34A8"/>
    <w:rsid w:val="31292D3A"/>
    <w:rsid w:val="312A382C"/>
    <w:rsid w:val="312D45A2"/>
    <w:rsid w:val="31344D88"/>
    <w:rsid w:val="3143321D"/>
    <w:rsid w:val="31457719"/>
    <w:rsid w:val="3155215F"/>
    <w:rsid w:val="31556AAC"/>
    <w:rsid w:val="31596B1C"/>
    <w:rsid w:val="31763FCB"/>
    <w:rsid w:val="31764F04"/>
    <w:rsid w:val="31CA36BD"/>
    <w:rsid w:val="31D65E3F"/>
    <w:rsid w:val="31D81ADA"/>
    <w:rsid w:val="31E3230A"/>
    <w:rsid w:val="31EB4ECF"/>
    <w:rsid w:val="31F43832"/>
    <w:rsid w:val="31F77B64"/>
    <w:rsid w:val="320F1351"/>
    <w:rsid w:val="321C4287"/>
    <w:rsid w:val="324F174E"/>
    <w:rsid w:val="3251196A"/>
    <w:rsid w:val="325F4087"/>
    <w:rsid w:val="3285463F"/>
    <w:rsid w:val="32AE7E18"/>
    <w:rsid w:val="32C5265C"/>
    <w:rsid w:val="32EE3061"/>
    <w:rsid w:val="32FD73FC"/>
    <w:rsid w:val="33464251"/>
    <w:rsid w:val="335D54C4"/>
    <w:rsid w:val="335E2586"/>
    <w:rsid w:val="337376BE"/>
    <w:rsid w:val="338709C6"/>
    <w:rsid w:val="339029A4"/>
    <w:rsid w:val="33A15FD9"/>
    <w:rsid w:val="33A8380B"/>
    <w:rsid w:val="33B91574"/>
    <w:rsid w:val="33CA1115"/>
    <w:rsid w:val="33E34B07"/>
    <w:rsid w:val="33EC2F20"/>
    <w:rsid w:val="33FD65A8"/>
    <w:rsid w:val="3421711A"/>
    <w:rsid w:val="3422536C"/>
    <w:rsid w:val="342A1F36"/>
    <w:rsid w:val="343DAEEE"/>
    <w:rsid w:val="343E5F1E"/>
    <w:rsid w:val="344F6642"/>
    <w:rsid w:val="34502F77"/>
    <w:rsid w:val="347A51A8"/>
    <w:rsid w:val="347E631A"/>
    <w:rsid w:val="34821566"/>
    <w:rsid w:val="349719F9"/>
    <w:rsid w:val="34B921F7"/>
    <w:rsid w:val="34C446EB"/>
    <w:rsid w:val="34C603ED"/>
    <w:rsid w:val="34DA79F4"/>
    <w:rsid w:val="34F605A6"/>
    <w:rsid w:val="34F8431E"/>
    <w:rsid w:val="3538296D"/>
    <w:rsid w:val="35487744"/>
    <w:rsid w:val="35613C72"/>
    <w:rsid w:val="356F7390"/>
    <w:rsid w:val="357C0AAC"/>
    <w:rsid w:val="358A766C"/>
    <w:rsid w:val="359758E5"/>
    <w:rsid w:val="35B46497"/>
    <w:rsid w:val="35CF507F"/>
    <w:rsid w:val="35E3397E"/>
    <w:rsid w:val="35E95CB0"/>
    <w:rsid w:val="35ED3C8B"/>
    <w:rsid w:val="35F745D6"/>
    <w:rsid w:val="35FE2075"/>
    <w:rsid w:val="360176FC"/>
    <w:rsid w:val="360D4480"/>
    <w:rsid w:val="363E3FB3"/>
    <w:rsid w:val="36624F0A"/>
    <w:rsid w:val="366A124C"/>
    <w:rsid w:val="367D2D2D"/>
    <w:rsid w:val="367E011C"/>
    <w:rsid w:val="369938DF"/>
    <w:rsid w:val="36D13079"/>
    <w:rsid w:val="36DD37CC"/>
    <w:rsid w:val="37033819"/>
    <w:rsid w:val="37165CDA"/>
    <w:rsid w:val="3725028A"/>
    <w:rsid w:val="378D51F2"/>
    <w:rsid w:val="37A8186B"/>
    <w:rsid w:val="37C16C4A"/>
    <w:rsid w:val="37C30C14"/>
    <w:rsid w:val="37D20E57"/>
    <w:rsid w:val="37DF5322"/>
    <w:rsid w:val="37F7266B"/>
    <w:rsid w:val="37F81519"/>
    <w:rsid w:val="37FC4126"/>
    <w:rsid w:val="380D1E8F"/>
    <w:rsid w:val="380F4F4D"/>
    <w:rsid w:val="381C20D2"/>
    <w:rsid w:val="381D7640"/>
    <w:rsid w:val="38206066"/>
    <w:rsid w:val="38426396"/>
    <w:rsid w:val="385201EA"/>
    <w:rsid w:val="385C4BC4"/>
    <w:rsid w:val="3862715F"/>
    <w:rsid w:val="38685317"/>
    <w:rsid w:val="387A4053"/>
    <w:rsid w:val="387C1807"/>
    <w:rsid w:val="38AC16A8"/>
    <w:rsid w:val="38B22A36"/>
    <w:rsid w:val="38C03B65"/>
    <w:rsid w:val="38CF183A"/>
    <w:rsid w:val="38E62DEF"/>
    <w:rsid w:val="38E803A4"/>
    <w:rsid w:val="38EA6674"/>
    <w:rsid w:val="38F372D7"/>
    <w:rsid w:val="39070FD4"/>
    <w:rsid w:val="39131727"/>
    <w:rsid w:val="39186D3D"/>
    <w:rsid w:val="391D4903"/>
    <w:rsid w:val="39322FCA"/>
    <w:rsid w:val="394A1585"/>
    <w:rsid w:val="394A7201"/>
    <w:rsid w:val="394F1572"/>
    <w:rsid w:val="3962605C"/>
    <w:rsid w:val="39673821"/>
    <w:rsid w:val="397321C6"/>
    <w:rsid w:val="398A4489"/>
    <w:rsid w:val="3991089E"/>
    <w:rsid w:val="39932928"/>
    <w:rsid w:val="39A95DA7"/>
    <w:rsid w:val="39AC484E"/>
    <w:rsid w:val="39AE77D7"/>
    <w:rsid w:val="39CB0253"/>
    <w:rsid w:val="39DE350D"/>
    <w:rsid w:val="39EB4452"/>
    <w:rsid w:val="3A086DB2"/>
    <w:rsid w:val="3A1F40FB"/>
    <w:rsid w:val="3A234547"/>
    <w:rsid w:val="3A341637"/>
    <w:rsid w:val="3A3E3010"/>
    <w:rsid w:val="3A486714"/>
    <w:rsid w:val="3A72247D"/>
    <w:rsid w:val="3A964AED"/>
    <w:rsid w:val="3A9D7939"/>
    <w:rsid w:val="3AF55386"/>
    <w:rsid w:val="3B106ED1"/>
    <w:rsid w:val="3B120FE1"/>
    <w:rsid w:val="3B136D3B"/>
    <w:rsid w:val="3B1B2B15"/>
    <w:rsid w:val="3B385475"/>
    <w:rsid w:val="3B604216"/>
    <w:rsid w:val="3B640BBC"/>
    <w:rsid w:val="3B6B4851"/>
    <w:rsid w:val="3B6B6389"/>
    <w:rsid w:val="3B8561E0"/>
    <w:rsid w:val="3B89264E"/>
    <w:rsid w:val="3BB70A8F"/>
    <w:rsid w:val="3BCE07F5"/>
    <w:rsid w:val="3BD23926"/>
    <w:rsid w:val="3BD312AB"/>
    <w:rsid w:val="3C043F9B"/>
    <w:rsid w:val="3C123F18"/>
    <w:rsid w:val="3C3814A4"/>
    <w:rsid w:val="3C4B2BBB"/>
    <w:rsid w:val="3C500FA6"/>
    <w:rsid w:val="3C527533"/>
    <w:rsid w:val="3C6A50E3"/>
    <w:rsid w:val="3C6F45F5"/>
    <w:rsid w:val="3C777E46"/>
    <w:rsid w:val="3C7F70D3"/>
    <w:rsid w:val="3CA2271E"/>
    <w:rsid w:val="3CAD1E92"/>
    <w:rsid w:val="3CBB2DD0"/>
    <w:rsid w:val="3CCD7E3F"/>
    <w:rsid w:val="3CD12DB5"/>
    <w:rsid w:val="3CEC78A9"/>
    <w:rsid w:val="3D0C6BB9"/>
    <w:rsid w:val="3D536596"/>
    <w:rsid w:val="3D5D7415"/>
    <w:rsid w:val="3D5E4F3B"/>
    <w:rsid w:val="3D853E18"/>
    <w:rsid w:val="3D8E52AA"/>
    <w:rsid w:val="3D981CB9"/>
    <w:rsid w:val="3DA05553"/>
    <w:rsid w:val="3DA26F90"/>
    <w:rsid w:val="3DAA5DD4"/>
    <w:rsid w:val="3DB159B2"/>
    <w:rsid w:val="3DBC7C53"/>
    <w:rsid w:val="3DD11BB1"/>
    <w:rsid w:val="3DFA2393"/>
    <w:rsid w:val="3DFC009D"/>
    <w:rsid w:val="3E073FF4"/>
    <w:rsid w:val="3E2E3D2D"/>
    <w:rsid w:val="3E530E10"/>
    <w:rsid w:val="3E6622F9"/>
    <w:rsid w:val="3E7F49A7"/>
    <w:rsid w:val="3E8409D1"/>
    <w:rsid w:val="3E8971C7"/>
    <w:rsid w:val="3E9A1FA2"/>
    <w:rsid w:val="3EA64DEB"/>
    <w:rsid w:val="3EB65C36"/>
    <w:rsid w:val="3EDF5787"/>
    <w:rsid w:val="3EE6343A"/>
    <w:rsid w:val="3EEB606C"/>
    <w:rsid w:val="3EF21DDE"/>
    <w:rsid w:val="3F147FA7"/>
    <w:rsid w:val="3F163D1F"/>
    <w:rsid w:val="3F2008D9"/>
    <w:rsid w:val="3F312907"/>
    <w:rsid w:val="3F3B19D7"/>
    <w:rsid w:val="3F4C14EF"/>
    <w:rsid w:val="3F5879C6"/>
    <w:rsid w:val="3F6C7DE3"/>
    <w:rsid w:val="3F732F1F"/>
    <w:rsid w:val="3FA0183A"/>
    <w:rsid w:val="3FB05F21"/>
    <w:rsid w:val="3FC27A03"/>
    <w:rsid w:val="3FC45529"/>
    <w:rsid w:val="3FC6535B"/>
    <w:rsid w:val="3FCA3298"/>
    <w:rsid w:val="3FD030D3"/>
    <w:rsid w:val="3FDA4D4C"/>
    <w:rsid w:val="3FE3021B"/>
    <w:rsid w:val="3FFD4EDF"/>
    <w:rsid w:val="400224F5"/>
    <w:rsid w:val="40046D4C"/>
    <w:rsid w:val="400718BA"/>
    <w:rsid w:val="401364B0"/>
    <w:rsid w:val="402A69BE"/>
    <w:rsid w:val="40373B7D"/>
    <w:rsid w:val="40385F17"/>
    <w:rsid w:val="403B1067"/>
    <w:rsid w:val="403D7C34"/>
    <w:rsid w:val="404C551E"/>
    <w:rsid w:val="406E1CA9"/>
    <w:rsid w:val="40804579"/>
    <w:rsid w:val="408C3F57"/>
    <w:rsid w:val="409273D5"/>
    <w:rsid w:val="40A8726B"/>
    <w:rsid w:val="40C44B57"/>
    <w:rsid w:val="40D12ACA"/>
    <w:rsid w:val="411425A0"/>
    <w:rsid w:val="411A73CB"/>
    <w:rsid w:val="413501A4"/>
    <w:rsid w:val="4158761D"/>
    <w:rsid w:val="415A7BC3"/>
    <w:rsid w:val="415F7725"/>
    <w:rsid w:val="4162149D"/>
    <w:rsid w:val="416C3E2A"/>
    <w:rsid w:val="41720FB5"/>
    <w:rsid w:val="41722A91"/>
    <w:rsid w:val="418C0DF0"/>
    <w:rsid w:val="41AF2209"/>
    <w:rsid w:val="41C9151C"/>
    <w:rsid w:val="41E20DBB"/>
    <w:rsid w:val="420F5E8F"/>
    <w:rsid w:val="42114C71"/>
    <w:rsid w:val="421B789E"/>
    <w:rsid w:val="42264802"/>
    <w:rsid w:val="423A5154"/>
    <w:rsid w:val="42641245"/>
    <w:rsid w:val="42647EE0"/>
    <w:rsid w:val="42C41CEC"/>
    <w:rsid w:val="42E72782"/>
    <w:rsid w:val="43022720"/>
    <w:rsid w:val="43090AF7"/>
    <w:rsid w:val="432B3EF8"/>
    <w:rsid w:val="434A3F97"/>
    <w:rsid w:val="434F77FF"/>
    <w:rsid w:val="435412BA"/>
    <w:rsid w:val="435661B0"/>
    <w:rsid w:val="435D72A6"/>
    <w:rsid w:val="43727992"/>
    <w:rsid w:val="4379487C"/>
    <w:rsid w:val="438A6A89"/>
    <w:rsid w:val="43B945E4"/>
    <w:rsid w:val="43DC2617"/>
    <w:rsid w:val="43EF2D90"/>
    <w:rsid w:val="43F54230"/>
    <w:rsid w:val="440343FF"/>
    <w:rsid w:val="4416305A"/>
    <w:rsid w:val="441F3676"/>
    <w:rsid w:val="44325EE6"/>
    <w:rsid w:val="44344EA9"/>
    <w:rsid w:val="445168C1"/>
    <w:rsid w:val="445E1615"/>
    <w:rsid w:val="44703ED1"/>
    <w:rsid w:val="44736E22"/>
    <w:rsid w:val="44801C3A"/>
    <w:rsid w:val="44974D76"/>
    <w:rsid w:val="44A771C7"/>
    <w:rsid w:val="44A93977"/>
    <w:rsid w:val="44B3525B"/>
    <w:rsid w:val="44DD0A3D"/>
    <w:rsid w:val="44DE662D"/>
    <w:rsid w:val="44EE129A"/>
    <w:rsid w:val="44FE09FA"/>
    <w:rsid w:val="4502744F"/>
    <w:rsid w:val="45316909"/>
    <w:rsid w:val="453A003B"/>
    <w:rsid w:val="453D6639"/>
    <w:rsid w:val="45543180"/>
    <w:rsid w:val="45605CF4"/>
    <w:rsid w:val="4570263D"/>
    <w:rsid w:val="458C7E7F"/>
    <w:rsid w:val="45997458"/>
    <w:rsid w:val="45B222C8"/>
    <w:rsid w:val="45B95404"/>
    <w:rsid w:val="45CF2E79"/>
    <w:rsid w:val="45E23B5A"/>
    <w:rsid w:val="45E85A95"/>
    <w:rsid w:val="45ED8FBB"/>
    <w:rsid w:val="45F054E5"/>
    <w:rsid w:val="45F4468E"/>
    <w:rsid w:val="45FE550D"/>
    <w:rsid w:val="46050649"/>
    <w:rsid w:val="46081EE8"/>
    <w:rsid w:val="461D76DD"/>
    <w:rsid w:val="46243BE7"/>
    <w:rsid w:val="462E5DF2"/>
    <w:rsid w:val="465D2233"/>
    <w:rsid w:val="46641DBB"/>
    <w:rsid w:val="466E2692"/>
    <w:rsid w:val="46D87B0C"/>
    <w:rsid w:val="46D911A3"/>
    <w:rsid w:val="470A0C21"/>
    <w:rsid w:val="471274C2"/>
    <w:rsid w:val="47226FD9"/>
    <w:rsid w:val="472D60AA"/>
    <w:rsid w:val="472E597E"/>
    <w:rsid w:val="474225B0"/>
    <w:rsid w:val="47474B1C"/>
    <w:rsid w:val="474779FD"/>
    <w:rsid w:val="474D694B"/>
    <w:rsid w:val="47543636"/>
    <w:rsid w:val="47653A95"/>
    <w:rsid w:val="476C2E00"/>
    <w:rsid w:val="47805554"/>
    <w:rsid w:val="479559FD"/>
    <w:rsid w:val="479B06F0"/>
    <w:rsid w:val="47A65E5C"/>
    <w:rsid w:val="47AA14A8"/>
    <w:rsid w:val="47B16CDB"/>
    <w:rsid w:val="47B95DF9"/>
    <w:rsid w:val="47CF0F0F"/>
    <w:rsid w:val="47DE602A"/>
    <w:rsid w:val="47E56984"/>
    <w:rsid w:val="47EA7AF7"/>
    <w:rsid w:val="47ECAF80"/>
    <w:rsid w:val="47F44E19"/>
    <w:rsid w:val="47F837F7"/>
    <w:rsid w:val="48195519"/>
    <w:rsid w:val="48233577"/>
    <w:rsid w:val="48313978"/>
    <w:rsid w:val="483C7BA6"/>
    <w:rsid w:val="484336AB"/>
    <w:rsid w:val="484A4A39"/>
    <w:rsid w:val="4862077F"/>
    <w:rsid w:val="48702B41"/>
    <w:rsid w:val="48876B23"/>
    <w:rsid w:val="489E1623"/>
    <w:rsid w:val="48B9571B"/>
    <w:rsid w:val="48E704DA"/>
    <w:rsid w:val="48E72B46"/>
    <w:rsid w:val="48F51616"/>
    <w:rsid w:val="49084785"/>
    <w:rsid w:val="491017DF"/>
    <w:rsid w:val="49196E8E"/>
    <w:rsid w:val="491C63D6"/>
    <w:rsid w:val="49241BD3"/>
    <w:rsid w:val="4933371F"/>
    <w:rsid w:val="49690EEF"/>
    <w:rsid w:val="496B4C67"/>
    <w:rsid w:val="497E0E3E"/>
    <w:rsid w:val="49871E26"/>
    <w:rsid w:val="49942410"/>
    <w:rsid w:val="49A168DB"/>
    <w:rsid w:val="49A870A3"/>
    <w:rsid w:val="49BE520E"/>
    <w:rsid w:val="49F96717"/>
    <w:rsid w:val="49FB6308"/>
    <w:rsid w:val="49FE1F7F"/>
    <w:rsid w:val="4A4F6337"/>
    <w:rsid w:val="4A871F75"/>
    <w:rsid w:val="4A900E74"/>
    <w:rsid w:val="4AA2659E"/>
    <w:rsid w:val="4AAE12AF"/>
    <w:rsid w:val="4AAF5028"/>
    <w:rsid w:val="4AB4263E"/>
    <w:rsid w:val="4AB921AD"/>
    <w:rsid w:val="4ABA5EA6"/>
    <w:rsid w:val="4ACA1E61"/>
    <w:rsid w:val="4AD3627A"/>
    <w:rsid w:val="4AE7656F"/>
    <w:rsid w:val="4AF33C1D"/>
    <w:rsid w:val="4AF869CF"/>
    <w:rsid w:val="4AF9142F"/>
    <w:rsid w:val="4AFD3FE5"/>
    <w:rsid w:val="4B0C433A"/>
    <w:rsid w:val="4B1834B6"/>
    <w:rsid w:val="4B2E0F3D"/>
    <w:rsid w:val="4B531E57"/>
    <w:rsid w:val="4B5A31E5"/>
    <w:rsid w:val="4B920BD1"/>
    <w:rsid w:val="4BD42F98"/>
    <w:rsid w:val="4BE03B21"/>
    <w:rsid w:val="4BE9687B"/>
    <w:rsid w:val="4C0513A3"/>
    <w:rsid w:val="4C101AF6"/>
    <w:rsid w:val="4C160AFB"/>
    <w:rsid w:val="4C1930A0"/>
    <w:rsid w:val="4C26756B"/>
    <w:rsid w:val="4C577725"/>
    <w:rsid w:val="4C5C34DD"/>
    <w:rsid w:val="4C6E1A57"/>
    <w:rsid w:val="4C727458"/>
    <w:rsid w:val="4C7B59CC"/>
    <w:rsid w:val="4CB86415"/>
    <w:rsid w:val="4CB92217"/>
    <w:rsid w:val="4CDF5D99"/>
    <w:rsid w:val="4CE60F89"/>
    <w:rsid w:val="4CE627DD"/>
    <w:rsid w:val="4D090A1F"/>
    <w:rsid w:val="4D16138E"/>
    <w:rsid w:val="4D1F6494"/>
    <w:rsid w:val="4D227D33"/>
    <w:rsid w:val="4D38421E"/>
    <w:rsid w:val="4D3865AB"/>
    <w:rsid w:val="4D5036C3"/>
    <w:rsid w:val="4D686CC6"/>
    <w:rsid w:val="4D6EFFE4"/>
    <w:rsid w:val="4D890357"/>
    <w:rsid w:val="4D936409"/>
    <w:rsid w:val="4D941335"/>
    <w:rsid w:val="4DA407B0"/>
    <w:rsid w:val="4DB30ADD"/>
    <w:rsid w:val="4DD30CB1"/>
    <w:rsid w:val="4DF125F8"/>
    <w:rsid w:val="4E173610"/>
    <w:rsid w:val="4E1C4782"/>
    <w:rsid w:val="4E1E499E"/>
    <w:rsid w:val="4E381E3D"/>
    <w:rsid w:val="4E5E2FEC"/>
    <w:rsid w:val="4E685132"/>
    <w:rsid w:val="4E7E61B9"/>
    <w:rsid w:val="4E834801"/>
    <w:rsid w:val="4EA00700"/>
    <w:rsid w:val="4EA03605"/>
    <w:rsid w:val="4EA34327"/>
    <w:rsid w:val="4EAD187E"/>
    <w:rsid w:val="4EC372F3"/>
    <w:rsid w:val="4ECD188D"/>
    <w:rsid w:val="4ED67027"/>
    <w:rsid w:val="4ED824E8"/>
    <w:rsid w:val="4EE334F2"/>
    <w:rsid w:val="4EE57E01"/>
    <w:rsid w:val="4EEC23A6"/>
    <w:rsid w:val="4F073684"/>
    <w:rsid w:val="4F140DA5"/>
    <w:rsid w:val="4F334479"/>
    <w:rsid w:val="4F592159"/>
    <w:rsid w:val="4F98252E"/>
    <w:rsid w:val="4F9842DC"/>
    <w:rsid w:val="4F9F235C"/>
    <w:rsid w:val="4FB01626"/>
    <w:rsid w:val="4FC76DD2"/>
    <w:rsid w:val="4FD25A40"/>
    <w:rsid w:val="4FDC3661"/>
    <w:rsid w:val="5005604B"/>
    <w:rsid w:val="50277BFE"/>
    <w:rsid w:val="50463D38"/>
    <w:rsid w:val="5055599B"/>
    <w:rsid w:val="505B3C87"/>
    <w:rsid w:val="50682A22"/>
    <w:rsid w:val="507E1724"/>
    <w:rsid w:val="50845547"/>
    <w:rsid w:val="508A1E77"/>
    <w:rsid w:val="50B62B5F"/>
    <w:rsid w:val="50B74C36"/>
    <w:rsid w:val="50BD6A7A"/>
    <w:rsid w:val="50C860AF"/>
    <w:rsid w:val="50D17AA6"/>
    <w:rsid w:val="50D907D2"/>
    <w:rsid w:val="50FE0903"/>
    <w:rsid w:val="510A2FB8"/>
    <w:rsid w:val="512A0A9E"/>
    <w:rsid w:val="51711289"/>
    <w:rsid w:val="517D19DC"/>
    <w:rsid w:val="51A01DEB"/>
    <w:rsid w:val="51A653CF"/>
    <w:rsid w:val="51BA094C"/>
    <w:rsid w:val="51BA7767"/>
    <w:rsid w:val="51FA302C"/>
    <w:rsid w:val="52043EAB"/>
    <w:rsid w:val="521757D0"/>
    <w:rsid w:val="52192A1A"/>
    <w:rsid w:val="521C7446"/>
    <w:rsid w:val="522218F1"/>
    <w:rsid w:val="52262073"/>
    <w:rsid w:val="523F67CC"/>
    <w:rsid w:val="524D13AE"/>
    <w:rsid w:val="527C7EE5"/>
    <w:rsid w:val="52AA100F"/>
    <w:rsid w:val="52C234C4"/>
    <w:rsid w:val="52C30EE5"/>
    <w:rsid w:val="52CD24EF"/>
    <w:rsid w:val="52D15F58"/>
    <w:rsid w:val="52E361B6"/>
    <w:rsid w:val="52E95517"/>
    <w:rsid w:val="52EB7081"/>
    <w:rsid w:val="53096F47"/>
    <w:rsid w:val="534266D4"/>
    <w:rsid w:val="53487DC7"/>
    <w:rsid w:val="534D4075"/>
    <w:rsid w:val="53542877"/>
    <w:rsid w:val="537F7C8D"/>
    <w:rsid w:val="5392138D"/>
    <w:rsid w:val="53964FD7"/>
    <w:rsid w:val="53B06098"/>
    <w:rsid w:val="53B316E5"/>
    <w:rsid w:val="53C95448"/>
    <w:rsid w:val="53CB30B0"/>
    <w:rsid w:val="53D26D34"/>
    <w:rsid w:val="53DC50DF"/>
    <w:rsid w:val="54085ED4"/>
    <w:rsid w:val="54127159"/>
    <w:rsid w:val="5415239F"/>
    <w:rsid w:val="54293073"/>
    <w:rsid w:val="54316AAD"/>
    <w:rsid w:val="544D1B39"/>
    <w:rsid w:val="544D7D8B"/>
    <w:rsid w:val="546A5122"/>
    <w:rsid w:val="546E45C8"/>
    <w:rsid w:val="548B3542"/>
    <w:rsid w:val="548B440F"/>
    <w:rsid w:val="54975AD9"/>
    <w:rsid w:val="549D01C5"/>
    <w:rsid w:val="54A148D9"/>
    <w:rsid w:val="54A84FC1"/>
    <w:rsid w:val="54BF230B"/>
    <w:rsid w:val="54CE1930"/>
    <w:rsid w:val="54CE2E6E"/>
    <w:rsid w:val="54D645E9"/>
    <w:rsid w:val="550003BB"/>
    <w:rsid w:val="551144DB"/>
    <w:rsid w:val="552D196B"/>
    <w:rsid w:val="554F368F"/>
    <w:rsid w:val="55652EB2"/>
    <w:rsid w:val="557405D2"/>
    <w:rsid w:val="558A2919"/>
    <w:rsid w:val="558C043F"/>
    <w:rsid w:val="558D3998"/>
    <w:rsid w:val="55A0196B"/>
    <w:rsid w:val="55A25EB5"/>
    <w:rsid w:val="55AA2FBB"/>
    <w:rsid w:val="55C73392"/>
    <w:rsid w:val="55D55173"/>
    <w:rsid w:val="55F66200"/>
    <w:rsid w:val="56033763"/>
    <w:rsid w:val="560501F2"/>
    <w:rsid w:val="5606767B"/>
    <w:rsid w:val="56075B94"/>
    <w:rsid w:val="56175763"/>
    <w:rsid w:val="562B40FC"/>
    <w:rsid w:val="563C00B7"/>
    <w:rsid w:val="564D4072"/>
    <w:rsid w:val="567D5B8A"/>
    <w:rsid w:val="56821842"/>
    <w:rsid w:val="569C1BD0"/>
    <w:rsid w:val="56A143BE"/>
    <w:rsid w:val="56A43446"/>
    <w:rsid w:val="56A91FD0"/>
    <w:rsid w:val="56B379BE"/>
    <w:rsid w:val="56BA5480"/>
    <w:rsid w:val="56C836F9"/>
    <w:rsid w:val="56D93FE2"/>
    <w:rsid w:val="56F55413"/>
    <w:rsid w:val="57062473"/>
    <w:rsid w:val="572818D4"/>
    <w:rsid w:val="574D4690"/>
    <w:rsid w:val="57550FB5"/>
    <w:rsid w:val="57573528"/>
    <w:rsid w:val="575B6A87"/>
    <w:rsid w:val="576424DD"/>
    <w:rsid w:val="577105B3"/>
    <w:rsid w:val="577C51AA"/>
    <w:rsid w:val="5789732C"/>
    <w:rsid w:val="57936D9A"/>
    <w:rsid w:val="57AA1051"/>
    <w:rsid w:val="57BE598B"/>
    <w:rsid w:val="57C9597B"/>
    <w:rsid w:val="57D12A81"/>
    <w:rsid w:val="5800267C"/>
    <w:rsid w:val="581C3A31"/>
    <w:rsid w:val="581D1822"/>
    <w:rsid w:val="5853793A"/>
    <w:rsid w:val="586E6522"/>
    <w:rsid w:val="58721CF1"/>
    <w:rsid w:val="587F428B"/>
    <w:rsid w:val="5886243F"/>
    <w:rsid w:val="588C54C6"/>
    <w:rsid w:val="588F4582"/>
    <w:rsid w:val="58A11F60"/>
    <w:rsid w:val="58B008E9"/>
    <w:rsid w:val="58EF3626"/>
    <w:rsid w:val="590B3D71"/>
    <w:rsid w:val="59172746"/>
    <w:rsid w:val="591E4C5E"/>
    <w:rsid w:val="59231526"/>
    <w:rsid w:val="592D44A4"/>
    <w:rsid w:val="5932754F"/>
    <w:rsid w:val="5960230F"/>
    <w:rsid w:val="596C0CB3"/>
    <w:rsid w:val="596C2A61"/>
    <w:rsid w:val="5997069B"/>
    <w:rsid w:val="599C0E6D"/>
    <w:rsid w:val="599C1071"/>
    <w:rsid w:val="59D275CB"/>
    <w:rsid w:val="59EC3EFC"/>
    <w:rsid w:val="59EF5441"/>
    <w:rsid w:val="5A040EEC"/>
    <w:rsid w:val="5A262AF2"/>
    <w:rsid w:val="5A294338"/>
    <w:rsid w:val="5A386DE8"/>
    <w:rsid w:val="5A4408B4"/>
    <w:rsid w:val="5A443BC9"/>
    <w:rsid w:val="5A4A2677"/>
    <w:rsid w:val="5A631A46"/>
    <w:rsid w:val="5A655703"/>
    <w:rsid w:val="5A717841"/>
    <w:rsid w:val="5A813F6F"/>
    <w:rsid w:val="5A88507C"/>
    <w:rsid w:val="5AA81722"/>
    <w:rsid w:val="5ABC1D3D"/>
    <w:rsid w:val="5AC02181"/>
    <w:rsid w:val="5AE34FA5"/>
    <w:rsid w:val="5B0122A1"/>
    <w:rsid w:val="5B0614B2"/>
    <w:rsid w:val="5B1974D3"/>
    <w:rsid w:val="5B28211D"/>
    <w:rsid w:val="5B345801"/>
    <w:rsid w:val="5B487198"/>
    <w:rsid w:val="5B505B2C"/>
    <w:rsid w:val="5B523A71"/>
    <w:rsid w:val="5B6360E6"/>
    <w:rsid w:val="5B682E38"/>
    <w:rsid w:val="5B6B4F9B"/>
    <w:rsid w:val="5B903A80"/>
    <w:rsid w:val="5B947393"/>
    <w:rsid w:val="5BAA7871"/>
    <w:rsid w:val="5BAD375B"/>
    <w:rsid w:val="5BB21A87"/>
    <w:rsid w:val="5BB701E0"/>
    <w:rsid w:val="5BB74E52"/>
    <w:rsid w:val="5BC36B85"/>
    <w:rsid w:val="5BC70423"/>
    <w:rsid w:val="5BF44F90"/>
    <w:rsid w:val="5BFC3B20"/>
    <w:rsid w:val="5C0E3BCB"/>
    <w:rsid w:val="5C2E4C8F"/>
    <w:rsid w:val="5C4001D5"/>
    <w:rsid w:val="5C4952DC"/>
    <w:rsid w:val="5C49708A"/>
    <w:rsid w:val="5C6E742D"/>
    <w:rsid w:val="5C7559A0"/>
    <w:rsid w:val="5C8D270B"/>
    <w:rsid w:val="5CD050B5"/>
    <w:rsid w:val="5CDD53FD"/>
    <w:rsid w:val="5CE11008"/>
    <w:rsid w:val="5CF029A4"/>
    <w:rsid w:val="5CFF490E"/>
    <w:rsid w:val="5D211C7A"/>
    <w:rsid w:val="5D290C69"/>
    <w:rsid w:val="5D2C42B6"/>
    <w:rsid w:val="5D35760E"/>
    <w:rsid w:val="5D7D61D4"/>
    <w:rsid w:val="5D8772F7"/>
    <w:rsid w:val="5D916F3A"/>
    <w:rsid w:val="5D957D0C"/>
    <w:rsid w:val="5DA00667"/>
    <w:rsid w:val="5DA36C6E"/>
    <w:rsid w:val="5DA622BA"/>
    <w:rsid w:val="5DC851C2"/>
    <w:rsid w:val="5DD469F2"/>
    <w:rsid w:val="5DE765F7"/>
    <w:rsid w:val="5DF179D9"/>
    <w:rsid w:val="5E0B0912"/>
    <w:rsid w:val="5E4135CD"/>
    <w:rsid w:val="5E522932"/>
    <w:rsid w:val="5E79352B"/>
    <w:rsid w:val="5E911DC4"/>
    <w:rsid w:val="5EB22C42"/>
    <w:rsid w:val="5EB97DCB"/>
    <w:rsid w:val="5EDD7F5D"/>
    <w:rsid w:val="5EDF003D"/>
    <w:rsid w:val="5EE66E12"/>
    <w:rsid w:val="5EEE084A"/>
    <w:rsid w:val="5EEF64E5"/>
    <w:rsid w:val="5EF5E5F9"/>
    <w:rsid w:val="5F1020E1"/>
    <w:rsid w:val="5F25CA5C"/>
    <w:rsid w:val="5F6146EB"/>
    <w:rsid w:val="5F6B8C57"/>
    <w:rsid w:val="5F70492E"/>
    <w:rsid w:val="5F876ADF"/>
    <w:rsid w:val="5F9F5A26"/>
    <w:rsid w:val="5FA57075"/>
    <w:rsid w:val="5FB52C88"/>
    <w:rsid w:val="5FB7255D"/>
    <w:rsid w:val="5FC67B8D"/>
    <w:rsid w:val="5FCF4F74"/>
    <w:rsid w:val="5FD45774"/>
    <w:rsid w:val="5FD6437E"/>
    <w:rsid w:val="5FE97712"/>
    <w:rsid w:val="5FF27A39"/>
    <w:rsid w:val="5FF67529"/>
    <w:rsid w:val="60033CCE"/>
    <w:rsid w:val="600532C8"/>
    <w:rsid w:val="60057733"/>
    <w:rsid w:val="603314FC"/>
    <w:rsid w:val="603D6F06"/>
    <w:rsid w:val="603E4A2C"/>
    <w:rsid w:val="606C0D9C"/>
    <w:rsid w:val="607C6FD9"/>
    <w:rsid w:val="607E12CC"/>
    <w:rsid w:val="608E76FF"/>
    <w:rsid w:val="60B10A9B"/>
    <w:rsid w:val="60B3541A"/>
    <w:rsid w:val="60CB31F0"/>
    <w:rsid w:val="60CC64DC"/>
    <w:rsid w:val="60F87065"/>
    <w:rsid w:val="60FF41BB"/>
    <w:rsid w:val="611117F9"/>
    <w:rsid w:val="61216D71"/>
    <w:rsid w:val="613167C1"/>
    <w:rsid w:val="61325AF6"/>
    <w:rsid w:val="61483DB4"/>
    <w:rsid w:val="615949C4"/>
    <w:rsid w:val="6164392E"/>
    <w:rsid w:val="619C5EAE"/>
    <w:rsid w:val="619D39D4"/>
    <w:rsid w:val="61A44D62"/>
    <w:rsid w:val="61AA48CA"/>
    <w:rsid w:val="61AA7508"/>
    <w:rsid w:val="61B251CE"/>
    <w:rsid w:val="61C176C2"/>
    <w:rsid w:val="61C80A51"/>
    <w:rsid w:val="61C91735"/>
    <w:rsid w:val="61CD6067"/>
    <w:rsid w:val="61E91E30"/>
    <w:rsid w:val="61FF01EB"/>
    <w:rsid w:val="62015D11"/>
    <w:rsid w:val="62042C5C"/>
    <w:rsid w:val="621674EE"/>
    <w:rsid w:val="62182044"/>
    <w:rsid w:val="62283FE9"/>
    <w:rsid w:val="622A34BA"/>
    <w:rsid w:val="622B0FE0"/>
    <w:rsid w:val="62312A9A"/>
    <w:rsid w:val="624002F3"/>
    <w:rsid w:val="624301C7"/>
    <w:rsid w:val="62465E1A"/>
    <w:rsid w:val="625642AF"/>
    <w:rsid w:val="62705A52"/>
    <w:rsid w:val="6284369F"/>
    <w:rsid w:val="629E5C56"/>
    <w:rsid w:val="62D653F0"/>
    <w:rsid w:val="62D84B61"/>
    <w:rsid w:val="63063677"/>
    <w:rsid w:val="630755A9"/>
    <w:rsid w:val="630E6937"/>
    <w:rsid w:val="63131CF3"/>
    <w:rsid w:val="63253C81"/>
    <w:rsid w:val="63275C4B"/>
    <w:rsid w:val="63375A83"/>
    <w:rsid w:val="63414F5F"/>
    <w:rsid w:val="63584057"/>
    <w:rsid w:val="63A859DC"/>
    <w:rsid w:val="63AB4186"/>
    <w:rsid w:val="63B079EF"/>
    <w:rsid w:val="63BE65AF"/>
    <w:rsid w:val="63CC3D7A"/>
    <w:rsid w:val="63EB09A3"/>
    <w:rsid w:val="63ED0C43"/>
    <w:rsid w:val="63F773CC"/>
    <w:rsid w:val="642503DD"/>
    <w:rsid w:val="64337180"/>
    <w:rsid w:val="64395C36"/>
    <w:rsid w:val="64412D3D"/>
    <w:rsid w:val="644338BB"/>
    <w:rsid w:val="644D7933"/>
    <w:rsid w:val="646627A3"/>
    <w:rsid w:val="646709F5"/>
    <w:rsid w:val="647153D0"/>
    <w:rsid w:val="64815144"/>
    <w:rsid w:val="64966BE4"/>
    <w:rsid w:val="64B71356"/>
    <w:rsid w:val="64CD45D0"/>
    <w:rsid w:val="64FB0BF5"/>
    <w:rsid w:val="650C50F9"/>
    <w:rsid w:val="652A335A"/>
    <w:rsid w:val="65384140"/>
    <w:rsid w:val="65442AE4"/>
    <w:rsid w:val="65474AD0"/>
    <w:rsid w:val="654900FB"/>
    <w:rsid w:val="656211BC"/>
    <w:rsid w:val="658951C3"/>
    <w:rsid w:val="658A426F"/>
    <w:rsid w:val="65C9123C"/>
    <w:rsid w:val="65DF280D"/>
    <w:rsid w:val="66083B12"/>
    <w:rsid w:val="66240220"/>
    <w:rsid w:val="662621EA"/>
    <w:rsid w:val="662A7F2C"/>
    <w:rsid w:val="663E14A5"/>
    <w:rsid w:val="66421990"/>
    <w:rsid w:val="66482160"/>
    <w:rsid w:val="66552ACF"/>
    <w:rsid w:val="665E7BD6"/>
    <w:rsid w:val="6686712D"/>
    <w:rsid w:val="66B477F6"/>
    <w:rsid w:val="66D17D0C"/>
    <w:rsid w:val="66FF548B"/>
    <w:rsid w:val="6717678D"/>
    <w:rsid w:val="671D5DB9"/>
    <w:rsid w:val="6731565A"/>
    <w:rsid w:val="6740552D"/>
    <w:rsid w:val="6751631F"/>
    <w:rsid w:val="675C5FA0"/>
    <w:rsid w:val="67666951"/>
    <w:rsid w:val="677B2AD6"/>
    <w:rsid w:val="679D64DC"/>
    <w:rsid w:val="679F2254"/>
    <w:rsid w:val="67AA4CC9"/>
    <w:rsid w:val="67D233CD"/>
    <w:rsid w:val="67D60943"/>
    <w:rsid w:val="67E55DF3"/>
    <w:rsid w:val="680227E3"/>
    <w:rsid w:val="680E2F36"/>
    <w:rsid w:val="6865081C"/>
    <w:rsid w:val="687436E1"/>
    <w:rsid w:val="68C64CC0"/>
    <w:rsid w:val="68CA1553"/>
    <w:rsid w:val="68D83F4F"/>
    <w:rsid w:val="68E53078"/>
    <w:rsid w:val="68FF9CFD"/>
    <w:rsid w:val="690F51B7"/>
    <w:rsid w:val="691D668F"/>
    <w:rsid w:val="691E2D99"/>
    <w:rsid w:val="692E65A9"/>
    <w:rsid w:val="692F7608"/>
    <w:rsid w:val="6935E3FF"/>
    <w:rsid w:val="693C5675"/>
    <w:rsid w:val="697414BE"/>
    <w:rsid w:val="699925C6"/>
    <w:rsid w:val="69A91D3B"/>
    <w:rsid w:val="69F557BF"/>
    <w:rsid w:val="69FE33CB"/>
    <w:rsid w:val="6A0B4E3E"/>
    <w:rsid w:val="6A136F29"/>
    <w:rsid w:val="6A246A40"/>
    <w:rsid w:val="6A403639"/>
    <w:rsid w:val="6A5A6906"/>
    <w:rsid w:val="6A5B616F"/>
    <w:rsid w:val="6A681023"/>
    <w:rsid w:val="6A70612A"/>
    <w:rsid w:val="6A767EB0"/>
    <w:rsid w:val="6A7E12E7"/>
    <w:rsid w:val="6A8E65B0"/>
    <w:rsid w:val="6A927E4E"/>
    <w:rsid w:val="6AAD4C88"/>
    <w:rsid w:val="6AB468B2"/>
    <w:rsid w:val="6ABE1C62"/>
    <w:rsid w:val="6B064398"/>
    <w:rsid w:val="6B0A7CDD"/>
    <w:rsid w:val="6B0B082E"/>
    <w:rsid w:val="6B1B42E7"/>
    <w:rsid w:val="6B217424"/>
    <w:rsid w:val="6B2807B2"/>
    <w:rsid w:val="6B480E55"/>
    <w:rsid w:val="6B4F25BD"/>
    <w:rsid w:val="6B543355"/>
    <w:rsid w:val="6B5628C0"/>
    <w:rsid w:val="6B5F4416"/>
    <w:rsid w:val="6B601CFA"/>
    <w:rsid w:val="6B89D77C"/>
    <w:rsid w:val="6B8A6D77"/>
    <w:rsid w:val="6B8F6870"/>
    <w:rsid w:val="6B916358"/>
    <w:rsid w:val="6B96396E"/>
    <w:rsid w:val="6B9E74FB"/>
    <w:rsid w:val="6BB41665"/>
    <w:rsid w:val="6BB82A0C"/>
    <w:rsid w:val="6BB97B5D"/>
    <w:rsid w:val="6BCE4EB6"/>
    <w:rsid w:val="6BCF5A5D"/>
    <w:rsid w:val="6BD050D2"/>
    <w:rsid w:val="6BD36970"/>
    <w:rsid w:val="6BDF1A3A"/>
    <w:rsid w:val="6BE871E4"/>
    <w:rsid w:val="6BF07522"/>
    <w:rsid w:val="6C045086"/>
    <w:rsid w:val="6C1A459F"/>
    <w:rsid w:val="6C213C41"/>
    <w:rsid w:val="6C2911BA"/>
    <w:rsid w:val="6C320541"/>
    <w:rsid w:val="6C360CAD"/>
    <w:rsid w:val="6C613F7C"/>
    <w:rsid w:val="6C621AA2"/>
    <w:rsid w:val="6C674B5D"/>
    <w:rsid w:val="6C7D68DC"/>
    <w:rsid w:val="6CAC317F"/>
    <w:rsid w:val="6CAD5413"/>
    <w:rsid w:val="6CD72490"/>
    <w:rsid w:val="6CF622E4"/>
    <w:rsid w:val="6D0F39D8"/>
    <w:rsid w:val="6D1645CB"/>
    <w:rsid w:val="6D21195D"/>
    <w:rsid w:val="6D301BA0"/>
    <w:rsid w:val="6D3A645A"/>
    <w:rsid w:val="6D5034E2"/>
    <w:rsid w:val="6D5D3185"/>
    <w:rsid w:val="6D7101EF"/>
    <w:rsid w:val="6D881C30"/>
    <w:rsid w:val="6DA700B4"/>
    <w:rsid w:val="6DB93296"/>
    <w:rsid w:val="6DD32D72"/>
    <w:rsid w:val="6DD8201C"/>
    <w:rsid w:val="6DDB402E"/>
    <w:rsid w:val="6DFB3F5C"/>
    <w:rsid w:val="6E044415"/>
    <w:rsid w:val="6E3B07FD"/>
    <w:rsid w:val="6E3DACCC"/>
    <w:rsid w:val="6E3F02ED"/>
    <w:rsid w:val="6E510020"/>
    <w:rsid w:val="6E6B2E90"/>
    <w:rsid w:val="6E6C6E8D"/>
    <w:rsid w:val="6E7B6E4B"/>
    <w:rsid w:val="6EBA07C6"/>
    <w:rsid w:val="6EBD7464"/>
    <w:rsid w:val="6EC1180A"/>
    <w:rsid w:val="6ED529FF"/>
    <w:rsid w:val="6EF833B6"/>
    <w:rsid w:val="6F0357BE"/>
    <w:rsid w:val="6F092237"/>
    <w:rsid w:val="6F374EF2"/>
    <w:rsid w:val="6F3911E0"/>
    <w:rsid w:val="6F7264A0"/>
    <w:rsid w:val="6F7F7A45"/>
    <w:rsid w:val="6FA541DE"/>
    <w:rsid w:val="6FA56875"/>
    <w:rsid w:val="6FBD4503"/>
    <w:rsid w:val="6FC7059A"/>
    <w:rsid w:val="6FEF5D43"/>
    <w:rsid w:val="70294DB1"/>
    <w:rsid w:val="7030431E"/>
    <w:rsid w:val="70364D64"/>
    <w:rsid w:val="7037034D"/>
    <w:rsid w:val="703F45D4"/>
    <w:rsid w:val="70497201"/>
    <w:rsid w:val="705F4C76"/>
    <w:rsid w:val="706E4EB9"/>
    <w:rsid w:val="70903082"/>
    <w:rsid w:val="709366CE"/>
    <w:rsid w:val="70A02B99"/>
    <w:rsid w:val="70B2124A"/>
    <w:rsid w:val="70B623BC"/>
    <w:rsid w:val="70D146FF"/>
    <w:rsid w:val="70F97914"/>
    <w:rsid w:val="71347EB1"/>
    <w:rsid w:val="7135597E"/>
    <w:rsid w:val="713F488B"/>
    <w:rsid w:val="713FBCD3"/>
    <w:rsid w:val="71453E6C"/>
    <w:rsid w:val="714D7E0C"/>
    <w:rsid w:val="715C5648"/>
    <w:rsid w:val="716B13F9"/>
    <w:rsid w:val="71702B61"/>
    <w:rsid w:val="717113A2"/>
    <w:rsid w:val="71761774"/>
    <w:rsid w:val="717830DE"/>
    <w:rsid w:val="717F1AE1"/>
    <w:rsid w:val="71802A62"/>
    <w:rsid w:val="71956476"/>
    <w:rsid w:val="719646C8"/>
    <w:rsid w:val="71E14BC5"/>
    <w:rsid w:val="71F53BE0"/>
    <w:rsid w:val="72060785"/>
    <w:rsid w:val="720853C5"/>
    <w:rsid w:val="721455EC"/>
    <w:rsid w:val="72190E55"/>
    <w:rsid w:val="723143F0"/>
    <w:rsid w:val="724C4D86"/>
    <w:rsid w:val="724E41C2"/>
    <w:rsid w:val="724E7767"/>
    <w:rsid w:val="724F2AC9"/>
    <w:rsid w:val="726613A4"/>
    <w:rsid w:val="72691DDC"/>
    <w:rsid w:val="727918F3"/>
    <w:rsid w:val="727D5888"/>
    <w:rsid w:val="72807126"/>
    <w:rsid w:val="72987FCC"/>
    <w:rsid w:val="72A526E9"/>
    <w:rsid w:val="72C139C6"/>
    <w:rsid w:val="72D54D7C"/>
    <w:rsid w:val="72EE5E3E"/>
    <w:rsid w:val="72EF28EB"/>
    <w:rsid w:val="7303695D"/>
    <w:rsid w:val="731018FE"/>
    <w:rsid w:val="731E721E"/>
    <w:rsid w:val="734B3290"/>
    <w:rsid w:val="735A0468"/>
    <w:rsid w:val="735A1725"/>
    <w:rsid w:val="736B748E"/>
    <w:rsid w:val="737B753A"/>
    <w:rsid w:val="737C169B"/>
    <w:rsid w:val="7380242B"/>
    <w:rsid w:val="738A61FB"/>
    <w:rsid w:val="73B250BD"/>
    <w:rsid w:val="73B40E35"/>
    <w:rsid w:val="73B726D3"/>
    <w:rsid w:val="73CA0659"/>
    <w:rsid w:val="73FF850F"/>
    <w:rsid w:val="74247931"/>
    <w:rsid w:val="74303698"/>
    <w:rsid w:val="74516EE3"/>
    <w:rsid w:val="74565543"/>
    <w:rsid w:val="745E0948"/>
    <w:rsid w:val="745F5B50"/>
    <w:rsid w:val="747D86D8"/>
    <w:rsid w:val="747F5FF7"/>
    <w:rsid w:val="74856C75"/>
    <w:rsid w:val="7496678D"/>
    <w:rsid w:val="749C03BF"/>
    <w:rsid w:val="74BA6B1C"/>
    <w:rsid w:val="74C27582"/>
    <w:rsid w:val="74C72DEA"/>
    <w:rsid w:val="74CF1C9F"/>
    <w:rsid w:val="74D53AFC"/>
    <w:rsid w:val="74F04129"/>
    <w:rsid w:val="750A0E63"/>
    <w:rsid w:val="751D24FA"/>
    <w:rsid w:val="751E2665"/>
    <w:rsid w:val="751F49D4"/>
    <w:rsid w:val="752062B5"/>
    <w:rsid w:val="753366D1"/>
    <w:rsid w:val="753B5BA7"/>
    <w:rsid w:val="753D216C"/>
    <w:rsid w:val="75564988"/>
    <w:rsid w:val="75707339"/>
    <w:rsid w:val="757271FA"/>
    <w:rsid w:val="75887F9D"/>
    <w:rsid w:val="758D7B90"/>
    <w:rsid w:val="75C6130A"/>
    <w:rsid w:val="75F23E97"/>
    <w:rsid w:val="76127D6E"/>
    <w:rsid w:val="761F52E4"/>
    <w:rsid w:val="76284EA7"/>
    <w:rsid w:val="76385C45"/>
    <w:rsid w:val="76391AC6"/>
    <w:rsid w:val="7641171E"/>
    <w:rsid w:val="766528BB"/>
    <w:rsid w:val="76685F07"/>
    <w:rsid w:val="768371E5"/>
    <w:rsid w:val="76944474"/>
    <w:rsid w:val="7698298C"/>
    <w:rsid w:val="76A12CDB"/>
    <w:rsid w:val="76C021E7"/>
    <w:rsid w:val="76C43A85"/>
    <w:rsid w:val="76F23AC1"/>
    <w:rsid w:val="76F6685F"/>
    <w:rsid w:val="770A4F84"/>
    <w:rsid w:val="770C1201"/>
    <w:rsid w:val="7738249F"/>
    <w:rsid w:val="7747AA4A"/>
    <w:rsid w:val="775F37AE"/>
    <w:rsid w:val="7769462C"/>
    <w:rsid w:val="77768023"/>
    <w:rsid w:val="777A2396"/>
    <w:rsid w:val="777E2AB0"/>
    <w:rsid w:val="778255A2"/>
    <w:rsid w:val="77AD4519"/>
    <w:rsid w:val="77B92EBE"/>
    <w:rsid w:val="77C41687"/>
    <w:rsid w:val="77DC6BAC"/>
    <w:rsid w:val="77DF4603"/>
    <w:rsid w:val="77EB390A"/>
    <w:rsid w:val="77F0353E"/>
    <w:rsid w:val="77F7D2F0"/>
    <w:rsid w:val="77FF8832"/>
    <w:rsid w:val="781E299D"/>
    <w:rsid w:val="784D3606"/>
    <w:rsid w:val="78545B4C"/>
    <w:rsid w:val="7856695F"/>
    <w:rsid w:val="785D3E5E"/>
    <w:rsid w:val="7865310C"/>
    <w:rsid w:val="787364E6"/>
    <w:rsid w:val="78760DAF"/>
    <w:rsid w:val="7879089F"/>
    <w:rsid w:val="788C05D2"/>
    <w:rsid w:val="788F69B6"/>
    <w:rsid w:val="789E0306"/>
    <w:rsid w:val="789E4170"/>
    <w:rsid w:val="78A340B1"/>
    <w:rsid w:val="78BE2F29"/>
    <w:rsid w:val="78E0447A"/>
    <w:rsid w:val="78E07D79"/>
    <w:rsid w:val="78EF46BD"/>
    <w:rsid w:val="78F543CA"/>
    <w:rsid w:val="78FD502C"/>
    <w:rsid w:val="7924080B"/>
    <w:rsid w:val="7937060A"/>
    <w:rsid w:val="793E41EE"/>
    <w:rsid w:val="795D1F6F"/>
    <w:rsid w:val="79600FC2"/>
    <w:rsid w:val="79613412"/>
    <w:rsid w:val="796230E1"/>
    <w:rsid w:val="7996392F"/>
    <w:rsid w:val="79A8143C"/>
    <w:rsid w:val="79AE6327"/>
    <w:rsid w:val="79B31B8F"/>
    <w:rsid w:val="79D815F5"/>
    <w:rsid w:val="79E42E76"/>
    <w:rsid w:val="79FA5A10"/>
    <w:rsid w:val="7A013EC0"/>
    <w:rsid w:val="7A0A24E6"/>
    <w:rsid w:val="7A2C32EF"/>
    <w:rsid w:val="7A54262F"/>
    <w:rsid w:val="7A5C2227"/>
    <w:rsid w:val="7A613399"/>
    <w:rsid w:val="7A752EEF"/>
    <w:rsid w:val="7A792EE6"/>
    <w:rsid w:val="7A7E254E"/>
    <w:rsid w:val="7AA64004"/>
    <w:rsid w:val="7AAB73BC"/>
    <w:rsid w:val="7AAF39D3"/>
    <w:rsid w:val="7AB14320"/>
    <w:rsid w:val="7AC8601E"/>
    <w:rsid w:val="7ACB4CB6"/>
    <w:rsid w:val="7AD223DF"/>
    <w:rsid w:val="7AD24297"/>
    <w:rsid w:val="7AE91805"/>
    <w:rsid w:val="7AF375C9"/>
    <w:rsid w:val="7AF41C4A"/>
    <w:rsid w:val="7B007056"/>
    <w:rsid w:val="7B076C5D"/>
    <w:rsid w:val="7B2965AD"/>
    <w:rsid w:val="7B32705A"/>
    <w:rsid w:val="7B454A69"/>
    <w:rsid w:val="7B6426FB"/>
    <w:rsid w:val="7B694BFB"/>
    <w:rsid w:val="7B755AFC"/>
    <w:rsid w:val="7B7A2288"/>
    <w:rsid w:val="7B7D4202"/>
    <w:rsid w:val="7B7FDDF2"/>
    <w:rsid w:val="7B9F061D"/>
    <w:rsid w:val="7BA615A2"/>
    <w:rsid w:val="7BB67714"/>
    <w:rsid w:val="7BBE2843"/>
    <w:rsid w:val="7BDF4EBD"/>
    <w:rsid w:val="7BEB1AB4"/>
    <w:rsid w:val="7BF2DA0A"/>
    <w:rsid w:val="7BF40D0B"/>
    <w:rsid w:val="7BFFE6B3"/>
    <w:rsid w:val="7C037670"/>
    <w:rsid w:val="7C262AEC"/>
    <w:rsid w:val="7C2D5C29"/>
    <w:rsid w:val="7C302B37"/>
    <w:rsid w:val="7C343506"/>
    <w:rsid w:val="7C4D62CB"/>
    <w:rsid w:val="7C502B4E"/>
    <w:rsid w:val="7C574A54"/>
    <w:rsid w:val="7C6A0F66"/>
    <w:rsid w:val="7C7C0244"/>
    <w:rsid w:val="7C7E1AF1"/>
    <w:rsid w:val="7C8F0691"/>
    <w:rsid w:val="7CD43374"/>
    <w:rsid w:val="7CD460A4"/>
    <w:rsid w:val="7CD58213"/>
    <w:rsid w:val="7CE7227B"/>
    <w:rsid w:val="7CF91954"/>
    <w:rsid w:val="7CFDCF4F"/>
    <w:rsid w:val="7CFF06D7"/>
    <w:rsid w:val="7D1110A6"/>
    <w:rsid w:val="7D127334"/>
    <w:rsid w:val="7D256900"/>
    <w:rsid w:val="7D52198F"/>
    <w:rsid w:val="7D58777C"/>
    <w:rsid w:val="7D603DDC"/>
    <w:rsid w:val="7D624BF2"/>
    <w:rsid w:val="7D9330EC"/>
    <w:rsid w:val="7DAE4EA7"/>
    <w:rsid w:val="7DC93C6B"/>
    <w:rsid w:val="7DCA74A7"/>
    <w:rsid w:val="7DCC7DEE"/>
    <w:rsid w:val="7DCD20BE"/>
    <w:rsid w:val="7DD3DF10"/>
    <w:rsid w:val="7DD56C01"/>
    <w:rsid w:val="7DDFC1BB"/>
    <w:rsid w:val="7DED1A9A"/>
    <w:rsid w:val="7DED5D95"/>
    <w:rsid w:val="7DFDBCF2"/>
    <w:rsid w:val="7E064983"/>
    <w:rsid w:val="7E160E13"/>
    <w:rsid w:val="7E2369FE"/>
    <w:rsid w:val="7E4F632A"/>
    <w:rsid w:val="7E6D4A02"/>
    <w:rsid w:val="7E751475"/>
    <w:rsid w:val="7E872C80"/>
    <w:rsid w:val="7EB20667"/>
    <w:rsid w:val="7EB4618D"/>
    <w:rsid w:val="7ED7B5EA"/>
    <w:rsid w:val="7EDC7492"/>
    <w:rsid w:val="7EEA7E01"/>
    <w:rsid w:val="7F032C71"/>
    <w:rsid w:val="7F0864D9"/>
    <w:rsid w:val="7F25708B"/>
    <w:rsid w:val="7F376DBE"/>
    <w:rsid w:val="7F451F89"/>
    <w:rsid w:val="7F5D77C4"/>
    <w:rsid w:val="7F6000C3"/>
    <w:rsid w:val="7F862AB0"/>
    <w:rsid w:val="7F9E16B9"/>
    <w:rsid w:val="7FB47354"/>
    <w:rsid w:val="7FC71EF0"/>
    <w:rsid w:val="7FD070D3"/>
    <w:rsid w:val="7FE64A6C"/>
    <w:rsid w:val="7FEC4B73"/>
    <w:rsid w:val="7FEF3DA5"/>
    <w:rsid w:val="7FF151BF"/>
    <w:rsid w:val="7FF6C021"/>
    <w:rsid w:val="7FF9A6DA"/>
    <w:rsid w:val="7FFB6C9E"/>
    <w:rsid w:val="7FFDCDF3"/>
    <w:rsid w:val="7FFE5188"/>
    <w:rsid w:val="86EE5EB7"/>
    <w:rsid w:val="9FFF9D58"/>
    <w:rsid w:val="A2FE80EA"/>
    <w:rsid w:val="A74E1550"/>
    <w:rsid w:val="AC4EB4CC"/>
    <w:rsid w:val="BA7B23C6"/>
    <w:rsid w:val="BDD177E2"/>
    <w:rsid w:val="BDEF5959"/>
    <w:rsid w:val="BE2FAC69"/>
    <w:rsid w:val="BEEF1076"/>
    <w:rsid w:val="BF670674"/>
    <w:rsid w:val="D1FE44EE"/>
    <w:rsid w:val="D3BBE141"/>
    <w:rsid w:val="D77FF384"/>
    <w:rsid w:val="D7B67769"/>
    <w:rsid w:val="D7FF0D12"/>
    <w:rsid w:val="D97C9267"/>
    <w:rsid w:val="DBD7461E"/>
    <w:rsid w:val="DD4F59B7"/>
    <w:rsid w:val="DFFF301F"/>
    <w:rsid w:val="E2A3E5E9"/>
    <w:rsid w:val="E6FF9275"/>
    <w:rsid w:val="ED77B0BB"/>
    <w:rsid w:val="EFBDFE73"/>
    <w:rsid w:val="EFDEB4D9"/>
    <w:rsid w:val="EFFD8E31"/>
    <w:rsid w:val="EFFF8EEF"/>
    <w:rsid w:val="F4F61BFB"/>
    <w:rsid w:val="F53F8D14"/>
    <w:rsid w:val="F767AC95"/>
    <w:rsid w:val="F77F9883"/>
    <w:rsid w:val="F7A7BADF"/>
    <w:rsid w:val="F97C87AE"/>
    <w:rsid w:val="F9FF8FCE"/>
    <w:rsid w:val="FA292A99"/>
    <w:rsid w:val="FA64EAD0"/>
    <w:rsid w:val="FA747CC0"/>
    <w:rsid w:val="FDB3E2CD"/>
    <w:rsid w:val="FE734873"/>
    <w:rsid w:val="FEDCA17C"/>
    <w:rsid w:val="FEFD9895"/>
    <w:rsid w:val="FF1FE0A8"/>
    <w:rsid w:val="FF7DDEFF"/>
    <w:rsid w:val="FFD46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autoSpaceDE w:val="0"/>
      <w:autoSpaceDN w:val="0"/>
      <w:adjustRightInd w:val="0"/>
      <w:spacing w:before="340" w:after="330" w:line="578" w:lineRule="atLeast"/>
      <w:jc w:val="center"/>
      <w:outlineLvl w:val="0"/>
    </w:pPr>
    <w:rPr>
      <w:rFonts w:hint="eastAsia" w:ascii="宋体"/>
      <w:b/>
      <w:sz w:val="44"/>
    </w:rPr>
  </w:style>
  <w:style w:type="paragraph" w:styleId="5">
    <w:name w:val="heading 2"/>
    <w:basedOn w:val="1"/>
    <w:next w:val="6"/>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tabs>
        <w:tab w:val="left" w:pos="567"/>
      </w:tabs>
      <w:spacing w:before="120" w:line="22" w:lineRule="atLeast"/>
    </w:pPr>
    <w:rPr>
      <w:rFonts w:ascii="宋体" w:hAnsi="宋体"/>
      <w:sz w:val="24"/>
    </w:rPr>
  </w:style>
  <w:style w:type="paragraph" w:styleId="3">
    <w:name w:val="Body Text First Indent"/>
    <w:basedOn w:val="2"/>
    <w:qFormat/>
    <w:uiPriority w:val="0"/>
    <w:pPr>
      <w:ind w:firstLine="420"/>
    </w:pPr>
    <w:rPr>
      <w:rFonts w:eastAsia="楷体_GB2312"/>
      <w:sz w:val="32"/>
      <w:szCs w:val="20"/>
    </w:rPr>
  </w:style>
  <w:style w:type="paragraph" w:styleId="6">
    <w:name w:val="Normal Indent"/>
    <w:basedOn w:val="1"/>
    <w:next w:val="1"/>
    <w:qFormat/>
    <w:uiPriority w:val="0"/>
    <w:pPr>
      <w:ind w:firstLine="420"/>
    </w:pPr>
    <w:rPr>
      <w:kern w:val="0"/>
      <w:sz w:val="20"/>
    </w:rPr>
  </w:style>
  <w:style w:type="paragraph" w:styleId="9">
    <w:name w:val="index 5"/>
    <w:basedOn w:val="1"/>
    <w:next w:val="1"/>
    <w:qFormat/>
    <w:uiPriority w:val="0"/>
    <w:pPr>
      <w:ind w:left="1680"/>
    </w:pPr>
  </w:style>
  <w:style w:type="paragraph" w:styleId="10">
    <w:name w:val="annotation text"/>
    <w:basedOn w:val="1"/>
    <w:link w:val="39"/>
    <w:qFormat/>
    <w:uiPriority w:val="0"/>
    <w:pPr>
      <w:jc w:val="left"/>
    </w:pPr>
  </w:style>
  <w:style w:type="paragraph" w:styleId="11">
    <w:name w:val="Body Text Indent"/>
    <w:basedOn w:val="1"/>
    <w:next w:val="9"/>
    <w:qFormat/>
    <w:uiPriority w:val="0"/>
    <w:pPr>
      <w:ind w:firstLine="645"/>
    </w:pPr>
    <w:rPr>
      <w:rFonts w:ascii="Arial" w:hAnsi="Arial" w:eastAsia="仿宋_GB2312"/>
      <w:sz w:val="28"/>
    </w:rPr>
  </w:style>
  <w:style w:type="paragraph" w:styleId="12">
    <w:name w:val="List 2"/>
    <w:basedOn w:val="1"/>
    <w:qFormat/>
    <w:uiPriority w:val="0"/>
    <w:pPr>
      <w:ind w:left="100" w:leftChars="200" w:hanging="200" w:hangingChars="200"/>
    </w:pPr>
  </w:style>
  <w:style w:type="paragraph" w:styleId="13">
    <w:name w:val="Plain Text"/>
    <w:basedOn w:val="1"/>
    <w:qFormat/>
    <w:uiPriority w:val="0"/>
    <w:rPr>
      <w:rFonts w:ascii="宋体" w:hAnsi="Courier New"/>
      <w:szCs w:val="20"/>
    </w:rPr>
  </w:style>
  <w:style w:type="paragraph" w:styleId="14">
    <w:name w:val="toc 8"/>
    <w:basedOn w:val="1"/>
    <w:next w:val="1"/>
    <w:qFormat/>
    <w:uiPriority w:val="0"/>
    <w:pPr>
      <w:ind w:left="1470"/>
      <w:jc w:val="left"/>
    </w:pPr>
    <w:rPr>
      <w:rFonts w:ascii="Times New Roman" w:hAnsi="Times New Roman" w:eastAsia="宋体" w:cs="Times New Roman"/>
      <w:sz w:val="18"/>
    </w:rPr>
  </w:style>
  <w:style w:type="paragraph" w:styleId="15">
    <w:name w:val="Body Text Indent 2"/>
    <w:basedOn w:val="1"/>
    <w:qFormat/>
    <w:uiPriority w:val="0"/>
    <w:pPr>
      <w:spacing w:line="500" w:lineRule="exact"/>
      <w:ind w:firstLine="442" w:firstLineChars="200"/>
    </w:pPr>
    <w:rPr>
      <w:rFonts w:ascii="Calibri" w:hAnsi="Calibri" w:cs="黑体"/>
    </w:rPr>
  </w:style>
  <w:style w:type="paragraph" w:styleId="16">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9"/>
    <w:next w:val="1"/>
    <w:qFormat/>
    <w:uiPriority w:val="0"/>
    <w:pPr>
      <w:spacing w:before="120" w:after="120"/>
    </w:pPr>
    <w:rPr>
      <w:rFonts w:eastAsia="宋体"/>
      <w:bCs/>
      <w:caps/>
      <w:sz w:val="30"/>
      <w:szCs w:val="30"/>
    </w:rPr>
  </w:style>
  <w:style w:type="paragraph" w:styleId="19">
    <w:name w:val="index 1"/>
    <w:basedOn w:val="1"/>
    <w:next w:val="1"/>
    <w:qFormat/>
    <w:uiPriority w:val="0"/>
    <w:rPr>
      <w:rFonts w:eastAsia="仿宋_GB2312"/>
      <w:b/>
      <w:sz w:val="24"/>
    </w:rPr>
  </w:style>
  <w:style w:type="paragraph" w:styleId="20">
    <w:name w:val="footnote text"/>
    <w:basedOn w:val="1"/>
    <w:qFormat/>
    <w:uiPriority w:val="0"/>
    <w:pPr>
      <w:snapToGrid w:val="0"/>
      <w:jc w:val="left"/>
    </w:pPr>
    <w:rPr>
      <w:sz w:val="18"/>
    </w:rPr>
  </w:style>
  <w:style w:type="paragraph" w:styleId="21">
    <w:name w:val="Normal (Web)"/>
    <w:basedOn w:val="1"/>
    <w:uiPriority w:val="0"/>
    <w:rPr>
      <w:sz w:val="24"/>
    </w:rPr>
  </w:style>
  <w:style w:type="paragraph" w:styleId="22">
    <w:name w:val="annotation subject"/>
    <w:basedOn w:val="10"/>
    <w:next w:val="10"/>
    <w:link w:val="40"/>
    <w:qFormat/>
    <w:uiPriority w:val="0"/>
    <w:rPr>
      <w:b/>
      <w:bCs/>
    </w:rPr>
  </w:style>
  <w:style w:type="paragraph" w:styleId="23">
    <w:name w:val="Body Text First Indent 2"/>
    <w:basedOn w:val="11"/>
    <w:next w:val="1"/>
    <w:qFormat/>
    <w:uiPriority w:val="0"/>
    <w:pPr>
      <w:spacing w:after="120"/>
      <w:ind w:left="420" w:leftChars="200" w:firstLine="420" w:firstLineChars="200"/>
    </w:pPr>
    <w:rPr>
      <w:sz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rPr>
  </w:style>
  <w:style w:type="character" w:styleId="28">
    <w:name w:val="page number"/>
    <w:basedOn w:val="26"/>
    <w:qFormat/>
    <w:uiPriority w:val="0"/>
  </w:style>
  <w:style w:type="character" w:styleId="29">
    <w:name w:val="Hyperlink"/>
    <w:basedOn w:val="26"/>
    <w:qFormat/>
    <w:uiPriority w:val="0"/>
    <w:rPr>
      <w:color w:val="0000FF"/>
      <w:u w:val="single"/>
    </w:rPr>
  </w:style>
  <w:style w:type="character" w:styleId="30">
    <w:name w:val="annotation reference"/>
    <w:basedOn w:val="26"/>
    <w:qFormat/>
    <w:uiPriority w:val="0"/>
    <w:rPr>
      <w:sz w:val="21"/>
      <w:szCs w:val="21"/>
    </w:rPr>
  </w:style>
  <w:style w:type="character" w:styleId="31">
    <w:name w:val="footnote reference"/>
    <w:qFormat/>
    <w:uiPriority w:val="0"/>
    <w:rPr>
      <w:vertAlign w:val="superscript"/>
    </w:rPr>
  </w:style>
  <w:style w:type="paragraph" w:customStyle="1" w:styleId="32">
    <w:name w:val="列表段落1"/>
    <w:basedOn w:val="1"/>
    <w:qFormat/>
    <w:uiPriority w:val="34"/>
    <w:pPr>
      <w:ind w:firstLine="420" w:firstLineChars="200"/>
    </w:pPr>
    <w:rPr>
      <w:rFonts w:ascii="Calibri" w:hAnsi="Calibri"/>
      <w:szCs w:val="22"/>
    </w:rPr>
  </w:style>
  <w:style w:type="paragraph" w:customStyle="1" w:styleId="33">
    <w:name w:val="正文_6"/>
    <w:qFormat/>
    <w:uiPriority w:val="0"/>
    <w:rPr>
      <w:rFonts w:ascii="Times New Roman" w:hAnsi="Times New Roman" w:eastAsia="宋体" w:cs="Times New Roman"/>
      <w:sz w:val="24"/>
      <w:szCs w:val="24"/>
      <w:lang w:val="en-US" w:eastAsia="zh-CN" w:bidi="ar-SA"/>
    </w:rPr>
  </w:style>
  <w:style w:type="paragraph" w:customStyle="1" w:styleId="34">
    <w:name w:val="样式 样式 行距: 1.5 倍行距 + 首行缩进:  2 字符"/>
    <w:basedOn w:val="1"/>
    <w:qFormat/>
    <w:uiPriority w:val="0"/>
    <w:rPr>
      <w:rFonts w:cs="宋体"/>
      <w:sz w:val="24"/>
    </w:rPr>
  </w:style>
  <w:style w:type="paragraph" w:customStyle="1" w:styleId="35">
    <w:name w:val="BodyTextIndent2"/>
    <w:basedOn w:val="1"/>
    <w:qFormat/>
    <w:uiPriority w:val="0"/>
    <w:pPr>
      <w:spacing w:line="360" w:lineRule="auto"/>
      <w:ind w:left="645"/>
      <w:textAlignment w:val="baseline"/>
    </w:pPr>
  </w:style>
  <w:style w:type="paragraph" w:customStyle="1" w:styleId="36">
    <w:name w:val="列出段落1"/>
    <w:basedOn w:val="1"/>
    <w:qFormat/>
    <w:uiPriority w:val="34"/>
    <w:pPr>
      <w:ind w:firstLine="420" w:firstLineChars="200"/>
    </w:pPr>
    <w:rPr>
      <w:rFonts w:ascii="Calibri" w:hAnsi="Calibri"/>
      <w:sz w:val="28"/>
      <w:szCs w:val="21"/>
    </w:rPr>
  </w:style>
  <w:style w:type="paragraph" w:customStyle="1" w:styleId="37">
    <w:name w:val="修订1"/>
    <w:hidden/>
    <w:semiHidden/>
    <w:qFormat/>
    <w:uiPriority w:val="99"/>
    <w:rPr>
      <w:rFonts w:ascii="Times New Roman" w:hAnsi="Times New Roman" w:eastAsia="宋体" w:cs="Times New Roman"/>
      <w:kern w:val="2"/>
      <w:sz w:val="21"/>
      <w:szCs w:val="24"/>
      <w:lang w:val="en-US" w:eastAsia="zh-CN" w:bidi="ar-SA"/>
    </w:rPr>
  </w:style>
  <w:style w:type="table" w:customStyle="1" w:styleId="38">
    <w:name w:val="Table Normal"/>
    <w:unhideWhenUsed/>
    <w:qFormat/>
    <w:uiPriority w:val="0"/>
    <w:tblPr>
      <w:tblCellMar>
        <w:top w:w="0" w:type="dxa"/>
        <w:left w:w="0" w:type="dxa"/>
        <w:bottom w:w="0" w:type="dxa"/>
        <w:right w:w="0" w:type="dxa"/>
      </w:tblCellMar>
    </w:tblPr>
  </w:style>
  <w:style w:type="character" w:customStyle="1" w:styleId="39">
    <w:name w:val="批注文字 字符"/>
    <w:basedOn w:val="26"/>
    <w:link w:val="10"/>
    <w:qFormat/>
    <w:uiPriority w:val="0"/>
    <w:rPr>
      <w:kern w:val="2"/>
      <w:sz w:val="21"/>
      <w:szCs w:val="24"/>
    </w:rPr>
  </w:style>
  <w:style w:type="character" w:customStyle="1" w:styleId="40">
    <w:name w:val="批注主题 字符"/>
    <w:basedOn w:val="39"/>
    <w:link w:val="22"/>
    <w:qFormat/>
    <w:uiPriority w:val="0"/>
    <w:rPr>
      <w:b/>
      <w:bCs/>
      <w:kern w:val="2"/>
      <w:sz w:val="21"/>
      <w:szCs w:val="24"/>
    </w:rPr>
  </w:style>
  <w:style w:type="paragraph" w:customStyle="1" w:styleId="41">
    <w:name w:val="Table Text"/>
    <w:basedOn w:val="1"/>
    <w:semiHidden/>
    <w:qFormat/>
    <w:uiPriority w:val="0"/>
    <w:rPr>
      <w:rFonts w:ascii="Arial" w:hAnsi="Arial" w:eastAsia="Arial" w:cs="Arial"/>
      <w:sz w:val="21"/>
      <w:szCs w:val="21"/>
      <w:lang w:val="en-US" w:eastAsia="en-US" w:bidi="ar-SA"/>
    </w:rPr>
  </w:style>
  <w:style w:type="paragraph" w:customStyle="1" w:styleId="4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eastAsia="宋体" w:cs="Times New Roman"/>
      <w:sz w:val="24"/>
    </w:rPr>
  </w:style>
  <w:style w:type="paragraph" w:customStyle="1" w:styleId="43">
    <w:name w:val="图例"/>
    <w:basedOn w:val="1"/>
    <w:qFormat/>
    <w:uiPriority w:val="0"/>
    <w:pPr>
      <w:spacing w:before="120" w:beforeLines="0" w:after="120" w:afterLines="0" w:line="360" w:lineRule="auto"/>
      <w:jc w:val="center"/>
    </w:pPr>
    <w:rPr>
      <w:rFonts w:ascii="Times New Roman" w:hAnsi="Times New Roman" w:eastAsia="仿宋_GB2312" w:cs="Times New Roman"/>
      <w:b/>
      <w:sz w:val="24"/>
    </w:rPr>
  </w:style>
  <w:style w:type="paragraph" w:customStyle="1" w:styleId="44">
    <w:name w:val="List Paragraph"/>
    <w:basedOn w:val="1"/>
    <w:qFormat/>
    <w:uiPriority w:val="34"/>
    <w:pPr>
      <w:ind w:firstLine="420" w:firstLineChars="200"/>
    </w:pPr>
  </w:style>
  <w:style w:type="character" w:customStyle="1" w:styleId="45">
    <w:name w:val="NormalCharacter"/>
    <w:qFormat/>
    <w:uiPriority w:val="0"/>
  </w:style>
  <w:style w:type="character" w:customStyle="1" w:styleId="46">
    <w:name w:val="font31"/>
    <w:basedOn w:val="26"/>
    <w:qFormat/>
    <w:uiPriority w:val="0"/>
    <w:rPr>
      <w:rFonts w:hint="eastAsia" w:ascii="宋体" w:hAnsi="宋体" w:eastAsia="宋体" w:cs="宋体"/>
      <w:color w:val="000000"/>
      <w:sz w:val="18"/>
      <w:szCs w:val="18"/>
      <w:u w:val="none"/>
    </w:rPr>
  </w:style>
  <w:style w:type="character" w:customStyle="1" w:styleId="47">
    <w:name w:val="font51"/>
    <w:basedOn w:val="26"/>
    <w:qFormat/>
    <w:uiPriority w:val="0"/>
    <w:rPr>
      <w:rFonts w:hint="eastAsia" w:ascii="宋体" w:hAnsi="宋体" w:eastAsia="宋体" w:cs="宋体"/>
      <w:color w:val="000000"/>
      <w:sz w:val="18"/>
      <w:szCs w:val="18"/>
      <w:u w:val="none"/>
    </w:rPr>
  </w:style>
  <w:style w:type="paragraph" w:customStyle="1" w:styleId="48">
    <w:name w:val="Default"/>
    <w:qFormat/>
    <w:uiPriority w:val="0"/>
    <w:pPr>
      <w:widowControl w:val="0"/>
      <w:autoSpaceDE w:val="0"/>
      <w:autoSpaceDN w:val="0"/>
      <w:adjustRightInd w:val="0"/>
    </w:pPr>
    <w:rPr>
      <w:rFonts w:ascii="宋体" w:hAnsi="Calibri" w:eastAsia="微软雅黑"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81</Pages>
  <Words>19308</Words>
  <Characters>20641</Characters>
  <Lines>202</Lines>
  <Paragraphs>56</Paragraphs>
  <TotalTime>39</TotalTime>
  <ScaleCrop>false</ScaleCrop>
  <LinksUpToDate>false</LinksUpToDate>
  <CharactersWithSpaces>21661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2023-05-12T09:38:00Z</dcterms:created>
  <dc:creator>lenovo</dc:creator>
  <cp:lastModifiedBy>蓝色泡沫</cp:lastModifiedBy>
  <cp:lastPrinted>2025-08-05T05:14:00Z</cp:lastPrinted>
  <dcterms:modified xsi:type="dcterms:W3CDTF">2026-05-15T04:38:01Z</dcterms:modified>
  <dc:title>货物类政府采购公开招标文件</dc:title>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99602D437C2341FEA1E1A82E06365C68</vt:lpwstr>
  </property>
  <property fmtid="{D5CDD505-2E9C-101B-9397-08002B2CF9AE}" pid="4" name="KSOSaveFontToCloudKey">
    <vt:lpwstr>260772819_embed</vt:lpwstr>
  </property>
  <property fmtid="{D5CDD505-2E9C-101B-9397-08002B2CF9AE}" pid="5" name="KSOTemplateDocerSaveRecord">
    <vt:lpwstr>eyJoZGlkIjoiZTA3YTdiMGJkOGRhY2NhM2NhZDUyNmUzYTgyNjU3MDAiLCJ1c2VySWQiOiIzNzQyOTExODcifQ==</vt:lpwstr>
  </property>
</Properties>
</file>