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left="0" w:leftChars="0" w:right="0" w:rightChars="0"/>
        <w:jc w:val="center"/>
        <w:outlineLvl w:val="9"/>
        <w:rPr>
          <w:rFonts w:hint="eastAsia" w:ascii="宋体" w:hAnsi="宋体" w:cs="宋体"/>
          <w:b w:val="0"/>
          <w:bCs/>
          <w:sz w:val="36"/>
          <w:szCs w:val="36"/>
          <w:lang w:val="en-US" w:eastAsia="zh-CN"/>
        </w:rPr>
      </w:pPr>
      <w:r>
        <w:rPr>
          <w:rFonts w:hint="eastAsia" w:ascii="宋体" w:hAnsi="宋体" w:cs="宋体"/>
          <w:b w:val="0"/>
          <w:bCs/>
          <w:sz w:val="36"/>
          <w:szCs w:val="36"/>
          <w:lang w:val="en-US" w:eastAsia="zh-CN"/>
        </w:rPr>
        <w:t>奇台县半截沟镇半截沟村基础设施建设提升项目</w:t>
      </w:r>
    </w:p>
    <w:p>
      <w:pPr>
        <w:keepNext w:val="0"/>
        <w:keepLines w:val="0"/>
        <w:pageBreakBefore w:val="0"/>
        <w:kinsoku/>
        <w:wordWrap/>
        <w:overflowPunct/>
        <w:topLinePunct w:val="0"/>
        <w:autoSpaceDE/>
        <w:autoSpaceDN/>
        <w:bidi w:val="0"/>
        <w:adjustRightInd/>
        <w:snapToGrid/>
        <w:spacing w:line="360" w:lineRule="auto"/>
        <w:ind w:left="0" w:leftChars="0" w:right="0" w:rightChars="0"/>
        <w:jc w:val="center"/>
        <w:outlineLvl w:val="9"/>
        <w:rPr>
          <w:rFonts w:hint="eastAsia"/>
          <w:b w:val="0"/>
          <w:bCs/>
          <w:sz w:val="36"/>
          <w:szCs w:val="36"/>
        </w:rPr>
      </w:pPr>
      <w:r>
        <w:rPr>
          <w:rFonts w:hint="eastAsia" w:ascii="宋体" w:hAnsi="宋体" w:cs="宋体"/>
          <w:b w:val="0"/>
          <w:bCs/>
          <w:sz w:val="36"/>
          <w:szCs w:val="36"/>
          <w:lang w:val="en-US" w:eastAsia="zh-CN"/>
        </w:rPr>
        <w:t>清单</w:t>
      </w:r>
      <w:r>
        <w:rPr>
          <w:rFonts w:hint="eastAsia" w:ascii="宋体" w:hAnsi="宋体" w:eastAsia="宋体" w:cs="宋体"/>
          <w:b w:val="0"/>
          <w:bCs/>
          <w:sz w:val="36"/>
          <w:szCs w:val="36"/>
        </w:rPr>
        <w:t>编制说明</w:t>
      </w:r>
    </w:p>
    <w:p>
      <w:pPr>
        <w:spacing w:line="360" w:lineRule="auto"/>
        <w:jc w:val="left"/>
        <w:rPr>
          <w:rFonts w:ascii="宋体" w:hAnsi="宋体" w:eastAsia="宋体"/>
          <w:b/>
          <w:bCs/>
          <w:sz w:val="28"/>
          <w:szCs w:val="28"/>
        </w:rPr>
      </w:pPr>
      <w:r>
        <w:rPr>
          <w:rFonts w:hint="eastAsia" w:ascii="宋体" w:hAnsi="宋体" w:eastAsia="宋体"/>
          <w:b/>
          <w:bCs/>
          <w:sz w:val="28"/>
          <w:szCs w:val="28"/>
        </w:rPr>
        <w:t>一、工程概况：</w:t>
      </w:r>
    </w:p>
    <w:p>
      <w:pPr>
        <w:spacing w:line="360" w:lineRule="auto"/>
        <w:ind w:firstLine="480" w:firstLineChars="200"/>
        <w:jc w:val="left"/>
        <w:rPr>
          <w:rFonts w:hint="eastAsia" w:ascii="宋体" w:hAnsi="宋体" w:eastAsia="宋体"/>
          <w:sz w:val="28"/>
          <w:szCs w:val="28"/>
          <w:lang w:val="en-US" w:eastAsia="zh-CN"/>
        </w:rPr>
      </w:pPr>
      <w:r>
        <w:rPr>
          <w:rFonts w:hint="eastAsia" w:ascii="宋体" w:hAnsi="宋体" w:cs="宋体"/>
          <w:sz w:val="24"/>
          <w:szCs w:val="24"/>
          <w:lang w:val="en-US" w:eastAsia="zh-CN"/>
        </w:rPr>
        <w:t>奇台县半截沟镇半截沟村基础设施建设提升项目</w:t>
      </w:r>
      <w:r>
        <w:rPr>
          <w:rFonts w:hint="eastAsia" w:ascii="宋体" w:hAnsi="宋体" w:eastAsia="宋体" w:cs="宋体"/>
          <w:sz w:val="24"/>
          <w:szCs w:val="24"/>
          <w:lang w:val="en-US" w:eastAsia="zh-CN"/>
        </w:rPr>
        <w:t>，安装太阳能路灯、巷道两旁铺设人行步道等。</w:t>
      </w:r>
    </w:p>
    <w:p>
      <w:pPr>
        <w:spacing w:line="360" w:lineRule="auto"/>
        <w:rPr>
          <w:rFonts w:ascii="宋体" w:hAnsi="宋体" w:eastAsia="宋体" w:cs="Times New Roman"/>
          <w:b/>
          <w:bCs/>
          <w:sz w:val="28"/>
          <w:szCs w:val="28"/>
        </w:rPr>
      </w:pPr>
      <w:r>
        <w:rPr>
          <w:rFonts w:hint="eastAsia" w:ascii="宋体" w:hAnsi="宋体" w:eastAsia="宋体"/>
          <w:b/>
          <w:bCs/>
          <w:sz w:val="28"/>
          <w:szCs w:val="28"/>
        </w:rPr>
        <w:t>二、</w:t>
      </w:r>
      <w:r>
        <w:rPr>
          <w:rFonts w:hint="eastAsia" w:ascii="宋体" w:hAnsi="宋体" w:eastAsia="宋体" w:cs="Times New Roman"/>
          <w:b/>
          <w:bCs/>
          <w:sz w:val="28"/>
          <w:szCs w:val="28"/>
        </w:rPr>
        <w:t xml:space="preserve">工程量清单编制依据 </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 由新疆通艺市政规划设</w:t>
      </w:r>
      <w:bookmarkStart w:id="0" w:name="_GoBack"/>
      <w:bookmarkEnd w:id="0"/>
      <w:r>
        <w:rPr>
          <w:rFonts w:hint="eastAsia" w:ascii="宋体" w:hAnsi="宋体" w:eastAsia="宋体" w:cs="宋体"/>
          <w:sz w:val="24"/>
          <w:szCs w:val="24"/>
          <w:lang w:val="en-US" w:eastAsia="zh-CN"/>
        </w:rPr>
        <w:t xml:space="preserve">计院有限公司设计图纸、设计答疑及招标文件约定范围内所有工程内容； </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2. </w:t>
      </w:r>
      <w:r>
        <w:rPr>
          <w:rFonts w:hint="eastAsia" w:ascii="宋体" w:hAnsi="宋体" w:eastAsia="宋体" w:cs="宋体"/>
          <w:b w:val="0"/>
          <w:bCs/>
          <w:color w:val="auto"/>
          <w:sz w:val="24"/>
          <w:szCs w:val="24"/>
          <w:shd w:val="clear" w:color="auto" w:fill="auto"/>
          <w:lang w:val="zh-CN" w:eastAsia="zh-CN"/>
        </w:rPr>
        <w:t>建设工程工程量清单计价规范》（GB50500-2013），中华人民共和国国家标准《建筑工程建筑面积计算规范》</w:t>
      </w:r>
      <w:r>
        <w:rPr>
          <w:rFonts w:hint="eastAsia" w:ascii="宋体" w:hAnsi="宋体" w:eastAsia="宋体" w:cs="宋体"/>
          <w:b w:val="0"/>
          <w:bCs/>
          <w:sz w:val="24"/>
          <w:szCs w:val="24"/>
          <w:shd w:val="clear" w:color="auto" w:fill="auto"/>
        </w:rPr>
        <w:t>GB/T50353-20</w:t>
      </w:r>
      <w:r>
        <w:rPr>
          <w:rFonts w:hint="eastAsia" w:ascii="宋体" w:hAnsi="宋体" w:eastAsia="宋体" w:cs="宋体"/>
          <w:b w:val="0"/>
          <w:bCs/>
          <w:sz w:val="24"/>
          <w:szCs w:val="24"/>
          <w:shd w:val="clear" w:color="auto" w:fill="auto"/>
          <w:lang w:val="en-US" w:eastAsia="zh-CN"/>
        </w:rPr>
        <w:t>13，</w:t>
      </w:r>
      <w:r>
        <w:rPr>
          <w:rFonts w:hint="eastAsia" w:ascii="宋体" w:hAnsi="宋体" w:eastAsia="宋体" w:cs="宋体"/>
          <w:b w:val="0"/>
          <w:bCs/>
          <w:sz w:val="24"/>
          <w:szCs w:val="24"/>
          <w:shd w:val="clear" w:color="auto" w:fill="auto"/>
        </w:rPr>
        <w:t>《</w:t>
      </w:r>
      <w:r>
        <w:rPr>
          <w:rFonts w:hint="eastAsia" w:ascii="宋体" w:hAnsi="宋体" w:eastAsia="宋体" w:cs="宋体"/>
          <w:b w:val="0"/>
          <w:bCs/>
          <w:sz w:val="24"/>
          <w:szCs w:val="24"/>
          <w:shd w:val="clear" w:color="auto" w:fill="auto"/>
          <w:lang w:val="en-US" w:eastAsia="zh-CN"/>
        </w:rPr>
        <w:t>市政</w:t>
      </w:r>
      <w:r>
        <w:rPr>
          <w:rFonts w:hint="eastAsia" w:ascii="宋体" w:hAnsi="宋体" w:eastAsia="宋体" w:cs="宋体"/>
          <w:b w:val="0"/>
          <w:bCs/>
          <w:sz w:val="24"/>
          <w:szCs w:val="24"/>
          <w:shd w:val="clear" w:color="auto" w:fill="auto"/>
        </w:rPr>
        <w:t>工程工程量计算规范》（GB5085</w:t>
      </w:r>
      <w:r>
        <w:rPr>
          <w:rFonts w:hint="eastAsia" w:ascii="宋体" w:hAnsi="宋体" w:eastAsia="宋体" w:cs="宋体"/>
          <w:b w:val="0"/>
          <w:bCs/>
          <w:sz w:val="24"/>
          <w:szCs w:val="24"/>
          <w:shd w:val="clear" w:color="auto" w:fill="auto"/>
          <w:lang w:val="en-US" w:eastAsia="zh-CN"/>
        </w:rPr>
        <w:t>7</w:t>
      </w:r>
      <w:r>
        <w:rPr>
          <w:rFonts w:hint="eastAsia" w:ascii="宋体" w:hAnsi="宋体" w:eastAsia="宋体" w:cs="宋体"/>
          <w:b w:val="0"/>
          <w:bCs/>
          <w:sz w:val="24"/>
          <w:szCs w:val="24"/>
          <w:shd w:val="clear" w:color="auto" w:fill="auto"/>
        </w:rPr>
        <w:t>-2013）</w:t>
      </w:r>
      <w:r>
        <w:rPr>
          <w:rFonts w:hint="eastAsia" w:ascii="宋体" w:hAnsi="宋体" w:eastAsia="宋体" w:cs="宋体"/>
          <w:sz w:val="24"/>
          <w:szCs w:val="24"/>
          <w:lang w:val="en-US" w:eastAsia="zh-CN"/>
        </w:rPr>
        <w:t xml:space="preserve">； </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3. </w:t>
      </w:r>
      <w:r>
        <w:rPr>
          <w:rFonts w:hint="eastAsia" w:ascii="宋体" w:hAnsi="宋体" w:eastAsia="宋体" w:cs="宋体"/>
          <w:bCs/>
          <w:sz w:val="24"/>
          <w:szCs w:val="24"/>
          <w:shd w:val="clear" w:color="auto" w:fill="auto"/>
        </w:rPr>
        <w:t>《新疆维吾尔自治区建筑</w:t>
      </w:r>
      <w:r>
        <w:rPr>
          <w:rFonts w:hint="eastAsia" w:ascii="宋体" w:hAnsi="宋体" w:eastAsia="宋体" w:cs="宋体"/>
          <w:bCs/>
          <w:sz w:val="24"/>
          <w:szCs w:val="24"/>
          <w:shd w:val="clear" w:color="auto" w:fill="auto"/>
          <w:lang w:eastAsia="zh-CN"/>
        </w:rPr>
        <w:t>、</w:t>
      </w:r>
      <w:r>
        <w:rPr>
          <w:rFonts w:hint="eastAsia" w:ascii="宋体" w:hAnsi="宋体" w:eastAsia="宋体" w:cs="宋体"/>
          <w:bCs/>
          <w:sz w:val="24"/>
          <w:szCs w:val="24"/>
          <w:shd w:val="clear" w:color="auto" w:fill="auto"/>
        </w:rPr>
        <w:t>安装</w:t>
      </w:r>
      <w:r>
        <w:rPr>
          <w:rFonts w:hint="eastAsia" w:ascii="宋体" w:hAnsi="宋体" w:eastAsia="宋体" w:cs="宋体"/>
          <w:bCs/>
          <w:sz w:val="24"/>
          <w:szCs w:val="24"/>
          <w:shd w:val="clear" w:color="auto" w:fill="auto"/>
          <w:lang w:eastAsia="zh-CN"/>
        </w:rPr>
        <w:t>、</w:t>
      </w:r>
      <w:r>
        <w:rPr>
          <w:rFonts w:hint="eastAsia" w:ascii="宋体" w:hAnsi="宋体" w:eastAsia="宋体" w:cs="宋体"/>
          <w:bCs/>
          <w:sz w:val="24"/>
          <w:szCs w:val="24"/>
          <w:shd w:val="clear" w:color="auto" w:fill="auto"/>
          <w:lang w:val="en-US" w:eastAsia="zh-CN"/>
        </w:rPr>
        <w:t>市政</w:t>
      </w:r>
      <w:r>
        <w:rPr>
          <w:rFonts w:hint="eastAsia" w:ascii="宋体" w:hAnsi="宋体" w:eastAsia="宋体" w:cs="宋体"/>
          <w:bCs/>
          <w:sz w:val="24"/>
          <w:szCs w:val="24"/>
          <w:shd w:val="clear" w:color="auto" w:fill="auto"/>
        </w:rPr>
        <w:t>工程费用定额》（20</w:t>
      </w:r>
      <w:r>
        <w:rPr>
          <w:rFonts w:hint="eastAsia" w:ascii="宋体" w:hAnsi="宋体" w:eastAsia="宋体" w:cs="宋体"/>
          <w:bCs/>
          <w:sz w:val="24"/>
          <w:szCs w:val="24"/>
          <w:shd w:val="clear" w:color="auto" w:fill="auto"/>
          <w:lang w:val="en-US" w:eastAsia="zh-CN"/>
        </w:rPr>
        <w:t>20版</w:t>
      </w:r>
      <w:r>
        <w:rPr>
          <w:rFonts w:hint="eastAsia" w:ascii="宋体" w:hAnsi="宋体" w:eastAsia="宋体" w:cs="宋体"/>
          <w:bCs/>
          <w:sz w:val="24"/>
          <w:szCs w:val="24"/>
          <w:shd w:val="clear" w:color="auto" w:fill="auto"/>
        </w:rPr>
        <w:t>）、《新疆维吾尔自治区</w:t>
      </w:r>
      <w:r>
        <w:rPr>
          <w:rFonts w:hint="eastAsia" w:ascii="宋体" w:hAnsi="宋体" w:eastAsia="宋体" w:cs="宋体"/>
          <w:bCs/>
          <w:sz w:val="24"/>
          <w:szCs w:val="24"/>
          <w:shd w:val="clear" w:color="auto" w:fill="auto"/>
          <w:lang w:val="en-US" w:eastAsia="zh-CN"/>
        </w:rPr>
        <w:t>市政</w:t>
      </w:r>
      <w:r>
        <w:rPr>
          <w:rFonts w:hint="eastAsia" w:ascii="宋体" w:hAnsi="宋体" w:eastAsia="宋体" w:cs="宋体"/>
          <w:bCs/>
          <w:sz w:val="24"/>
          <w:szCs w:val="24"/>
          <w:shd w:val="clear" w:color="auto" w:fill="auto"/>
        </w:rPr>
        <w:t>工程消耗量定额》</w:t>
      </w:r>
      <w:r>
        <w:rPr>
          <w:rFonts w:hint="eastAsia" w:ascii="宋体" w:hAnsi="宋体" w:eastAsia="宋体" w:cs="宋体"/>
          <w:bCs/>
          <w:sz w:val="24"/>
          <w:szCs w:val="24"/>
          <w:shd w:val="clear" w:color="auto" w:fill="auto"/>
          <w:lang w:eastAsia="zh-CN"/>
        </w:rPr>
        <w:t>（</w:t>
      </w:r>
      <w:r>
        <w:rPr>
          <w:rFonts w:hint="eastAsia" w:ascii="宋体" w:hAnsi="宋体" w:eastAsia="宋体" w:cs="宋体"/>
          <w:bCs/>
          <w:sz w:val="24"/>
          <w:szCs w:val="24"/>
          <w:shd w:val="clear" w:color="auto" w:fill="auto"/>
          <w:lang w:val="en-US" w:eastAsia="zh-CN"/>
        </w:rPr>
        <w:t>2020版</w:t>
      </w:r>
      <w:r>
        <w:rPr>
          <w:rFonts w:hint="eastAsia" w:ascii="宋体" w:hAnsi="宋体" w:eastAsia="宋体" w:cs="宋体"/>
          <w:bCs/>
          <w:sz w:val="24"/>
          <w:szCs w:val="24"/>
          <w:shd w:val="clear" w:color="auto" w:fill="auto"/>
          <w:lang w:eastAsia="zh-CN"/>
        </w:rPr>
        <w:t>）、</w:t>
      </w:r>
      <w:r>
        <w:rPr>
          <w:rFonts w:hint="eastAsia" w:ascii="宋体" w:hAnsi="宋体" w:eastAsia="宋体" w:cs="宋体"/>
          <w:bCs/>
          <w:sz w:val="24"/>
          <w:szCs w:val="24"/>
          <w:shd w:val="clear" w:color="auto" w:fill="auto"/>
          <w:lang w:val="en-US" w:eastAsia="zh-CN"/>
        </w:rPr>
        <w:t>《</w:t>
      </w:r>
      <w:r>
        <w:rPr>
          <w:rFonts w:hint="eastAsia" w:ascii="宋体" w:hAnsi="宋体" w:eastAsia="宋体" w:cs="宋体"/>
          <w:bCs/>
          <w:sz w:val="24"/>
          <w:szCs w:val="24"/>
          <w:shd w:val="clear" w:color="auto" w:fill="auto"/>
        </w:rPr>
        <w:t>新疆</w:t>
      </w:r>
      <w:r>
        <w:rPr>
          <w:rFonts w:hint="eastAsia" w:ascii="宋体" w:hAnsi="宋体" w:eastAsia="宋体" w:cs="宋体"/>
          <w:bCs/>
          <w:sz w:val="24"/>
          <w:szCs w:val="24"/>
          <w:shd w:val="clear" w:color="auto" w:fill="auto"/>
          <w:lang w:val="en-US" w:eastAsia="zh-CN"/>
        </w:rPr>
        <w:t>市政工程</w:t>
      </w:r>
      <w:r>
        <w:rPr>
          <w:rFonts w:hint="eastAsia" w:ascii="宋体" w:hAnsi="宋体" w:eastAsia="宋体" w:cs="宋体"/>
          <w:bCs/>
          <w:sz w:val="24"/>
          <w:szCs w:val="24"/>
          <w:shd w:val="clear" w:color="auto" w:fill="auto"/>
        </w:rPr>
        <w:t>消耗量定额昌吉估价汇总表(2022)</w:t>
      </w:r>
      <w:r>
        <w:rPr>
          <w:rFonts w:hint="eastAsia" w:ascii="宋体" w:hAnsi="宋体" w:eastAsia="宋体" w:cs="宋体"/>
          <w:bCs/>
          <w:sz w:val="24"/>
          <w:szCs w:val="24"/>
          <w:shd w:val="clear" w:color="auto" w:fill="auto"/>
          <w:lang w:val="en-US" w:eastAsia="zh-CN"/>
        </w:rPr>
        <w:t>》</w:t>
      </w:r>
      <w:r>
        <w:rPr>
          <w:rFonts w:hint="eastAsia" w:ascii="宋体" w:hAnsi="宋体" w:eastAsia="宋体" w:cs="宋体"/>
          <w:sz w:val="24"/>
          <w:szCs w:val="24"/>
          <w:lang w:val="en-US" w:eastAsia="zh-CN"/>
        </w:rPr>
        <w:t xml:space="preserve">； </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 </w:t>
      </w:r>
      <w:r>
        <w:rPr>
          <w:rFonts w:hint="eastAsia" w:ascii="宋体" w:hAnsi="宋体" w:eastAsia="宋体" w:cs="宋体"/>
          <w:bCs/>
          <w:sz w:val="24"/>
          <w:szCs w:val="24"/>
          <w:shd w:val="clear" w:color="auto" w:fill="auto"/>
        </w:rPr>
        <w:t>涉及营改增的费率调整执行《关于建筑业营业税改增值税调整塔城地区建设工程计价依据的实施意见》（新建标【2018】6号）</w:t>
      </w:r>
      <w:r>
        <w:rPr>
          <w:rFonts w:hint="eastAsia" w:ascii="宋体" w:hAnsi="宋体" w:eastAsia="宋体" w:cs="宋体"/>
          <w:sz w:val="24"/>
          <w:szCs w:val="24"/>
          <w:lang w:val="en-US" w:eastAsia="zh-CN"/>
        </w:rPr>
        <w:t xml:space="preserve">； </w:t>
      </w:r>
    </w:p>
    <w:p>
      <w:pPr>
        <w:spacing w:line="360" w:lineRule="auto"/>
        <w:ind w:firstLine="480" w:firstLineChars="200"/>
        <w:jc w:val="left"/>
        <w:rPr>
          <w:rFonts w:hint="eastAsia" w:ascii="宋体" w:hAnsi="宋体" w:eastAsia="宋体" w:cs="宋体"/>
          <w:sz w:val="24"/>
          <w:szCs w:val="24"/>
          <w:lang w:val="en-US" w:eastAsia="zh-CN"/>
        </w:rPr>
      </w:pPr>
      <w:r>
        <w:rPr>
          <w:rFonts w:hint="eastAsia" w:ascii="宋体" w:hAnsi="宋体" w:cs="宋体"/>
          <w:sz w:val="24"/>
          <w:szCs w:val="24"/>
          <w:lang w:val="en-US" w:eastAsia="zh-CN"/>
        </w:rPr>
        <w:t>5</w:t>
      </w:r>
      <w:r>
        <w:rPr>
          <w:rFonts w:hint="eastAsia" w:ascii="宋体" w:hAnsi="宋体" w:eastAsia="宋体" w:cs="宋体"/>
          <w:sz w:val="24"/>
          <w:szCs w:val="24"/>
          <w:lang w:val="en-US" w:eastAsia="zh-CN"/>
        </w:rPr>
        <w:t>.</w:t>
      </w:r>
      <w:r>
        <w:rPr>
          <w:rFonts w:hint="eastAsia" w:ascii="宋体" w:hAnsi="宋体" w:eastAsia="宋体" w:cs="宋体"/>
          <w:b w:val="0"/>
          <w:bCs/>
          <w:color w:val="auto"/>
          <w:sz w:val="24"/>
          <w:szCs w:val="24"/>
          <w:shd w:val="clear" w:color="auto" w:fill="auto"/>
          <w:lang w:val="en-US" w:eastAsia="zh-CN"/>
        </w:rPr>
        <w:t>税金调整执行《关于实施建筑业增值税新税率调整建设工程计价依据的通知》</w:t>
      </w:r>
      <w:r>
        <w:rPr>
          <w:rFonts w:hint="eastAsia" w:ascii="宋体" w:hAnsi="宋体" w:eastAsia="宋体" w:cs="宋体"/>
          <w:b w:val="0"/>
          <w:bCs/>
          <w:kern w:val="2"/>
          <w:sz w:val="24"/>
          <w:szCs w:val="24"/>
          <w:shd w:val="clear" w:color="auto" w:fill="auto"/>
          <w:lang w:val="en-US" w:eastAsia="zh-CN" w:bidi="ar-SA"/>
        </w:rPr>
        <w:t>（新建标〔20</w:t>
      </w:r>
      <w:r>
        <w:rPr>
          <w:rFonts w:hint="eastAsia" w:ascii="宋体" w:hAnsi="宋体" w:eastAsia="宋体" w:cs="宋体"/>
          <w:b w:val="0"/>
          <w:bCs/>
          <w:color w:val="auto"/>
          <w:kern w:val="2"/>
          <w:sz w:val="24"/>
          <w:szCs w:val="24"/>
          <w:shd w:val="clear" w:color="auto" w:fill="auto"/>
          <w:lang w:val="en-US" w:eastAsia="zh-CN" w:bidi="ar-SA"/>
        </w:rPr>
        <w:t>19〕4号）</w:t>
      </w:r>
      <w:r>
        <w:rPr>
          <w:rFonts w:hint="eastAsia" w:ascii="宋体" w:hAnsi="宋体" w:eastAsia="宋体" w:cs="宋体"/>
          <w:b w:val="0"/>
          <w:bCs/>
          <w:color w:val="auto"/>
          <w:sz w:val="24"/>
          <w:szCs w:val="24"/>
          <w:shd w:val="clear" w:color="auto" w:fill="auto"/>
          <w:lang w:val="en-US" w:eastAsia="zh-CN"/>
        </w:rPr>
        <w:t>，建筑业增值税税率为9%</w:t>
      </w:r>
      <w:r>
        <w:rPr>
          <w:rFonts w:hint="eastAsia" w:ascii="宋体" w:hAnsi="宋体" w:eastAsia="宋体" w:cs="宋体"/>
          <w:sz w:val="24"/>
          <w:szCs w:val="24"/>
          <w:lang w:val="en-US" w:eastAsia="zh-CN"/>
        </w:rPr>
        <w:t>。</w:t>
      </w:r>
    </w:p>
    <w:p>
      <w:pPr>
        <w:spacing w:line="360" w:lineRule="auto"/>
        <w:jc w:val="left"/>
        <w:rPr>
          <w:rFonts w:hint="default" w:ascii="宋体" w:hAnsi="宋体" w:eastAsia="宋体"/>
          <w:b/>
          <w:bCs/>
          <w:sz w:val="28"/>
          <w:szCs w:val="28"/>
          <w:lang w:val="en-US" w:eastAsia="zh-CN"/>
        </w:rPr>
      </w:pPr>
      <w:r>
        <w:rPr>
          <w:rFonts w:hint="eastAsia" w:ascii="宋体" w:hAnsi="宋体" w:eastAsia="宋体"/>
          <w:b/>
          <w:bCs/>
          <w:sz w:val="28"/>
          <w:szCs w:val="28"/>
          <w:lang w:val="en-US" w:eastAsia="zh-CN"/>
        </w:rPr>
        <w:t>三、其他说明</w:t>
      </w:r>
    </w:p>
    <w:p>
      <w:pPr>
        <w:spacing w:line="360" w:lineRule="auto"/>
        <w:ind w:firstLine="480" w:firstLineChars="200"/>
        <w:jc w:val="left"/>
        <w:rPr>
          <w:rFonts w:hint="eastAsia" w:ascii="宋体" w:hAnsi="宋体" w:eastAsia="宋体"/>
          <w:sz w:val="28"/>
          <w:szCs w:val="28"/>
          <w:lang w:val="en-US" w:eastAsia="zh-CN"/>
        </w:rPr>
      </w:pPr>
      <w:r>
        <w:rPr>
          <w:rFonts w:hint="eastAsia" w:ascii="宋体" w:hAnsi="宋体" w:eastAsia="宋体" w:cs="宋体"/>
          <w:b w:val="0"/>
          <w:bCs/>
          <w:color w:val="auto"/>
          <w:sz w:val="24"/>
          <w:szCs w:val="24"/>
          <w:lang w:val="en-US" w:eastAsia="zh-CN"/>
        </w:rPr>
        <w:t>智慧工地本工程不计入</w:t>
      </w:r>
      <w:r>
        <w:rPr>
          <w:rFonts w:hint="eastAsia" w:ascii="宋体" w:hAnsi="宋体" w:eastAsia="宋体"/>
          <w:sz w:val="28"/>
          <w:szCs w:val="28"/>
          <w:lang w:val="en-US" w:eastAsia="zh-CN"/>
        </w:rPr>
        <w:t>。</w:t>
      </w:r>
    </w:p>
    <w:p>
      <w:pPr>
        <w:spacing w:line="360" w:lineRule="auto"/>
        <w:ind w:firstLine="560" w:firstLineChars="200"/>
        <w:jc w:val="left"/>
        <w:rPr>
          <w:rFonts w:hint="eastAsia" w:ascii="宋体" w:hAnsi="宋体" w:eastAsia="宋体"/>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ind w:leftChars="0" w:right="0" w:rightChars="0" w:firstLine="480" w:firstLineChars="200"/>
        <w:jc w:val="both"/>
        <w:textAlignment w:val="auto"/>
        <w:outlineLvl w:val="9"/>
        <w:rPr>
          <w:rFonts w:hint="eastAsia"/>
          <w:sz w:val="24"/>
          <w:szCs w:val="24"/>
          <w:lang w:val="en-US" w:eastAsia="zh-CN"/>
        </w:rPr>
      </w:pPr>
    </w:p>
    <w:p>
      <w:pPr>
        <w:spacing w:line="360" w:lineRule="auto"/>
        <w:ind w:firstLine="480" w:firstLineChars="200"/>
        <w:jc w:val="center"/>
        <w:rPr>
          <w:rFonts w:ascii="宋体" w:hAnsi="宋体" w:eastAsia="宋体"/>
          <w:sz w:val="24"/>
          <w:szCs w:val="24"/>
        </w:rPr>
      </w:pPr>
      <w:r>
        <w:rPr>
          <w:rFonts w:hint="eastAsia" w:ascii="宋体" w:hAnsi="宋体"/>
          <w:sz w:val="24"/>
          <w:szCs w:val="24"/>
          <w:lang w:val="en-US" w:eastAsia="zh-CN"/>
        </w:rPr>
        <w:t xml:space="preserve">                      </w:t>
      </w:r>
      <w:r>
        <w:rPr>
          <w:rFonts w:hint="eastAsia" w:ascii="宋体" w:hAnsi="宋体" w:eastAsia="宋体"/>
          <w:sz w:val="24"/>
          <w:szCs w:val="24"/>
        </w:rPr>
        <w:t>鑫益瑞建设工程有限公司</w:t>
      </w:r>
    </w:p>
    <w:p>
      <w:pPr>
        <w:spacing w:line="360" w:lineRule="auto"/>
        <w:ind w:right="440" w:firstLine="5928" w:firstLineChars="2470"/>
        <w:jc w:val="both"/>
        <w:rPr>
          <w:rFonts w:ascii="宋体" w:hAnsi="宋体" w:eastAsia="宋体"/>
          <w:sz w:val="28"/>
          <w:szCs w:val="28"/>
        </w:rPr>
      </w:pPr>
      <w:r>
        <w:rPr>
          <w:rFonts w:hint="eastAsia" w:ascii="宋体" w:hAnsi="宋体" w:eastAsia="宋体"/>
          <w:sz w:val="24"/>
          <w:szCs w:val="24"/>
        </w:rPr>
        <w:t>年</w:t>
      </w:r>
      <w:r>
        <w:rPr>
          <w:rFonts w:hint="eastAsia" w:ascii="宋体" w:hAnsi="宋体" w:eastAsia="宋体"/>
          <w:sz w:val="24"/>
          <w:szCs w:val="24"/>
          <w:lang w:val="en-US" w:eastAsia="zh-CN"/>
        </w:rPr>
        <w:t xml:space="preserve">    </w:t>
      </w:r>
      <w:r>
        <w:rPr>
          <w:rFonts w:hint="eastAsia" w:ascii="宋体" w:hAnsi="宋体" w:eastAsia="宋体"/>
          <w:sz w:val="24"/>
          <w:szCs w:val="24"/>
        </w:rPr>
        <w:t>月</w:t>
      </w:r>
      <w:r>
        <w:rPr>
          <w:rFonts w:hint="eastAsia" w:ascii="宋体" w:hAnsi="宋体" w:eastAsia="宋体"/>
          <w:sz w:val="24"/>
          <w:szCs w:val="24"/>
          <w:lang w:val="en-US" w:eastAsia="zh-CN"/>
        </w:rPr>
        <w:t xml:space="preserve">    </w:t>
      </w:r>
      <w:r>
        <w:rPr>
          <w:rFonts w:hint="eastAsia" w:ascii="宋体" w:hAnsi="宋体" w:eastAsia="宋体"/>
          <w:sz w:val="24"/>
          <w:szCs w:val="24"/>
        </w:rPr>
        <w:t>日</w:t>
      </w:r>
    </w:p>
    <w:p>
      <w:pPr>
        <w:pStyle w:val="2"/>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 xml:space="preserve">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3MDE0MDI5YmIxYWZlMmIzNTc1YTVlMmQ0Y2ZhMmYifQ=="/>
  </w:docVars>
  <w:rsids>
    <w:rsidRoot w:val="6C7B009F"/>
    <w:rsid w:val="000469CC"/>
    <w:rsid w:val="009B4F71"/>
    <w:rsid w:val="02A011C4"/>
    <w:rsid w:val="031278C1"/>
    <w:rsid w:val="04354C31"/>
    <w:rsid w:val="05E01A11"/>
    <w:rsid w:val="08AB7F04"/>
    <w:rsid w:val="08CF56C4"/>
    <w:rsid w:val="0AC66233"/>
    <w:rsid w:val="0B53768D"/>
    <w:rsid w:val="0CAE7BBA"/>
    <w:rsid w:val="0CED533C"/>
    <w:rsid w:val="0D952A2A"/>
    <w:rsid w:val="0D9A3E14"/>
    <w:rsid w:val="0E27070A"/>
    <w:rsid w:val="0E583B1B"/>
    <w:rsid w:val="0F92232F"/>
    <w:rsid w:val="0FF448E8"/>
    <w:rsid w:val="10A74055"/>
    <w:rsid w:val="1347132E"/>
    <w:rsid w:val="135B2C24"/>
    <w:rsid w:val="141E2F71"/>
    <w:rsid w:val="15874F52"/>
    <w:rsid w:val="173815BA"/>
    <w:rsid w:val="17A56484"/>
    <w:rsid w:val="187925D1"/>
    <w:rsid w:val="18FB0FC6"/>
    <w:rsid w:val="194F6B5E"/>
    <w:rsid w:val="1A432911"/>
    <w:rsid w:val="1A492A4B"/>
    <w:rsid w:val="1AB760CF"/>
    <w:rsid w:val="1B2D101B"/>
    <w:rsid w:val="1C1E47DA"/>
    <w:rsid w:val="1E916039"/>
    <w:rsid w:val="1EA06113"/>
    <w:rsid w:val="1F3249AF"/>
    <w:rsid w:val="1F480CB5"/>
    <w:rsid w:val="1FA452B4"/>
    <w:rsid w:val="22305C02"/>
    <w:rsid w:val="224E3224"/>
    <w:rsid w:val="22923F6F"/>
    <w:rsid w:val="238F0579"/>
    <w:rsid w:val="240F1512"/>
    <w:rsid w:val="24B8564F"/>
    <w:rsid w:val="25471781"/>
    <w:rsid w:val="26596A85"/>
    <w:rsid w:val="280B2B1F"/>
    <w:rsid w:val="2849586B"/>
    <w:rsid w:val="288F434B"/>
    <w:rsid w:val="299B4258"/>
    <w:rsid w:val="2A155484"/>
    <w:rsid w:val="2A160CA1"/>
    <w:rsid w:val="2ADD1E5F"/>
    <w:rsid w:val="2B993B0E"/>
    <w:rsid w:val="2BF73023"/>
    <w:rsid w:val="2C04546A"/>
    <w:rsid w:val="2C8E0B1A"/>
    <w:rsid w:val="2D4E0F01"/>
    <w:rsid w:val="2DB47F12"/>
    <w:rsid w:val="2DD551ED"/>
    <w:rsid w:val="2DDD275B"/>
    <w:rsid w:val="2E094F36"/>
    <w:rsid w:val="2EF51062"/>
    <w:rsid w:val="2F204DD0"/>
    <w:rsid w:val="2F240940"/>
    <w:rsid w:val="2F4F52F5"/>
    <w:rsid w:val="2F9054C4"/>
    <w:rsid w:val="2FD61B58"/>
    <w:rsid w:val="30496C4C"/>
    <w:rsid w:val="31A33AFE"/>
    <w:rsid w:val="329160FD"/>
    <w:rsid w:val="33A930DF"/>
    <w:rsid w:val="34963664"/>
    <w:rsid w:val="34D730C5"/>
    <w:rsid w:val="353175F0"/>
    <w:rsid w:val="358F7BE6"/>
    <w:rsid w:val="360210D0"/>
    <w:rsid w:val="36300F73"/>
    <w:rsid w:val="37F012D3"/>
    <w:rsid w:val="3844443C"/>
    <w:rsid w:val="3944571A"/>
    <w:rsid w:val="395A5C9C"/>
    <w:rsid w:val="39741B04"/>
    <w:rsid w:val="397F4787"/>
    <w:rsid w:val="3A033290"/>
    <w:rsid w:val="3A63170D"/>
    <w:rsid w:val="3AB83426"/>
    <w:rsid w:val="3B6F3017"/>
    <w:rsid w:val="3B8B403C"/>
    <w:rsid w:val="3CBF4324"/>
    <w:rsid w:val="3CC94970"/>
    <w:rsid w:val="3D5E4F3B"/>
    <w:rsid w:val="3E287C3C"/>
    <w:rsid w:val="3E902216"/>
    <w:rsid w:val="3F4D0E10"/>
    <w:rsid w:val="3F7462F9"/>
    <w:rsid w:val="3FB64759"/>
    <w:rsid w:val="3FD82351"/>
    <w:rsid w:val="40FC7DA1"/>
    <w:rsid w:val="418B0AA2"/>
    <w:rsid w:val="41F66D69"/>
    <w:rsid w:val="4278770B"/>
    <w:rsid w:val="42F444AA"/>
    <w:rsid w:val="442A1792"/>
    <w:rsid w:val="442D7BE8"/>
    <w:rsid w:val="44A079B8"/>
    <w:rsid w:val="44D47618"/>
    <w:rsid w:val="44FE14DD"/>
    <w:rsid w:val="45646D17"/>
    <w:rsid w:val="460B42A4"/>
    <w:rsid w:val="46227B97"/>
    <w:rsid w:val="478860E3"/>
    <w:rsid w:val="4A2C31A3"/>
    <w:rsid w:val="4AEC3B8D"/>
    <w:rsid w:val="4B5A1437"/>
    <w:rsid w:val="4C617781"/>
    <w:rsid w:val="4C644ED3"/>
    <w:rsid w:val="4C8E6A20"/>
    <w:rsid w:val="4D8273D6"/>
    <w:rsid w:val="4DFA4D56"/>
    <w:rsid w:val="4DFC4D50"/>
    <w:rsid w:val="4E1C1FC8"/>
    <w:rsid w:val="4EE1162B"/>
    <w:rsid w:val="4FA502D2"/>
    <w:rsid w:val="51193672"/>
    <w:rsid w:val="51EA70E5"/>
    <w:rsid w:val="51F30190"/>
    <w:rsid w:val="523164BE"/>
    <w:rsid w:val="53222127"/>
    <w:rsid w:val="53894B95"/>
    <w:rsid w:val="54CB60FC"/>
    <w:rsid w:val="54D758DC"/>
    <w:rsid w:val="55245F26"/>
    <w:rsid w:val="57221739"/>
    <w:rsid w:val="57374988"/>
    <w:rsid w:val="577D63A7"/>
    <w:rsid w:val="57E87DAA"/>
    <w:rsid w:val="59A350A5"/>
    <w:rsid w:val="59D235F5"/>
    <w:rsid w:val="5B05678A"/>
    <w:rsid w:val="5B0B4126"/>
    <w:rsid w:val="5BA45710"/>
    <w:rsid w:val="5BB016CB"/>
    <w:rsid w:val="5CD1707F"/>
    <w:rsid w:val="5D267EE3"/>
    <w:rsid w:val="5D8C2B4C"/>
    <w:rsid w:val="5DD8046F"/>
    <w:rsid w:val="5DE77968"/>
    <w:rsid w:val="5F1F49EA"/>
    <w:rsid w:val="60003F04"/>
    <w:rsid w:val="60074F16"/>
    <w:rsid w:val="601A3C64"/>
    <w:rsid w:val="6049357C"/>
    <w:rsid w:val="61462D1F"/>
    <w:rsid w:val="61C10465"/>
    <w:rsid w:val="621803C3"/>
    <w:rsid w:val="62296502"/>
    <w:rsid w:val="62934EA3"/>
    <w:rsid w:val="63031E63"/>
    <w:rsid w:val="634C5B52"/>
    <w:rsid w:val="63512690"/>
    <w:rsid w:val="635D220C"/>
    <w:rsid w:val="637B310E"/>
    <w:rsid w:val="64C905E9"/>
    <w:rsid w:val="660436B7"/>
    <w:rsid w:val="660906FF"/>
    <w:rsid w:val="66731BE1"/>
    <w:rsid w:val="67732A52"/>
    <w:rsid w:val="680B0E8E"/>
    <w:rsid w:val="6A0B4EBD"/>
    <w:rsid w:val="6A4835BE"/>
    <w:rsid w:val="6B2C5FD1"/>
    <w:rsid w:val="6B3B475E"/>
    <w:rsid w:val="6BC97C60"/>
    <w:rsid w:val="6C6B3749"/>
    <w:rsid w:val="6C7B009F"/>
    <w:rsid w:val="6C9E7448"/>
    <w:rsid w:val="6CB00BF8"/>
    <w:rsid w:val="6D2210F9"/>
    <w:rsid w:val="6D535020"/>
    <w:rsid w:val="6D7838F3"/>
    <w:rsid w:val="6DA61086"/>
    <w:rsid w:val="6E7B6213"/>
    <w:rsid w:val="6E993BD8"/>
    <w:rsid w:val="6ED63729"/>
    <w:rsid w:val="6FE167E0"/>
    <w:rsid w:val="70346CC7"/>
    <w:rsid w:val="70AF7C94"/>
    <w:rsid w:val="713959A8"/>
    <w:rsid w:val="716D3353"/>
    <w:rsid w:val="71A4005D"/>
    <w:rsid w:val="729E23D8"/>
    <w:rsid w:val="73651811"/>
    <w:rsid w:val="756B245E"/>
    <w:rsid w:val="76C60B8F"/>
    <w:rsid w:val="77075794"/>
    <w:rsid w:val="77844AB2"/>
    <w:rsid w:val="77E3618D"/>
    <w:rsid w:val="781C5DFD"/>
    <w:rsid w:val="784E76C1"/>
    <w:rsid w:val="78603579"/>
    <w:rsid w:val="78E34651"/>
    <w:rsid w:val="79813E05"/>
    <w:rsid w:val="799F4335"/>
    <w:rsid w:val="7AC83418"/>
    <w:rsid w:val="7AD067CE"/>
    <w:rsid w:val="7B215996"/>
    <w:rsid w:val="7B2C2BA2"/>
    <w:rsid w:val="7B4B6C49"/>
    <w:rsid w:val="7B576304"/>
    <w:rsid w:val="7BA82066"/>
    <w:rsid w:val="7D094569"/>
    <w:rsid w:val="7DFE609C"/>
    <w:rsid w:val="7E263D39"/>
    <w:rsid w:val="7EBE1A06"/>
    <w:rsid w:val="7EE04804"/>
    <w:rsid w:val="7EE60311"/>
    <w:rsid w:val="7F084D3E"/>
    <w:rsid w:val="7FAC3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line="360" w:lineRule="auto"/>
    </w:pPr>
    <w:rPr>
      <w:rFonts w:ascii="Times New Roman" w:hAnsi="Times New Roman" w:eastAsia="黑体" w:cs="Times New Roman"/>
      <w:sz w:val="28"/>
      <w:szCs w:val="20"/>
    </w:rPr>
  </w:style>
  <w:style w:type="paragraph" w:styleId="3">
    <w:name w:val="Normal (Web)"/>
    <w:basedOn w:val="1"/>
    <w:autoRedefine/>
    <w:unhideWhenUsed/>
    <w:qFormat/>
    <w:uiPriority w:val="99"/>
    <w:rPr>
      <w:rFonts w:ascii="Times New Roman" w:hAnsi="Times New Roman" w:eastAsia="宋体" w:cs="Times New Roman"/>
      <w:sz w:val="24"/>
      <w:lang w:val="en-US" w:eastAsia="zh-CN" w:bidi="ar-SA"/>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Pages>
  <Words>546</Words>
  <Characters>605</Characters>
  <Lines>0</Lines>
  <Paragraphs>0</Paragraphs>
  <TotalTime>0</TotalTime>
  <ScaleCrop>false</ScaleCrop>
  <LinksUpToDate>false</LinksUpToDate>
  <CharactersWithSpaces>631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2018-09-01T13:27:00Z</dcterms:created>
  <dc:creator>夏梁梁</dc:creator>
  <cp:lastModifiedBy>羁绊</cp:lastModifiedBy>
  <cp:lastPrinted>2025-08-01T09:09:00Z</cp:lastPrinted>
  <dcterms:modified xsi:type="dcterms:W3CDTF">2026-05-15T07:25:50Z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24A748450F5849FE84E1819B16DC5E87</vt:lpwstr>
  </property>
  <property fmtid="{D5CDD505-2E9C-101B-9397-08002B2CF9AE}" pid="4" name="KSOTemplateDocerSaveRecord">
    <vt:lpwstr>eyJoZGlkIjoiMjljNzZiYzQ2MmNkMzBkZDViM2QxY2Y4NmQ5MGRjYmEiLCJ1c2VySWQiOiI3ODMyNDg0NTMifQ==</vt:lpwstr>
  </property>
</Properties>
</file>