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FB533">
      <w:pPr>
        <w:jc w:val="right"/>
        <w:rPr>
          <w:rFonts w:hint="default" w:ascii="微软雅黑" w:hAnsi="微软雅黑" w:eastAsia="微软雅黑" w:cs="微软雅黑"/>
          <w:b/>
          <w:bCs w:val="0"/>
          <w:color w:val="auto"/>
          <w:sz w:val="72"/>
          <w:szCs w:val="72"/>
          <w:highlight w:val="none"/>
          <w:lang w:val="en-US"/>
        </w:rPr>
      </w:pPr>
      <w:r>
        <w:rPr>
          <w:rFonts w:hint="eastAsia" w:ascii="仿宋" w:hAnsi="仿宋" w:eastAsia="仿宋" w:cs="仿宋"/>
          <w:color w:val="auto"/>
          <w:sz w:val="20"/>
          <w:highlight w:val="none"/>
        </w:rPr>
        <w:t xml:space="preserve">  </w:t>
      </w:r>
      <w:bookmarkStart w:id="0" w:name="EBe37f5b8a797549599559bd4d79ed5880"/>
      <w:r>
        <w:rPr>
          <w:rFonts w:hint="eastAsia" w:ascii="微软雅黑" w:hAnsi="微软雅黑" w:eastAsia="微软雅黑" w:cs="微软雅黑"/>
          <w:b/>
          <w:color w:val="auto"/>
          <w:sz w:val="28"/>
          <w:szCs w:val="28"/>
          <w:highlight w:val="none"/>
        </w:rPr>
        <w:t xml:space="preserve"> </w:t>
      </w:r>
      <w:bookmarkEnd w:id="0"/>
      <w:bookmarkStart w:id="1" w:name="EB790a86e3c1eb41218f8ed98579cc8c86"/>
      <w:r>
        <w:rPr>
          <w:rFonts w:hint="eastAsia" w:ascii="微软雅黑" w:hAnsi="微软雅黑" w:eastAsia="微软雅黑" w:cs="微软雅黑"/>
          <w:b/>
          <w:color w:val="auto"/>
          <w:sz w:val="28"/>
          <w:szCs w:val="28"/>
          <w:highlight w:val="none"/>
          <w:lang w:eastAsia="zh-CN"/>
        </w:rPr>
        <w:t>项目编号：</w:t>
      </w:r>
      <w:bookmarkEnd w:id="1"/>
      <w:r>
        <w:rPr>
          <w:rFonts w:hint="eastAsia" w:ascii="微软雅黑" w:hAnsi="微软雅黑" w:eastAsia="微软雅黑" w:cs="微软雅黑"/>
          <w:b/>
          <w:color w:val="auto"/>
          <w:sz w:val="28"/>
          <w:szCs w:val="28"/>
          <w:highlight w:val="none"/>
          <w:lang w:eastAsia="zh-CN"/>
        </w:rPr>
        <w:t>XJHW202</w:t>
      </w:r>
      <w:r>
        <w:rPr>
          <w:rFonts w:hint="eastAsia" w:ascii="微软雅黑" w:hAnsi="微软雅黑" w:eastAsia="微软雅黑" w:cs="微软雅黑"/>
          <w:b/>
          <w:color w:val="auto"/>
          <w:sz w:val="28"/>
          <w:szCs w:val="28"/>
          <w:highlight w:val="none"/>
          <w:lang w:val="en-US" w:eastAsia="zh-CN"/>
        </w:rPr>
        <w:t>6</w:t>
      </w:r>
      <w:r>
        <w:rPr>
          <w:rFonts w:hint="eastAsia" w:ascii="微软雅黑" w:hAnsi="微软雅黑" w:eastAsia="微软雅黑" w:cs="微软雅黑"/>
          <w:b/>
          <w:color w:val="auto"/>
          <w:sz w:val="28"/>
          <w:szCs w:val="28"/>
          <w:highlight w:val="none"/>
          <w:lang w:eastAsia="zh-CN"/>
        </w:rPr>
        <w:t>-0</w:t>
      </w:r>
      <w:r>
        <w:rPr>
          <w:rFonts w:hint="eastAsia" w:ascii="微软雅黑" w:hAnsi="微软雅黑" w:eastAsia="微软雅黑" w:cs="微软雅黑"/>
          <w:b/>
          <w:color w:val="auto"/>
          <w:sz w:val="28"/>
          <w:szCs w:val="28"/>
          <w:highlight w:val="none"/>
          <w:lang w:val="en-US" w:eastAsia="zh-CN"/>
        </w:rPr>
        <w:t>23</w:t>
      </w:r>
    </w:p>
    <w:p w14:paraId="6CF2F71B">
      <w:pPr>
        <w:tabs>
          <w:tab w:val="left" w:pos="1134"/>
          <w:tab w:val="left" w:pos="5481"/>
          <w:tab w:val="left" w:pos="5859"/>
        </w:tabs>
        <w:jc w:val="center"/>
        <w:rPr>
          <w:rFonts w:hint="eastAsia" w:ascii="微软雅黑" w:hAnsi="微软雅黑" w:eastAsia="微软雅黑" w:cs="微软雅黑"/>
          <w:b/>
          <w:bCs w:val="0"/>
          <w:color w:val="auto"/>
          <w:sz w:val="72"/>
          <w:szCs w:val="72"/>
          <w:highlight w:val="none"/>
        </w:rPr>
      </w:pPr>
    </w:p>
    <w:p w14:paraId="5B74DF2E">
      <w:pPr>
        <w:tabs>
          <w:tab w:val="left" w:pos="1134"/>
          <w:tab w:val="left" w:pos="5481"/>
          <w:tab w:val="left" w:pos="5859"/>
        </w:tabs>
        <w:jc w:val="center"/>
        <w:rPr>
          <w:rFonts w:hint="eastAsia" w:ascii="微软雅黑" w:hAnsi="微软雅黑" w:eastAsia="微软雅黑" w:cs="微软雅黑"/>
          <w:b/>
          <w:bCs w:val="0"/>
          <w:color w:val="auto"/>
          <w:sz w:val="72"/>
          <w:szCs w:val="72"/>
          <w:highlight w:val="none"/>
        </w:rPr>
      </w:pPr>
      <w:r>
        <w:rPr>
          <w:rFonts w:hint="eastAsia" w:ascii="微软雅黑" w:hAnsi="微软雅黑" w:eastAsia="微软雅黑" w:cs="微软雅黑"/>
          <w:b/>
          <w:bCs w:val="0"/>
          <w:color w:val="auto"/>
          <w:sz w:val="72"/>
          <w:szCs w:val="72"/>
          <w:highlight w:val="none"/>
        </w:rPr>
        <w:t>政府采购</w:t>
      </w:r>
    </w:p>
    <w:p w14:paraId="54670232">
      <w:pPr>
        <w:tabs>
          <w:tab w:val="left" w:pos="1134"/>
          <w:tab w:val="left" w:pos="5481"/>
          <w:tab w:val="left" w:pos="5859"/>
        </w:tabs>
        <w:jc w:val="center"/>
        <w:rPr>
          <w:rFonts w:hint="eastAsia" w:ascii="微软雅黑" w:hAnsi="微软雅黑" w:eastAsia="微软雅黑" w:cs="微软雅黑"/>
          <w:b/>
          <w:bCs w:val="0"/>
          <w:color w:val="auto"/>
          <w:sz w:val="72"/>
          <w:szCs w:val="72"/>
          <w:highlight w:val="none"/>
        </w:rPr>
      </w:pPr>
      <w:r>
        <w:rPr>
          <w:rFonts w:hint="eastAsia" w:ascii="微软雅黑" w:hAnsi="微软雅黑" w:eastAsia="微软雅黑" w:cs="微软雅黑"/>
          <w:b/>
          <w:bCs w:val="0"/>
          <w:color w:val="auto"/>
          <w:sz w:val="72"/>
          <w:szCs w:val="72"/>
          <w:highlight w:val="none"/>
        </w:rPr>
        <w:t>招标文件</w:t>
      </w:r>
    </w:p>
    <w:p w14:paraId="6A31FE09">
      <w:pPr>
        <w:tabs>
          <w:tab w:val="left" w:pos="1134"/>
          <w:tab w:val="left" w:pos="5481"/>
          <w:tab w:val="left" w:pos="5859"/>
        </w:tabs>
        <w:jc w:val="center"/>
        <w:rPr>
          <w:rFonts w:hint="eastAsia" w:ascii="宋体" w:hAnsi="宋体"/>
          <w:b/>
          <w:bCs w:val="0"/>
          <w:color w:val="auto"/>
          <w:sz w:val="36"/>
          <w:szCs w:val="36"/>
          <w:highlight w:val="none"/>
        </w:rPr>
      </w:pPr>
    </w:p>
    <w:p w14:paraId="4F29ECF5">
      <w:pPr>
        <w:tabs>
          <w:tab w:val="left" w:pos="1134"/>
          <w:tab w:val="left" w:pos="5481"/>
          <w:tab w:val="left" w:pos="5859"/>
        </w:tabs>
        <w:jc w:val="both"/>
        <w:rPr>
          <w:rFonts w:hint="eastAsia" w:ascii="微软雅黑" w:hAnsi="微软雅黑" w:eastAsia="微软雅黑" w:cs="微软雅黑"/>
          <w:b/>
          <w:bCs w:val="0"/>
          <w:color w:val="auto"/>
          <w:sz w:val="36"/>
          <w:szCs w:val="36"/>
          <w:highlight w:val="none"/>
        </w:rPr>
      </w:pPr>
      <w:r>
        <w:rPr>
          <w:rFonts w:hint="eastAsia" w:ascii="宋体" w:hAnsi="宋体" w:eastAsia="宋体"/>
          <w:b/>
          <w:bCs w:val="0"/>
          <w:color w:val="auto"/>
          <w:sz w:val="32"/>
          <w:highlight w:val="none"/>
          <w:lang w:eastAsia="zh-CN"/>
        </w:rPr>
        <w:drawing>
          <wp:anchor distT="0" distB="0" distL="114300" distR="114300" simplePos="0" relativeHeight="251661312" behindDoc="1" locked="0" layoutInCell="1" allowOverlap="1">
            <wp:simplePos x="0" y="0"/>
            <wp:positionH relativeFrom="column">
              <wp:posOffset>1596390</wp:posOffset>
            </wp:positionH>
            <wp:positionV relativeFrom="paragraph">
              <wp:posOffset>1905</wp:posOffset>
            </wp:positionV>
            <wp:extent cx="2557145" cy="1934210"/>
            <wp:effectExtent l="0" t="0" r="14605" b="8890"/>
            <wp:wrapTight wrapText="bothSides">
              <wp:wrapPolygon>
                <wp:start x="8207" y="0"/>
                <wp:lineTo x="6437" y="425"/>
                <wp:lineTo x="2414" y="2766"/>
                <wp:lineTo x="1770" y="4255"/>
                <wp:lineTo x="322" y="6595"/>
                <wp:lineTo x="0" y="8297"/>
                <wp:lineTo x="0" y="13615"/>
                <wp:lineTo x="2414" y="13615"/>
                <wp:lineTo x="2414" y="14679"/>
                <wp:lineTo x="4023" y="17019"/>
                <wp:lineTo x="4827" y="17019"/>
                <wp:lineTo x="2575" y="18083"/>
                <wp:lineTo x="2575" y="18721"/>
                <wp:lineTo x="5310" y="20423"/>
                <wp:lineTo x="5310" y="20636"/>
                <wp:lineTo x="7885" y="21487"/>
                <wp:lineTo x="8207" y="21487"/>
                <wp:lineTo x="13195" y="21487"/>
                <wp:lineTo x="13678" y="21487"/>
                <wp:lineTo x="16252" y="20423"/>
                <wp:lineTo x="17701" y="17019"/>
                <wp:lineTo x="21402" y="14041"/>
                <wp:lineTo x="21402" y="8297"/>
                <wp:lineTo x="21241" y="6808"/>
                <wp:lineTo x="18988" y="2978"/>
                <wp:lineTo x="14643" y="213"/>
                <wp:lineTo x="13195" y="0"/>
                <wp:lineTo x="8207" y="0"/>
              </wp:wrapPolygon>
            </wp:wrapTight>
            <wp:docPr id="4" name="图片 2" descr="255b2a95f1eb68f2fabff0861fb5f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55b2a95f1eb68f2fabff0861fb5fea"/>
                    <pic:cNvPicPr>
                      <a:picLocks noChangeAspect="1"/>
                    </pic:cNvPicPr>
                  </pic:nvPicPr>
                  <pic:blipFill>
                    <a:blip r:embed="rId12"/>
                    <a:stretch>
                      <a:fillRect/>
                    </a:stretch>
                  </pic:blipFill>
                  <pic:spPr>
                    <a:xfrm>
                      <a:off x="0" y="0"/>
                      <a:ext cx="2557145" cy="1934210"/>
                    </a:xfrm>
                    <a:prstGeom prst="rect">
                      <a:avLst/>
                    </a:prstGeom>
                    <a:noFill/>
                    <a:ln>
                      <a:noFill/>
                    </a:ln>
                  </pic:spPr>
                </pic:pic>
              </a:graphicData>
            </a:graphic>
          </wp:anchor>
        </w:drawing>
      </w:r>
      <w:r>
        <w:rPr>
          <w:rFonts w:hint="eastAsia" w:ascii="宋体" w:hAnsi="宋体"/>
          <w:b/>
          <w:bCs w:val="0"/>
          <w:color w:val="auto"/>
          <w:sz w:val="72"/>
          <w:szCs w:val="72"/>
          <w:highlight w:val="none"/>
        </w:rPr>
        <w:t xml:space="preserve">  </w:t>
      </w:r>
    </w:p>
    <w:p w14:paraId="6557421C">
      <w:pPr>
        <w:pStyle w:val="13"/>
        <w:spacing w:line="240" w:lineRule="auto"/>
        <w:ind w:left="0" w:leftChars="0" w:firstLine="0" w:firstLineChars="0"/>
        <w:jc w:val="both"/>
        <w:rPr>
          <w:rFonts w:hint="eastAsia" w:ascii="微软雅黑" w:hAnsi="微软雅黑" w:eastAsia="微软雅黑" w:cs="微软雅黑"/>
          <w:b/>
          <w:bCs w:val="0"/>
          <w:color w:val="auto"/>
          <w:sz w:val="72"/>
          <w:szCs w:val="72"/>
          <w:highlight w:val="none"/>
        </w:rPr>
      </w:pPr>
    </w:p>
    <w:p w14:paraId="0959EB71">
      <w:pPr>
        <w:pStyle w:val="13"/>
        <w:spacing w:line="240" w:lineRule="auto"/>
        <w:ind w:left="0" w:leftChars="0" w:firstLine="0" w:firstLineChars="0"/>
        <w:jc w:val="both"/>
        <w:rPr>
          <w:rFonts w:hint="eastAsia" w:ascii="微软雅黑" w:hAnsi="微软雅黑" w:eastAsia="微软雅黑" w:cs="微软雅黑"/>
          <w:b/>
          <w:bCs w:val="0"/>
          <w:color w:val="auto"/>
          <w:sz w:val="72"/>
          <w:szCs w:val="72"/>
          <w:highlight w:val="none"/>
        </w:rPr>
      </w:pPr>
    </w:p>
    <w:p w14:paraId="79F136A2">
      <w:pPr>
        <w:pStyle w:val="13"/>
        <w:spacing w:line="240" w:lineRule="auto"/>
        <w:ind w:left="0" w:leftChars="0" w:firstLine="0" w:firstLineChars="0"/>
        <w:jc w:val="center"/>
        <w:rPr>
          <w:rFonts w:hint="eastAsia" w:ascii="微软雅黑" w:hAnsi="微软雅黑" w:eastAsia="微软雅黑" w:cs="微软雅黑"/>
          <w:b/>
          <w:bCs w:val="0"/>
          <w:color w:val="auto"/>
          <w:sz w:val="32"/>
          <w:highlight w:val="none"/>
        </w:rPr>
      </w:pPr>
      <w:r>
        <w:rPr>
          <w:rFonts w:hint="eastAsia" w:ascii="微软雅黑" w:hAnsi="微软雅黑" w:eastAsia="微软雅黑" w:cs="微软雅黑"/>
          <w:b/>
          <w:bCs w:val="0"/>
          <w:color w:val="auto"/>
          <w:sz w:val="72"/>
          <w:szCs w:val="72"/>
          <w:highlight w:val="none"/>
        </w:rPr>
        <w:t>（</w:t>
      </w:r>
      <w:r>
        <w:rPr>
          <w:rFonts w:hint="eastAsia" w:ascii="微软雅黑" w:hAnsi="微软雅黑" w:eastAsia="微软雅黑" w:cs="微软雅黑"/>
          <w:b/>
          <w:bCs w:val="0"/>
          <w:color w:val="auto"/>
          <w:sz w:val="72"/>
          <w:szCs w:val="72"/>
          <w:highlight w:val="none"/>
          <w:lang w:eastAsia="zh-CN"/>
        </w:rPr>
        <w:t>服务</w:t>
      </w:r>
      <w:r>
        <w:rPr>
          <w:rFonts w:hint="eastAsia" w:ascii="微软雅黑" w:hAnsi="微软雅黑" w:eastAsia="微软雅黑" w:cs="微软雅黑"/>
          <w:b/>
          <w:bCs w:val="0"/>
          <w:color w:val="auto"/>
          <w:sz w:val="72"/>
          <w:szCs w:val="72"/>
          <w:highlight w:val="none"/>
        </w:rPr>
        <w:t>类）</w:t>
      </w:r>
    </w:p>
    <w:p w14:paraId="6A1B4A4C">
      <w:pPr>
        <w:pStyle w:val="13"/>
        <w:spacing w:line="240" w:lineRule="auto"/>
        <w:ind w:left="2240" w:leftChars="0" w:hanging="2240" w:hangingChars="700"/>
        <w:rPr>
          <w:rFonts w:hint="eastAsia" w:ascii="微软雅黑" w:hAnsi="微软雅黑" w:eastAsia="微软雅黑" w:cs="微软雅黑"/>
          <w:b/>
          <w:color w:val="auto"/>
          <w:sz w:val="32"/>
          <w:highlight w:val="none"/>
        </w:rPr>
      </w:pPr>
    </w:p>
    <w:p w14:paraId="6EA694BB">
      <w:pPr>
        <w:pStyle w:val="13"/>
        <w:spacing w:line="240" w:lineRule="auto"/>
        <w:ind w:left="2240" w:leftChars="0" w:hanging="2240" w:hangingChars="700"/>
        <w:rPr>
          <w:rFonts w:hint="eastAsia" w:ascii="微软雅黑" w:hAnsi="微软雅黑" w:eastAsia="微软雅黑" w:cs="微软雅黑"/>
          <w:b/>
          <w:color w:val="auto"/>
          <w:sz w:val="32"/>
          <w:highlight w:val="none"/>
          <w:lang w:eastAsia="zh-CN"/>
        </w:rPr>
      </w:pPr>
      <w:r>
        <w:rPr>
          <w:rFonts w:hint="eastAsia" w:ascii="微软雅黑" w:hAnsi="微软雅黑" w:eastAsia="微软雅黑" w:cs="微软雅黑"/>
          <w:b/>
          <w:color w:val="auto"/>
          <w:sz w:val="32"/>
          <w:highlight w:val="none"/>
        </w:rPr>
        <w:t>项</w:t>
      </w:r>
      <w:r>
        <w:rPr>
          <w:rFonts w:hint="default" w:ascii="微软雅黑" w:hAnsi="微软雅黑" w:eastAsia="微软雅黑" w:cs="微软雅黑"/>
          <w:b/>
          <w:color w:val="auto"/>
          <w:sz w:val="32"/>
          <w:highlight w:val="none"/>
        </w:rPr>
        <w:t xml:space="preserve"> </w:t>
      </w:r>
      <w:r>
        <w:rPr>
          <w:rFonts w:hint="eastAsia" w:ascii="微软雅黑" w:hAnsi="微软雅黑" w:eastAsia="微软雅黑" w:cs="微软雅黑"/>
          <w:b/>
          <w:color w:val="auto"/>
          <w:sz w:val="32"/>
          <w:highlight w:val="none"/>
        </w:rPr>
        <w:t>目</w:t>
      </w:r>
      <w:r>
        <w:rPr>
          <w:rFonts w:hint="default" w:ascii="微软雅黑" w:hAnsi="微软雅黑" w:eastAsia="微软雅黑" w:cs="微软雅黑"/>
          <w:b/>
          <w:color w:val="auto"/>
          <w:sz w:val="32"/>
          <w:highlight w:val="none"/>
        </w:rPr>
        <w:t xml:space="preserve"> </w:t>
      </w:r>
      <w:r>
        <w:rPr>
          <w:rFonts w:hint="eastAsia" w:ascii="微软雅黑" w:hAnsi="微软雅黑" w:eastAsia="微软雅黑" w:cs="微软雅黑"/>
          <w:b/>
          <w:color w:val="auto"/>
          <w:sz w:val="32"/>
          <w:highlight w:val="none"/>
        </w:rPr>
        <w:t>名</w:t>
      </w:r>
      <w:r>
        <w:rPr>
          <w:rFonts w:hint="default" w:ascii="微软雅黑" w:hAnsi="微软雅黑" w:eastAsia="微软雅黑" w:cs="微软雅黑"/>
          <w:b/>
          <w:color w:val="auto"/>
          <w:sz w:val="32"/>
          <w:highlight w:val="none"/>
        </w:rPr>
        <w:t xml:space="preserve"> </w:t>
      </w:r>
      <w:r>
        <w:rPr>
          <w:rFonts w:hint="eastAsia" w:ascii="微软雅黑" w:hAnsi="微软雅黑" w:eastAsia="微软雅黑" w:cs="微软雅黑"/>
          <w:b/>
          <w:color w:val="auto"/>
          <w:sz w:val="32"/>
          <w:highlight w:val="none"/>
        </w:rPr>
        <w:t>称</w:t>
      </w:r>
      <w:r>
        <w:rPr>
          <w:rFonts w:hint="default" w:ascii="微软雅黑" w:hAnsi="微软雅黑" w:eastAsia="微软雅黑" w:cs="微软雅黑"/>
          <w:b/>
          <w:color w:val="auto"/>
          <w:sz w:val="32"/>
          <w:highlight w:val="none"/>
        </w:rPr>
        <w:t xml:space="preserve"> </w:t>
      </w:r>
      <w:r>
        <w:rPr>
          <w:rFonts w:hint="eastAsia" w:ascii="微软雅黑" w:hAnsi="微软雅黑" w:eastAsia="微软雅黑" w:cs="微软雅黑"/>
          <w:b/>
          <w:color w:val="auto"/>
          <w:sz w:val="32"/>
          <w:highlight w:val="none"/>
        </w:rPr>
        <w:t>：</w:t>
      </w:r>
      <w:r>
        <w:rPr>
          <w:rFonts w:hint="eastAsia" w:ascii="微软雅黑" w:hAnsi="微软雅黑" w:eastAsia="微软雅黑" w:cs="微软雅黑"/>
          <w:b/>
          <w:color w:val="auto"/>
          <w:sz w:val="32"/>
          <w:highlight w:val="none"/>
          <w:lang w:eastAsia="zh-CN"/>
        </w:rPr>
        <w:t xml:space="preserve">乌鲁木齐市冬季清洁取暖项目效果评估项目 </w:t>
      </w:r>
    </w:p>
    <w:p w14:paraId="03FA9109">
      <w:pPr>
        <w:pStyle w:val="13"/>
        <w:spacing w:line="240" w:lineRule="auto"/>
        <w:ind w:left="0" w:leftChars="0" w:firstLine="0" w:firstLineChars="0"/>
        <w:rPr>
          <w:rFonts w:hint="default" w:ascii="微软雅黑" w:hAnsi="微软雅黑" w:eastAsia="微软雅黑" w:cs="微软雅黑"/>
          <w:b/>
          <w:color w:val="auto"/>
          <w:sz w:val="32"/>
          <w:highlight w:val="none"/>
          <w:lang w:eastAsia="zh-CN"/>
        </w:rPr>
      </w:pPr>
      <w:r>
        <w:rPr>
          <w:rFonts w:hint="default" w:ascii="微软雅黑" w:hAnsi="微软雅黑" w:eastAsia="微软雅黑" w:cs="微软雅黑"/>
          <w:b/>
          <w:color w:val="auto"/>
          <w:sz w:val="32"/>
          <w:highlight w:val="none"/>
          <w:lang w:eastAsia="zh-CN"/>
        </w:rPr>
        <w:t>采   购  人 ：</w:t>
      </w:r>
      <w:r>
        <w:rPr>
          <w:rFonts w:hint="eastAsia" w:ascii="微软雅黑" w:hAnsi="微软雅黑" w:eastAsia="微软雅黑" w:cs="微软雅黑"/>
          <w:b/>
          <w:color w:val="auto"/>
          <w:sz w:val="32"/>
          <w:highlight w:val="none"/>
          <w:lang w:eastAsia="zh-CN"/>
        </w:rPr>
        <w:t>乌鲁木齐市生态环境局</w:t>
      </w:r>
    </w:p>
    <w:p w14:paraId="3F74733A">
      <w:pPr>
        <w:pStyle w:val="13"/>
        <w:spacing w:line="240" w:lineRule="auto"/>
        <w:ind w:left="0" w:leftChars="0" w:firstLine="0" w:firstLineChars="0"/>
        <w:rPr>
          <w:rFonts w:hint="eastAsia"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lang w:eastAsia="zh-CN"/>
        </w:rPr>
        <w:t>招标代理机构</w:t>
      </w:r>
      <w:r>
        <w:rPr>
          <w:rFonts w:hint="eastAsia" w:ascii="微软雅黑" w:hAnsi="微软雅黑" w:eastAsia="微软雅黑" w:cs="微软雅黑"/>
          <w:b/>
          <w:color w:val="auto"/>
          <w:sz w:val="32"/>
          <w:highlight w:val="none"/>
        </w:rPr>
        <w:t>：新疆弘伟工程项目管理有限公司</w:t>
      </w:r>
    </w:p>
    <w:p w14:paraId="606B194D">
      <w:pPr>
        <w:pStyle w:val="13"/>
        <w:spacing w:line="240" w:lineRule="auto"/>
        <w:ind w:left="0" w:leftChars="0" w:firstLine="0" w:firstLineChars="0"/>
        <w:rPr>
          <w:rFonts w:hint="eastAsia"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rPr>
        <w:t>日</w:t>
      </w:r>
      <w:r>
        <w:rPr>
          <w:rFonts w:hint="eastAsia" w:ascii="微软雅黑" w:hAnsi="微软雅黑" w:eastAsia="微软雅黑" w:cs="微软雅黑"/>
          <w:b/>
          <w:color w:val="auto"/>
          <w:sz w:val="32"/>
          <w:highlight w:val="none"/>
          <w:lang w:val="en-US" w:eastAsia="zh-CN"/>
        </w:rPr>
        <w:t xml:space="preserve">        </w:t>
      </w:r>
      <w:r>
        <w:rPr>
          <w:rFonts w:hint="eastAsia" w:ascii="微软雅黑" w:hAnsi="微软雅黑" w:eastAsia="微软雅黑" w:cs="微软雅黑"/>
          <w:b/>
          <w:color w:val="auto"/>
          <w:sz w:val="32"/>
          <w:highlight w:val="none"/>
        </w:rPr>
        <w:t>期：</w:t>
      </w:r>
      <w:r>
        <w:rPr>
          <w:rFonts w:hint="eastAsia" w:ascii="微软雅黑" w:hAnsi="微软雅黑" w:eastAsia="微软雅黑" w:cs="微软雅黑"/>
          <w:b/>
          <w:color w:val="auto"/>
          <w:sz w:val="32"/>
          <w:highlight w:val="none"/>
          <w:lang w:eastAsia="zh-CN"/>
        </w:rPr>
        <w:t>202</w:t>
      </w:r>
      <w:r>
        <w:rPr>
          <w:rFonts w:hint="eastAsia" w:ascii="微软雅黑" w:hAnsi="微软雅黑" w:eastAsia="微软雅黑" w:cs="微软雅黑"/>
          <w:b/>
          <w:color w:val="auto"/>
          <w:sz w:val="32"/>
          <w:highlight w:val="none"/>
          <w:lang w:val="en-US" w:eastAsia="zh-CN"/>
        </w:rPr>
        <w:t xml:space="preserve">6 </w:t>
      </w:r>
      <w:r>
        <w:rPr>
          <w:rFonts w:hint="eastAsia" w:ascii="微软雅黑" w:hAnsi="微软雅黑" w:eastAsia="微软雅黑" w:cs="微软雅黑"/>
          <w:b/>
          <w:color w:val="auto"/>
          <w:sz w:val="32"/>
          <w:highlight w:val="none"/>
          <w:lang w:eastAsia="zh-CN"/>
        </w:rPr>
        <w:t>年</w:t>
      </w:r>
      <w:r>
        <w:rPr>
          <w:rFonts w:hint="eastAsia" w:ascii="微软雅黑" w:hAnsi="微软雅黑" w:eastAsia="微软雅黑" w:cs="微软雅黑"/>
          <w:b/>
          <w:color w:val="auto"/>
          <w:sz w:val="32"/>
          <w:highlight w:val="none"/>
          <w:lang w:val="en-US" w:eastAsia="zh-CN"/>
        </w:rPr>
        <w:t xml:space="preserve"> 05</w:t>
      </w:r>
      <w:r>
        <w:rPr>
          <w:rFonts w:hint="eastAsia" w:ascii="微软雅黑" w:hAnsi="微软雅黑" w:eastAsia="微软雅黑" w:cs="微软雅黑"/>
          <w:b/>
          <w:color w:val="auto"/>
          <w:sz w:val="32"/>
          <w:highlight w:val="none"/>
        </w:rPr>
        <w:t>月</w:t>
      </w:r>
    </w:p>
    <w:p w14:paraId="152F7BD6">
      <w:pPr>
        <w:pStyle w:val="13"/>
        <w:spacing w:line="240" w:lineRule="auto"/>
        <w:ind w:left="0" w:leftChars="0" w:firstLine="0" w:firstLineChars="0"/>
        <w:rPr>
          <w:rFonts w:hint="eastAsia" w:ascii="微软雅黑" w:hAnsi="微软雅黑" w:eastAsia="微软雅黑" w:cs="微软雅黑"/>
          <w:b/>
          <w:color w:val="auto"/>
          <w:sz w:val="32"/>
          <w:highlight w:val="none"/>
        </w:rPr>
      </w:pPr>
    </w:p>
    <w:p w14:paraId="669CB093">
      <w:pPr>
        <w:pStyle w:val="20"/>
        <w:rPr>
          <w:rFonts w:ascii="宋体" w:hAnsi="宋体" w:eastAsia="宋体"/>
          <w:color w:val="auto"/>
          <w:sz w:val="28"/>
          <w:szCs w:val="28"/>
          <w:highlight w:val="none"/>
        </w:rPr>
      </w:pPr>
      <w:r>
        <w:rPr>
          <w:rFonts w:hint="eastAsia" w:ascii="宋体" w:hAnsi="宋体" w:eastAsia="宋体"/>
          <w:color w:val="auto"/>
          <w:sz w:val="28"/>
          <w:szCs w:val="28"/>
          <w:highlight w:val="none"/>
        </w:rPr>
        <w:t>目录</w:t>
      </w:r>
    </w:p>
    <w:p w14:paraId="185B3C3E">
      <w:pPr>
        <w:pStyle w:val="14"/>
        <w:tabs>
          <w:tab w:val="right" w:leader="dot" w:pos="8640"/>
        </w:tabs>
        <w:spacing w:line="360" w:lineRule="auto"/>
        <w:ind w:left="960"/>
        <w:rPr>
          <w:rFonts w:hint="eastAsia"/>
          <w:color w:val="auto"/>
          <w:sz w:val="28"/>
          <w:szCs w:val="28"/>
          <w:highlight w:val="none"/>
        </w:rPr>
      </w:pPr>
      <w:r>
        <w:rPr>
          <w:rFonts w:hint="eastAsia"/>
          <w:b/>
          <w:bCs/>
          <w:color w:val="auto"/>
          <w:sz w:val="28"/>
          <w:szCs w:val="28"/>
          <w:highlight w:val="none"/>
        </w:rPr>
        <w:fldChar w:fldCharType="begin"/>
      </w:r>
      <w:r>
        <w:rPr>
          <w:rStyle w:val="35"/>
          <w:rFonts w:hint="eastAsia" w:cs="宋体"/>
          <w:b/>
          <w:bCs/>
          <w:color w:val="auto"/>
          <w:sz w:val="28"/>
          <w:szCs w:val="28"/>
          <w:highlight w:val="none"/>
        </w:rPr>
        <w:instrText xml:space="preserve"> TOC \o "1-3" \h \z \u </w:instrText>
      </w:r>
      <w:r>
        <w:rPr>
          <w:rFonts w:hint="eastAsia"/>
          <w:b/>
          <w:bCs/>
          <w:color w:val="auto"/>
          <w:sz w:val="28"/>
          <w:szCs w:val="28"/>
          <w:highlight w:val="none"/>
        </w:rPr>
        <w:fldChar w:fldCharType="separate"/>
      </w:r>
    </w:p>
    <w:p w14:paraId="66B4BD21">
      <w:pPr>
        <w:pStyle w:val="20"/>
        <w:tabs>
          <w:tab w:val="right" w:leader="dot" w:pos="8640"/>
          <w:tab w:val="clear" w:pos="9628"/>
        </w:tabs>
        <w:spacing w:line="360" w:lineRule="auto"/>
        <w:rPr>
          <w:rFonts w:hint="eastAsia" w:ascii="宋体" w:hAnsi="宋体" w:eastAsia="宋体"/>
          <w:color w:val="auto"/>
          <w:sz w:val="28"/>
          <w:szCs w:val="28"/>
          <w:highlight w:val="none"/>
        </w:rPr>
      </w:pPr>
      <w:r>
        <w:rPr>
          <w:rFonts w:hint="eastAsia" w:ascii="宋体" w:hAnsi="宋体" w:eastAsia="宋体"/>
          <w:bCs/>
          <w:color w:val="auto"/>
          <w:sz w:val="28"/>
          <w:szCs w:val="28"/>
          <w:highlight w:val="none"/>
        </w:rPr>
        <w:fldChar w:fldCharType="begin"/>
      </w:r>
      <w:r>
        <w:rPr>
          <w:rFonts w:hint="eastAsia" w:ascii="宋体" w:hAnsi="宋体" w:eastAsia="宋体"/>
          <w:bCs/>
          <w:color w:val="auto"/>
          <w:sz w:val="28"/>
          <w:szCs w:val="28"/>
          <w:highlight w:val="none"/>
        </w:rPr>
        <w:instrText xml:space="preserve"> HYPERLINK \l _Toc11324 </w:instrText>
      </w:r>
      <w:r>
        <w:rPr>
          <w:rFonts w:hint="eastAsia" w:ascii="宋体" w:hAnsi="宋体" w:eastAsia="宋体"/>
          <w:bCs/>
          <w:color w:val="auto"/>
          <w:sz w:val="28"/>
          <w:szCs w:val="28"/>
          <w:highlight w:val="none"/>
        </w:rPr>
        <w:fldChar w:fldCharType="separate"/>
      </w:r>
      <w:r>
        <w:rPr>
          <w:rFonts w:hint="eastAsia" w:ascii="宋体" w:hAnsi="宋体" w:eastAsia="宋体"/>
          <w:bCs/>
          <w:color w:val="auto"/>
          <w:sz w:val="28"/>
          <w:szCs w:val="28"/>
          <w:highlight w:val="none"/>
          <w:lang w:eastAsia="zh-CN"/>
        </w:rPr>
        <w:t>招标公告</w:t>
      </w:r>
      <w:r>
        <w:rPr>
          <w:rFonts w:hint="eastAsia" w:ascii="宋体" w:hAnsi="宋体" w:eastAsia="宋体"/>
          <w:color w:val="auto"/>
          <w:sz w:val="28"/>
          <w:szCs w:val="28"/>
          <w:highlight w:val="none"/>
        </w:rPr>
        <w:tab/>
      </w:r>
      <w:r>
        <w:rPr>
          <w:rFonts w:hint="eastAsia" w:ascii="宋体" w:hAnsi="宋体" w:eastAsia="宋体"/>
          <w:color w:val="auto"/>
          <w:sz w:val="28"/>
          <w:szCs w:val="28"/>
          <w:highlight w:val="none"/>
          <w:lang w:val="en-US" w:eastAsia="zh-CN"/>
        </w:rPr>
        <w:t>1</w:t>
      </w:r>
      <w:r>
        <w:rPr>
          <w:rFonts w:hint="eastAsia" w:ascii="宋体" w:hAnsi="宋体" w:eastAsia="宋体"/>
          <w:bCs/>
          <w:color w:val="auto"/>
          <w:sz w:val="28"/>
          <w:szCs w:val="28"/>
          <w:highlight w:val="none"/>
        </w:rPr>
        <w:fldChar w:fldCharType="end"/>
      </w:r>
    </w:p>
    <w:p w14:paraId="35A509AD">
      <w:pPr>
        <w:pStyle w:val="20"/>
        <w:tabs>
          <w:tab w:val="right" w:leader="dot" w:pos="8640"/>
          <w:tab w:val="clear" w:pos="9628"/>
        </w:tabs>
        <w:spacing w:line="360" w:lineRule="auto"/>
        <w:rPr>
          <w:rFonts w:hint="eastAsia" w:ascii="宋体" w:hAnsi="宋体" w:eastAsia="宋体"/>
          <w:color w:val="auto"/>
          <w:sz w:val="28"/>
          <w:szCs w:val="28"/>
          <w:highlight w:val="none"/>
        </w:rPr>
      </w:pPr>
      <w:r>
        <w:rPr>
          <w:rFonts w:hint="eastAsia" w:ascii="宋体" w:hAnsi="宋体" w:eastAsia="宋体"/>
          <w:bCs/>
          <w:color w:val="auto"/>
          <w:sz w:val="28"/>
          <w:szCs w:val="28"/>
          <w:highlight w:val="none"/>
        </w:rPr>
        <w:fldChar w:fldCharType="begin"/>
      </w:r>
      <w:r>
        <w:rPr>
          <w:rFonts w:hint="eastAsia" w:ascii="宋体" w:hAnsi="宋体" w:eastAsia="宋体"/>
          <w:bCs/>
          <w:color w:val="auto"/>
          <w:sz w:val="28"/>
          <w:szCs w:val="28"/>
          <w:highlight w:val="none"/>
        </w:rPr>
        <w:instrText xml:space="preserve"> HYPERLINK \l _Toc20264 </w:instrText>
      </w:r>
      <w:r>
        <w:rPr>
          <w:rFonts w:hint="eastAsia" w:ascii="宋体" w:hAnsi="宋体" w:eastAsia="宋体"/>
          <w:bCs/>
          <w:color w:val="auto"/>
          <w:sz w:val="28"/>
          <w:szCs w:val="28"/>
          <w:highlight w:val="none"/>
        </w:rPr>
        <w:fldChar w:fldCharType="separate"/>
      </w:r>
      <w:r>
        <w:rPr>
          <w:rFonts w:hint="eastAsia" w:ascii="宋体" w:hAnsi="宋体" w:eastAsia="宋体"/>
          <w:color w:val="auto"/>
          <w:kern w:val="2"/>
          <w:sz w:val="28"/>
          <w:szCs w:val="28"/>
          <w:highlight w:val="none"/>
        </w:rPr>
        <w:t>第一部分 投标须知前附表</w:t>
      </w:r>
      <w:r>
        <w:rPr>
          <w:rFonts w:hint="eastAsia" w:ascii="宋体" w:hAnsi="宋体" w:eastAsia="宋体"/>
          <w:color w:val="auto"/>
          <w:sz w:val="28"/>
          <w:szCs w:val="28"/>
          <w:highlight w:val="none"/>
        </w:rPr>
        <w:tab/>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PAGEREF _Toc20264 \h </w:instrText>
      </w:r>
      <w:r>
        <w:rPr>
          <w:rFonts w:hint="eastAsia" w:ascii="宋体" w:hAnsi="宋体" w:eastAsia="宋体"/>
          <w:color w:val="auto"/>
          <w:sz w:val="28"/>
          <w:szCs w:val="28"/>
          <w:highlight w:val="none"/>
        </w:rPr>
        <w:fldChar w:fldCharType="separate"/>
      </w:r>
      <w:r>
        <w:rPr>
          <w:rFonts w:hint="eastAsia" w:ascii="宋体" w:hAnsi="宋体" w:eastAsia="宋体"/>
          <w:color w:val="auto"/>
          <w:sz w:val="28"/>
          <w:szCs w:val="28"/>
          <w:highlight w:val="none"/>
        </w:rPr>
        <w:t>4</w:t>
      </w:r>
      <w:r>
        <w:rPr>
          <w:rFonts w:hint="eastAsia" w:ascii="宋体" w:hAnsi="宋体" w:eastAsia="宋体"/>
          <w:color w:val="auto"/>
          <w:sz w:val="28"/>
          <w:szCs w:val="28"/>
          <w:highlight w:val="none"/>
        </w:rPr>
        <w:fldChar w:fldCharType="end"/>
      </w:r>
      <w:r>
        <w:rPr>
          <w:rFonts w:hint="eastAsia" w:ascii="宋体" w:hAnsi="宋体" w:eastAsia="宋体"/>
          <w:bCs/>
          <w:color w:val="auto"/>
          <w:sz w:val="28"/>
          <w:szCs w:val="28"/>
          <w:highlight w:val="none"/>
        </w:rPr>
        <w:fldChar w:fldCharType="end"/>
      </w:r>
    </w:p>
    <w:p w14:paraId="4EC3A6DC">
      <w:pPr>
        <w:pStyle w:val="20"/>
        <w:tabs>
          <w:tab w:val="right" w:leader="dot" w:pos="8640"/>
          <w:tab w:val="clear" w:pos="9628"/>
        </w:tabs>
        <w:spacing w:line="360" w:lineRule="auto"/>
        <w:rPr>
          <w:rFonts w:hint="eastAsia" w:ascii="宋体" w:hAnsi="宋体" w:eastAsia="宋体"/>
          <w:color w:val="auto"/>
          <w:sz w:val="28"/>
          <w:szCs w:val="28"/>
          <w:highlight w:val="none"/>
        </w:rPr>
      </w:pPr>
      <w:r>
        <w:rPr>
          <w:rFonts w:hint="eastAsia" w:ascii="宋体" w:hAnsi="宋体" w:eastAsia="宋体"/>
          <w:bCs/>
          <w:color w:val="auto"/>
          <w:sz w:val="28"/>
          <w:szCs w:val="28"/>
          <w:highlight w:val="none"/>
        </w:rPr>
        <w:fldChar w:fldCharType="begin"/>
      </w:r>
      <w:r>
        <w:rPr>
          <w:rFonts w:hint="eastAsia" w:ascii="宋体" w:hAnsi="宋体" w:eastAsia="宋体"/>
          <w:bCs/>
          <w:color w:val="auto"/>
          <w:sz w:val="28"/>
          <w:szCs w:val="28"/>
          <w:highlight w:val="none"/>
        </w:rPr>
        <w:instrText xml:space="preserve"> HYPERLINK \l _Toc13807 </w:instrText>
      </w:r>
      <w:r>
        <w:rPr>
          <w:rFonts w:hint="eastAsia" w:ascii="宋体" w:hAnsi="宋体" w:eastAsia="宋体"/>
          <w:bCs/>
          <w:color w:val="auto"/>
          <w:sz w:val="28"/>
          <w:szCs w:val="28"/>
          <w:highlight w:val="none"/>
        </w:rPr>
        <w:fldChar w:fldCharType="separate"/>
      </w:r>
      <w:r>
        <w:rPr>
          <w:rFonts w:hint="eastAsia" w:ascii="宋体" w:hAnsi="宋体" w:eastAsia="宋体"/>
          <w:color w:val="auto"/>
          <w:kern w:val="2"/>
          <w:sz w:val="28"/>
          <w:szCs w:val="28"/>
          <w:highlight w:val="none"/>
        </w:rPr>
        <w:t>第二部分 招标说明</w:t>
      </w:r>
      <w:r>
        <w:rPr>
          <w:rFonts w:hint="eastAsia" w:ascii="宋体" w:hAnsi="宋体" w:eastAsia="宋体"/>
          <w:color w:val="auto"/>
          <w:sz w:val="28"/>
          <w:szCs w:val="28"/>
          <w:highlight w:val="none"/>
        </w:rPr>
        <w:tab/>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PAGEREF _Toc13807 \h </w:instrText>
      </w:r>
      <w:r>
        <w:rPr>
          <w:rFonts w:hint="eastAsia" w:ascii="宋体" w:hAnsi="宋体" w:eastAsia="宋体"/>
          <w:color w:val="auto"/>
          <w:sz w:val="28"/>
          <w:szCs w:val="28"/>
          <w:highlight w:val="none"/>
        </w:rPr>
        <w:fldChar w:fldCharType="separate"/>
      </w:r>
      <w:r>
        <w:rPr>
          <w:rFonts w:hint="eastAsia" w:ascii="宋体" w:hAnsi="宋体" w:eastAsia="宋体"/>
          <w:color w:val="auto"/>
          <w:sz w:val="28"/>
          <w:szCs w:val="28"/>
          <w:highlight w:val="none"/>
        </w:rPr>
        <w:t>10</w:t>
      </w:r>
      <w:r>
        <w:rPr>
          <w:rFonts w:hint="eastAsia" w:ascii="宋体" w:hAnsi="宋体" w:eastAsia="宋体"/>
          <w:color w:val="auto"/>
          <w:sz w:val="28"/>
          <w:szCs w:val="28"/>
          <w:highlight w:val="none"/>
        </w:rPr>
        <w:fldChar w:fldCharType="end"/>
      </w:r>
      <w:r>
        <w:rPr>
          <w:rFonts w:hint="eastAsia" w:ascii="宋体" w:hAnsi="宋体" w:eastAsia="宋体"/>
          <w:bCs/>
          <w:color w:val="auto"/>
          <w:sz w:val="28"/>
          <w:szCs w:val="28"/>
          <w:highlight w:val="none"/>
        </w:rPr>
        <w:fldChar w:fldCharType="end"/>
      </w:r>
    </w:p>
    <w:p w14:paraId="7134248B">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_Toc20377 </w:instrText>
      </w:r>
      <w:r>
        <w:rPr>
          <w:rFonts w:hint="eastAsia"/>
          <w:bCs/>
          <w:color w:val="auto"/>
          <w:sz w:val="28"/>
          <w:szCs w:val="28"/>
          <w:highlight w:val="none"/>
        </w:rPr>
        <w:fldChar w:fldCharType="separate"/>
      </w:r>
      <w:r>
        <w:rPr>
          <w:rFonts w:hint="eastAsia"/>
          <w:color w:val="auto"/>
          <w:kern w:val="2"/>
          <w:sz w:val="28"/>
          <w:szCs w:val="28"/>
          <w:highlight w:val="none"/>
        </w:rPr>
        <w:t>第一章总则</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_Toc20377 \h </w:instrText>
      </w:r>
      <w:r>
        <w:rPr>
          <w:rFonts w:hint="eastAsia"/>
          <w:color w:val="auto"/>
          <w:sz w:val="28"/>
          <w:szCs w:val="28"/>
          <w:highlight w:val="none"/>
        </w:rPr>
        <w:fldChar w:fldCharType="separate"/>
      </w:r>
      <w:r>
        <w:rPr>
          <w:rFonts w:hint="eastAsia"/>
          <w:color w:val="auto"/>
          <w:sz w:val="28"/>
          <w:szCs w:val="28"/>
          <w:highlight w:val="none"/>
        </w:rPr>
        <w:t>10</w:t>
      </w:r>
      <w:r>
        <w:rPr>
          <w:rFonts w:hint="eastAsia"/>
          <w:color w:val="auto"/>
          <w:sz w:val="28"/>
          <w:szCs w:val="28"/>
          <w:highlight w:val="none"/>
        </w:rPr>
        <w:fldChar w:fldCharType="end"/>
      </w:r>
      <w:r>
        <w:rPr>
          <w:rFonts w:hint="eastAsia"/>
          <w:bCs/>
          <w:color w:val="auto"/>
          <w:sz w:val="28"/>
          <w:szCs w:val="28"/>
          <w:highlight w:val="none"/>
        </w:rPr>
        <w:fldChar w:fldCharType="end"/>
      </w:r>
    </w:p>
    <w:p w14:paraId="3F71437B">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_Toc20907 </w:instrText>
      </w:r>
      <w:r>
        <w:rPr>
          <w:rFonts w:hint="eastAsia"/>
          <w:bCs/>
          <w:color w:val="auto"/>
          <w:sz w:val="28"/>
          <w:szCs w:val="28"/>
          <w:highlight w:val="none"/>
        </w:rPr>
        <w:fldChar w:fldCharType="separate"/>
      </w:r>
      <w:r>
        <w:rPr>
          <w:rFonts w:hint="eastAsia"/>
          <w:color w:val="auto"/>
          <w:kern w:val="2"/>
          <w:sz w:val="28"/>
          <w:szCs w:val="28"/>
          <w:highlight w:val="none"/>
        </w:rPr>
        <w:t>第二章招标文件</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_Toc20907 \h </w:instrText>
      </w:r>
      <w:r>
        <w:rPr>
          <w:rFonts w:hint="eastAsia"/>
          <w:color w:val="auto"/>
          <w:sz w:val="28"/>
          <w:szCs w:val="28"/>
          <w:highlight w:val="none"/>
        </w:rPr>
        <w:fldChar w:fldCharType="separate"/>
      </w:r>
      <w:r>
        <w:rPr>
          <w:rFonts w:hint="eastAsia"/>
          <w:color w:val="auto"/>
          <w:sz w:val="28"/>
          <w:szCs w:val="28"/>
          <w:highlight w:val="none"/>
        </w:rPr>
        <w:t>12</w:t>
      </w:r>
      <w:r>
        <w:rPr>
          <w:rFonts w:hint="eastAsia"/>
          <w:color w:val="auto"/>
          <w:sz w:val="28"/>
          <w:szCs w:val="28"/>
          <w:highlight w:val="none"/>
        </w:rPr>
        <w:fldChar w:fldCharType="end"/>
      </w:r>
      <w:r>
        <w:rPr>
          <w:rFonts w:hint="eastAsia"/>
          <w:bCs/>
          <w:color w:val="auto"/>
          <w:sz w:val="28"/>
          <w:szCs w:val="28"/>
          <w:highlight w:val="none"/>
        </w:rPr>
        <w:fldChar w:fldCharType="end"/>
      </w:r>
    </w:p>
    <w:p w14:paraId="25DDCC58">
      <w:pPr>
        <w:pStyle w:val="20"/>
        <w:tabs>
          <w:tab w:val="right" w:leader="dot" w:pos="8640"/>
          <w:tab w:val="clear" w:pos="9628"/>
        </w:tabs>
        <w:spacing w:line="360" w:lineRule="auto"/>
        <w:rPr>
          <w:rFonts w:hint="eastAsia" w:ascii="宋体" w:hAnsi="宋体" w:eastAsia="宋体"/>
          <w:color w:val="auto"/>
          <w:sz w:val="28"/>
          <w:szCs w:val="28"/>
          <w:highlight w:val="none"/>
        </w:rPr>
      </w:pPr>
      <w:r>
        <w:rPr>
          <w:rFonts w:hint="eastAsia" w:ascii="宋体" w:hAnsi="宋体" w:eastAsia="宋体"/>
          <w:bCs/>
          <w:color w:val="auto"/>
          <w:sz w:val="28"/>
          <w:szCs w:val="28"/>
          <w:highlight w:val="none"/>
        </w:rPr>
        <w:fldChar w:fldCharType="begin"/>
      </w:r>
      <w:r>
        <w:rPr>
          <w:rFonts w:hint="eastAsia" w:ascii="宋体" w:hAnsi="宋体" w:eastAsia="宋体"/>
          <w:bCs/>
          <w:color w:val="auto"/>
          <w:sz w:val="28"/>
          <w:szCs w:val="28"/>
          <w:highlight w:val="none"/>
        </w:rPr>
        <w:instrText xml:space="preserve"> HYPERLINK \l _Toc29169 </w:instrText>
      </w:r>
      <w:r>
        <w:rPr>
          <w:rFonts w:hint="eastAsia" w:ascii="宋体" w:hAnsi="宋体" w:eastAsia="宋体"/>
          <w:bCs/>
          <w:color w:val="auto"/>
          <w:sz w:val="28"/>
          <w:szCs w:val="28"/>
          <w:highlight w:val="none"/>
        </w:rPr>
        <w:fldChar w:fldCharType="separate"/>
      </w:r>
      <w:r>
        <w:rPr>
          <w:rFonts w:hint="eastAsia" w:ascii="宋体" w:hAnsi="宋体" w:eastAsia="宋体"/>
          <w:color w:val="auto"/>
          <w:kern w:val="2"/>
          <w:sz w:val="28"/>
          <w:szCs w:val="28"/>
          <w:highlight w:val="none"/>
        </w:rPr>
        <w:t>第三部分 投标说明</w:t>
      </w:r>
      <w:r>
        <w:rPr>
          <w:rFonts w:hint="eastAsia" w:ascii="宋体" w:hAnsi="宋体" w:eastAsia="宋体"/>
          <w:color w:val="auto"/>
          <w:sz w:val="28"/>
          <w:szCs w:val="28"/>
          <w:highlight w:val="none"/>
        </w:rPr>
        <w:tab/>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PAGEREF _Toc29169 \h </w:instrText>
      </w:r>
      <w:r>
        <w:rPr>
          <w:rFonts w:hint="eastAsia" w:ascii="宋体" w:hAnsi="宋体" w:eastAsia="宋体"/>
          <w:color w:val="auto"/>
          <w:sz w:val="28"/>
          <w:szCs w:val="28"/>
          <w:highlight w:val="none"/>
        </w:rPr>
        <w:fldChar w:fldCharType="separate"/>
      </w:r>
      <w:r>
        <w:rPr>
          <w:rFonts w:hint="eastAsia" w:ascii="宋体" w:hAnsi="宋体" w:eastAsia="宋体"/>
          <w:color w:val="auto"/>
          <w:sz w:val="28"/>
          <w:szCs w:val="28"/>
          <w:highlight w:val="none"/>
        </w:rPr>
        <w:t>14</w:t>
      </w:r>
      <w:r>
        <w:rPr>
          <w:rFonts w:hint="eastAsia" w:ascii="宋体" w:hAnsi="宋体" w:eastAsia="宋体"/>
          <w:color w:val="auto"/>
          <w:sz w:val="28"/>
          <w:szCs w:val="28"/>
          <w:highlight w:val="none"/>
        </w:rPr>
        <w:fldChar w:fldCharType="end"/>
      </w:r>
      <w:r>
        <w:rPr>
          <w:rFonts w:hint="eastAsia" w:ascii="宋体" w:hAnsi="宋体" w:eastAsia="宋体"/>
          <w:bCs/>
          <w:color w:val="auto"/>
          <w:sz w:val="28"/>
          <w:szCs w:val="28"/>
          <w:highlight w:val="none"/>
        </w:rPr>
        <w:fldChar w:fldCharType="end"/>
      </w:r>
    </w:p>
    <w:p w14:paraId="47B7B886">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_Toc8858 </w:instrText>
      </w:r>
      <w:r>
        <w:rPr>
          <w:rFonts w:hint="eastAsia"/>
          <w:bCs/>
          <w:color w:val="auto"/>
          <w:sz w:val="28"/>
          <w:szCs w:val="28"/>
          <w:highlight w:val="none"/>
        </w:rPr>
        <w:fldChar w:fldCharType="separate"/>
      </w:r>
      <w:r>
        <w:rPr>
          <w:rFonts w:hint="eastAsia"/>
          <w:color w:val="auto"/>
          <w:sz w:val="28"/>
          <w:szCs w:val="28"/>
          <w:highlight w:val="none"/>
        </w:rPr>
        <w:t>第一章 投标人的资格证明</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_Toc8858 \h </w:instrText>
      </w:r>
      <w:r>
        <w:rPr>
          <w:rFonts w:hint="eastAsia"/>
          <w:color w:val="auto"/>
          <w:sz w:val="28"/>
          <w:szCs w:val="28"/>
          <w:highlight w:val="none"/>
        </w:rPr>
        <w:fldChar w:fldCharType="separate"/>
      </w:r>
      <w:r>
        <w:rPr>
          <w:rFonts w:hint="eastAsia"/>
          <w:color w:val="auto"/>
          <w:sz w:val="28"/>
          <w:szCs w:val="28"/>
          <w:highlight w:val="none"/>
        </w:rPr>
        <w:t>14</w:t>
      </w:r>
      <w:r>
        <w:rPr>
          <w:rFonts w:hint="eastAsia"/>
          <w:color w:val="auto"/>
          <w:sz w:val="28"/>
          <w:szCs w:val="28"/>
          <w:highlight w:val="none"/>
        </w:rPr>
        <w:fldChar w:fldCharType="end"/>
      </w:r>
      <w:r>
        <w:rPr>
          <w:rFonts w:hint="eastAsia"/>
          <w:bCs/>
          <w:color w:val="auto"/>
          <w:sz w:val="28"/>
          <w:szCs w:val="28"/>
          <w:highlight w:val="none"/>
        </w:rPr>
        <w:fldChar w:fldCharType="end"/>
      </w:r>
    </w:p>
    <w:p w14:paraId="36944556">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_Toc3426 </w:instrText>
      </w:r>
      <w:r>
        <w:rPr>
          <w:rFonts w:hint="eastAsia"/>
          <w:bCs/>
          <w:color w:val="auto"/>
          <w:sz w:val="28"/>
          <w:szCs w:val="28"/>
          <w:highlight w:val="none"/>
        </w:rPr>
        <w:fldChar w:fldCharType="separate"/>
      </w:r>
      <w:r>
        <w:rPr>
          <w:rFonts w:hint="eastAsia"/>
          <w:color w:val="auto"/>
          <w:sz w:val="28"/>
          <w:szCs w:val="28"/>
          <w:highlight w:val="none"/>
        </w:rPr>
        <w:t>第二章 投标文件的编写</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_Toc3426 \h </w:instrText>
      </w:r>
      <w:r>
        <w:rPr>
          <w:rFonts w:hint="eastAsia"/>
          <w:color w:val="auto"/>
          <w:sz w:val="28"/>
          <w:szCs w:val="28"/>
          <w:highlight w:val="none"/>
        </w:rPr>
        <w:fldChar w:fldCharType="separate"/>
      </w:r>
      <w:r>
        <w:rPr>
          <w:rFonts w:hint="eastAsia"/>
          <w:color w:val="auto"/>
          <w:sz w:val="28"/>
          <w:szCs w:val="28"/>
          <w:highlight w:val="none"/>
        </w:rPr>
        <w:t>14</w:t>
      </w:r>
      <w:r>
        <w:rPr>
          <w:rFonts w:hint="eastAsia"/>
          <w:color w:val="auto"/>
          <w:sz w:val="28"/>
          <w:szCs w:val="28"/>
          <w:highlight w:val="none"/>
        </w:rPr>
        <w:fldChar w:fldCharType="end"/>
      </w:r>
      <w:r>
        <w:rPr>
          <w:rFonts w:hint="eastAsia"/>
          <w:bCs/>
          <w:color w:val="auto"/>
          <w:sz w:val="28"/>
          <w:szCs w:val="28"/>
          <w:highlight w:val="none"/>
        </w:rPr>
        <w:fldChar w:fldCharType="end"/>
      </w:r>
    </w:p>
    <w:p w14:paraId="1017139C">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_Toc824 </w:instrText>
      </w:r>
      <w:r>
        <w:rPr>
          <w:rFonts w:hint="eastAsia"/>
          <w:bCs/>
          <w:color w:val="auto"/>
          <w:sz w:val="28"/>
          <w:szCs w:val="28"/>
          <w:highlight w:val="none"/>
        </w:rPr>
        <w:fldChar w:fldCharType="separate"/>
      </w:r>
      <w:r>
        <w:rPr>
          <w:rFonts w:hint="eastAsia"/>
          <w:color w:val="auto"/>
          <w:sz w:val="28"/>
          <w:szCs w:val="28"/>
          <w:highlight w:val="none"/>
        </w:rPr>
        <w:t>第三章 投标文件的递交</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_Toc824 \h </w:instrText>
      </w:r>
      <w:r>
        <w:rPr>
          <w:rFonts w:hint="eastAsia"/>
          <w:color w:val="auto"/>
          <w:sz w:val="28"/>
          <w:szCs w:val="28"/>
          <w:highlight w:val="none"/>
        </w:rPr>
        <w:fldChar w:fldCharType="separate"/>
      </w:r>
      <w:r>
        <w:rPr>
          <w:rFonts w:hint="eastAsia"/>
          <w:color w:val="auto"/>
          <w:sz w:val="28"/>
          <w:szCs w:val="28"/>
          <w:highlight w:val="none"/>
        </w:rPr>
        <w:t>18</w:t>
      </w:r>
      <w:r>
        <w:rPr>
          <w:rFonts w:hint="eastAsia"/>
          <w:color w:val="auto"/>
          <w:sz w:val="28"/>
          <w:szCs w:val="28"/>
          <w:highlight w:val="none"/>
        </w:rPr>
        <w:fldChar w:fldCharType="end"/>
      </w:r>
      <w:r>
        <w:rPr>
          <w:rFonts w:hint="eastAsia"/>
          <w:bCs/>
          <w:color w:val="auto"/>
          <w:sz w:val="28"/>
          <w:szCs w:val="28"/>
          <w:highlight w:val="none"/>
        </w:rPr>
        <w:fldChar w:fldCharType="end"/>
      </w:r>
    </w:p>
    <w:p w14:paraId="6A830B9B">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_Toc14807 </w:instrText>
      </w:r>
      <w:r>
        <w:rPr>
          <w:rFonts w:hint="eastAsia"/>
          <w:bCs/>
          <w:color w:val="auto"/>
          <w:sz w:val="28"/>
          <w:szCs w:val="28"/>
          <w:highlight w:val="none"/>
        </w:rPr>
        <w:fldChar w:fldCharType="separate"/>
      </w:r>
      <w:r>
        <w:rPr>
          <w:rFonts w:hint="eastAsia"/>
          <w:color w:val="auto"/>
          <w:sz w:val="28"/>
          <w:szCs w:val="28"/>
          <w:highlight w:val="none"/>
        </w:rPr>
        <w:t>第四章 评标委员会</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_Toc14807 \h </w:instrText>
      </w:r>
      <w:r>
        <w:rPr>
          <w:rFonts w:hint="eastAsia"/>
          <w:color w:val="auto"/>
          <w:sz w:val="28"/>
          <w:szCs w:val="28"/>
          <w:highlight w:val="none"/>
        </w:rPr>
        <w:fldChar w:fldCharType="separate"/>
      </w:r>
      <w:r>
        <w:rPr>
          <w:rFonts w:hint="eastAsia"/>
          <w:color w:val="auto"/>
          <w:sz w:val="28"/>
          <w:szCs w:val="28"/>
          <w:highlight w:val="none"/>
        </w:rPr>
        <w:t>19</w:t>
      </w:r>
      <w:r>
        <w:rPr>
          <w:rFonts w:hint="eastAsia"/>
          <w:color w:val="auto"/>
          <w:sz w:val="28"/>
          <w:szCs w:val="28"/>
          <w:highlight w:val="none"/>
        </w:rPr>
        <w:fldChar w:fldCharType="end"/>
      </w:r>
      <w:r>
        <w:rPr>
          <w:rFonts w:hint="eastAsia"/>
          <w:bCs/>
          <w:color w:val="auto"/>
          <w:sz w:val="28"/>
          <w:szCs w:val="28"/>
          <w:highlight w:val="none"/>
        </w:rPr>
        <w:fldChar w:fldCharType="end"/>
      </w:r>
    </w:p>
    <w:p w14:paraId="2B4D4593">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_Toc23937 </w:instrText>
      </w:r>
      <w:r>
        <w:rPr>
          <w:rFonts w:hint="eastAsia"/>
          <w:bCs/>
          <w:color w:val="auto"/>
          <w:sz w:val="28"/>
          <w:szCs w:val="28"/>
          <w:highlight w:val="none"/>
        </w:rPr>
        <w:fldChar w:fldCharType="separate"/>
      </w:r>
      <w:r>
        <w:rPr>
          <w:rFonts w:hint="eastAsia"/>
          <w:color w:val="auto"/>
          <w:sz w:val="28"/>
          <w:szCs w:val="28"/>
          <w:highlight w:val="none"/>
        </w:rPr>
        <w:t>第五章 开　标</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_Toc23937 \h </w:instrText>
      </w:r>
      <w:r>
        <w:rPr>
          <w:rFonts w:hint="eastAsia"/>
          <w:color w:val="auto"/>
          <w:sz w:val="28"/>
          <w:szCs w:val="28"/>
          <w:highlight w:val="none"/>
        </w:rPr>
        <w:fldChar w:fldCharType="separate"/>
      </w:r>
      <w:r>
        <w:rPr>
          <w:rFonts w:hint="eastAsia"/>
          <w:color w:val="auto"/>
          <w:sz w:val="28"/>
          <w:szCs w:val="28"/>
          <w:highlight w:val="none"/>
        </w:rPr>
        <w:t>19</w:t>
      </w:r>
      <w:r>
        <w:rPr>
          <w:rFonts w:hint="eastAsia"/>
          <w:color w:val="auto"/>
          <w:sz w:val="28"/>
          <w:szCs w:val="28"/>
          <w:highlight w:val="none"/>
        </w:rPr>
        <w:fldChar w:fldCharType="end"/>
      </w:r>
      <w:r>
        <w:rPr>
          <w:rFonts w:hint="eastAsia"/>
          <w:bCs/>
          <w:color w:val="auto"/>
          <w:sz w:val="28"/>
          <w:szCs w:val="28"/>
          <w:highlight w:val="none"/>
        </w:rPr>
        <w:fldChar w:fldCharType="end"/>
      </w:r>
    </w:p>
    <w:p w14:paraId="57BFBCD2">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_Toc11296 </w:instrText>
      </w:r>
      <w:r>
        <w:rPr>
          <w:rFonts w:hint="eastAsia"/>
          <w:bCs/>
          <w:color w:val="auto"/>
          <w:sz w:val="28"/>
          <w:szCs w:val="28"/>
          <w:highlight w:val="none"/>
        </w:rPr>
        <w:fldChar w:fldCharType="separate"/>
      </w:r>
      <w:r>
        <w:rPr>
          <w:rFonts w:hint="eastAsia"/>
          <w:bCs/>
          <w:color w:val="auto"/>
          <w:sz w:val="28"/>
          <w:szCs w:val="28"/>
          <w:highlight w:val="none"/>
        </w:rPr>
        <w:t>第六章 评　标</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_Toc11296 \h </w:instrText>
      </w:r>
      <w:r>
        <w:rPr>
          <w:rFonts w:hint="eastAsia"/>
          <w:color w:val="auto"/>
          <w:sz w:val="28"/>
          <w:szCs w:val="28"/>
          <w:highlight w:val="none"/>
        </w:rPr>
        <w:fldChar w:fldCharType="separate"/>
      </w:r>
      <w:r>
        <w:rPr>
          <w:rFonts w:hint="eastAsia"/>
          <w:color w:val="auto"/>
          <w:sz w:val="28"/>
          <w:szCs w:val="28"/>
          <w:highlight w:val="none"/>
        </w:rPr>
        <w:t>22</w:t>
      </w:r>
      <w:r>
        <w:rPr>
          <w:rFonts w:hint="eastAsia"/>
          <w:color w:val="auto"/>
          <w:sz w:val="28"/>
          <w:szCs w:val="28"/>
          <w:highlight w:val="none"/>
        </w:rPr>
        <w:fldChar w:fldCharType="end"/>
      </w:r>
      <w:r>
        <w:rPr>
          <w:rFonts w:hint="eastAsia"/>
          <w:bCs/>
          <w:color w:val="auto"/>
          <w:sz w:val="28"/>
          <w:szCs w:val="28"/>
          <w:highlight w:val="none"/>
        </w:rPr>
        <w:fldChar w:fldCharType="end"/>
      </w:r>
    </w:p>
    <w:p w14:paraId="471F831A">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_Toc8925 </w:instrText>
      </w:r>
      <w:r>
        <w:rPr>
          <w:rFonts w:hint="eastAsia"/>
          <w:bCs/>
          <w:color w:val="auto"/>
          <w:sz w:val="28"/>
          <w:szCs w:val="28"/>
          <w:highlight w:val="none"/>
        </w:rPr>
        <w:fldChar w:fldCharType="separate"/>
      </w:r>
      <w:r>
        <w:rPr>
          <w:rFonts w:hint="eastAsia"/>
          <w:color w:val="auto"/>
          <w:sz w:val="28"/>
          <w:szCs w:val="28"/>
          <w:highlight w:val="none"/>
        </w:rPr>
        <w:t>第七章 定　标</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_Toc8925 \h </w:instrText>
      </w:r>
      <w:r>
        <w:rPr>
          <w:rFonts w:hint="eastAsia"/>
          <w:color w:val="auto"/>
          <w:sz w:val="28"/>
          <w:szCs w:val="28"/>
          <w:highlight w:val="none"/>
        </w:rPr>
        <w:fldChar w:fldCharType="separate"/>
      </w:r>
      <w:r>
        <w:rPr>
          <w:rFonts w:hint="eastAsia"/>
          <w:color w:val="auto"/>
          <w:sz w:val="28"/>
          <w:szCs w:val="28"/>
          <w:highlight w:val="none"/>
        </w:rPr>
        <w:t>26</w:t>
      </w:r>
      <w:r>
        <w:rPr>
          <w:rFonts w:hint="eastAsia"/>
          <w:color w:val="auto"/>
          <w:sz w:val="28"/>
          <w:szCs w:val="28"/>
          <w:highlight w:val="none"/>
        </w:rPr>
        <w:fldChar w:fldCharType="end"/>
      </w:r>
      <w:r>
        <w:rPr>
          <w:rFonts w:hint="eastAsia"/>
          <w:bCs/>
          <w:color w:val="auto"/>
          <w:sz w:val="28"/>
          <w:szCs w:val="28"/>
          <w:highlight w:val="none"/>
        </w:rPr>
        <w:fldChar w:fldCharType="end"/>
      </w:r>
    </w:p>
    <w:p w14:paraId="48B56D5E">
      <w:pPr>
        <w:pStyle w:val="21"/>
        <w:tabs>
          <w:tab w:val="right" w:leader="dot" w:pos="8640"/>
          <w:tab w:val="clear" w:pos="9628"/>
        </w:tabs>
        <w:spacing w:line="360" w:lineRule="auto"/>
        <w:ind w:left="480"/>
        <w:rPr>
          <w:rFonts w:hint="eastAsia"/>
          <w:color w:val="auto"/>
          <w:sz w:val="28"/>
          <w:szCs w:val="28"/>
          <w:highlight w:val="none"/>
        </w:rPr>
      </w:pPr>
      <w:r>
        <w:rPr>
          <w:rFonts w:hint="eastAsia"/>
          <w:bCs/>
          <w:color w:val="auto"/>
          <w:sz w:val="28"/>
          <w:szCs w:val="28"/>
          <w:highlight w:val="none"/>
        </w:rPr>
        <w:fldChar w:fldCharType="begin"/>
      </w:r>
      <w:r>
        <w:rPr>
          <w:rFonts w:hint="eastAsia"/>
          <w:bCs/>
          <w:color w:val="auto"/>
          <w:sz w:val="28"/>
          <w:szCs w:val="28"/>
          <w:highlight w:val="none"/>
        </w:rPr>
        <w:instrText xml:space="preserve"> HYPERLINK \l _Toc10380 </w:instrText>
      </w:r>
      <w:r>
        <w:rPr>
          <w:rFonts w:hint="eastAsia"/>
          <w:bCs/>
          <w:color w:val="auto"/>
          <w:sz w:val="28"/>
          <w:szCs w:val="28"/>
          <w:highlight w:val="none"/>
        </w:rPr>
        <w:fldChar w:fldCharType="separate"/>
      </w:r>
      <w:r>
        <w:rPr>
          <w:rFonts w:hint="eastAsia"/>
          <w:color w:val="auto"/>
          <w:sz w:val="28"/>
          <w:szCs w:val="28"/>
          <w:highlight w:val="none"/>
        </w:rPr>
        <w:t>第八章 授予合同</w:t>
      </w:r>
      <w:r>
        <w:rPr>
          <w:rFonts w:hint="eastAsia"/>
          <w:color w:val="auto"/>
          <w:sz w:val="28"/>
          <w:szCs w:val="28"/>
          <w:highlight w:val="none"/>
        </w:rPr>
        <w:tab/>
      </w:r>
      <w:r>
        <w:rPr>
          <w:rFonts w:hint="eastAsia"/>
          <w:color w:val="auto"/>
          <w:sz w:val="28"/>
          <w:szCs w:val="28"/>
          <w:highlight w:val="none"/>
        </w:rPr>
        <w:fldChar w:fldCharType="begin"/>
      </w:r>
      <w:r>
        <w:rPr>
          <w:rFonts w:hint="eastAsia"/>
          <w:color w:val="auto"/>
          <w:sz w:val="28"/>
          <w:szCs w:val="28"/>
          <w:highlight w:val="none"/>
        </w:rPr>
        <w:instrText xml:space="preserve"> PAGEREF _Toc10380 \h </w:instrText>
      </w:r>
      <w:r>
        <w:rPr>
          <w:rFonts w:hint="eastAsia"/>
          <w:color w:val="auto"/>
          <w:sz w:val="28"/>
          <w:szCs w:val="28"/>
          <w:highlight w:val="none"/>
        </w:rPr>
        <w:fldChar w:fldCharType="separate"/>
      </w:r>
      <w:r>
        <w:rPr>
          <w:rFonts w:hint="eastAsia"/>
          <w:color w:val="auto"/>
          <w:sz w:val="28"/>
          <w:szCs w:val="28"/>
          <w:highlight w:val="none"/>
        </w:rPr>
        <w:t>26</w:t>
      </w:r>
      <w:r>
        <w:rPr>
          <w:rFonts w:hint="eastAsia"/>
          <w:color w:val="auto"/>
          <w:sz w:val="28"/>
          <w:szCs w:val="28"/>
          <w:highlight w:val="none"/>
        </w:rPr>
        <w:fldChar w:fldCharType="end"/>
      </w:r>
      <w:r>
        <w:rPr>
          <w:rFonts w:hint="eastAsia"/>
          <w:bCs/>
          <w:color w:val="auto"/>
          <w:sz w:val="28"/>
          <w:szCs w:val="28"/>
          <w:highlight w:val="none"/>
        </w:rPr>
        <w:fldChar w:fldCharType="end"/>
      </w:r>
    </w:p>
    <w:p w14:paraId="46B2F6FF">
      <w:pPr>
        <w:pStyle w:val="20"/>
        <w:tabs>
          <w:tab w:val="right" w:leader="dot" w:pos="8640"/>
          <w:tab w:val="clear" w:pos="9628"/>
        </w:tabs>
        <w:spacing w:line="360" w:lineRule="auto"/>
        <w:rPr>
          <w:rFonts w:hint="eastAsia" w:ascii="宋体" w:hAnsi="宋体" w:eastAsia="宋体"/>
          <w:color w:val="auto"/>
          <w:sz w:val="28"/>
          <w:szCs w:val="28"/>
          <w:highlight w:val="none"/>
        </w:rPr>
      </w:pPr>
      <w:r>
        <w:rPr>
          <w:rFonts w:hint="eastAsia" w:ascii="宋体" w:hAnsi="宋体" w:eastAsia="宋体"/>
          <w:bCs/>
          <w:color w:val="auto"/>
          <w:sz w:val="28"/>
          <w:szCs w:val="28"/>
          <w:highlight w:val="none"/>
        </w:rPr>
        <w:fldChar w:fldCharType="begin"/>
      </w:r>
      <w:r>
        <w:rPr>
          <w:rFonts w:hint="eastAsia" w:ascii="宋体" w:hAnsi="宋体" w:eastAsia="宋体"/>
          <w:bCs/>
          <w:color w:val="auto"/>
          <w:sz w:val="28"/>
          <w:szCs w:val="28"/>
          <w:highlight w:val="none"/>
        </w:rPr>
        <w:instrText xml:space="preserve"> HYPERLINK \l _Toc26529 </w:instrText>
      </w:r>
      <w:r>
        <w:rPr>
          <w:rFonts w:hint="eastAsia" w:ascii="宋体" w:hAnsi="宋体" w:eastAsia="宋体"/>
          <w:bCs/>
          <w:color w:val="auto"/>
          <w:sz w:val="28"/>
          <w:szCs w:val="28"/>
          <w:highlight w:val="none"/>
        </w:rPr>
        <w:fldChar w:fldCharType="separate"/>
      </w:r>
      <w:r>
        <w:rPr>
          <w:rFonts w:hint="eastAsia" w:ascii="宋体" w:hAnsi="宋体" w:eastAsia="宋体"/>
          <w:color w:val="auto"/>
          <w:kern w:val="2"/>
          <w:sz w:val="28"/>
          <w:szCs w:val="28"/>
          <w:highlight w:val="none"/>
        </w:rPr>
        <w:t>第四部分 采购需求</w:t>
      </w:r>
      <w:r>
        <w:rPr>
          <w:rFonts w:hint="eastAsia" w:ascii="宋体" w:hAnsi="宋体" w:eastAsia="宋体"/>
          <w:color w:val="auto"/>
          <w:sz w:val="28"/>
          <w:szCs w:val="28"/>
          <w:highlight w:val="none"/>
        </w:rPr>
        <w:tab/>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PAGEREF _Toc26529 \h </w:instrText>
      </w:r>
      <w:r>
        <w:rPr>
          <w:rFonts w:hint="eastAsia" w:ascii="宋体" w:hAnsi="宋体" w:eastAsia="宋体"/>
          <w:color w:val="auto"/>
          <w:sz w:val="28"/>
          <w:szCs w:val="28"/>
          <w:highlight w:val="none"/>
        </w:rPr>
        <w:fldChar w:fldCharType="separate"/>
      </w:r>
      <w:r>
        <w:rPr>
          <w:rFonts w:hint="eastAsia" w:ascii="宋体" w:hAnsi="宋体" w:eastAsia="宋体"/>
          <w:color w:val="auto"/>
          <w:sz w:val="28"/>
          <w:szCs w:val="28"/>
          <w:highlight w:val="none"/>
        </w:rPr>
        <w:t>28</w:t>
      </w:r>
      <w:r>
        <w:rPr>
          <w:rFonts w:hint="eastAsia" w:ascii="宋体" w:hAnsi="宋体" w:eastAsia="宋体"/>
          <w:color w:val="auto"/>
          <w:sz w:val="28"/>
          <w:szCs w:val="28"/>
          <w:highlight w:val="none"/>
        </w:rPr>
        <w:fldChar w:fldCharType="end"/>
      </w:r>
      <w:r>
        <w:rPr>
          <w:rFonts w:hint="eastAsia" w:ascii="宋体" w:hAnsi="宋体" w:eastAsia="宋体"/>
          <w:bCs/>
          <w:color w:val="auto"/>
          <w:sz w:val="28"/>
          <w:szCs w:val="28"/>
          <w:highlight w:val="none"/>
        </w:rPr>
        <w:fldChar w:fldCharType="end"/>
      </w:r>
    </w:p>
    <w:p w14:paraId="2D9E9708">
      <w:pPr>
        <w:pStyle w:val="20"/>
        <w:tabs>
          <w:tab w:val="right" w:leader="dot" w:pos="8640"/>
          <w:tab w:val="clear" w:pos="9628"/>
        </w:tabs>
        <w:spacing w:line="360" w:lineRule="auto"/>
        <w:rPr>
          <w:rFonts w:hint="eastAsia" w:ascii="宋体" w:hAnsi="宋体" w:eastAsia="宋体"/>
          <w:color w:val="auto"/>
          <w:sz w:val="28"/>
          <w:szCs w:val="28"/>
          <w:highlight w:val="none"/>
        </w:rPr>
      </w:pPr>
      <w:r>
        <w:rPr>
          <w:rFonts w:hint="eastAsia" w:ascii="宋体" w:hAnsi="宋体" w:eastAsia="宋体"/>
          <w:bCs/>
          <w:color w:val="auto"/>
          <w:sz w:val="28"/>
          <w:szCs w:val="28"/>
          <w:highlight w:val="none"/>
        </w:rPr>
        <w:fldChar w:fldCharType="begin"/>
      </w:r>
      <w:r>
        <w:rPr>
          <w:rFonts w:hint="eastAsia" w:ascii="宋体" w:hAnsi="宋体" w:eastAsia="宋体"/>
          <w:bCs/>
          <w:color w:val="auto"/>
          <w:sz w:val="28"/>
          <w:szCs w:val="28"/>
          <w:highlight w:val="none"/>
        </w:rPr>
        <w:instrText xml:space="preserve"> HYPERLINK \l _Toc6913 </w:instrText>
      </w:r>
      <w:r>
        <w:rPr>
          <w:rFonts w:hint="eastAsia" w:ascii="宋体" w:hAnsi="宋体" w:eastAsia="宋体"/>
          <w:bCs/>
          <w:color w:val="auto"/>
          <w:sz w:val="28"/>
          <w:szCs w:val="28"/>
          <w:highlight w:val="none"/>
        </w:rPr>
        <w:fldChar w:fldCharType="separate"/>
      </w:r>
      <w:r>
        <w:rPr>
          <w:rFonts w:hint="eastAsia" w:ascii="宋体" w:hAnsi="宋体" w:eastAsia="宋体"/>
          <w:color w:val="auto"/>
          <w:sz w:val="28"/>
          <w:szCs w:val="28"/>
          <w:highlight w:val="none"/>
        </w:rPr>
        <w:t>第五部分 合同部分</w:t>
      </w:r>
      <w:r>
        <w:rPr>
          <w:rFonts w:hint="eastAsia" w:ascii="宋体" w:hAnsi="宋体" w:eastAsia="宋体"/>
          <w:color w:val="auto"/>
          <w:sz w:val="28"/>
          <w:szCs w:val="28"/>
          <w:highlight w:val="none"/>
        </w:rPr>
        <w:tab/>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PAGEREF _Toc6913 \h </w:instrText>
      </w:r>
      <w:r>
        <w:rPr>
          <w:rFonts w:hint="eastAsia" w:ascii="宋体" w:hAnsi="宋体" w:eastAsia="宋体"/>
          <w:color w:val="auto"/>
          <w:sz w:val="28"/>
          <w:szCs w:val="28"/>
          <w:highlight w:val="none"/>
        </w:rPr>
        <w:fldChar w:fldCharType="separate"/>
      </w:r>
      <w:r>
        <w:rPr>
          <w:rFonts w:hint="eastAsia" w:ascii="宋体" w:hAnsi="宋体" w:eastAsia="宋体"/>
          <w:color w:val="auto"/>
          <w:sz w:val="28"/>
          <w:szCs w:val="28"/>
          <w:highlight w:val="none"/>
        </w:rPr>
        <w:t>30</w:t>
      </w:r>
      <w:r>
        <w:rPr>
          <w:rFonts w:hint="eastAsia" w:ascii="宋体" w:hAnsi="宋体" w:eastAsia="宋体"/>
          <w:color w:val="auto"/>
          <w:sz w:val="28"/>
          <w:szCs w:val="28"/>
          <w:highlight w:val="none"/>
        </w:rPr>
        <w:fldChar w:fldCharType="end"/>
      </w:r>
      <w:r>
        <w:rPr>
          <w:rFonts w:hint="eastAsia" w:ascii="宋体" w:hAnsi="宋体" w:eastAsia="宋体"/>
          <w:bCs/>
          <w:color w:val="auto"/>
          <w:sz w:val="28"/>
          <w:szCs w:val="28"/>
          <w:highlight w:val="none"/>
        </w:rPr>
        <w:fldChar w:fldCharType="end"/>
      </w:r>
    </w:p>
    <w:p w14:paraId="0057E4E7">
      <w:pPr>
        <w:pStyle w:val="20"/>
        <w:tabs>
          <w:tab w:val="right" w:leader="dot" w:pos="8640"/>
          <w:tab w:val="clear" w:pos="9628"/>
        </w:tabs>
        <w:spacing w:line="360" w:lineRule="auto"/>
        <w:rPr>
          <w:rFonts w:hint="eastAsia" w:ascii="宋体" w:hAnsi="宋体" w:eastAsia="宋体"/>
          <w:color w:val="auto"/>
          <w:sz w:val="28"/>
          <w:szCs w:val="28"/>
          <w:highlight w:val="none"/>
        </w:rPr>
      </w:pPr>
      <w:r>
        <w:rPr>
          <w:rFonts w:hint="eastAsia" w:ascii="宋体" w:hAnsi="宋体" w:eastAsia="宋体"/>
          <w:bCs/>
          <w:color w:val="auto"/>
          <w:sz w:val="28"/>
          <w:szCs w:val="28"/>
          <w:highlight w:val="none"/>
        </w:rPr>
        <w:fldChar w:fldCharType="begin"/>
      </w:r>
      <w:r>
        <w:rPr>
          <w:rFonts w:hint="eastAsia" w:ascii="宋体" w:hAnsi="宋体" w:eastAsia="宋体"/>
          <w:bCs/>
          <w:color w:val="auto"/>
          <w:sz w:val="28"/>
          <w:szCs w:val="28"/>
          <w:highlight w:val="none"/>
        </w:rPr>
        <w:instrText xml:space="preserve"> HYPERLINK \l _Toc20118 </w:instrText>
      </w:r>
      <w:r>
        <w:rPr>
          <w:rFonts w:hint="eastAsia" w:ascii="宋体" w:hAnsi="宋体" w:eastAsia="宋体"/>
          <w:bCs/>
          <w:color w:val="auto"/>
          <w:sz w:val="28"/>
          <w:szCs w:val="28"/>
          <w:highlight w:val="none"/>
        </w:rPr>
        <w:fldChar w:fldCharType="separate"/>
      </w:r>
      <w:r>
        <w:rPr>
          <w:rFonts w:hint="eastAsia" w:ascii="宋体" w:hAnsi="宋体" w:eastAsia="宋体"/>
          <w:color w:val="auto"/>
          <w:sz w:val="28"/>
          <w:szCs w:val="28"/>
          <w:highlight w:val="none"/>
        </w:rPr>
        <w:t>第六部分 投标文件格式</w:t>
      </w:r>
      <w:r>
        <w:rPr>
          <w:rFonts w:hint="eastAsia" w:ascii="宋体" w:hAnsi="宋体" w:eastAsia="宋体"/>
          <w:color w:val="auto"/>
          <w:sz w:val="28"/>
          <w:szCs w:val="28"/>
          <w:highlight w:val="none"/>
        </w:rPr>
        <w:tab/>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PAGEREF _Toc20118 \h </w:instrText>
      </w:r>
      <w:r>
        <w:rPr>
          <w:rFonts w:hint="eastAsia" w:ascii="宋体" w:hAnsi="宋体" w:eastAsia="宋体"/>
          <w:color w:val="auto"/>
          <w:sz w:val="28"/>
          <w:szCs w:val="28"/>
          <w:highlight w:val="none"/>
        </w:rPr>
        <w:fldChar w:fldCharType="separate"/>
      </w:r>
      <w:r>
        <w:rPr>
          <w:rFonts w:hint="eastAsia" w:ascii="宋体" w:hAnsi="宋体" w:eastAsia="宋体"/>
          <w:color w:val="auto"/>
          <w:sz w:val="28"/>
          <w:szCs w:val="28"/>
          <w:highlight w:val="none"/>
        </w:rPr>
        <w:t>33</w:t>
      </w:r>
      <w:r>
        <w:rPr>
          <w:rFonts w:hint="eastAsia" w:ascii="宋体" w:hAnsi="宋体" w:eastAsia="宋体"/>
          <w:color w:val="auto"/>
          <w:sz w:val="28"/>
          <w:szCs w:val="28"/>
          <w:highlight w:val="none"/>
        </w:rPr>
        <w:fldChar w:fldCharType="end"/>
      </w:r>
      <w:r>
        <w:rPr>
          <w:rFonts w:hint="eastAsia" w:ascii="宋体" w:hAnsi="宋体" w:eastAsia="宋体"/>
          <w:bCs/>
          <w:color w:val="auto"/>
          <w:sz w:val="28"/>
          <w:szCs w:val="28"/>
          <w:highlight w:val="none"/>
        </w:rPr>
        <w:fldChar w:fldCharType="end"/>
      </w:r>
    </w:p>
    <w:p w14:paraId="6CD0DE81">
      <w:pPr>
        <w:pStyle w:val="21"/>
        <w:tabs>
          <w:tab w:val="right" w:leader="dot" w:pos="8640"/>
          <w:tab w:val="right" w:leader="dot" w:pos="8789"/>
          <w:tab w:val="clear" w:pos="9628"/>
        </w:tabs>
        <w:spacing w:line="360" w:lineRule="auto"/>
        <w:ind w:left="480"/>
        <w:rPr>
          <w:rStyle w:val="35"/>
          <w:rFonts w:hint="eastAsia" w:cs="宋体"/>
          <w:color w:val="auto"/>
          <w:sz w:val="28"/>
          <w:szCs w:val="28"/>
          <w:highlight w:val="none"/>
        </w:rPr>
        <w:sectPr>
          <w:headerReference r:id="rId4" w:type="first"/>
          <w:footerReference r:id="rId7" w:type="first"/>
          <w:headerReference r:id="rId3" w:type="default"/>
          <w:footerReference r:id="rId5" w:type="default"/>
          <w:footerReference r:id="rId6" w:type="even"/>
          <w:pgSz w:w="11906" w:h="16838"/>
          <w:pgMar w:top="1440" w:right="1469" w:bottom="1440" w:left="1797" w:header="567" w:footer="992" w:gutter="0"/>
          <w:pgNumType w:start="0"/>
          <w:cols w:space="720" w:num="1"/>
          <w:docGrid w:type="linesAndChars" w:linePitch="312" w:charSpace="0"/>
        </w:sectPr>
      </w:pPr>
      <w:r>
        <w:rPr>
          <w:rFonts w:hint="eastAsia"/>
          <w:bCs/>
          <w:color w:val="auto"/>
          <w:sz w:val="28"/>
          <w:szCs w:val="28"/>
          <w:highlight w:val="none"/>
        </w:rPr>
        <w:fldChar w:fldCharType="end"/>
      </w:r>
    </w:p>
    <w:p w14:paraId="4FB37C4D">
      <w:pPr>
        <w:spacing w:before="100" w:beforeAutospacing="1" w:after="100" w:afterAutospacing="1" w:line="360" w:lineRule="atLeast"/>
        <w:jc w:val="center"/>
        <w:outlineLvl w:val="0"/>
        <w:rPr>
          <w:rFonts w:hint="eastAsia" w:eastAsia="宋体" w:cs="Times New Roman"/>
          <w:b/>
          <w:color w:val="auto"/>
          <w:kern w:val="2"/>
          <w:sz w:val="36"/>
          <w:szCs w:val="20"/>
          <w:highlight w:val="none"/>
          <w:lang w:eastAsia="zh-CN"/>
        </w:rPr>
      </w:pPr>
      <w:bookmarkStart w:id="2" w:name="_Hlk90983038"/>
      <w:r>
        <w:rPr>
          <w:rFonts w:hint="eastAsia" w:cs="Times New Roman"/>
          <w:b/>
          <w:color w:val="auto"/>
          <w:kern w:val="2"/>
          <w:sz w:val="36"/>
          <w:szCs w:val="20"/>
          <w:highlight w:val="none"/>
          <w:lang w:eastAsia="zh-CN"/>
        </w:rPr>
        <w:t>招标公告</w:t>
      </w:r>
    </w:p>
    <w:p w14:paraId="58415B41">
      <w:pPr>
        <w:spacing w:before="60" w:after="60"/>
        <w:jc w:val="center"/>
        <w:rPr>
          <w:rFonts w:hint="eastAsia" w:eastAsia="宋体" w:cs="Arial"/>
          <w:b/>
          <w:color w:val="auto"/>
          <w:sz w:val="28"/>
          <w:szCs w:val="28"/>
          <w:highlight w:val="none"/>
          <w:lang w:eastAsia="zh-CN"/>
        </w:rPr>
      </w:pPr>
      <w:bookmarkStart w:id="3" w:name="_Hlk88495647"/>
      <w:r>
        <w:rPr>
          <w:rFonts w:hint="eastAsia" w:cs="Arial"/>
          <w:b/>
          <w:color w:val="auto"/>
          <w:sz w:val="28"/>
          <w:szCs w:val="28"/>
          <w:highlight w:val="none"/>
          <w:lang w:eastAsia="zh-CN"/>
        </w:rPr>
        <w:t xml:space="preserve">乌鲁木齐市冬季清洁取暖项目效果评估项目 </w:t>
      </w:r>
    </w:p>
    <w:p w14:paraId="725CCA00">
      <w:pPr>
        <w:spacing w:before="60" w:after="60"/>
        <w:jc w:val="center"/>
        <w:rPr>
          <w:rFonts w:hint="eastAsia"/>
          <w:color w:val="auto"/>
          <w:highlight w:val="none"/>
          <w:lang w:eastAsia="zh-CN"/>
        </w:rPr>
      </w:pPr>
      <w:r>
        <w:rPr>
          <w:rFonts w:hint="eastAsia" w:eastAsia="宋体" w:cs="Arial"/>
          <w:b/>
          <w:color w:val="auto"/>
          <w:sz w:val="28"/>
          <w:szCs w:val="28"/>
          <w:highlight w:val="none"/>
          <w:lang w:eastAsia="zh-CN"/>
        </w:rPr>
        <w:t>公开招标公告</w:t>
      </w:r>
    </w:p>
    <w:tbl>
      <w:tblPr>
        <w:tblStyle w:val="3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51F3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top"/>
          </w:tcPr>
          <w:p w14:paraId="17C6FDE1">
            <w:pPr>
              <w:pStyle w:val="24"/>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szCs w:val="24"/>
                <w:highlight w:val="none"/>
              </w:rPr>
              <w:t>项目概况</w:t>
            </w:r>
            <w:r>
              <w:rPr>
                <w:rFonts w:hint="eastAsia" w:cs="宋体"/>
                <w:color w:val="auto"/>
                <w:szCs w:val="24"/>
                <w:highlight w:val="none"/>
                <w:lang w:eastAsia="zh-CN"/>
              </w:rPr>
              <w:t>：</w:t>
            </w:r>
            <w:r>
              <w:rPr>
                <w:rFonts w:hint="eastAsia" w:ascii="宋体" w:hAnsi="宋体" w:eastAsia="宋体" w:cs="宋体"/>
                <w:color w:val="auto"/>
                <w:szCs w:val="24"/>
                <w:highlight w:val="none"/>
              </w:rPr>
              <w:t xml:space="preserve">                                        </w:t>
            </w:r>
          </w:p>
          <w:p w14:paraId="1569BB31">
            <w:pPr>
              <w:pStyle w:val="24"/>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w:t>
            </w:r>
            <w:r>
              <w:rPr>
                <w:rFonts w:hint="eastAsia" w:cs="宋体"/>
                <w:color w:val="auto"/>
                <w:szCs w:val="24"/>
                <w:highlight w:val="none"/>
                <w:u w:val="single"/>
                <w:lang w:eastAsia="zh-CN"/>
              </w:rPr>
              <w:t>乌鲁木齐市冬季清洁取暖项目效果评估项目</w:t>
            </w:r>
            <w:r>
              <w:rPr>
                <w:rFonts w:hint="eastAsia" w:ascii="宋体" w:hAnsi="宋体" w:eastAsia="宋体" w:cs="宋体"/>
                <w:color w:val="auto"/>
                <w:szCs w:val="24"/>
                <w:highlight w:val="none"/>
              </w:rPr>
              <w:t>的潜在</w:t>
            </w:r>
            <w:r>
              <w:rPr>
                <w:rFonts w:hint="eastAsia" w:cs="宋体"/>
                <w:color w:val="auto"/>
                <w:szCs w:val="24"/>
                <w:highlight w:val="none"/>
                <w:lang w:eastAsia="zh-CN"/>
              </w:rPr>
              <w:t>投标人</w:t>
            </w:r>
            <w:r>
              <w:rPr>
                <w:rFonts w:hint="eastAsia" w:ascii="宋体" w:hAnsi="宋体" w:eastAsia="宋体" w:cs="宋体"/>
                <w:color w:val="auto"/>
                <w:szCs w:val="24"/>
                <w:highlight w:val="none"/>
              </w:rPr>
              <w:t>应在政采云平台线上获取（</w:t>
            </w:r>
            <w:r>
              <w:rPr>
                <w:rFonts w:hint="eastAsia" w:ascii="宋体" w:hAnsi="宋体" w:eastAsia="宋体" w:cs="宋体"/>
                <w:b w:val="0"/>
                <w:i w:val="0"/>
                <w:iCs w:val="0"/>
                <w:caps w:val="0"/>
                <w:color w:val="auto"/>
                <w:spacing w:val="0"/>
                <w:kern w:val="0"/>
                <w:sz w:val="24"/>
                <w:szCs w:val="24"/>
                <w:highlight w:val="none"/>
                <w:lang w:val="en-US" w:eastAsia="zh-CN" w:bidi="ar-SA"/>
              </w:rPr>
              <w:t>https://www.zcygov.cn</w:t>
            </w:r>
            <w:r>
              <w:rPr>
                <w:rFonts w:hint="eastAsia" w:ascii="宋体" w:hAnsi="宋体" w:eastAsia="宋体" w:cs="宋体"/>
                <w:color w:val="auto"/>
                <w:szCs w:val="24"/>
                <w:highlight w:val="none"/>
              </w:rPr>
              <w:t>/）获取招标文件，并于</w:t>
            </w:r>
            <w:r>
              <w:rPr>
                <w:rFonts w:hint="eastAsia" w:cs="宋体"/>
                <w:color w:val="auto"/>
                <w:szCs w:val="24"/>
                <w:highlight w:val="none"/>
                <w:lang w:eastAsia="zh-CN"/>
              </w:rPr>
              <w:t>202</w:t>
            </w:r>
            <w:r>
              <w:rPr>
                <w:rFonts w:hint="eastAsia" w:cs="宋体"/>
                <w:color w:val="auto"/>
                <w:szCs w:val="24"/>
                <w:highlight w:val="none"/>
                <w:lang w:val="en-US" w:eastAsia="zh-CN"/>
              </w:rPr>
              <w:t>6</w:t>
            </w:r>
            <w:r>
              <w:rPr>
                <w:rFonts w:hint="eastAsia" w:cs="宋体"/>
                <w:color w:val="auto"/>
                <w:szCs w:val="24"/>
                <w:highlight w:val="none"/>
                <w:lang w:eastAsia="zh-CN"/>
              </w:rPr>
              <w:t>年</w:t>
            </w:r>
            <w:r>
              <w:rPr>
                <w:rFonts w:hint="eastAsia" w:cs="宋体"/>
                <w:color w:val="auto"/>
                <w:szCs w:val="24"/>
                <w:highlight w:val="none"/>
                <w:lang w:val="en-US" w:eastAsia="zh-CN"/>
              </w:rPr>
              <w:t>06</w:t>
            </w:r>
            <w:r>
              <w:rPr>
                <w:rFonts w:hint="eastAsia" w:cs="宋体"/>
                <w:color w:val="auto"/>
                <w:szCs w:val="24"/>
                <w:highlight w:val="none"/>
                <w:lang w:eastAsia="zh-CN"/>
              </w:rPr>
              <w:t>月</w:t>
            </w:r>
            <w:r>
              <w:rPr>
                <w:rFonts w:hint="eastAsia" w:cs="宋体"/>
                <w:color w:val="auto"/>
                <w:szCs w:val="24"/>
                <w:highlight w:val="none"/>
                <w:lang w:val="en-US" w:eastAsia="zh-CN"/>
              </w:rPr>
              <w:t>04</w:t>
            </w:r>
            <w:r>
              <w:rPr>
                <w:rFonts w:hint="eastAsia" w:cs="宋体"/>
                <w:color w:val="auto"/>
                <w:szCs w:val="24"/>
                <w:highlight w:val="none"/>
                <w:lang w:eastAsia="zh-CN"/>
              </w:rPr>
              <w:t>日</w:t>
            </w:r>
            <w:r>
              <w:rPr>
                <w:rFonts w:hint="eastAsia" w:cs="宋体"/>
                <w:color w:val="auto"/>
                <w:szCs w:val="24"/>
                <w:highlight w:val="none"/>
                <w:lang w:val="en-US" w:eastAsia="zh-CN"/>
              </w:rPr>
              <w:t>11</w:t>
            </w:r>
            <w:r>
              <w:rPr>
                <w:rFonts w:hint="eastAsia" w:cs="宋体"/>
                <w:color w:val="auto"/>
                <w:szCs w:val="24"/>
                <w:highlight w:val="none"/>
                <w:lang w:eastAsia="zh-CN"/>
              </w:rPr>
              <w:t>:</w:t>
            </w:r>
            <w:r>
              <w:rPr>
                <w:rFonts w:hint="eastAsia" w:cs="宋体"/>
                <w:color w:val="auto"/>
                <w:szCs w:val="24"/>
                <w:highlight w:val="none"/>
                <w:lang w:val="en-US" w:eastAsia="zh-CN"/>
              </w:rPr>
              <w:t>0</w:t>
            </w:r>
            <w:r>
              <w:rPr>
                <w:rFonts w:hint="eastAsia" w:cs="宋体"/>
                <w:color w:val="auto"/>
                <w:szCs w:val="24"/>
                <w:highlight w:val="none"/>
                <w:lang w:eastAsia="zh-CN"/>
              </w:rPr>
              <w:t>0</w:t>
            </w:r>
            <w:r>
              <w:rPr>
                <w:rFonts w:hint="eastAsia" w:ascii="宋体" w:hAnsi="宋体" w:eastAsia="宋体" w:cs="宋体"/>
                <w:color w:val="auto"/>
                <w:szCs w:val="24"/>
                <w:highlight w:val="none"/>
              </w:rPr>
              <w:t>（北京时间）前递交投标文件。</w:t>
            </w:r>
          </w:p>
        </w:tc>
      </w:tr>
    </w:tbl>
    <w:p w14:paraId="14CCE807">
      <w:pPr>
        <w:spacing w:before="204" w:after="204" w:line="240" w:lineRule="atLeast"/>
        <w:rPr>
          <w:rFonts w:cs="Arial"/>
          <w:color w:val="auto"/>
          <w:highlight w:val="none"/>
        </w:rPr>
      </w:pPr>
      <w:r>
        <w:rPr>
          <w:rFonts w:hint="eastAsia" w:cs="Arial"/>
          <w:b/>
          <w:bCs/>
          <w:color w:val="auto"/>
          <w:highlight w:val="none"/>
        </w:rPr>
        <w:t>一、项目基本情况</w:t>
      </w:r>
    </w:p>
    <w:p w14:paraId="7CC2F00C">
      <w:pPr>
        <w:spacing w:before="60" w:after="60" w:line="360" w:lineRule="auto"/>
        <w:ind w:firstLine="480"/>
        <w:rPr>
          <w:rFonts w:hint="default" w:eastAsia="宋体" w:cs="Arial"/>
          <w:color w:val="auto"/>
          <w:highlight w:val="none"/>
          <w:lang w:val="en-US" w:eastAsia="zh-CN"/>
        </w:rPr>
      </w:pPr>
      <w:r>
        <w:rPr>
          <w:rFonts w:cs="Arial"/>
          <w:color w:val="auto"/>
          <w:highlight w:val="none"/>
        </w:rPr>
        <w:t>项目编号：</w:t>
      </w:r>
      <w:r>
        <w:rPr>
          <w:rFonts w:hint="eastAsia" w:cs="宋体"/>
          <w:color w:val="auto"/>
          <w:highlight w:val="none"/>
          <w:lang w:val="en-US" w:eastAsia="zh-CN"/>
        </w:rPr>
        <w:t>XJHW2026-023</w:t>
      </w:r>
    </w:p>
    <w:p w14:paraId="1959C2B7">
      <w:pPr>
        <w:spacing w:before="60" w:after="60" w:line="360" w:lineRule="auto"/>
        <w:ind w:firstLine="480"/>
        <w:rPr>
          <w:rFonts w:hint="eastAsia" w:eastAsia="宋体" w:cs="Arial"/>
          <w:color w:val="auto"/>
          <w:highlight w:val="none"/>
          <w:lang w:eastAsia="zh-CN"/>
        </w:rPr>
      </w:pPr>
      <w:r>
        <w:rPr>
          <w:rFonts w:cs="Arial"/>
          <w:color w:val="auto"/>
          <w:highlight w:val="none"/>
        </w:rPr>
        <w:t>项目名称：</w:t>
      </w:r>
      <w:r>
        <w:rPr>
          <w:rFonts w:hint="eastAsia" w:cs="Arial"/>
          <w:color w:val="auto"/>
          <w:highlight w:val="none"/>
          <w:lang w:eastAsia="zh-CN"/>
        </w:rPr>
        <w:t xml:space="preserve">乌鲁木齐市冬季清洁取暖项目效果评估项目 </w:t>
      </w:r>
    </w:p>
    <w:p w14:paraId="455E6347">
      <w:pPr>
        <w:spacing w:before="60" w:after="60" w:line="360" w:lineRule="auto"/>
        <w:ind w:firstLine="480"/>
        <w:rPr>
          <w:rFonts w:hint="default" w:eastAsia="宋体" w:cs="Arial"/>
          <w:color w:val="auto"/>
          <w:highlight w:val="none"/>
          <w:lang w:val="en-US" w:eastAsia="zh-CN"/>
        </w:rPr>
      </w:pPr>
      <w:r>
        <w:rPr>
          <w:rFonts w:cs="Arial"/>
          <w:color w:val="auto"/>
          <w:highlight w:val="none"/>
        </w:rPr>
        <w:t>预算金额（元）：</w:t>
      </w:r>
      <w:r>
        <w:rPr>
          <w:rFonts w:hint="eastAsia" w:cs="Arial"/>
          <w:color w:val="auto"/>
          <w:highlight w:val="none"/>
          <w:lang w:val="en-US" w:eastAsia="zh-CN"/>
        </w:rPr>
        <w:t>1980000.00元</w:t>
      </w:r>
    </w:p>
    <w:p w14:paraId="5675CEC7">
      <w:pPr>
        <w:spacing w:before="60" w:after="60" w:line="360" w:lineRule="auto"/>
        <w:ind w:firstLine="480"/>
        <w:rPr>
          <w:rFonts w:hint="default" w:eastAsia="宋体" w:cs="Arial"/>
          <w:color w:val="auto"/>
          <w:highlight w:val="none"/>
          <w:lang w:val="en-US" w:eastAsia="zh-CN"/>
        </w:rPr>
      </w:pPr>
      <w:r>
        <w:rPr>
          <w:rFonts w:cs="Arial"/>
          <w:color w:val="auto"/>
          <w:highlight w:val="none"/>
        </w:rPr>
        <w:t>最高限价（元）：</w:t>
      </w:r>
      <w:r>
        <w:rPr>
          <w:rFonts w:hint="eastAsia" w:cs="Arial"/>
          <w:color w:val="auto"/>
          <w:highlight w:val="none"/>
          <w:lang w:val="en-US" w:eastAsia="zh-CN"/>
        </w:rPr>
        <w:t>1980000.00元</w:t>
      </w:r>
    </w:p>
    <w:p w14:paraId="21128284">
      <w:pPr>
        <w:spacing w:before="60" w:afterAutospacing="0" w:line="360" w:lineRule="auto"/>
        <w:ind w:firstLine="480"/>
        <w:rPr>
          <w:rFonts w:cs="Arial"/>
          <w:color w:val="auto"/>
          <w:highlight w:val="none"/>
        </w:rPr>
      </w:pPr>
      <w:r>
        <w:rPr>
          <w:rFonts w:hint="eastAsia" w:cs="Arial"/>
          <w:color w:val="auto"/>
          <w:highlight w:val="none"/>
          <w:lang w:eastAsia="zh-CN"/>
        </w:rPr>
        <w:t>采购需求</w:t>
      </w:r>
      <w:r>
        <w:rPr>
          <w:rFonts w:cs="Arial"/>
          <w:color w:val="auto"/>
          <w:highlight w:val="none"/>
        </w:rPr>
        <w:t>：</w:t>
      </w:r>
      <w:r>
        <w:rPr>
          <w:rFonts w:hint="eastAsia" w:cs="Arial"/>
          <w:color w:val="auto"/>
          <w:highlight w:val="none"/>
        </w:rPr>
        <w:t>乌鲁木齐市所有7区、1县，工程包括3.9万户小燃煤供热设施清洁能源改造、735万平方米的目标任务，包含6大类53个子项目200余个分项工程，全部纳入本次评估范围。</w:t>
      </w:r>
    </w:p>
    <w:p w14:paraId="3EEC18D4">
      <w:pPr>
        <w:spacing w:beforeAutospacing="0" w:after="60" w:line="360" w:lineRule="auto"/>
        <w:ind w:firstLine="480"/>
        <w:rPr>
          <w:rFonts w:hint="eastAsia" w:ascii="宋体" w:hAnsi="宋体" w:eastAsia="宋体" w:cs="宋体"/>
          <w:color w:val="auto"/>
          <w:kern w:val="0"/>
          <w:sz w:val="24"/>
          <w:szCs w:val="24"/>
          <w:highlight w:val="none"/>
          <w:lang w:eastAsia="zh-CN"/>
        </w:rPr>
      </w:pPr>
      <w:r>
        <w:rPr>
          <w:rFonts w:hint="eastAsia" w:cs="Arial"/>
          <w:color w:val="auto"/>
          <w:highlight w:val="none"/>
        </w:rPr>
        <w:t>服务期限；</w:t>
      </w:r>
      <w:r>
        <w:rPr>
          <w:rFonts w:hint="eastAsia" w:ascii="宋体" w:hAnsi="宋体" w:eastAsia="宋体" w:cs="宋体"/>
          <w:color w:val="auto"/>
          <w:kern w:val="0"/>
          <w:sz w:val="24"/>
          <w:szCs w:val="24"/>
          <w:highlight w:val="none"/>
          <w:lang w:eastAsia="zh-CN"/>
        </w:rPr>
        <w:t>服务期限两个月。自合同签订之日起两个月内完成全部评估工作，提交正式评估报告并通过专家评审。若需后续补充调研、报告修改，服务期顺延。</w:t>
      </w:r>
    </w:p>
    <w:p w14:paraId="4D693E81">
      <w:pPr>
        <w:spacing w:before="60" w:afterAutospacing="0" w:line="360" w:lineRule="auto"/>
        <w:ind w:firstLine="480"/>
        <w:rPr>
          <w:rFonts w:cs="Arial"/>
          <w:color w:val="auto"/>
          <w:highlight w:val="none"/>
        </w:rPr>
      </w:pPr>
      <w:r>
        <w:rPr>
          <w:rFonts w:cs="Arial"/>
          <w:color w:val="auto"/>
          <w:highlight w:val="none"/>
        </w:rPr>
        <w:t>本项目（</w:t>
      </w:r>
      <w:r>
        <w:rPr>
          <w:rFonts w:hint="eastAsia" w:cs="Arial"/>
          <w:color w:val="auto"/>
          <w:highlight w:val="none"/>
          <w:lang w:val="en-US" w:eastAsia="zh-CN"/>
        </w:rPr>
        <w:t>是</w:t>
      </w:r>
      <w:r>
        <w:rPr>
          <w:rFonts w:cs="Arial"/>
          <w:color w:val="auto"/>
          <w:highlight w:val="none"/>
        </w:rPr>
        <w:t>）接受联合体投标。</w:t>
      </w:r>
    </w:p>
    <w:p w14:paraId="5DD50CF9">
      <w:pPr>
        <w:spacing w:beforeAutospacing="0" w:after="60" w:afterAutospacing="0" w:line="360" w:lineRule="auto"/>
        <w:rPr>
          <w:rFonts w:cs="Arial"/>
          <w:color w:val="auto"/>
          <w:highlight w:val="none"/>
        </w:rPr>
      </w:pPr>
      <w:r>
        <w:rPr>
          <w:rFonts w:hint="eastAsia" w:cs="Arial"/>
          <w:b/>
          <w:bCs/>
          <w:color w:val="auto"/>
          <w:highlight w:val="none"/>
        </w:rPr>
        <w:t>二、申请人的资格要求：</w:t>
      </w:r>
    </w:p>
    <w:p w14:paraId="684BAC4B">
      <w:pPr>
        <w:pStyle w:val="11"/>
        <w:spacing w:before="0" w:beforeAutospacing="0" w:after="0" w:afterAutospacing="0" w:line="360" w:lineRule="auto"/>
        <w:ind w:left="499"/>
        <w:rPr>
          <w:color w:val="auto"/>
          <w:spacing w:val="-2"/>
          <w:sz w:val="24"/>
          <w:szCs w:val="24"/>
          <w:highlight w:val="none"/>
        </w:rPr>
      </w:pPr>
      <w:r>
        <w:rPr>
          <w:color w:val="auto"/>
          <w:spacing w:val="-2"/>
          <w:sz w:val="24"/>
          <w:szCs w:val="24"/>
          <w:highlight w:val="none"/>
        </w:rPr>
        <w:t>1.供应商必须符合《中华人民共和国政府采购法》第二十二条的规定。</w:t>
      </w:r>
    </w:p>
    <w:p w14:paraId="558399E6">
      <w:pPr>
        <w:pStyle w:val="11"/>
        <w:spacing w:before="0" w:beforeAutospacing="0" w:after="0" w:afterAutospacing="0" w:line="360" w:lineRule="auto"/>
        <w:ind w:left="0" w:leftChars="0" w:firstLine="497" w:firstLineChars="211"/>
        <w:rPr>
          <w:rFonts w:hint="eastAsia" w:eastAsia="宋体"/>
          <w:color w:val="auto"/>
          <w:spacing w:val="-2"/>
          <w:sz w:val="24"/>
          <w:szCs w:val="24"/>
          <w:highlight w:val="none"/>
          <w:lang w:eastAsia="zh-CN"/>
        </w:rPr>
      </w:pPr>
      <w:r>
        <w:rPr>
          <w:rFonts w:hint="eastAsia"/>
          <w:color w:val="auto"/>
          <w:spacing w:val="-2"/>
          <w:sz w:val="24"/>
          <w:szCs w:val="24"/>
          <w:highlight w:val="none"/>
          <w:lang w:val="en-US" w:eastAsia="zh-CN"/>
        </w:rPr>
        <w:t>2.</w:t>
      </w:r>
      <w:r>
        <w:rPr>
          <w:rFonts w:hint="eastAsia"/>
          <w:color w:val="auto"/>
          <w:spacing w:val="-2"/>
          <w:sz w:val="24"/>
          <w:szCs w:val="24"/>
          <w:highlight w:val="none"/>
        </w:rPr>
        <w:t>满足《中华人民共和国政府采购法》第二十二条规定；具有有效的营业执照,事业法人应提供事业单位法人证书；其他组织应提供合法登记证明文件；有独立订立合同的权利，能独立承担民事责任的能力</w:t>
      </w:r>
      <w:r>
        <w:rPr>
          <w:rFonts w:hint="eastAsia"/>
          <w:color w:val="auto"/>
          <w:spacing w:val="-2"/>
          <w:sz w:val="24"/>
          <w:szCs w:val="24"/>
          <w:highlight w:val="none"/>
          <w:lang w:eastAsia="zh-CN"/>
        </w:rPr>
        <w:t>；</w:t>
      </w:r>
    </w:p>
    <w:p w14:paraId="7BE78CBC">
      <w:pPr>
        <w:pStyle w:val="11"/>
        <w:spacing w:before="0" w:beforeAutospacing="0" w:after="0" w:afterAutospacing="0" w:line="360" w:lineRule="auto"/>
        <w:ind w:left="3" w:firstLine="480"/>
        <w:rPr>
          <w:color w:val="auto"/>
          <w:sz w:val="24"/>
          <w:szCs w:val="24"/>
          <w:highlight w:val="none"/>
        </w:rPr>
      </w:pPr>
      <w:r>
        <w:rPr>
          <w:rFonts w:hint="eastAsia"/>
          <w:color w:val="auto"/>
          <w:spacing w:val="-2"/>
          <w:sz w:val="24"/>
          <w:szCs w:val="24"/>
          <w:highlight w:val="none"/>
          <w:lang w:val="en-US" w:eastAsia="zh-CN"/>
        </w:rPr>
        <w:t>3.</w:t>
      </w:r>
      <w:r>
        <w:rPr>
          <w:color w:val="auto"/>
          <w:spacing w:val="-5"/>
          <w:sz w:val="24"/>
          <w:szCs w:val="24"/>
          <w:highlight w:val="none"/>
        </w:rPr>
        <w:t>凡拟参加本次项目的供应商，</w:t>
      </w:r>
      <w:r>
        <w:rPr>
          <w:color w:val="auto"/>
          <w:spacing w:val="55"/>
          <w:sz w:val="24"/>
          <w:szCs w:val="24"/>
          <w:highlight w:val="none"/>
        </w:rPr>
        <w:t xml:space="preserve"> </w:t>
      </w:r>
      <w:r>
        <w:rPr>
          <w:color w:val="auto"/>
          <w:spacing w:val="-5"/>
          <w:sz w:val="24"/>
          <w:szCs w:val="24"/>
          <w:highlight w:val="none"/>
        </w:rPr>
        <w:t>如在“信用中国”网站</w:t>
      </w:r>
      <w:r>
        <w:rPr>
          <w:color w:val="auto"/>
          <w:spacing w:val="-57"/>
          <w:sz w:val="24"/>
          <w:szCs w:val="24"/>
          <w:highlight w:val="none"/>
        </w:rPr>
        <w:t xml:space="preserve"> </w:t>
      </w:r>
      <w:r>
        <w:rPr>
          <w:color w:val="auto"/>
          <w:spacing w:val="-5"/>
          <w:sz w:val="24"/>
          <w:szCs w:val="24"/>
          <w:highlight w:val="none"/>
        </w:rPr>
        <w:t>WWW.cre</w:t>
      </w:r>
      <w:r>
        <w:rPr>
          <w:color w:val="auto"/>
          <w:spacing w:val="-6"/>
          <w:sz w:val="24"/>
          <w:szCs w:val="24"/>
          <w:highlight w:val="none"/>
        </w:rPr>
        <w:t>ditchina.gov.cn、</w:t>
      </w:r>
      <w:r>
        <w:rPr>
          <w:color w:val="auto"/>
          <w:sz w:val="24"/>
          <w:szCs w:val="24"/>
          <w:highlight w:val="none"/>
        </w:rPr>
        <w:t xml:space="preserve"> 中国政府采购网 www.ccgp.gov.cn 被列入失信被执行人、重大税收违法案件当事人名 </w:t>
      </w:r>
      <w:r>
        <w:rPr>
          <w:color w:val="auto"/>
          <w:spacing w:val="-10"/>
          <w:sz w:val="24"/>
          <w:szCs w:val="24"/>
          <w:highlight w:val="none"/>
        </w:rPr>
        <w:t>单、政府采购严重违法失信行为记录名单的（尚在处罚期内的）、经营异常名录的，将</w:t>
      </w:r>
      <w:r>
        <w:rPr>
          <w:color w:val="auto"/>
          <w:spacing w:val="-5"/>
          <w:sz w:val="24"/>
          <w:szCs w:val="24"/>
          <w:highlight w:val="none"/>
        </w:rPr>
        <w:t>拒绝其参与本次政府采购活动；</w:t>
      </w:r>
    </w:p>
    <w:p w14:paraId="6B93C60B">
      <w:pPr>
        <w:pStyle w:val="11"/>
        <w:spacing w:beforeAutospacing="0" w:after="0" w:afterAutospacing="0" w:line="360" w:lineRule="auto"/>
        <w:ind w:left="486"/>
        <w:rPr>
          <w:color w:val="auto"/>
          <w:spacing w:val="-4"/>
          <w:sz w:val="24"/>
          <w:szCs w:val="24"/>
          <w:highlight w:val="none"/>
        </w:rPr>
      </w:pPr>
      <w:r>
        <w:rPr>
          <w:rFonts w:hint="eastAsia"/>
          <w:color w:val="auto"/>
          <w:spacing w:val="-4"/>
          <w:sz w:val="24"/>
          <w:szCs w:val="24"/>
          <w:highlight w:val="none"/>
          <w:lang w:val="en-US" w:eastAsia="zh-CN"/>
        </w:rPr>
        <w:t>4</w:t>
      </w:r>
      <w:r>
        <w:rPr>
          <w:color w:val="auto"/>
          <w:spacing w:val="-4"/>
          <w:sz w:val="24"/>
          <w:szCs w:val="24"/>
          <w:highlight w:val="none"/>
        </w:rPr>
        <w:t>.本项目接受联合体投标。</w:t>
      </w:r>
    </w:p>
    <w:p w14:paraId="512D01A1">
      <w:pPr>
        <w:pStyle w:val="11"/>
        <w:spacing w:before="0" w:beforeAutospacing="0" w:after="0" w:afterAutospacing="0" w:line="360" w:lineRule="auto"/>
        <w:ind w:left="480"/>
        <w:rPr>
          <w:color w:val="auto"/>
          <w:sz w:val="24"/>
          <w:szCs w:val="24"/>
          <w:highlight w:val="none"/>
        </w:rPr>
      </w:pPr>
      <w:r>
        <w:rPr>
          <w:rFonts w:hint="eastAsia"/>
          <w:color w:val="auto"/>
          <w:spacing w:val="-4"/>
          <w:sz w:val="24"/>
          <w:szCs w:val="24"/>
          <w:highlight w:val="none"/>
          <w:lang w:val="en-US" w:eastAsia="zh-CN"/>
        </w:rPr>
        <w:t>5</w:t>
      </w:r>
      <w:r>
        <w:rPr>
          <w:color w:val="auto"/>
          <w:spacing w:val="-4"/>
          <w:sz w:val="24"/>
          <w:szCs w:val="24"/>
          <w:highlight w:val="none"/>
        </w:rPr>
        <w:t>.落实政府采购政策需满足的资格要求：</w:t>
      </w:r>
    </w:p>
    <w:p w14:paraId="0AC79E20">
      <w:pPr>
        <w:pStyle w:val="11"/>
        <w:spacing w:before="0" w:beforeAutospacing="0" w:after="0" w:afterAutospacing="0" w:line="360" w:lineRule="auto"/>
        <w:ind w:right="85" w:firstLine="482"/>
        <w:rPr>
          <w:color w:val="auto"/>
          <w:spacing w:val="-4"/>
          <w:sz w:val="24"/>
          <w:szCs w:val="24"/>
          <w:highlight w:val="none"/>
        </w:rPr>
      </w:pPr>
      <w:r>
        <w:rPr>
          <w:color w:val="auto"/>
          <w:spacing w:val="-9"/>
          <w:sz w:val="24"/>
          <w:szCs w:val="24"/>
          <w:highlight w:val="none"/>
        </w:rPr>
        <w:t>本项目为</w:t>
      </w:r>
      <w:r>
        <w:rPr>
          <w:rFonts w:hint="eastAsia"/>
          <w:color w:val="auto"/>
          <w:spacing w:val="-9"/>
          <w:sz w:val="24"/>
          <w:szCs w:val="24"/>
          <w:highlight w:val="none"/>
          <w:u w:val="none"/>
          <w:lang w:eastAsia="zh-CN"/>
        </w:rPr>
        <w:t>非</w:t>
      </w:r>
      <w:r>
        <w:rPr>
          <w:color w:val="auto"/>
          <w:spacing w:val="-9"/>
          <w:sz w:val="24"/>
          <w:szCs w:val="24"/>
          <w:highlight w:val="none"/>
          <w:u w:val="none"/>
        </w:rPr>
        <w:t>专门</w:t>
      </w:r>
      <w:r>
        <w:rPr>
          <w:color w:val="auto"/>
          <w:spacing w:val="-9"/>
          <w:sz w:val="24"/>
          <w:szCs w:val="24"/>
          <w:highlight w:val="none"/>
        </w:rPr>
        <w:t>面向</w:t>
      </w:r>
      <w:r>
        <w:rPr>
          <w:rFonts w:hint="eastAsia"/>
          <w:color w:val="auto"/>
          <w:spacing w:val="-9"/>
          <w:sz w:val="24"/>
          <w:szCs w:val="24"/>
          <w:highlight w:val="none"/>
        </w:rPr>
        <w:t>小微</w:t>
      </w:r>
      <w:r>
        <w:rPr>
          <w:color w:val="auto"/>
          <w:spacing w:val="-9"/>
          <w:sz w:val="24"/>
          <w:szCs w:val="24"/>
          <w:highlight w:val="none"/>
        </w:rPr>
        <w:t>企业（小型、微型）采购项目</w:t>
      </w:r>
      <w:r>
        <w:rPr>
          <w:color w:val="auto"/>
          <w:spacing w:val="-10"/>
          <w:sz w:val="24"/>
          <w:szCs w:val="24"/>
          <w:highlight w:val="none"/>
        </w:rPr>
        <w:t>， 根据《政府采购促</w:t>
      </w:r>
      <w:r>
        <w:rPr>
          <w:color w:val="auto"/>
          <w:sz w:val="24"/>
          <w:szCs w:val="24"/>
          <w:highlight w:val="none"/>
        </w:rPr>
        <w:t xml:space="preserve"> </w:t>
      </w:r>
      <w:r>
        <w:rPr>
          <w:color w:val="auto"/>
          <w:spacing w:val="1"/>
          <w:sz w:val="24"/>
          <w:szCs w:val="24"/>
          <w:highlight w:val="none"/>
        </w:rPr>
        <w:t>进中小企业发展管理办法》（财库[2020]</w:t>
      </w:r>
      <w:r>
        <w:rPr>
          <w:color w:val="auto"/>
          <w:sz w:val="24"/>
          <w:szCs w:val="24"/>
          <w:highlight w:val="none"/>
        </w:rPr>
        <w:t xml:space="preserve">46 号）、《关于进一步加大政府采购支持中 </w:t>
      </w:r>
      <w:r>
        <w:rPr>
          <w:color w:val="auto"/>
          <w:spacing w:val="-4"/>
          <w:sz w:val="24"/>
          <w:szCs w:val="24"/>
          <w:highlight w:val="none"/>
        </w:rPr>
        <w:t>小企业力度的通知》（财库〔2022〕19</w:t>
      </w:r>
      <w:r>
        <w:rPr>
          <w:color w:val="auto"/>
          <w:spacing w:val="-27"/>
          <w:sz w:val="24"/>
          <w:szCs w:val="24"/>
          <w:highlight w:val="none"/>
        </w:rPr>
        <w:t xml:space="preserve"> </w:t>
      </w:r>
      <w:r>
        <w:rPr>
          <w:color w:val="auto"/>
          <w:spacing w:val="-4"/>
          <w:sz w:val="24"/>
          <w:szCs w:val="24"/>
          <w:highlight w:val="none"/>
        </w:rPr>
        <w:t>号）</w:t>
      </w:r>
      <w:r>
        <w:rPr>
          <w:color w:val="auto"/>
          <w:spacing w:val="-65"/>
          <w:sz w:val="24"/>
          <w:szCs w:val="24"/>
          <w:highlight w:val="none"/>
        </w:rPr>
        <w:t xml:space="preserve"> </w:t>
      </w:r>
      <w:r>
        <w:rPr>
          <w:color w:val="auto"/>
          <w:spacing w:val="-4"/>
          <w:sz w:val="24"/>
          <w:szCs w:val="24"/>
          <w:highlight w:val="none"/>
        </w:rPr>
        <w:t>、《财政部</w:t>
      </w:r>
      <w:r>
        <w:rPr>
          <w:color w:val="auto"/>
          <w:spacing w:val="33"/>
          <w:sz w:val="24"/>
          <w:szCs w:val="24"/>
          <w:highlight w:val="none"/>
        </w:rPr>
        <w:t xml:space="preserve"> </w:t>
      </w:r>
      <w:r>
        <w:rPr>
          <w:color w:val="auto"/>
          <w:spacing w:val="-4"/>
          <w:sz w:val="24"/>
          <w:szCs w:val="24"/>
          <w:highlight w:val="none"/>
        </w:rPr>
        <w:t>司法部关于政府采购支持监狱</w:t>
      </w:r>
      <w:r>
        <w:rPr>
          <w:color w:val="auto"/>
          <w:sz w:val="24"/>
          <w:szCs w:val="24"/>
          <w:highlight w:val="none"/>
        </w:rPr>
        <w:t xml:space="preserve"> </w:t>
      </w:r>
      <w:r>
        <w:rPr>
          <w:color w:val="auto"/>
          <w:spacing w:val="1"/>
          <w:sz w:val="24"/>
          <w:szCs w:val="24"/>
          <w:highlight w:val="none"/>
        </w:rPr>
        <w:t>企业发展有关问题的通知》（财库〔2014</w:t>
      </w:r>
      <w:r>
        <w:rPr>
          <w:color w:val="auto"/>
          <w:sz w:val="24"/>
          <w:szCs w:val="24"/>
          <w:highlight w:val="none"/>
        </w:rPr>
        <w:t xml:space="preserve">〕68 号）和《三部门联合发布关于促进残疾 </w:t>
      </w:r>
      <w:r>
        <w:rPr>
          <w:color w:val="auto"/>
          <w:spacing w:val="-6"/>
          <w:sz w:val="24"/>
          <w:szCs w:val="24"/>
          <w:highlight w:val="none"/>
        </w:rPr>
        <w:t>人就业政府采购政策的通知》（财库〔2017〕141</w:t>
      </w:r>
      <w:r>
        <w:rPr>
          <w:color w:val="auto"/>
          <w:spacing w:val="-45"/>
          <w:sz w:val="24"/>
          <w:szCs w:val="24"/>
          <w:highlight w:val="none"/>
        </w:rPr>
        <w:t xml:space="preserve"> </w:t>
      </w:r>
      <w:r>
        <w:rPr>
          <w:color w:val="auto"/>
          <w:spacing w:val="-6"/>
          <w:sz w:val="24"/>
          <w:szCs w:val="24"/>
          <w:highlight w:val="none"/>
        </w:rPr>
        <w:t>号）</w:t>
      </w:r>
      <w:r>
        <w:rPr>
          <w:color w:val="auto"/>
          <w:spacing w:val="-35"/>
          <w:sz w:val="24"/>
          <w:szCs w:val="24"/>
          <w:highlight w:val="none"/>
        </w:rPr>
        <w:t xml:space="preserve"> </w:t>
      </w:r>
      <w:r>
        <w:rPr>
          <w:color w:val="auto"/>
          <w:spacing w:val="-6"/>
          <w:sz w:val="24"/>
          <w:szCs w:val="24"/>
          <w:highlight w:val="none"/>
        </w:rPr>
        <w:t>的规定， 对满足</w:t>
      </w:r>
      <w:r>
        <w:rPr>
          <w:color w:val="auto"/>
          <w:spacing w:val="-7"/>
          <w:sz w:val="24"/>
          <w:szCs w:val="24"/>
          <w:highlight w:val="none"/>
        </w:rPr>
        <w:t>价格扣除条件且</w:t>
      </w:r>
      <w:r>
        <w:rPr>
          <w:color w:val="auto"/>
          <w:sz w:val="24"/>
          <w:szCs w:val="24"/>
          <w:highlight w:val="none"/>
        </w:rPr>
        <w:t xml:space="preserve"> </w:t>
      </w:r>
      <w:r>
        <w:rPr>
          <w:color w:val="auto"/>
          <w:spacing w:val="-3"/>
          <w:sz w:val="24"/>
          <w:szCs w:val="24"/>
          <w:highlight w:val="none"/>
        </w:rPr>
        <w:t>在投标文件中提交了《中小企业声明函》、《残疾人福利性单位声明函》或省级以上监</w:t>
      </w:r>
      <w:r>
        <w:rPr>
          <w:color w:val="auto"/>
          <w:spacing w:val="11"/>
          <w:sz w:val="24"/>
          <w:szCs w:val="24"/>
          <w:highlight w:val="none"/>
        </w:rPr>
        <w:t xml:space="preserve"> </w:t>
      </w:r>
      <w:r>
        <w:rPr>
          <w:color w:val="auto"/>
          <w:spacing w:val="-6"/>
          <w:sz w:val="24"/>
          <w:szCs w:val="24"/>
          <w:highlight w:val="none"/>
        </w:rPr>
        <w:t>狱管理局、戒毒管理局（含新疆生产建设兵团） 出具的属于监狱企业的证明文件的投标</w:t>
      </w:r>
      <w:r>
        <w:rPr>
          <w:color w:val="auto"/>
          <w:spacing w:val="-3"/>
          <w:sz w:val="24"/>
          <w:szCs w:val="24"/>
          <w:highlight w:val="none"/>
        </w:rPr>
        <w:t>人。</w:t>
      </w:r>
      <w:r>
        <w:rPr>
          <w:color w:val="auto"/>
          <w:spacing w:val="-38"/>
          <w:sz w:val="24"/>
          <w:szCs w:val="24"/>
          <w:highlight w:val="none"/>
        </w:rPr>
        <w:t xml:space="preserve"> </w:t>
      </w:r>
      <w:r>
        <w:rPr>
          <w:color w:val="auto"/>
          <w:spacing w:val="-3"/>
          <w:sz w:val="24"/>
          <w:szCs w:val="24"/>
          <w:highlight w:val="none"/>
        </w:rPr>
        <w:t>专门面向中小企业采购的项目或者采购标包，不再执</w:t>
      </w:r>
      <w:r>
        <w:rPr>
          <w:color w:val="auto"/>
          <w:spacing w:val="-4"/>
          <w:sz w:val="24"/>
          <w:szCs w:val="24"/>
          <w:highlight w:val="none"/>
        </w:rPr>
        <w:t>行价格评审优惠的扶持政策。</w:t>
      </w:r>
    </w:p>
    <w:p w14:paraId="67DECE29">
      <w:pPr>
        <w:spacing w:line="360" w:lineRule="auto"/>
        <w:ind w:firstLine="480" w:firstLineChars="200"/>
        <w:rPr>
          <w:color w:val="auto"/>
          <w:highlight w:val="none"/>
          <w:u w:val="none"/>
        </w:rPr>
      </w:pPr>
      <w:r>
        <w:rPr>
          <w:color w:val="auto"/>
          <w:highlight w:val="none"/>
          <w:u w:val="none"/>
        </w:rPr>
        <w:t>6.本项目特定资格要求：</w:t>
      </w:r>
      <w:r>
        <w:rPr>
          <w:rFonts w:hint="eastAsia"/>
          <w:color w:val="auto"/>
          <w:highlight w:val="none"/>
          <w:u w:val="none"/>
        </w:rPr>
        <w:t>供应商须具</w:t>
      </w:r>
      <w:r>
        <w:rPr>
          <w:rFonts w:hint="eastAsia"/>
          <w:color w:val="auto"/>
          <w:highlight w:val="none"/>
          <w:u w:val="none"/>
          <w:lang w:eastAsia="zh-CN"/>
        </w:rPr>
        <w:t>有有效的</w:t>
      </w:r>
      <w:r>
        <w:rPr>
          <w:rFonts w:hint="eastAsia"/>
          <w:color w:val="auto"/>
          <w:highlight w:val="none"/>
          <w:u w:val="none"/>
        </w:rPr>
        <w:t>会计师事务所执业证</w:t>
      </w:r>
      <w:r>
        <w:rPr>
          <w:rFonts w:hint="eastAsia"/>
          <w:color w:val="auto"/>
          <w:highlight w:val="none"/>
          <w:u w:val="none"/>
          <w:lang w:eastAsia="zh-CN"/>
        </w:rPr>
        <w:t>书。</w:t>
      </w:r>
    </w:p>
    <w:p w14:paraId="0C3D2158">
      <w:pPr>
        <w:spacing w:beforeAutospacing="0" w:afterAutospacing="0" w:line="240" w:lineRule="atLeast"/>
        <w:rPr>
          <w:rFonts w:cs="Arial"/>
          <w:color w:val="auto"/>
          <w:highlight w:val="none"/>
        </w:rPr>
      </w:pPr>
      <w:r>
        <w:rPr>
          <w:rFonts w:hint="eastAsia" w:cs="Arial"/>
          <w:b/>
          <w:bCs/>
          <w:color w:val="auto"/>
          <w:highlight w:val="none"/>
        </w:rPr>
        <w:t>三、获取招标文件</w:t>
      </w:r>
    </w:p>
    <w:p w14:paraId="1168F566">
      <w:pPr>
        <w:pStyle w:val="125"/>
        <w:spacing w:beforeAutospacing="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日至202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日，每天上午00:00至12:00，下午12:00至23:59（北京时间，法定节假日除外）</w:t>
      </w:r>
    </w:p>
    <w:p w14:paraId="42B4FB1C">
      <w:pPr>
        <w:pStyle w:val="125"/>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地点：政采云平台https://www.zcygov.cn/ </w:t>
      </w:r>
    </w:p>
    <w:p w14:paraId="444AD6B3">
      <w:pPr>
        <w:pStyle w:val="125"/>
        <w:spacing w:after="0" w:afterLines="23" w:afterAutospacing="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方式：</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登录政采云平台https://www.zcygov.cn/在线申请获取采购文件（进入“项目采购”应用，在获取采购文件菜单中选择项目，申请获取采购文件） </w:t>
      </w:r>
    </w:p>
    <w:p w14:paraId="5B0D6662">
      <w:pPr>
        <w:spacing w:beforeAutospacing="0" w:after="204" w:line="240" w:lineRule="atLeast"/>
        <w:rPr>
          <w:rFonts w:cs="Arial"/>
          <w:color w:val="auto"/>
          <w:highlight w:val="none"/>
        </w:rPr>
      </w:pPr>
      <w:r>
        <w:rPr>
          <w:rFonts w:hint="eastAsia" w:cs="Arial"/>
          <w:b/>
          <w:bCs/>
          <w:color w:val="auto"/>
          <w:highlight w:val="none"/>
        </w:rPr>
        <w:t>四、提交投标文件截止时间、开标时间和地点</w:t>
      </w:r>
    </w:p>
    <w:p w14:paraId="1C9D7D9E">
      <w:pPr>
        <w:spacing w:before="60" w:after="60" w:line="240" w:lineRule="atLeast"/>
        <w:ind w:firstLine="480"/>
        <w:rPr>
          <w:rFonts w:cs="Arial"/>
          <w:color w:val="auto"/>
          <w:highlight w:val="none"/>
        </w:rPr>
      </w:pPr>
      <w:r>
        <w:rPr>
          <w:rFonts w:cs="Arial"/>
          <w:color w:val="auto"/>
          <w:highlight w:val="none"/>
        </w:rPr>
        <w:t>提交投标文件截止时间：</w:t>
      </w:r>
      <w:r>
        <w:rPr>
          <w:rFonts w:hint="eastAsia" w:cs="Arial"/>
          <w:color w:val="auto"/>
          <w:highlight w:val="none"/>
          <w:lang w:eastAsia="zh-CN"/>
        </w:rPr>
        <w:t>2026</w:t>
      </w:r>
      <w:r>
        <w:rPr>
          <w:rFonts w:cs="Arial"/>
          <w:color w:val="auto"/>
          <w:highlight w:val="none"/>
        </w:rPr>
        <w:t>年</w:t>
      </w:r>
      <w:r>
        <w:rPr>
          <w:rFonts w:hint="eastAsia" w:cs="Arial"/>
          <w:color w:val="auto"/>
          <w:highlight w:val="none"/>
          <w:lang w:val="en-US" w:eastAsia="zh-CN"/>
        </w:rPr>
        <w:t>06</w:t>
      </w:r>
      <w:r>
        <w:rPr>
          <w:rFonts w:cs="Arial"/>
          <w:color w:val="auto"/>
          <w:highlight w:val="none"/>
        </w:rPr>
        <w:t>月</w:t>
      </w:r>
      <w:r>
        <w:rPr>
          <w:rFonts w:hint="eastAsia" w:cs="Arial"/>
          <w:color w:val="auto"/>
          <w:highlight w:val="none"/>
          <w:lang w:val="en-US" w:eastAsia="zh-CN"/>
        </w:rPr>
        <w:t>04</w:t>
      </w:r>
      <w:r>
        <w:rPr>
          <w:rFonts w:cs="Arial"/>
          <w:color w:val="auto"/>
          <w:highlight w:val="none"/>
        </w:rPr>
        <w:t>日 11:00（北京时间）</w:t>
      </w:r>
    </w:p>
    <w:p w14:paraId="38574407">
      <w:pPr>
        <w:pStyle w:val="24"/>
        <w:shd w:val="clear" w:color="auto" w:fill="auto"/>
        <w:spacing w:before="0" w:beforeAutospacing="0" w:after="0" w:afterAutospacing="0" w:line="360" w:lineRule="auto"/>
        <w:rPr>
          <w:rFonts w:hint="eastAsia" w:ascii="宋体" w:hAnsi="宋体" w:eastAsia="宋体" w:cs="宋体"/>
          <w:color w:val="auto"/>
          <w:szCs w:val="24"/>
          <w:highlight w:val="none"/>
        </w:rPr>
      </w:pPr>
      <w:r>
        <w:rPr>
          <w:rFonts w:hint="eastAsia" w:cs="Arial"/>
          <w:color w:val="auto"/>
          <w:highlight w:val="none"/>
          <w:lang w:val="en-US" w:eastAsia="zh-CN"/>
        </w:rPr>
        <w:t xml:space="preserve">    </w:t>
      </w:r>
      <w:r>
        <w:rPr>
          <w:rFonts w:cs="Arial"/>
          <w:color w:val="auto"/>
          <w:highlight w:val="none"/>
        </w:rPr>
        <w:t>投标地点：</w:t>
      </w:r>
      <w:r>
        <w:rPr>
          <w:rFonts w:hint="eastAsia" w:cs="宋体"/>
          <w:i w:val="0"/>
          <w:iCs w:val="0"/>
          <w:caps w:val="0"/>
          <w:color w:val="auto"/>
          <w:spacing w:val="0"/>
          <w:sz w:val="24"/>
          <w:szCs w:val="24"/>
          <w:highlight w:val="none"/>
          <w:lang w:eastAsia="zh-CN"/>
        </w:rPr>
        <w:t>投标人</w:t>
      </w:r>
      <w:r>
        <w:rPr>
          <w:rFonts w:hint="eastAsia" w:ascii="宋体" w:hAnsi="宋体" w:eastAsia="宋体" w:cs="宋体"/>
          <w:i w:val="0"/>
          <w:iCs w:val="0"/>
          <w:caps w:val="0"/>
          <w:color w:val="auto"/>
          <w:spacing w:val="0"/>
          <w:sz w:val="24"/>
          <w:szCs w:val="24"/>
          <w:highlight w:val="none"/>
          <w:lang w:eastAsia="zh-CN"/>
        </w:rPr>
        <w:t>应将加密的电子投标文件上传到政采云平台https://www.zcygov.cn对应位置（逾期未上传的或不符合规定的投标文件将被拒绝接收）。</w:t>
      </w:r>
    </w:p>
    <w:p w14:paraId="0ED88621">
      <w:pPr>
        <w:spacing w:before="60" w:after="60" w:line="240" w:lineRule="atLeast"/>
        <w:ind w:firstLine="480"/>
        <w:rPr>
          <w:rFonts w:cs="Arial"/>
          <w:color w:val="auto"/>
          <w:highlight w:val="none"/>
        </w:rPr>
      </w:pPr>
      <w:r>
        <w:rPr>
          <w:rFonts w:cs="Arial"/>
          <w:color w:val="auto"/>
          <w:highlight w:val="none"/>
        </w:rPr>
        <w:t>开标时间：</w:t>
      </w:r>
      <w:r>
        <w:rPr>
          <w:rFonts w:hint="eastAsia" w:cs="Arial"/>
          <w:color w:val="auto"/>
          <w:highlight w:val="none"/>
          <w:lang w:eastAsia="zh-CN"/>
        </w:rPr>
        <w:t>2026</w:t>
      </w:r>
      <w:r>
        <w:rPr>
          <w:rFonts w:cs="Arial"/>
          <w:color w:val="auto"/>
          <w:highlight w:val="none"/>
        </w:rPr>
        <w:t>年</w:t>
      </w:r>
      <w:r>
        <w:rPr>
          <w:rFonts w:hint="eastAsia" w:cs="Arial"/>
          <w:color w:val="auto"/>
          <w:highlight w:val="none"/>
          <w:lang w:val="en-US" w:eastAsia="zh-CN"/>
        </w:rPr>
        <w:t>06</w:t>
      </w:r>
      <w:r>
        <w:rPr>
          <w:rFonts w:cs="Arial"/>
          <w:color w:val="auto"/>
          <w:highlight w:val="none"/>
        </w:rPr>
        <w:t>月</w:t>
      </w:r>
      <w:r>
        <w:rPr>
          <w:rFonts w:hint="eastAsia" w:cs="Arial"/>
          <w:color w:val="auto"/>
          <w:highlight w:val="none"/>
          <w:lang w:val="en-US" w:eastAsia="zh-CN"/>
        </w:rPr>
        <w:t>04</w:t>
      </w:r>
      <w:r>
        <w:rPr>
          <w:rFonts w:cs="Arial"/>
          <w:color w:val="auto"/>
          <w:highlight w:val="none"/>
        </w:rPr>
        <w:t>日 11:00（北京时间）</w:t>
      </w:r>
    </w:p>
    <w:p w14:paraId="46C597FF">
      <w:pPr>
        <w:spacing w:before="60" w:after="60"/>
        <w:ind w:firstLine="480" w:firstLineChars="200"/>
        <w:jc w:val="both"/>
        <w:rPr>
          <w:rFonts w:hint="eastAsia" w:cs="Arial"/>
          <w:bCs/>
          <w:color w:val="auto"/>
          <w:highlight w:val="none"/>
          <w:lang w:eastAsia="zh-CN"/>
        </w:rPr>
      </w:pPr>
      <w:r>
        <w:rPr>
          <w:rFonts w:cs="Arial"/>
          <w:color w:val="auto"/>
          <w:highlight w:val="none"/>
        </w:rPr>
        <w:t>开标地点：</w:t>
      </w:r>
      <w:r>
        <w:rPr>
          <w:rFonts w:hint="eastAsia" w:ascii="宋体" w:hAnsi="宋体" w:eastAsia="宋体" w:cs="宋体"/>
          <w:i w:val="0"/>
          <w:iCs w:val="0"/>
          <w:caps w:val="0"/>
          <w:color w:val="auto"/>
          <w:spacing w:val="0"/>
          <w:sz w:val="24"/>
          <w:szCs w:val="24"/>
          <w:highlight w:val="none"/>
          <w:lang w:eastAsia="zh-CN"/>
        </w:rPr>
        <w:t>政采云平台https://www.zcygov.cn/不见面开标大厅</w:t>
      </w:r>
    </w:p>
    <w:p w14:paraId="1B6760DE">
      <w:pPr>
        <w:spacing w:before="204" w:after="204" w:line="240" w:lineRule="atLeast"/>
        <w:rPr>
          <w:rFonts w:cs="Arial"/>
          <w:color w:val="auto"/>
          <w:highlight w:val="none"/>
        </w:rPr>
      </w:pPr>
      <w:r>
        <w:rPr>
          <w:rFonts w:hint="eastAsia" w:cs="Arial"/>
          <w:b/>
          <w:bCs/>
          <w:color w:val="auto"/>
          <w:highlight w:val="none"/>
        </w:rPr>
        <w:t>五、公告期限</w:t>
      </w:r>
    </w:p>
    <w:p w14:paraId="674F87F7">
      <w:pPr>
        <w:spacing w:before="60" w:after="60"/>
        <w:ind w:firstLine="480"/>
        <w:rPr>
          <w:rFonts w:cs="Arial"/>
          <w:color w:val="auto"/>
          <w:highlight w:val="none"/>
        </w:rPr>
      </w:pPr>
      <w:r>
        <w:rPr>
          <w:rFonts w:cs="Arial"/>
          <w:color w:val="auto"/>
          <w:highlight w:val="none"/>
        </w:rPr>
        <w:t>自本公告发布之日起5个工作日。</w:t>
      </w:r>
    </w:p>
    <w:p w14:paraId="620EFF8E">
      <w:pPr>
        <w:spacing w:before="204" w:after="204" w:line="240" w:lineRule="atLeast"/>
        <w:rPr>
          <w:rFonts w:cs="Arial"/>
          <w:color w:val="auto"/>
          <w:highlight w:val="none"/>
        </w:rPr>
      </w:pPr>
      <w:r>
        <w:rPr>
          <w:rFonts w:hint="eastAsia" w:cs="Arial"/>
          <w:b/>
          <w:bCs/>
          <w:color w:val="auto"/>
          <w:highlight w:val="none"/>
        </w:rPr>
        <w:t>六、其他补充事宜</w:t>
      </w:r>
    </w:p>
    <w:p w14:paraId="2D8EE60B">
      <w:pPr>
        <w:spacing w:line="360" w:lineRule="auto"/>
        <w:ind w:firstLine="482"/>
        <w:rPr>
          <w:rFonts w:hint="eastAsia" w:cs="Arial"/>
          <w:color w:val="auto"/>
          <w:highlight w:val="none"/>
        </w:rPr>
      </w:pPr>
      <w:r>
        <w:rPr>
          <w:rFonts w:hint="eastAsia" w:cs="Arial"/>
          <w:color w:val="auto"/>
          <w:highlight w:val="none"/>
        </w:rPr>
        <w:t>1.本项目实行网上投标，采用电子投标文件；</w:t>
      </w:r>
    </w:p>
    <w:p w14:paraId="23F42988">
      <w:pPr>
        <w:spacing w:line="360" w:lineRule="auto"/>
        <w:ind w:firstLine="482"/>
        <w:rPr>
          <w:rFonts w:hint="eastAsia" w:cs="Arial"/>
          <w:color w:val="auto"/>
          <w:highlight w:val="none"/>
        </w:rPr>
      </w:pPr>
      <w:r>
        <w:rPr>
          <w:rFonts w:hint="eastAsia" w:cs="Arial"/>
          <w:color w:val="auto"/>
          <w:highlight w:val="none"/>
        </w:rPr>
        <w:t>2.各</w:t>
      </w:r>
      <w:r>
        <w:rPr>
          <w:rFonts w:hint="eastAsia" w:cs="Arial"/>
          <w:color w:val="auto"/>
          <w:highlight w:val="none"/>
          <w:lang w:eastAsia="zh-CN"/>
        </w:rPr>
        <w:t>投标人</w:t>
      </w:r>
      <w:r>
        <w:rPr>
          <w:rFonts w:hint="eastAsia" w:cs="Arial"/>
          <w:color w:val="auto"/>
          <w:highlight w:val="none"/>
        </w:rPr>
        <w:t>在开标前应确保成为新疆政府采购网正式注册入库</w:t>
      </w:r>
      <w:r>
        <w:rPr>
          <w:rFonts w:hint="eastAsia" w:cs="Arial"/>
          <w:color w:val="auto"/>
          <w:highlight w:val="none"/>
          <w:lang w:eastAsia="zh-CN"/>
        </w:rPr>
        <w:t>投标人</w:t>
      </w:r>
      <w:r>
        <w:rPr>
          <w:rFonts w:hint="eastAsia" w:cs="Arial"/>
          <w:color w:val="auto"/>
          <w:highlight w:val="none"/>
        </w:rPr>
        <w:t>，并完成CA数字证书（符合国密标准）申领。因未注册入库、未办理CA数字证书等原因造成无法投标或投标失败等后果由</w:t>
      </w:r>
      <w:r>
        <w:rPr>
          <w:rFonts w:hint="eastAsia" w:cs="Arial"/>
          <w:color w:val="auto"/>
          <w:highlight w:val="none"/>
          <w:lang w:eastAsia="zh-CN"/>
        </w:rPr>
        <w:t>投标人</w:t>
      </w:r>
      <w:r>
        <w:rPr>
          <w:rFonts w:hint="eastAsia" w:cs="Arial"/>
          <w:color w:val="auto"/>
          <w:highlight w:val="none"/>
        </w:rPr>
        <w:t>自行承担。有意向参与电子开评标的</w:t>
      </w:r>
      <w:r>
        <w:rPr>
          <w:rFonts w:hint="eastAsia" w:cs="Arial"/>
          <w:color w:val="auto"/>
          <w:highlight w:val="none"/>
          <w:lang w:eastAsia="zh-CN"/>
        </w:rPr>
        <w:t>投标人</w:t>
      </w:r>
      <w:r>
        <w:rPr>
          <w:rFonts w:hint="eastAsia" w:cs="Arial"/>
          <w:color w:val="auto"/>
          <w:highlight w:val="none"/>
        </w:rPr>
        <w:t>，可访问新疆数字证书认证中心官方网站（</w:t>
      </w:r>
      <w:r>
        <w:rPr>
          <w:rFonts w:hint="eastAsia" w:cs="Arial"/>
          <w:color w:val="auto"/>
          <w:highlight w:val="none"/>
        </w:rPr>
        <w:fldChar w:fldCharType="begin"/>
      </w:r>
      <w:r>
        <w:rPr>
          <w:rFonts w:hint="eastAsia" w:cs="Arial"/>
          <w:color w:val="auto"/>
          <w:highlight w:val="none"/>
        </w:rPr>
        <w:instrText xml:space="preserve"> HYPERLINK "https://www.xjca.com.cn/）或下载\“新疆政务通\”APP自行进行申领。如需咨询，请联系新疆CA服务热线0991-2819290；" </w:instrText>
      </w:r>
      <w:r>
        <w:rPr>
          <w:rFonts w:hint="eastAsia" w:cs="Arial"/>
          <w:color w:val="auto"/>
          <w:highlight w:val="none"/>
        </w:rPr>
        <w:fldChar w:fldCharType="separate"/>
      </w:r>
      <w:r>
        <w:rPr>
          <w:rFonts w:hint="eastAsia" w:cs="Arial"/>
          <w:color w:val="auto"/>
          <w:highlight w:val="none"/>
        </w:rPr>
        <w:t>https://www.xjca.com.cn/）或下载“新疆政务通”APP自行申领。如需咨询，请联系新疆CA服务热线0991-2819290</w:t>
      </w:r>
      <w:r>
        <w:rPr>
          <w:rFonts w:hint="eastAsia" w:cs="Arial"/>
          <w:color w:val="auto"/>
          <w:highlight w:val="none"/>
        </w:rPr>
        <w:fldChar w:fldCharType="end"/>
      </w:r>
      <w:r>
        <w:rPr>
          <w:rFonts w:hint="eastAsia" w:cs="Arial"/>
          <w:color w:val="auto"/>
          <w:highlight w:val="none"/>
        </w:rPr>
        <w:t>；</w:t>
      </w:r>
    </w:p>
    <w:p w14:paraId="5E2945BB">
      <w:pPr>
        <w:spacing w:line="360" w:lineRule="auto"/>
        <w:ind w:firstLine="482"/>
        <w:rPr>
          <w:rFonts w:hint="eastAsia" w:cs="Arial"/>
          <w:color w:val="auto"/>
          <w:highlight w:val="none"/>
        </w:rPr>
      </w:pPr>
      <w:r>
        <w:rPr>
          <w:rFonts w:hint="eastAsia" w:cs="Arial"/>
          <w:color w:val="auto"/>
          <w:highlight w:val="none"/>
        </w:rPr>
        <w:t>3.</w:t>
      </w:r>
      <w:r>
        <w:rPr>
          <w:rFonts w:hint="eastAsia" w:cs="Arial"/>
          <w:color w:val="auto"/>
          <w:highlight w:val="none"/>
          <w:lang w:eastAsia="zh-CN"/>
        </w:rPr>
        <w:t>投标人</w:t>
      </w:r>
      <w:r>
        <w:rPr>
          <w:rFonts w:hint="eastAsia" w:cs="Arial"/>
          <w:color w:val="auto"/>
          <w:highlight w:val="none"/>
        </w:rPr>
        <w:t>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w:t>
      </w:r>
      <w:r>
        <w:rPr>
          <w:rFonts w:hint="eastAsia" w:cs="Arial"/>
          <w:color w:val="auto"/>
          <w:highlight w:val="none"/>
          <w:lang w:eastAsia="zh-CN"/>
        </w:rPr>
        <w:t>投标人</w:t>
      </w:r>
      <w:r>
        <w:rPr>
          <w:rFonts w:hint="eastAsia" w:cs="Arial"/>
          <w:color w:val="auto"/>
          <w:highlight w:val="none"/>
        </w:rPr>
        <w:t>自身原因导致在规定时间内无法正常解密的（如：浏览器故障、未安装相关驱动、网络故障、加密CA与解密CA不一致等），采购中心/代理机构不予异常处理，视为</w:t>
      </w:r>
      <w:r>
        <w:rPr>
          <w:rFonts w:hint="eastAsia" w:cs="Arial"/>
          <w:color w:val="auto"/>
          <w:highlight w:val="none"/>
          <w:lang w:eastAsia="zh-CN"/>
        </w:rPr>
        <w:t>投标人</w:t>
      </w:r>
      <w:r>
        <w:rPr>
          <w:rFonts w:hint="eastAsia" w:cs="Arial"/>
          <w:color w:val="auto"/>
          <w:highlight w:val="none"/>
        </w:rPr>
        <w:t>自动弃标；</w:t>
      </w:r>
    </w:p>
    <w:p w14:paraId="4D44789E">
      <w:pPr>
        <w:spacing w:line="360" w:lineRule="auto"/>
        <w:ind w:firstLine="482"/>
        <w:rPr>
          <w:rFonts w:hint="eastAsia" w:cs="Arial"/>
          <w:color w:val="auto"/>
          <w:highlight w:val="none"/>
        </w:rPr>
      </w:pPr>
      <w:r>
        <w:rPr>
          <w:rFonts w:hint="eastAsia" w:cs="Arial"/>
          <w:color w:val="auto"/>
          <w:highlight w:val="none"/>
        </w:rPr>
        <w:t>4.</w:t>
      </w:r>
      <w:r>
        <w:rPr>
          <w:rFonts w:hint="eastAsia" w:cs="Arial"/>
          <w:color w:val="auto"/>
          <w:highlight w:val="none"/>
          <w:lang w:eastAsia="zh-CN"/>
        </w:rPr>
        <w:t>投标人</w:t>
      </w:r>
      <w:r>
        <w:rPr>
          <w:rFonts w:hint="eastAsia" w:cs="Arial"/>
          <w:color w:val="auto"/>
          <w:highlight w:val="none"/>
        </w:rPr>
        <w:t>应当在投标截止时间前,将生成的“电子加密投标文件”上传递交至“政府采购云平台”,投标截止时间以后上传递交的投标文件将被“政府采购云平台”拒收；</w:t>
      </w:r>
    </w:p>
    <w:p w14:paraId="32964601">
      <w:pPr>
        <w:spacing w:line="360" w:lineRule="auto"/>
        <w:ind w:firstLine="482"/>
        <w:rPr>
          <w:rFonts w:hint="eastAsia" w:cs="Arial"/>
          <w:color w:val="auto"/>
          <w:highlight w:val="none"/>
        </w:rPr>
      </w:pPr>
      <w:r>
        <w:rPr>
          <w:rFonts w:hint="eastAsia" w:cs="Arial"/>
          <w:color w:val="auto"/>
          <w:highlight w:val="none"/>
        </w:rPr>
        <w:t>5.</w:t>
      </w:r>
      <w:r>
        <w:rPr>
          <w:rFonts w:hint="eastAsia" w:cs="Arial"/>
          <w:color w:val="auto"/>
          <w:highlight w:val="none"/>
          <w:lang w:eastAsia="zh-CN"/>
        </w:rPr>
        <w:t>投标人</w:t>
      </w:r>
      <w:r>
        <w:rPr>
          <w:rFonts w:hint="eastAsia" w:cs="Arial"/>
          <w:color w:val="auto"/>
          <w:highlight w:val="none"/>
        </w:rPr>
        <w:t>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w:t>
      </w:r>
      <w:r>
        <w:rPr>
          <w:rFonts w:hint="eastAsia" w:cs="Arial"/>
          <w:color w:val="auto"/>
          <w:highlight w:val="none"/>
          <w:lang w:eastAsia="zh-CN"/>
        </w:rPr>
        <w:t>投标人</w:t>
      </w:r>
      <w:r>
        <w:rPr>
          <w:rFonts w:hint="eastAsia" w:cs="Arial"/>
          <w:color w:val="auto"/>
          <w:highlight w:val="none"/>
        </w:rPr>
        <w:t>在规定时间内因自身原因导致无法正常解密,后果由</w:t>
      </w:r>
      <w:r>
        <w:rPr>
          <w:rFonts w:hint="eastAsia" w:cs="Arial"/>
          <w:color w:val="auto"/>
          <w:highlight w:val="none"/>
          <w:lang w:eastAsia="zh-CN"/>
        </w:rPr>
        <w:t>投标人</w:t>
      </w:r>
      <w:r>
        <w:rPr>
          <w:rFonts w:hint="eastAsia" w:cs="Arial"/>
          <w:color w:val="auto"/>
          <w:highlight w:val="none"/>
        </w:rPr>
        <w:t>自行承担。</w:t>
      </w:r>
    </w:p>
    <w:p w14:paraId="1EC11B9D">
      <w:pPr>
        <w:pStyle w:val="125"/>
        <w:spacing w:afterAutospacing="0" w:line="360" w:lineRule="auto"/>
        <w:ind w:firstLine="480" w:firstLineChars="200"/>
        <w:outlineLvl w:val="0"/>
        <w:rPr>
          <w:rFonts w:hint="eastAsia" w:cs="Arial"/>
          <w:color w:val="auto"/>
          <w:highlight w:val="none"/>
        </w:rPr>
      </w:pPr>
      <w:bookmarkStart w:id="4" w:name="_Toc21382"/>
      <w:r>
        <w:rPr>
          <w:rFonts w:hint="eastAsia" w:ascii="宋体" w:hAnsi="宋体"/>
          <w:color w:val="auto"/>
          <w:sz w:val="24"/>
          <w:szCs w:val="24"/>
          <w:highlight w:val="none"/>
        </w:rPr>
        <w:t>6、</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登录政采云平台，在开标时间后30分钟内用“项目采购-开标评标”功能进行解密投标文件。若</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在规定时间内未按时解密的，视为无效投标。解密与加密投标文件须使用同一个 CA。</w:t>
      </w:r>
      <w:bookmarkEnd w:id="4"/>
    </w:p>
    <w:p w14:paraId="7D1E695A">
      <w:pPr>
        <w:spacing w:beforeAutospacing="0" w:after="204" w:line="384" w:lineRule="atLeast"/>
        <w:rPr>
          <w:rFonts w:cs="Arial"/>
          <w:color w:val="auto"/>
          <w:highlight w:val="none"/>
        </w:rPr>
      </w:pPr>
      <w:r>
        <w:rPr>
          <w:rFonts w:hint="eastAsia" w:cs="Arial"/>
          <w:b/>
          <w:bCs/>
          <w:color w:val="auto"/>
          <w:highlight w:val="none"/>
        </w:rPr>
        <w:t>七、对本次采购提出询问，请按以下方式联系</w:t>
      </w:r>
    </w:p>
    <w:p w14:paraId="1C646777">
      <w:pPr>
        <w:spacing w:before="60" w:after="60" w:line="360" w:lineRule="auto"/>
        <w:ind w:firstLine="480"/>
        <w:rPr>
          <w:rFonts w:cs="Arial"/>
          <w:color w:val="auto"/>
          <w:highlight w:val="none"/>
        </w:rPr>
      </w:pPr>
      <w:r>
        <w:rPr>
          <w:rFonts w:cs="Arial"/>
          <w:color w:val="auto"/>
          <w:highlight w:val="none"/>
        </w:rPr>
        <w:t>1.</w:t>
      </w:r>
      <w:r>
        <w:rPr>
          <w:rFonts w:hint="eastAsia" w:cs="Arial"/>
          <w:color w:val="auto"/>
          <w:highlight w:val="none"/>
          <w:lang w:eastAsia="zh-CN"/>
        </w:rPr>
        <w:t>招标人</w:t>
      </w:r>
      <w:r>
        <w:rPr>
          <w:rFonts w:cs="Arial"/>
          <w:color w:val="auto"/>
          <w:highlight w:val="none"/>
        </w:rPr>
        <w:t>信息</w:t>
      </w:r>
    </w:p>
    <w:p w14:paraId="703B6B24">
      <w:pPr>
        <w:spacing w:before="60" w:after="60" w:line="360" w:lineRule="auto"/>
        <w:ind w:firstLine="480"/>
        <w:rPr>
          <w:rFonts w:hint="eastAsia" w:eastAsia="宋体" w:cs="Arial"/>
          <w:color w:val="auto"/>
          <w:highlight w:val="none"/>
          <w:lang w:eastAsia="zh-CN"/>
        </w:rPr>
      </w:pPr>
      <w:r>
        <w:rPr>
          <w:rFonts w:cs="Arial"/>
          <w:color w:val="auto"/>
          <w:highlight w:val="none"/>
        </w:rPr>
        <w:t>名 称：</w:t>
      </w:r>
      <w:r>
        <w:rPr>
          <w:rFonts w:hint="eastAsia" w:cs="Arial"/>
          <w:color w:val="auto"/>
          <w:highlight w:val="none"/>
        </w:rPr>
        <w:t>乌鲁木齐市生态环境局</w:t>
      </w:r>
    </w:p>
    <w:p w14:paraId="7B27A58F">
      <w:pPr>
        <w:spacing w:before="60" w:after="60" w:line="360" w:lineRule="auto"/>
        <w:ind w:firstLine="480"/>
        <w:rPr>
          <w:rFonts w:hint="eastAsia"/>
          <w:color w:val="auto"/>
          <w:highlight w:val="none"/>
        </w:rPr>
      </w:pPr>
      <w:r>
        <w:rPr>
          <w:rFonts w:cs="Arial"/>
          <w:color w:val="auto"/>
          <w:highlight w:val="none"/>
        </w:rPr>
        <w:t>地 址：</w:t>
      </w:r>
      <w:r>
        <w:rPr>
          <w:rFonts w:hint="eastAsia" w:cs="Arial"/>
          <w:color w:val="auto"/>
          <w:highlight w:val="none"/>
        </w:rPr>
        <w:t>乌鲁木齐市水磨沟区南湖南路西三巷乌鲁木齐市生态环境局</w:t>
      </w:r>
    </w:p>
    <w:p w14:paraId="0ADC72C8">
      <w:pPr>
        <w:spacing w:before="60" w:after="60" w:line="360" w:lineRule="auto"/>
        <w:ind w:firstLine="480"/>
        <w:rPr>
          <w:rFonts w:hint="eastAsia" w:cs="Arial"/>
          <w:color w:val="auto"/>
          <w:highlight w:val="none"/>
        </w:rPr>
      </w:pPr>
      <w:r>
        <w:rPr>
          <w:rFonts w:hint="eastAsia" w:cs="Arial"/>
          <w:color w:val="auto"/>
          <w:highlight w:val="none"/>
        </w:rPr>
        <w:t xml:space="preserve">联系人: 龚会娟          </w:t>
      </w:r>
    </w:p>
    <w:p w14:paraId="0E84166B">
      <w:pPr>
        <w:spacing w:before="60" w:after="60" w:line="360" w:lineRule="auto"/>
        <w:ind w:firstLine="480"/>
        <w:rPr>
          <w:rFonts w:hint="eastAsia" w:eastAsia="宋体" w:cs="Arial"/>
          <w:color w:val="auto"/>
          <w:highlight w:val="none"/>
          <w:lang w:eastAsia="zh-CN"/>
        </w:rPr>
      </w:pPr>
      <w:r>
        <w:rPr>
          <w:rFonts w:hint="eastAsia" w:cs="Arial"/>
          <w:color w:val="auto"/>
          <w:highlight w:val="none"/>
        </w:rPr>
        <w:t xml:space="preserve">联系电话: </w:t>
      </w:r>
      <w:r>
        <w:rPr>
          <w:rFonts w:hint="eastAsia" w:cs="Arial"/>
          <w:color w:val="auto"/>
          <w:highlight w:val="none"/>
          <w:lang w:eastAsia="zh-CN"/>
        </w:rPr>
        <w:t>18699577780</w:t>
      </w:r>
    </w:p>
    <w:p w14:paraId="11567614">
      <w:pPr>
        <w:spacing w:before="60" w:after="60" w:line="360" w:lineRule="auto"/>
        <w:ind w:firstLine="480"/>
        <w:rPr>
          <w:rFonts w:cs="Arial"/>
          <w:color w:val="auto"/>
          <w:highlight w:val="none"/>
        </w:rPr>
      </w:pPr>
      <w:r>
        <w:rPr>
          <w:rFonts w:hint="eastAsia" w:cs="Arial"/>
          <w:color w:val="auto"/>
          <w:highlight w:val="none"/>
          <w:lang w:eastAsia="zh-CN"/>
        </w:rPr>
        <w:t>招标代理机构</w:t>
      </w:r>
      <w:r>
        <w:rPr>
          <w:rFonts w:cs="Arial"/>
          <w:color w:val="auto"/>
          <w:highlight w:val="none"/>
        </w:rPr>
        <w:t>信息</w:t>
      </w:r>
    </w:p>
    <w:p w14:paraId="1A690C18">
      <w:pPr>
        <w:spacing w:before="60" w:after="60" w:line="360" w:lineRule="auto"/>
        <w:ind w:firstLine="480"/>
        <w:rPr>
          <w:rFonts w:cs="Arial"/>
          <w:color w:val="auto"/>
          <w:highlight w:val="none"/>
        </w:rPr>
      </w:pPr>
      <w:r>
        <w:rPr>
          <w:rFonts w:cs="Arial"/>
          <w:color w:val="auto"/>
          <w:highlight w:val="none"/>
        </w:rPr>
        <w:t>名 称：</w:t>
      </w:r>
      <w:r>
        <w:rPr>
          <w:rFonts w:hint="eastAsia" w:ascii="宋体" w:hAnsi="宋体" w:cs="仿宋_GB2312"/>
          <w:color w:val="auto"/>
          <w:sz w:val="24"/>
          <w:szCs w:val="24"/>
          <w:highlight w:val="none"/>
          <w:lang w:eastAsia="zh-CN"/>
        </w:rPr>
        <w:t>新疆弘伟工程项目管理有限公司</w:t>
      </w:r>
    </w:p>
    <w:p w14:paraId="5FA54FE6">
      <w:pPr>
        <w:spacing w:before="60" w:after="60" w:line="360" w:lineRule="auto"/>
        <w:ind w:firstLine="480"/>
        <w:rPr>
          <w:rFonts w:hint="eastAsia" w:cs="Arial"/>
          <w:color w:val="auto"/>
          <w:highlight w:val="none"/>
        </w:rPr>
      </w:pPr>
      <w:r>
        <w:rPr>
          <w:rFonts w:cs="Arial"/>
          <w:color w:val="auto"/>
          <w:highlight w:val="none"/>
        </w:rPr>
        <w:t>地 址：</w:t>
      </w:r>
      <w:r>
        <w:rPr>
          <w:rFonts w:hint="eastAsia" w:ascii="宋体" w:hAnsi="宋体" w:cs="仿宋_GB2312"/>
          <w:color w:val="auto"/>
          <w:sz w:val="24"/>
          <w:szCs w:val="24"/>
          <w:highlight w:val="none"/>
          <w:lang w:eastAsia="zh-CN"/>
        </w:rPr>
        <w:t>乌鲁木齐市新市区鲤鱼山北路298号领世广场7楼704室</w:t>
      </w:r>
      <w:r>
        <w:rPr>
          <w:rFonts w:hint="eastAsia" w:cs="仿宋_GB2312"/>
          <w:color w:val="auto"/>
          <w:sz w:val="24"/>
          <w:szCs w:val="24"/>
          <w:highlight w:val="none"/>
          <w:lang w:val="en-US" w:eastAsia="zh-CN"/>
        </w:rPr>
        <w:t xml:space="preserve"> </w:t>
      </w:r>
    </w:p>
    <w:p w14:paraId="0966BD9A">
      <w:pPr>
        <w:spacing w:before="60" w:after="60" w:line="360" w:lineRule="auto"/>
        <w:ind w:firstLine="480"/>
        <w:rPr>
          <w:rFonts w:hint="eastAsia" w:eastAsia="宋体" w:cs="Arial"/>
          <w:color w:val="auto"/>
          <w:highlight w:val="none"/>
          <w:lang w:eastAsia="zh-CN"/>
        </w:rPr>
      </w:pPr>
      <w:r>
        <w:rPr>
          <w:rFonts w:cs="Arial"/>
          <w:color w:val="auto"/>
          <w:highlight w:val="none"/>
        </w:rPr>
        <w:t>联系方式：</w:t>
      </w:r>
      <w:r>
        <w:rPr>
          <w:rFonts w:hint="eastAsia" w:cs="Arial"/>
          <w:color w:val="auto"/>
          <w:highlight w:val="none"/>
          <w:lang w:val="en-US" w:eastAsia="zh-CN"/>
        </w:rPr>
        <w:t>17591511116</w:t>
      </w:r>
      <w:r>
        <w:rPr>
          <w:rFonts w:hint="eastAsia" w:eastAsia="宋体" w:cs="Arial"/>
          <w:color w:val="auto"/>
          <w:highlight w:val="none"/>
          <w:lang w:eastAsia="zh-CN"/>
        </w:rPr>
        <w:t>、</w:t>
      </w:r>
      <w:r>
        <w:rPr>
          <w:rFonts w:hint="eastAsia" w:ascii="宋体" w:hAnsi="宋体" w:eastAsia="宋体" w:cs="宋体"/>
          <w:color w:val="auto"/>
          <w:sz w:val="24"/>
          <w:szCs w:val="24"/>
          <w:highlight w:val="none"/>
        </w:rPr>
        <w:t>19199261940</w:t>
      </w:r>
    </w:p>
    <w:p w14:paraId="43414C45">
      <w:pPr>
        <w:spacing w:before="60" w:after="60" w:line="360" w:lineRule="auto"/>
        <w:ind w:firstLine="480"/>
        <w:rPr>
          <w:rFonts w:cs="Arial"/>
          <w:color w:val="auto"/>
          <w:highlight w:val="none"/>
        </w:rPr>
      </w:pPr>
      <w:r>
        <w:rPr>
          <w:rFonts w:cs="Arial"/>
          <w:color w:val="auto"/>
          <w:highlight w:val="none"/>
        </w:rPr>
        <w:t>3.项目联系方式</w:t>
      </w:r>
    </w:p>
    <w:p w14:paraId="7A554474">
      <w:pPr>
        <w:spacing w:before="60" w:after="60" w:line="360" w:lineRule="auto"/>
        <w:ind w:firstLine="480"/>
        <w:rPr>
          <w:rFonts w:hint="eastAsia" w:eastAsia="宋体" w:cs="Arial"/>
          <w:color w:val="auto"/>
          <w:highlight w:val="none"/>
          <w:lang w:eastAsia="zh-CN"/>
        </w:rPr>
      </w:pPr>
      <w:r>
        <w:rPr>
          <w:rFonts w:cs="Arial"/>
          <w:color w:val="auto"/>
          <w:highlight w:val="none"/>
        </w:rPr>
        <w:t>项目联系人：</w:t>
      </w:r>
      <w:r>
        <w:rPr>
          <w:rFonts w:hint="eastAsia" w:cs="宋体"/>
          <w:color w:val="auto"/>
          <w:sz w:val="24"/>
          <w:szCs w:val="24"/>
          <w:highlight w:val="none"/>
          <w:lang w:eastAsia="zh-CN"/>
        </w:rPr>
        <w:t>冯工</w:t>
      </w:r>
      <w:r>
        <w:rPr>
          <w:rFonts w:hint="eastAsia" w:ascii="宋体" w:hAnsi="宋体" w:cs="宋体"/>
          <w:color w:val="auto"/>
          <w:sz w:val="24"/>
          <w:szCs w:val="24"/>
          <w:highlight w:val="none"/>
          <w:lang w:eastAsia="zh-CN"/>
        </w:rPr>
        <w:t>、李</w:t>
      </w:r>
      <w:r>
        <w:rPr>
          <w:rFonts w:hint="eastAsia" w:cs="宋体"/>
          <w:color w:val="auto"/>
          <w:sz w:val="24"/>
          <w:szCs w:val="24"/>
          <w:highlight w:val="none"/>
          <w:lang w:eastAsia="zh-CN"/>
        </w:rPr>
        <w:t>工</w:t>
      </w:r>
    </w:p>
    <w:p w14:paraId="4CC93641">
      <w:pPr>
        <w:spacing w:before="60" w:after="60" w:line="360" w:lineRule="auto"/>
        <w:ind w:firstLine="480"/>
        <w:rPr>
          <w:rFonts w:hint="eastAsia" w:eastAsia="宋体" w:cs="Arial"/>
          <w:color w:val="auto"/>
          <w:highlight w:val="none"/>
          <w:lang w:eastAsia="zh-CN"/>
        </w:rPr>
      </w:pPr>
      <w:r>
        <w:rPr>
          <w:rFonts w:cs="Arial"/>
          <w:color w:val="auto"/>
          <w:highlight w:val="none"/>
        </w:rPr>
        <w:t>电 话：</w:t>
      </w:r>
      <w:r>
        <w:rPr>
          <w:rFonts w:hint="eastAsia" w:cs="Arial"/>
          <w:color w:val="auto"/>
          <w:highlight w:val="none"/>
          <w:lang w:val="en-US" w:eastAsia="zh-CN"/>
        </w:rPr>
        <w:t>17591511116</w:t>
      </w:r>
      <w:r>
        <w:rPr>
          <w:rFonts w:hint="eastAsia" w:eastAsia="宋体" w:cs="Arial"/>
          <w:color w:val="auto"/>
          <w:highlight w:val="none"/>
          <w:lang w:eastAsia="zh-CN"/>
        </w:rPr>
        <w:t>、</w:t>
      </w:r>
      <w:r>
        <w:rPr>
          <w:rFonts w:hint="eastAsia" w:ascii="宋体" w:hAnsi="宋体" w:eastAsia="宋体" w:cs="宋体"/>
          <w:color w:val="auto"/>
          <w:sz w:val="24"/>
          <w:szCs w:val="24"/>
          <w:highlight w:val="none"/>
        </w:rPr>
        <w:t>19199261940</w:t>
      </w:r>
    </w:p>
    <w:bookmarkEnd w:id="2"/>
    <w:bookmarkEnd w:id="3"/>
    <w:p w14:paraId="68F1C7B2">
      <w:pPr>
        <w:pStyle w:val="85"/>
        <w:spacing w:line="440" w:lineRule="exact"/>
        <w:jc w:val="center"/>
        <w:outlineLvl w:val="0"/>
        <w:rPr>
          <w:rFonts w:ascii="宋体" w:hAnsi="宋体"/>
          <w:b/>
          <w:color w:val="auto"/>
          <w:kern w:val="2"/>
          <w:sz w:val="36"/>
          <w:szCs w:val="20"/>
          <w:highlight w:val="none"/>
        </w:rPr>
      </w:pPr>
      <w:r>
        <w:rPr>
          <w:rFonts w:ascii="宋体" w:hAnsi="宋体"/>
          <w:b/>
          <w:color w:val="auto"/>
          <w:kern w:val="2"/>
          <w:sz w:val="36"/>
          <w:szCs w:val="20"/>
          <w:highlight w:val="none"/>
        </w:rPr>
        <w:br w:type="page"/>
      </w:r>
      <w:bookmarkStart w:id="5" w:name="_Toc20264"/>
      <w:r>
        <w:rPr>
          <w:rFonts w:hint="eastAsia" w:ascii="宋体" w:hAnsi="宋体"/>
          <w:b/>
          <w:color w:val="auto"/>
          <w:kern w:val="2"/>
          <w:sz w:val="36"/>
          <w:szCs w:val="20"/>
          <w:highlight w:val="none"/>
        </w:rPr>
        <w:t>第一部分</w:t>
      </w:r>
      <w:r>
        <w:rPr>
          <w:rFonts w:ascii="宋体" w:hAnsi="宋体"/>
          <w:b/>
          <w:color w:val="auto"/>
          <w:kern w:val="2"/>
          <w:sz w:val="36"/>
          <w:szCs w:val="20"/>
          <w:highlight w:val="none"/>
        </w:rPr>
        <w:t xml:space="preserve"> </w:t>
      </w:r>
      <w:r>
        <w:rPr>
          <w:rFonts w:hint="eastAsia" w:ascii="宋体" w:hAnsi="宋体"/>
          <w:b/>
          <w:color w:val="auto"/>
          <w:kern w:val="2"/>
          <w:sz w:val="36"/>
          <w:szCs w:val="20"/>
          <w:highlight w:val="none"/>
        </w:rPr>
        <w:t>投标须知前附表</w:t>
      </w:r>
      <w:bookmarkEnd w:id="5"/>
    </w:p>
    <w:tbl>
      <w:tblPr>
        <w:tblStyle w:val="29"/>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14:paraId="65741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979" w:type="dxa"/>
            <w:noWrap w:val="0"/>
            <w:vAlign w:val="center"/>
          </w:tcPr>
          <w:p w14:paraId="7A232300">
            <w:pPr>
              <w:overflowPunct w:val="0"/>
              <w:spacing w:line="440" w:lineRule="exact"/>
              <w:jc w:val="center"/>
              <w:rPr>
                <w:color w:val="auto"/>
                <w:highlight w:val="none"/>
              </w:rPr>
            </w:pPr>
            <w:r>
              <w:rPr>
                <w:rFonts w:hint="eastAsia"/>
                <w:color w:val="auto"/>
                <w:highlight w:val="none"/>
              </w:rPr>
              <w:t>序号</w:t>
            </w:r>
          </w:p>
        </w:tc>
        <w:tc>
          <w:tcPr>
            <w:tcW w:w="2509" w:type="dxa"/>
            <w:noWrap w:val="0"/>
            <w:vAlign w:val="center"/>
          </w:tcPr>
          <w:p w14:paraId="57F035A3">
            <w:pPr>
              <w:overflowPunct w:val="0"/>
              <w:spacing w:line="440" w:lineRule="exact"/>
              <w:jc w:val="center"/>
              <w:rPr>
                <w:color w:val="auto"/>
                <w:highlight w:val="none"/>
              </w:rPr>
            </w:pPr>
            <w:r>
              <w:rPr>
                <w:rFonts w:hint="eastAsia"/>
                <w:color w:val="auto"/>
                <w:highlight w:val="none"/>
              </w:rPr>
              <w:t>名称</w:t>
            </w:r>
          </w:p>
        </w:tc>
        <w:tc>
          <w:tcPr>
            <w:tcW w:w="6837" w:type="dxa"/>
            <w:noWrap w:val="0"/>
            <w:vAlign w:val="center"/>
          </w:tcPr>
          <w:p w14:paraId="504B47CB">
            <w:pPr>
              <w:overflowPunct w:val="0"/>
              <w:spacing w:line="440" w:lineRule="exact"/>
              <w:jc w:val="center"/>
              <w:rPr>
                <w:color w:val="auto"/>
                <w:highlight w:val="none"/>
              </w:rPr>
            </w:pPr>
            <w:r>
              <w:rPr>
                <w:rFonts w:hint="eastAsia"/>
                <w:color w:val="auto"/>
                <w:highlight w:val="none"/>
              </w:rPr>
              <w:t>内容</w:t>
            </w:r>
          </w:p>
        </w:tc>
      </w:tr>
      <w:tr w14:paraId="59902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59971F6F">
            <w:pPr>
              <w:jc w:val="center"/>
              <w:textAlignment w:val="center"/>
              <w:rPr>
                <w:rFonts w:ascii="仿宋_GB2312" w:eastAsia="仿宋_GB2312"/>
                <w:color w:val="auto"/>
                <w:highlight w:val="none"/>
              </w:rPr>
            </w:pPr>
            <w:r>
              <w:rPr>
                <w:rFonts w:hint="eastAsia"/>
                <w:color w:val="auto"/>
                <w:highlight w:val="none"/>
                <w:lang w:bidi="ar"/>
              </w:rPr>
              <w:t>1</w:t>
            </w:r>
          </w:p>
        </w:tc>
        <w:tc>
          <w:tcPr>
            <w:tcW w:w="2509" w:type="dxa"/>
            <w:noWrap w:val="0"/>
            <w:vAlign w:val="center"/>
          </w:tcPr>
          <w:p w14:paraId="1B608949">
            <w:pPr>
              <w:overflowPunct w:val="0"/>
              <w:spacing w:line="440" w:lineRule="exact"/>
              <w:jc w:val="center"/>
              <w:rPr>
                <w:color w:val="auto"/>
                <w:highlight w:val="none"/>
              </w:rPr>
            </w:pPr>
            <w:r>
              <w:rPr>
                <w:rFonts w:hint="eastAsia"/>
                <w:color w:val="auto"/>
                <w:highlight w:val="none"/>
              </w:rPr>
              <w:t>项目编号</w:t>
            </w:r>
          </w:p>
        </w:tc>
        <w:tc>
          <w:tcPr>
            <w:tcW w:w="6837" w:type="dxa"/>
            <w:noWrap w:val="0"/>
            <w:vAlign w:val="center"/>
          </w:tcPr>
          <w:p w14:paraId="4FE29F2C">
            <w:pPr>
              <w:spacing w:line="440" w:lineRule="exact"/>
              <w:rPr>
                <w:rFonts w:hint="default" w:eastAsia="宋体"/>
                <w:color w:val="auto"/>
                <w:highlight w:val="none"/>
                <w:lang w:val="en-US" w:eastAsia="zh-CN"/>
              </w:rPr>
            </w:pPr>
            <w:r>
              <w:rPr>
                <w:rFonts w:hint="eastAsia" w:cs="宋体"/>
                <w:color w:val="auto"/>
                <w:highlight w:val="none"/>
                <w:lang w:val="en-US" w:eastAsia="zh-CN"/>
              </w:rPr>
              <w:t>XJHW2026-023</w:t>
            </w:r>
          </w:p>
        </w:tc>
      </w:tr>
      <w:tr w14:paraId="32A52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2034A082">
            <w:pPr>
              <w:jc w:val="center"/>
              <w:textAlignment w:val="center"/>
              <w:rPr>
                <w:rFonts w:ascii="仿宋_GB2312" w:eastAsia="仿宋_GB2312"/>
                <w:color w:val="auto"/>
                <w:highlight w:val="none"/>
              </w:rPr>
            </w:pPr>
            <w:r>
              <w:rPr>
                <w:rFonts w:hint="eastAsia"/>
                <w:color w:val="auto"/>
                <w:highlight w:val="none"/>
                <w:lang w:bidi="ar"/>
              </w:rPr>
              <w:t>2</w:t>
            </w:r>
          </w:p>
        </w:tc>
        <w:tc>
          <w:tcPr>
            <w:tcW w:w="2509" w:type="dxa"/>
            <w:noWrap w:val="0"/>
            <w:vAlign w:val="center"/>
          </w:tcPr>
          <w:p w14:paraId="53F91B74">
            <w:pPr>
              <w:overflowPunct w:val="0"/>
              <w:spacing w:line="440" w:lineRule="exact"/>
              <w:jc w:val="center"/>
              <w:rPr>
                <w:color w:val="auto"/>
                <w:highlight w:val="none"/>
              </w:rPr>
            </w:pPr>
            <w:r>
              <w:rPr>
                <w:rFonts w:hint="eastAsia"/>
                <w:color w:val="auto"/>
                <w:highlight w:val="none"/>
              </w:rPr>
              <w:t>项目名称</w:t>
            </w:r>
          </w:p>
        </w:tc>
        <w:tc>
          <w:tcPr>
            <w:tcW w:w="6837" w:type="dxa"/>
            <w:noWrap w:val="0"/>
            <w:vAlign w:val="top"/>
          </w:tcPr>
          <w:p w14:paraId="09B71C52">
            <w:pPr>
              <w:spacing w:line="440" w:lineRule="exact"/>
              <w:rPr>
                <w:rFonts w:hint="eastAsia" w:eastAsia="宋体"/>
                <w:color w:val="auto"/>
                <w:highlight w:val="none"/>
                <w:lang w:eastAsia="zh-CN"/>
              </w:rPr>
            </w:pPr>
            <w:r>
              <w:rPr>
                <w:rFonts w:hint="eastAsia"/>
                <w:color w:val="auto"/>
                <w:highlight w:val="none"/>
                <w:lang w:eastAsia="zh-CN"/>
              </w:rPr>
              <w:t>乌鲁木齐市冬季清洁取暖项目效果评估项目项目</w:t>
            </w:r>
          </w:p>
        </w:tc>
      </w:tr>
      <w:tr w14:paraId="5A63B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FDEA6AB">
            <w:pPr>
              <w:jc w:val="center"/>
              <w:textAlignment w:val="center"/>
              <w:rPr>
                <w:rFonts w:ascii="仿宋_GB2312" w:eastAsia="仿宋_GB2312"/>
                <w:color w:val="auto"/>
                <w:highlight w:val="none"/>
              </w:rPr>
            </w:pPr>
            <w:r>
              <w:rPr>
                <w:rFonts w:hint="eastAsia"/>
                <w:color w:val="auto"/>
                <w:highlight w:val="none"/>
                <w:lang w:bidi="ar"/>
              </w:rPr>
              <w:t>3</w:t>
            </w:r>
          </w:p>
        </w:tc>
        <w:tc>
          <w:tcPr>
            <w:tcW w:w="2509" w:type="dxa"/>
            <w:noWrap w:val="0"/>
            <w:vAlign w:val="center"/>
          </w:tcPr>
          <w:p w14:paraId="241D0358">
            <w:pPr>
              <w:overflowPunct w:val="0"/>
              <w:spacing w:line="440" w:lineRule="exact"/>
              <w:jc w:val="center"/>
              <w:rPr>
                <w:color w:val="auto"/>
                <w:highlight w:val="none"/>
              </w:rPr>
            </w:pPr>
            <w:r>
              <w:rPr>
                <w:rFonts w:hint="eastAsia"/>
                <w:color w:val="auto"/>
                <w:highlight w:val="none"/>
              </w:rPr>
              <w:t>联系方式</w:t>
            </w:r>
          </w:p>
        </w:tc>
        <w:tc>
          <w:tcPr>
            <w:tcW w:w="6837" w:type="dxa"/>
            <w:noWrap w:val="0"/>
            <w:vAlign w:val="center"/>
          </w:tcPr>
          <w:p w14:paraId="03BE7C3F">
            <w:pPr>
              <w:overflowPunct w:val="0"/>
              <w:spacing w:line="440" w:lineRule="exact"/>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招标单位：乌鲁木齐市生态环境局</w:t>
            </w:r>
          </w:p>
          <w:p w14:paraId="2DEC2466">
            <w:pPr>
              <w:overflowPunct w:val="0"/>
              <w:spacing w:line="440" w:lineRule="exact"/>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地 址：乌鲁木齐市水磨沟区南湖南路西三巷乌鲁木齐市生态环境局</w:t>
            </w:r>
          </w:p>
          <w:p w14:paraId="24D4C4D1">
            <w:pPr>
              <w:overflowPunct w:val="0"/>
              <w:spacing w:line="440" w:lineRule="exact"/>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联系人: 龚会娟          </w:t>
            </w:r>
          </w:p>
          <w:p w14:paraId="266C0413">
            <w:pPr>
              <w:overflowPunct w:val="0"/>
              <w:spacing w:line="440" w:lineRule="exact"/>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联系电话: </w:t>
            </w:r>
            <w:r>
              <w:rPr>
                <w:rFonts w:hint="eastAsia" w:cs="仿宋_GB2312"/>
                <w:color w:val="auto"/>
                <w:sz w:val="24"/>
                <w:szCs w:val="24"/>
                <w:highlight w:val="none"/>
                <w:lang w:eastAsia="zh-CN"/>
              </w:rPr>
              <w:t>18699577780</w:t>
            </w:r>
          </w:p>
          <w:p w14:paraId="5C763671">
            <w:pPr>
              <w:overflowPunct w:val="0"/>
              <w:spacing w:line="440" w:lineRule="exact"/>
              <w:rPr>
                <w:rFonts w:hint="eastAsia"/>
                <w:color w:val="auto"/>
                <w:highlight w:val="none"/>
              </w:rPr>
            </w:pPr>
            <w:r>
              <w:rPr>
                <w:rFonts w:hint="eastAsia"/>
                <w:color w:val="auto"/>
                <w:highlight w:val="none"/>
              </w:rPr>
              <w:t>招标代理机构：</w:t>
            </w:r>
            <w:r>
              <w:rPr>
                <w:rFonts w:hint="eastAsia" w:ascii="宋体" w:hAnsi="宋体" w:cs="仿宋_GB2312"/>
                <w:color w:val="auto"/>
                <w:sz w:val="24"/>
                <w:szCs w:val="24"/>
                <w:highlight w:val="none"/>
                <w:lang w:eastAsia="zh-CN"/>
              </w:rPr>
              <w:t>新疆弘伟工程项目管理有限公司</w:t>
            </w:r>
          </w:p>
          <w:p w14:paraId="79F1C12C">
            <w:pPr>
              <w:overflowPunct w:val="0"/>
              <w:spacing w:line="440" w:lineRule="exact"/>
              <w:rPr>
                <w:rFonts w:hint="eastAsia"/>
                <w:color w:val="auto"/>
                <w:highlight w:val="none"/>
              </w:rPr>
            </w:pPr>
            <w:r>
              <w:rPr>
                <w:rFonts w:hint="eastAsia"/>
                <w:color w:val="auto"/>
                <w:highlight w:val="none"/>
              </w:rPr>
              <w:t>招标公司地址：</w:t>
            </w:r>
            <w:r>
              <w:rPr>
                <w:rFonts w:hint="eastAsia" w:ascii="宋体" w:hAnsi="宋体" w:cs="仿宋_GB2312"/>
                <w:color w:val="auto"/>
                <w:sz w:val="24"/>
                <w:szCs w:val="24"/>
                <w:highlight w:val="none"/>
                <w:lang w:eastAsia="zh-CN"/>
              </w:rPr>
              <w:t>乌鲁木齐市新市区鲤鱼山北路298号领世广场7楼704室</w:t>
            </w:r>
          </w:p>
          <w:p w14:paraId="37F9E737">
            <w:pPr>
              <w:overflowPunct w:val="0"/>
              <w:spacing w:line="440" w:lineRule="exact"/>
              <w:rPr>
                <w:rFonts w:hint="eastAsia" w:eastAsia="宋体"/>
                <w:color w:val="auto"/>
                <w:highlight w:val="none"/>
                <w:lang w:eastAsia="zh-CN"/>
              </w:rPr>
            </w:pPr>
            <w:r>
              <w:rPr>
                <w:rFonts w:hint="eastAsia"/>
                <w:color w:val="auto"/>
                <w:highlight w:val="none"/>
              </w:rPr>
              <w:t>项目联系人：</w:t>
            </w:r>
            <w:r>
              <w:rPr>
                <w:rFonts w:hint="eastAsia" w:cs="宋体"/>
                <w:color w:val="auto"/>
                <w:sz w:val="24"/>
                <w:szCs w:val="24"/>
                <w:highlight w:val="none"/>
                <w:lang w:eastAsia="zh-CN"/>
              </w:rPr>
              <w:t>冯工</w:t>
            </w:r>
            <w:r>
              <w:rPr>
                <w:rFonts w:hint="eastAsia" w:ascii="宋体" w:hAnsi="宋体" w:cs="宋体"/>
                <w:color w:val="auto"/>
                <w:sz w:val="24"/>
                <w:szCs w:val="24"/>
                <w:highlight w:val="none"/>
                <w:lang w:eastAsia="zh-CN"/>
              </w:rPr>
              <w:t>、李</w:t>
            </w:r>
            <w:r>
              <w:rPr>
                <w:rFonts w:hint="eastAsia" w:cs="宋体"/>
                <w:color w:val="auto"/>
                <w:sz w:val="24"/>
                <w:szCs w:val="24"/>
                <w:highlight w:val="none"/>
                <w:lang w:eastAsia="zh-CN"/>
              </w:rPr>
              <w:t>工</w:t>
            </w:r>
          </w:p>
          <w:p w14:paraId="0AC16DB9">
            <w:pPr>
              <w:overflowPunct w:val="0"/>
              <w:spacing w:line="440" w:lineRule="exact"/>
              <w:rPr>
                <w:rFonts w:hint="eastAsia"/>
                <w:color w:val="auto"/>
                <w:highlight w:val="none"/>
              </w:rPr>
            </w:pPr>
            <w:r>
              <w:rPr>
                <w:rFonts w:hint="eastAsia"/>
                <w:color w:val="auto"/>
                <w:highlight w:val="none"/>
              </w:rPr>
              <w:t>联系电话：</w:t>
            </w:r>
            <w:r>
              <w:rPr>
                <w:rFonts w:hint="eastAsia" w:cs="Arial"/>
                <w:color w:val="auto"/>
                <w:highlight w:val="none"/>
                <w:lang w:val="en-US" w:eastAsia="zh-CN"/>
              </w:rPr>
              <w:t>17591511116</w:t>
            </w:r>
            <w:r>
              <w:rPr>
                <w:rFonts w:hint="eastAsia" w:eastAsia="宋体" w:cs="Arial"/>
                <w:color w:val="auto"/>
                <w:highlight w:val="none"/>
                <w:lang w:eastAsia="zh-CN"/>
              </w:rPr>
              <w:t>、</w:t>
            </w:r>
            <w:r>
              <w:rPr>
                <w:rFonts w:hint="eastAsia" w:ascii="宋体" w:hAnsi="宋体" w:eastAsia="宋体" w:cs="宋体"/>
                <w:color w:val="auto"/>
                <w:sz w:val="24"/>
                <w:szCs w:val="24"/>
                <w:highlight w:val="none"/>
              </w:rPr>
              <w:t>19199261940</w:t>
            </w:r>
          </w:p>
        </w:tc>
      </w:tr>
      <w:tr w14:paraId="08ACA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noWrap w:val="0"/>
            <w:vAlign w:val="center"/>
          </w:tcPr>
          <w:p w14:paraId="0613CCD5">
            <w:pPr>
              <w:jc w:val="center"/>
              <w:textAlignment w:val="center"/>
              <w:rPr>
                <w:rFonts w:ascii="仿宋_GB2312" w:eastAsia="仿宋_GB2312"/>
                <w:color w:val="auto"/>
                <w:highlight w:val="none"/>
              </w:rPr>
            </w:pPr>
            <w:r>
              <w:rPr>
                <w:rFonts w:hint="eastAsia"/>
                <w:color w:val="auto"/>
                <w:highlight w:val="none"/>
                <w:lang w:bidi="ar"/>
              </w:rPr>
              <w:t>4</w:t>
            </w:r>
          </w:p>
        </w:tc>
        <w:tc>
          <w:tcPr>
            <w:tcW w:w="2509" w:type="dxa"/>
            <w:noWrap w:val="0"/>
            <w:vAlign w:val="center"/>
          </w:tcPr>
          <w:p w14:paraId="4A5BB4AF">
            <w:pPr>
              <w:overflowPunct w:val="0"/>
              <w:spacing w:line="440" w:lineRule="exact"/>
              <w:jc w:val="center"/>
              <w:rPr>
                <w:color w:val="auto"/>
                <w:highlight w:val="none"/>
              </w:rPr>
            </w:pPr>
            <w:r>
              <w:rPr>
                <w:rFonts w:hint="eastAsia"/>
                <w:color w:val="auto"/>
                <w:highlight w:val="none"/>
              </w:rPr>
              <w:t>采购内容</w:t>
            </w:r>
          </w:p>
        </w:tc>
        <w:tc>
          <w:tcPr>
            <w:tcW w:w="6837" w:type="dxa"/>
            <w:noWrap w:val="0"/>
            <w:vAlign w:val="center"/>
          </w:tcPr>
          <w:p w14:paraId="6B32572F">
            <w:pPr>
              <w:spacing w:before="60" w:after="60"/>
              <w:rPr>
                <w:rFonts w:hint="eastAsia" w:cs="Arial"/>
                <w:color w:val="auto"/>
                <w:highlight w:val="none"/>
              </w:rPr>
            </w:pPr>
            <w:r>
              <w:rPr>
                <w:rFonts w:hint="eastAsia"/>
                <w:color w:val="auto"/>
                <w:highlight w:val="none"/>
                <w:lang w:eastAsia="zh-CN"/>
              </w:rPr>
              <w:t xml:space="preserve">乌鲁木齐市冬季清洁取暖项目效果评估项目项目，详见采购需求 </w:t>
            </w:r>
          </w:p>
        </w:tc>
      </w:tr>
      <w:tr w14:paraId="08428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noWrap w:val="0"/>
            <w:vAlign w:val="center"/>
          </w:tcPr>
          <w:p w14:paraId="1B38149A">
            <w:pPr>
              <w:jc w:val="center"/>
              <w:textAlignment w:val="center"/>
              <w:rPr>
                <w:rFonts w:hint="eastAsia" w:ascii="仿宋_GB2312" w:eastAsia="仿宋_GB2312"/>
                <w:color w:val="auto"/>
                <w:highlight w:val="none"/>
              </w:rPr>
            </w:pPr>
            <w:bookmarkStart w:id="6" w:name="_Hlk105083709"/>
            <w:r>
              <w:rPr>
                <w:rFonts w:hint="eastAsia"/>
                <w:color w:val="auto"/>
                <w:highlight w:val="none"/>
                <w:lang w:bidi="ar"/>
              </w:rPr>
              <w:t>5</w:t>
            </w:r>
          </w:p>
        </w:tc>
        <w:tc>
          <w:tcPr>
            <w:tcW w:w="2509" w:type="dxa"/>
            <w:noWrap w:val="0"/>
            <w:vAlign w:val="center"/>
          </w:tcPr>
          <w:p w14:paraId="36491CED">
            <w:pPr>
              <w:overflowPunct w:val="0"/>
              <w:spacing w:line="440" w:lineRule="exact"/>
              <w:jc w:val="center"/>
              <w:rPr>
                <w:rFonts w:hint="eastAsia"/>
                <w:color w:val="auto"/>
                <w:highlight w:val="none"/>
              </w:rPr>
            </w:pPr>
            <w:r>
              <w:rPr>
                <w:rFonts w:hint="eastAsia"/>
                <w:color w:val="auto"/>
                <w:highlight w:val="none"/>
              </w:rPr>
              <w:t>预算金额</w:t>
            </w:r>
          </w:p>
        </w:tc>
        <w:tc>
          <w:tcPr>
            <w:tcW w:w="6837" w:type="dxa"/>
            <w:noWrap w:val="0"/>
            <w:vAlign w:val="center"/>
          </w:tcPr>
          <w:p w14:paraId="0541694A">
            <w:pPr>
              <w:spacing w:before="60" w:after="60"/>
              <w:rPr>
                <w:rFonts w:hint="default"/>
                <w:color w:val="auto"/>
                <w:highlight w:val="none"/>
                <w:lang w:val="en-US"/>
              </w:rPr>
            </w:pPr>
            <w:r>
              <w:rPr>
                <w:rFonts w:hint="eastAsia"/>
                <w:color w:val="auto"/>
                <w:highlight w:val="none"/>
              </w:rPr>
              <w:t>预算金额（元）:1980000.00元</w:t>
            </w:r>
          </w:p>
        </w:tc>
      </w:tr>
      <w:bookmarkEnd w:id="6"/>
      <w:tr w14:paraId="3BE47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77D04C8C">
            <w:pPr>
              <w:jc w:val="center"/>
              <w:textAlignment w:val="center"/>
              <w:rPr>
                <w:rFonts w:ascii="仿宋_GB2312" w:eastAsia="仿宋_GB2312"/>
                <w:color w:val="auto"/>
                <w:highlight w:val="none"/>
              </w:rPr>
            </w:pPr>
            <w:r>
              <w:rPr>
                <w:rFonts w:hint="eastAsia"/>
                <w:color w:val="auto"/>
                <w:highlight w:val="none"/>
                <w:lang w:bidi="ar"/>
              </w:rPr>
              <w:t>7</w:t>
            </w:r>
          </w:p>
        </w:tc>
        <w:tc>
          <w:tcPr>
            <w:tcW w:w="2509" w:type="dxa"/>
            <w:tcBorders>
              <w:bottom w:val="single" w:color="auto" w:sz="4" w:space="0"/>
              <w:right w:val="single" w:color="auto" w:sz="4" w:space="0"/>
            </w:tcBorders>
            <w:noWrap w:val="0"/>
            <w:vAlign w:val="center"/>
          </w:tcPr>
          <w:p w14:paraId="4E91C23E">
            <w:pPr>
              <w:overflowPunct w:val="0"/>
              <w:spacing w:line="440" w:lineRule="exact"/>
              <w:jc w:val="center"/>
              <w:rPr>
                <w:color w:val="auto"/>
                <w:highlight w:val="none"/>
              </w:rPr>
            </w:pPr>
            <w:r>
              <w:rPr>
                <w:rFonts w:hint="eastAsia"/>
                <w:color w:val="auto"/>
                <w:highlight w:val="none"/>
              </w:rPr>
              <w:t>投标资格</w:t>
            </w:r>
          </w:p>
        </w:tc>
        <w:tc>
          <w:tcPr>
            <w:tcW w:w="6837" w:type="dxa"/>
            <w:tcBorders>
              <w:left w:val="single" w:color="auto" w:sz="4" w:space="0"/>
              <w:bottom w:val="single" w:color="auto" w:sz="4" w:space="0"/>
            </w:tcBorders>
            <w:noWrap w:val="0"/>
            <w:vAlign w:val="center"/>
          </w:tcPr>
          <w:p w14:paraId="2801FE52">
            <w:pPr>
              <w:spacing w:line="360" w:lineRule="auto"/>
              <w:ind w:firstLine="480" w:firstLineChars="200"/>
              <w:rPr>
                <w:rFonts w:hint="eastAsia" w:cs="Arial"/>
                <w:color w:val="auto"/>
                <w:highlight w:val="none"/>
              </w:rPr>
            </w:pPr>
            <w:r>
              <w:rPr>
                <w:rFonts w:hint="eastAsia" w:cs="Arial"/>
                <w:color w:val="auto"/>
                <w:highlight w:val="none"/>
              </w:rPr>
              <w:t>1.供应商必须符合《中华人民共和国政府采购法》第二十二条的规定。</w:t>
            </w:r>
          </w:p>
          <w:p w14:paraId="43949E6B">
            <w:pPr>
              <w:spacing w:line="360" w:lineRule="auto"/>
              <w:ind w:firstLine="480" w:firstLineChars="200"/>
              <w:rPr>
                <w:rFonts w:hint="eastAsia" w:cs="Arial"/>
                <w:color w:val="auto"/>
                <w:highlight w:val="none"/>
              </w:rPr>
            </w:pPr>
            <w:r>
              <w:rPr>
                <w:rFonts w:hint="eastAsia" w:cs="Arial"/>
                <w:color w:val="auto"/>
                <w:highlight w:val="none"/>
              </w:rPr>
              <w:t>2.满足《中华人民共和国政府采购法》第二十二条规定；具有有效的营业执照,事业法人应提供事业单位法人证书；其他组织应提供合法登记证明文件；有独立订立合同的权利，能独立承担民事责任的能力</w:t>
            </w:r>
          </w:p>
          <w:p w14:paraId="31FB07EF">
            <w:pPr>
              <w:spacing w:line="360" w:lineRule="auto"/>
              <w:ind w:firstLine="480" w:firstLineChars="200"/>
              <w:rPr>
                <w:rFonts w:hint="eastAsia" w:cs="Arial"/>
                <w:color w:val="auto"/>
                <w:highlight w:val="none"/>
              </w:rPr>
            </w:pPr>
            <w:r>
              <w:rPr>
                <w:rFonts w:hint="eastAsia" w:cs="Arial"/>
                <w:color w:val="auto"/>
                <w:highlight w:val="none"/>
              </w:rPr>
              <w:t>3.凡拟参加本次项目的供应商， 如在“信用中国”网站 WWW.creditchina.gov.cn、 中国政府采购网 www.ccgp.gov.cn 被列入失信被执行人、重大税收违法案件当事人名单、政府采购严重违法失信行为记录名单的（尚在处罚期内的）、经营异常名录的，将拒绝其参与本次政府采购活动；</w:t>
            </w:r>
          </w:p>
          <w:p w14:paraId="3EA76956">
            <w:pPr>
              <w:spacing w:line="360" w:lineRule="auto"/>
              <w:ind w:firstLine="480" w:firstLineChars="200"/>
              <w:rPr>
                <w:rFonts w:hint="eastAsia" w:cs="Arial"/>
                <w:color w:val="auto"/>
                <w:highlight w:val="none"/>
              </w:rPr>
            </w:pPr>
            <w:r>
              <w:rPr>
                <w:rFonts w:hint="eastAsia" w:cs="Arial"/>
                <w:color w:val="auto"/>
                <w:highlight w:val="none"/>
              </w:rPr>
              <w:t>4.本项目接受联合体投标。</w:t>
            </w:r>
          </w:p>
          <w:p w14:paraId="16E8208C">
            <w:pPr>
              <w:spacing w:line="360" w:lineRule="auto"/>
              <w:ind w:firstLine="480" w:firstLineChars="200"/>
              <w:rPr>
                <w:rFonts w:hint="eastAsia" w:cs="Arial"/>
                <w:color w:val="auto"/>
                <w:highlight w:val="none"/>
              </w:rPr>
            </w:pPr>
            <w:r>
              <w:rPr>
                <w:rFonts w:hint="eastAsia" w:cs="Arial"/>
                <w:color w:val="auto"/>
                <w:highlight w:val="none"/>
              </w:rPr>
              <w:t>5.落实政府采购政策需满足的资格要求：</w:t>
            </w:r>
          </w:p>
          <w:p w14:paraId="5A208973">
            <w:pPr>
              <w:spacing w:line="360" w:lineRule="auto"/>
              <w:ind w:firstLine="480" w:firstLineChars="200"/>
              <w:rPr>
                <w:rFonts w:hint="eastAsia" w:cs="Arial"/>
                <w:color w:val="auto"/>
                <w:highlight w:val="none"/>
              </w:rPr>
            </w:pPr>
            <w:r>
              <w:rPr>
                <w:rFonts w:hint="eastAsia" w:cs="Arial"/>
                <w:color w:val="auto"/>
                <w:highlight w:val="none"/>
              </w:rPr>
              <w:t>本项目为</w:t>
            </w:r>
            <w:r>
              <w:rPr>
                <w:rFonts w:hint="eastAsia" w:cs="Arial"/>
                <w:color w:val="auto"/>
                <w:highlight w:val="none"/>
                <w:lang w:eastAsia="zh-CN"/>
              </w:rPr>
              <w:t>非</w:t>
            </w:r>
            <w:r>
              <w:rPr>
                <w:rFonts w:hint="eastAsia" w:cs="Arial"/>
                <w:color w:val="auto"/>
                <w:highlight w:val="none"/>
              </w:rPr>
              <w:t>专门面向小微企业（小型、微型）采购项目， 根据《政府采购促 进中小企业发展管理办法》（财库[</w:t>
            </w:r>
            <w:bookmarkStart w:id="40" w:name="_GoBack"/>
            <w:r>
              <w:rPr>
                <w:rFonts w:hint="eastAsia" w:cs="Arial"/>
                <w:color w:val="auto"/>
                <w:highlight w:val="none"/>
              </w:rPr>
              <w:t>2020</w:t>
            </w:r>
            <w:bookmarkEnd w:id="40"/>
            <w:r>
              <w:rPr>
                <w:rFonts w:hint="eastAsia" w:cs="Arial"/>
                <w:color w:val="auto"/>
                <w:highlight w:val="none"/>
              </w:rPr>
              <w:t>]46 号）、《关于进一步加大政府采购支持中 小企业力度的通知》（财库〔2022〕19 号） 、《财政部 司法部关于政府采购支持监狱 企业发展有关问题的通知》（财库〔2014〕68 号）和《三部门联合发布关于促进残疾 人就业政府采购政策的通知》（财库〔2017〕141 号） 的规定， 对满足价格扣除条件且 在投标文件中提交了《中小企业声明函》、《残疾人福利性单位声明函》或省级以上监 狱管理局、戒毒管理局（含新疆生产建设兵团） 出具的属于监狱企业的证明文件的投标人。 专门面向中小企业采购的项目或者采购标包，不再执行价格评审优惠的扶持政策。</w:t>
            </w:r>
          </w:p>
          <w:p w14:paraId="6D2B3B99">
            <w:pPr>
              <w:spacing w:line="360" w:lineRule="auto"/>
              <w:ind w:firstLine="480" w:firstLineChars="200"/>
              <w:rPr>
                <w:rFonts w:hint="eastAsia" w:cs="Arial"/>
                <w:color w:val="auto"/>
                <w:highlight w:val="none"/>
              </w:rPr>
            </w:pPr>
            <w:r>
              <w:rPr>
                <w:color w:val="auto"/>
                <w:highlight w:val="none"/>
              </w:rPr>
              <w:t>6.本项目特定资格要求：</w:t>
            </w:r>
            <w:r>
              <w:rPr>
                <w:rFonts w:hint="eastAsia"/>
                <w:color w:val="auto"/>
                <w:highlight w:val="none"/>
                <w:u w:val="none"/>
              </w:rPr>
              <w:t>供应商须具</w:t>
            </w:r>
            <w:r>
              <w:rPr>
                <w:rFonts w:hint="eastAsia"/>
                <w:color w:val="auto"/>
                <w:highlight w:val="none"/>
                <w:u w:val="none"/>
                <w:lang w:eastAsia="zh-CN"/>
              </w:rPr>
              <w:t>有有效的</w:t>
            </w:r>
            <w:r>
              <w:rPr>
                <w:rFonts w:hint="eastAsia"/>
                <w:color w:val="auto"/>
                <w:highlight w:val="none"/>
                <w:u w:val="none"/>
              </w:rPr>
              <w:t>会计师事务所执业证</w:t>
            </w:r>
            <w:r>
              <w:rPr>
                <w:rFonts w:hint="eastAsia"/>
                <w:color w:val="auto"/>
                <w:highlight w:val="none"/>
                <w:u w:val="none"/>
                <w:lang w:eastAsia="zh-CN"/>
              </w:rPr>
              <w:t>书。</w:t>
            </w:r>
          </w:p>
        </w:tc>
      </w:tr>
      <w:tr w14:paraId="4019F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29F0D1FC">
            <w:pPr>
              <w:jc w:val="center"/>
              <w:textAlignment w:val="center"/>
              <w:rPr>
                <w:rFonts w:hint="eastAsia" w:eastAsia="宋体"/>
                <w:color w:val="auto"/>
                <w:highlight w:val="none"/>
                <w:lang w:val="en-US" w:eastAsia="zh-CN" w:bidi="ar"/>
              </w:rPr>
            </w:pPr>
            <w:r>
              <w:rPr>
                <w:rFonts w:hint="eastAsia"/>
                <w:color w:val="auto"/>
                <w:highlight w:val="none"/>
                <w:lang w:val="en-US" w:eastAsia="zh-CN" w:bidi="ar"/>
              </w:rPr>
              <w:t>8</w:t>
            </w:r>
          </w:p>
        </w:tc>
        <w:tc>
          <w:tcPr>
            <w:tcW w:w="2509" w:type="dxa"/>
            <w:tcBorders>
              <w:bottom w:val="single" w:color="auto" w:sz="4" w:space="0"/>
              <w:right w:val="single" w:color="auto" w:sz="4" w:space="0"/>
            </w:tcBorders>
            <w:noWrap w:val="0"/>
            <w:vAlign w:val="center"/>
          </w:tcPr>
          <w:p w14:paraId="6F145BB0">
            <w:pPr>
              <w:pStyle w:val="105"/>
              <w:ind w:left="38"/>
              <w:jc w:val="center"/>
              <w:rPr>
                <w:rFonts w:hint="default" w:eastAsia="宋体" w:cs="Times New Roman"/>
                <w:color w:val="auto"/>
                <w:kern w:val="2"/>
                <w:highlight w:val="none"/>
                <w:lang w:val="en-US" w:eastAsia="zh-CN"/>
              </w:rPr>
            </w:pPr>
            <w:r>
              <w:rPr>
                <w:rFonts w:hint="eastAsia" w:cs="Times New Roman"/>
                <w:color w:val="auto"/>
                <w:kern w:val="2"/>
                <w:highlight w:val="none"/>
                <w:lang w:val="en-US" w:eastAsia="zh-CN"/>
              </w:rPr>
              <w:t>小微企业说明</w:t>
            </w:r>
          </w:p>
        </w:tc>
        <w:tc>
          <w:tcPr>
            <w:tcW w:w="6837" w:type="dxa"/>
            <w:tcBorders>
              <w:left w:val="single" w:color="auto" w:sz="4" w:space="0"/>
              <w:bottom w:val="single" w:color="auto" w:sz="4" w:space="0"/>
            </w:tcBorders>
            <w:noWrap w:val="0"/>
            <w:vAlign w:val="center"/>
          </w:tcPr>
          <w:p w14:paraId="19FA7C36">
            <w:pPr>
              <w:spacing w:line="440" w:lineRule="exact"/>
              <w:rPr>
                <w:rFonts w:hint="eastAsia"/>
                <w:color w:val="auto"/>
                <w:highlight w:val="none"/>
              </w:rPr>
            </w:pPr>
            <w:r>
              <w:rPr>
                <w:rFonts w:hint="eastAsia"/>
                <w:color w:val="auto"/>
                <w:highlight w:val="none"/>
              </w:rPr>
              <w:t>1、以联合体形式参加政府采购活动，联合体各方均为小微企业的，联合体视同小微企业。</w:t>
            </w:r>
          </w:p>
          <w:p w14:paraId="686510AA">
            <w:pPr>
              <w:spacing w:line="440" w:lineRule="exact"/>
              <w:rPr>
                <w:rFonts w:hint="eastAsia"/>
                <w:color w:val="auto"/>
                <w:highlight w:val="none"/>
              </w:rPr>
            </w:pPr>
            <w:r>
              <w:rPr>
                <w:rFonts w:hint="eastAsia"/>
                <w:color w:val="auto"/>
                <w:highlight w:val="none"/>
              </w:rPr>
              <w:t>2、符合小微企业划分标准的个体工商户，视同小微企业。</w:t>
            </w:r>
          </w:p>
          <w:p w14:paraId="308F187C">
            <w:pPr>
              <w:spacing w:line="440" w:lineRule="exact"/>
              <w:rPr>
                <w:rFonts w:hint="eastAsia"/>
                <w:color w:val="auto"/>
                <w:highlight w:val="none"/>
              </w:rPr>
            </w:pPr>
            <w:r>
              <w:rPr>
                <w:rFonts w:hint="eastAsia"/>
                <w:color w:val="auto"/>
                <w:highlight w:val="none"/>
              </w:rPr>
              <w:t xml:space="preserve">3、参加本次采购活动的供应商提供的服务全部由小微企业承接的，其报价给予10%的扣除，用扣除后的价格参加评审。 </w:t>
            </w:r>
          </w:p>
          <w:p w14:paraId="0BEE0F66">
            <w:pPr>
              <w:spacing w:line="440" w:lineRule="exact"/>
              <w:rPr>
                <w:rFonts w:hint="eastAsia"/>
                <w:color w:val="auto"/>
                <w:highlight w:val="none"/>
              </w:rPr>
            </w:pPr>
            <w:r>
              <w:rPr>
                <w:rFonts w:hint="eastAsia"/>
                <w:color w:val="auto"/>
                <w:highlight w:val="none"/>
              </w:rPr>
              <w:t>4、本项目接受大中型企业与小微企业组成联合体。对于联合协议约定小微企业的合同份额占到合同总金额30%以上的，其报价给予4%的扣除，用扣除后的价格参加评审。组成联合体的小微企业与联合体内其他企业之间存在直接控股、管理关系的，不享受价格扣除优惠政策。</w:t>
            </w:r>
          </w:p>
          <w:p w14:paraId="7FA66E95">
            <w:pPr>
              <w:spacing w:line="440" w:lineRule="exact"/>
              <w:rPr>
                <w:rFonts w:hint="eastAsia"/>
                <w:color w:val="auto"/>
                <w:highlight w:val="none"/>
              </w:rPr>
            </w:pPr>
            <w:r>
              <w:rPr>
                <w:rFonts w:hint="eastAsia"/>
                <w:color w:val="auto"/>
                <w:highlight w:val="none"/>
              </w:rPr>
              <w:t>5、监狱企业和残疾人福利性企业视同小微企业。</w:t>
            </w:r>
          </w:p>
        </w:tc>
      </w:tr>
      <w:tr w14:paraId="6B035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0663562A">
            <w:pPr>
              <w:jc w:val="center"/>
              <w:textAlignment w:val="center"/>
              <w:rPr>
                <w:rFonts w:hint="eastAsia" w:ascii="仿宋_GB2312" w:eastAsia="宋体"/>
                <w:color w:val="auto"/>
                <w:highlight w:val="none"/>
                <w:lang w:eastAsia="zh-CN"/>
              </w:rPr>
            </w:pPr>
            <w:r>
              <w:rPr>
                <w:rFonts w:hint="eastAsia"/>
                <w:color w:val="auto"/>
                <w:highlight w:val="none"/>
                <w:lang w:val="en-US" w:eastAsia="zh-CN" w:bidi="ar"/>
              </w:rPr>
              <w:t>9</w:t>
            </w:r>
          </w:p>
        </w:tc>
        <w:tc>
          <w:tcPr>
            <w:tcW w:w="2509" w:type="dxa"/>
            <w:tcBorders>
              <w:bottom w:val="single" w:color="auto" w:sz="4" w:space="0"/>
              <w:right w:val="single" w:color="auto" w:sz="4" w:space="0"/>
            </w:tcBorders>
            <w:noWrap w:val="0"/>
            <w:vAlign w:val="center"/>
          </w:tcPr>
          <w:p w14:paraId="4AD7C38A">
            <w:pPr>
              <w:pStyle w:val="105"/>
              <w:ind w:left="38"/>
              <w:jc w:val="center"/>
              <w:rPr>
                <w:rFonts w:cs="Times New Roman"/>
                <w:color w:val="auto"/>
                <w:kern w:val="2"/>
                <w:highlight w:val="none"/>
              </w:rPr>
            </w:pPr>
            <w:r>
              <w:rPr>
                <w:rFonts w:hint="eastAsia" w:cs="Times New Roman"/>
                <w:color w:val="auto"/>
                <w:kern w:val="2"/>
                <w:highlight w:val="none"/>
              </w:rPr>
              <w:t>信用情况</w:t>
            </w:r>
          </w:p>
        </w:tc>
        <w:tc>
          <w:tcPr>
            <w:tcW w:w="6837" w:type="dxa"/>
            <w:tcBorders>
              <w:left w:val="single" w:color="auto" w:sz="4" w:space="0"/>
              <w:bottom w:val="single" w:color="auto" w:sz="4" w:space="0"/>
            </w:tcBorders>
            <w:noWrap w:val="0"/>
            <w:vAlign w:val="center"/>
          </w:tcPr>
          <w:p w14:paraId="3AF78D6F">
            <w:pPr>
              <w:spacing w:line="440" w:lineRule="exact"/>
              <w:rPr>
                <w:rFonts w:hint="eastAsia"/>
                <w:color w:val="auto"/>
                <w:highlight w:val="none"/>
              </w:rPr>
            </w:pPr>
            <w:r>
              <w:rPr>
                <w:rFonts w:hint="eastAsia"/>
                <w:color w:val="auto"/>
                <w:highlight w:val="none"/>
              </w:rPr>
              <w:t>信用记录审查：</w:t>
            </w:r>
          </w:p>
          <w:p w14:paraId="4405AD66">
            <w:pPr>
              <w:spacing w:line="440" w:lineRule="exact"/>
              <w:rPr>
                <w:b/>
                <w:color w:val="auto"/>
                <w:highlight w:val="none"/>
              </w:rPr>
            </w:pPr>
            <w:r>
              <w:rPr>
                <w:rFonts w:hint="eastAsia"/>
                <w:color w:val="auto"/>
                <w:highlight w:val="none"/>
              </w:rPr>
              <w:t>根据《财政部关于在政府采购活动中查询及使用信用记录有关问题的通知》（财库〔2016〕125号）规定，投标截止时间后，</w:t>
            </w:r>
            <w:r>
              <w:rPr>
                <w:rFonts w:hint="eastAsia"/>
                <w:color w:val="auto"/>
                <w:highlight w:val="none"/>
                <w:lang w:eastAsia="zh-CN"/>
              </w:rPr>
              <w:t>招标人</w:t>
            </w:r>
            <w:r>
              <w:rPr>
                <w:rFonts w:hint="eastAsia"/>
                <w:color w:val="auto"/>
                <w:highlight w:val="none"/>
              </w:rPr>
              <w:t>或</w:t>
            </w:r>
            <w:r>
              <w:rPr>
                <w:rFonts w:hint="eastAsia"/>
                <w:color w:val="auto"/>
                <w:highlight w:val="none"/>
                <w:lang w:eastAsia="zh-CN"/>
              </w:rPr>
              <w:t>招标代理机构</w:t>
            </w:r>
            <w:r>
              <w:rPr>
                <w:rFonts w:hint="eastAsia"/>
                <w:color w:val="auto"/>
                <w:highlight w:val="none"/>
              </w:rPr>
              <w:t>将通过“信用中国”网站(www.creditchina.gov.cn)、中国政府采购网(www.ccgp.gov.cn)，对投标人截止到投标截止时间的信用记录进行审查，对列入失信被执行人、重大税收违法案件当事人名单、政府采购严重违法失信行为记录名单的（尚在处罚期内的）、经营异常名录的及其他不符合《中华人民共和国政府采购法》第二十二条规定条件的</w:t>
            </w:r>
            <w:r>
              <w:rPr>
                <w:rFonts w:hint="eastAsia"/>
                <w:color w:val="auto"/>
                <w:highlight w:val="none"/>
                <w:lang w:eastAsia="zh-CN"/>
              </w:rPr>
              <w:t>投标人</w:t>
            </w:r>
            <w:r>
              <w:rPr>
                <w:rFonts w:hint="eastAsia"/>
                <w:color w:val="auto"/>
                <w:highlight w:val="none"/>
              </w:rPr>
              <w:t>，其投标将被拒绝。</w:t>
            </w:r>
          </w:p>
        </w:tc>
      </w:tr>
      <w:tr w14:paraId="0ACF2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noWrap w:val="0"/>
            <w:vAlign w:val="center"/>
          </w:tcPr>
          <w:p w14:paraId="7E676A47">
            <w:pPr>
              <w:jc w:val="center"/>
              <w:textAlignment w:val="center"/>
              <w:rPr>
                <w:rFonts w:hint="default" w:ascii="仿宋_GB2312" w:eastAsia="宋体"/>
                <w:color w:val="auto"/>
                <w:highlight w:val="none"/>
                <w:lang w:val="en-US" w:eastAsia="zh-CN"/>
              </w:rPr>
            </w:pPr>
            <w:r>
              <w:rPr>
                <w:rFonts w:hint="eastAsia"/>
                <w:color w:val="auto"/>
                <w:highlight w:val="none"/>
                <w:lang w:val="en-US" w:eastAsia="zh-CN" w:bidi="ar"/>
              </w:rPr>
              <w:t>10</w:t>
            </w:r>
          </w:p>
        </w:tc>
        <w:tc>
          <w:tcPr>
            <w:tcW w:w="2509" w:type="dxa"/>
            <w:tcBorders>
              <w:top w:val="single" w:color="auto" w:sz="4" w:space="0"/>
            </w:tcBorders>
            <w:noWrap w:val="0"/>
            <w:vAlign w:val="center"/>
          </w:tcPr>
          <w:p w14:paraId="2943DC17">
            <w:pPr>
              <w:overflowPunct w:val="0"/>
              <w:spacing w:line="440" w:lineRule="exact"/>
              <w:jc w:val="center"/>
              <w:rPr>
                <w:color w:val="auto"/>
                <w:highlight w:val="none"/>
              </w:rPr>
            </w:pPr>
            <w:r>
              <w:rPr>
                <w:rFonts w:hint="eastAsia"/>
                <w:color w:val="auto"/>
                <w:highlight w:val="none"/>
              </w:rPr>
              <w:t>是否接受联合体投标</w:t>
            </w:r>
          </w:p>
        </w:tc>
        <w:tc>
          <w:tcPr>
            <w:tcW w:w="6837" w:type="dxa"/>
            <w:tcBorders>
              <w:top w:val="single" w:color="auto" w:sz="4" w:space="0"/>
            </w:tcBorders>
            <w:noWrap w:val="0"/>
            <w:vAlign w:val="center"/>
          </w:tcPr>
          <w:p w14:paraId="6FB6D9DC">
            <w:pPr>
              <w:overflowPunct w:val="0"/>
              <w:spacing w:line="440" w:lineRule="exact"/>
              <w:rPr>
                <w:color w:val="auto"/>
                <w:highlight w:val="none"/>
              </w:rPr>
            </w:pPr>
            <w:r>
              <w:rPr>
                <w:rFonts w:hint="eastAsia"/>
                <w:color w:val="auto"/>
                <w:highlight w:val="none"/>
              </w:rPr>
              <w:t>接受</w:t>
            </w:r>
          </w:p>
        </w:tc>
      </w:tr>
      <w:tr w14:paraId="7F725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09015F4A">
            <w:pPr>
              <w:jc w:val="center"/>
              <w:textAlignment w:val="center"/>
              <w:rPr>
                <w:rFonts w:hint="eastAsia" w:ascii="仿宋_GB2312" w:eastAsia="宋体"/>
                <w:color w:val="auto"/>
                <w:highlight w:val="none"/>
                <w:lang w:eastAsia="zh-CN"/>
              </w:rPr>
            </w:pPr>
            <w:r>
              <w:rPr>
                <w:rFonts w:hint="eastAsia"/>
                <w:color w:val="auto"/>
                <w:highlight w:val="none"/>
                <w:lang w:bidi="ar"/>
              </w:rPr>
              <w:t>1</w:t>
            </w:r>
            <w:r>
              <w:rPr>
                <w:rFonts w:hint="eastAsia"/>
                <w:color w:val="auto"/>
                <w:highlight w:val="none"/>
                <w:lang w:val="en-US" w:eastAsia="zh-CN" w:bidi="ar"/>
              </w:rPr>
              <w:t>1</w:t>
            </w:r>
          </w:p>
        </w:tc>
        <w:tc>
          <w:tcPr>
            <w:tcW w:w="2509" w:type="dxa"/>
            <w:noWrap w:val="0"/>
            <w:vAlign w:val="center"/>
          </w:tcPr>
          <w:p w14:paraId="23421F56">
            <w:pPr>
              <w:overflowPunct w:val="0"/>
              <w:spacing w:line="440" w:lineRule="exact"/>
              <w:jc w:val="center"/>
              <w:rPr>
                <w:color w:val="auto"/>
                <w:highlight w:val="none"/>
              </w:rPr>
            </w:pPr>
            <w:r>
              <w:rPr>
                <w:rFonts w:hint="eastAsia"/>
                <w:color w:val="auto"/>
                <w:highlight w:val="none"/>
              </w:rPr>
              <w:t>招标文件发放日期</w:t>
            </w:r>
          </w:p>
        </w:tc>
        <w:tc>
          <w:tcPr>
            <w:tcW w:w="6837" w:type="dxa"/>
            <w:noWrap w:val="0"/>
            <w:vAlign w:val="center"/>
          </w:tcPr>
          <w:p w14:paraId="1725EBB2">
            <w:pPr>
              <w:overflowPunct w:val="0"/>
              <w:spacing w:line="440" w:lineRule="exact"/>
              <w:rPr>
                <w:color w:val="auto"/>
                <w:highlight w:val="none"/>
              </w:rPr>
            </w:pPr>
            <w:r>
              <w:rPr>
                <w:rFonts w:hint="eastAsia"/>
                <w:color w:val="auto"/>
                <w:highlight w:val="none"/>
              </w:rPr>
              <w:t>时间：</w:t>
            </w:r>
            <w:r>
              <w:rPr>
                <w:rFonts w:hint="eastAsia"/>
                <w:color w:val="auto"/>
                <w:sz w:val="24"/>
                <w:szCs w:val="24"/>
                <w:highlight w:val="none"/>
                <w:lang w:eastAsia="zh-CN"/>
              </w:rPr>
              <w:t>2026</w:t>
            </w:r>
            <w:r>
              <w:rPr>
                <w:rFonts w:hint="eastAsia" w:ascii="宋体" w:hAnsi="宋体"/>
                <w:color w:val="auto"/>
                <w:sz w:val="24"/>
                <w:szCs w:val="24"/>
                <w:highlight w:val="none"/>
              </w:rPr>
              <w:t>年</w:t>
            </w:r>
            <w:r>
              <w:rPr>
                <w:rFonts w:hint="eastAsia"/>
                <w:color w:val="auto"/>
                <w:sz w:val="24"/>
                <w:szCs w:val="24"/>
                <w:highlight w:val="none"/>
                <w:lang w:val="en-US" w:eastAsia="zh-CN"/>
              </w:rPr>
              <w:t>05</w:t>
            </w:r>
            <w:r>
              <w:rPr>
                <w:rFonts w:hint="eastAsia" w:ascii="宋体" w:hAnsi="宋体"/>
                <w:color w:val="auto"/>
                <w:sz w:val="24"/>
                <w:szCs w:val="24"/>
                <w:highlight w:val="none"/>
              </w:rPr>
              <w:t>月</w:t>
            </w:r>
            <w:r>
              <w:rPr>
                <w:rFonts w:hint="eastAsia"/>
                <w:color w:val="auto"/>
                <w:sz w:val="24"/>
                <w:szCs w:val="24"/>
                <w:highlight w:val="none"/>
                <w:lang w:val="en-US" w:eastAsia="zh-CN"/>
              </w:rPr>
              <w:t>15</w:t>
            </w:r>
            <w:r>
              <w:rPr>
                <w:rFonts w:hint="eastAsia" w:ascii="宋体" w:hAnsi="宋体"/>
                <w:color w:val="auto"/>
                <w:sz w:val="24"/>
                <w:szCs w:val="24"/>
                <w:highlight w:val="none"/>
              </w:rPr>
              <w:t>日至</w:t>
            </w:r>
            <w:r>
              <w:rPr>
                <w:rFonts w:hint="eastAsia"/>
                <w:color w:val="auto"/>
                <w:sz w:val="24"/>
                <w:szCs w:val="24"/>
                <w:highlight w:val="none"/>
                <w:lang w:eastAsia="zh-CN"/>
              </w:rPr>
              <w:t>2026</w:t>
            </w:r>
            <w:r>
              <w:rPr>
                <w:rFonts w:hint="eastAsia" w:ascii="宋体" w:hAnsi="宋体"/>
                <w:color w:val="auto"/>
                <w:sz w:val="24"/>
                <w:szCs w:val="24"/>
                <w:highlight w:val="none"/>
              </w:rPr>
              <w:t>年</w:t>
            </w:r>
            <w:r>
              <w:rPr>
                <w:rFonts w:hint="eastAsia"/>
                <w:color w:val="auto"/>
                <w:sz w:val="24"/>
                <w:szCs w:val="24"/>
                <w:highlight w:val="none"/>
                <w:lang w:val="en-US" w:eastAsia="zh-CN"/>
              </w:rPr>
              <w:t>05</w:t>
            </w:r>
            <w:r>
              <w:rPr>
                <w:rFonts w:hint="eastAsia" w:ascii="宋体" w:hAnsi="宋体"/>
                <w:color w:val="auto"/>
                <w:sz w:val="24"/>
                <w:szCs w:val="24"/>
                <w:highlight w:val="none"/>
              </w:rPr>
              <w:t>月</w:t>
            </w:r>
            <w:r>
              <w:rPr>
                <w:rFonts w:hint="eastAsia"/>
                <w:color w:val="auto"/>
                <w:sz w:val="24"/>
                <w:szCs w:val="24"/>
                <w:highlight w:val="none"/>
                <w:lang w:val="en-US" w:eastAsia="zh-CN"/>
              </w:rPr>
              <w:t>22</w:t>
            </w:r>
            <w:r>
              <w:rPr>
                <w:rFonts w:hint="eastAsia" w:ascii="宋体" w:hAnsi="宋体"/>
                <w:color w:val="auto"/>
                <w:sz w:val="24"/>
                <w:szCs w:val="24"/>
                <w:highlight w:val="none"/>
              </w:rPr>
              <w:t>日，每天上午00:00至12:00，下午12:00至23:59（北京时间，法定节假日除外）</w:t>
            </w:r>
          </w:p>
          <w:p w14:paraId="2B56E5DD">
            <w:pPr>
              <w:spacing w:line="340" w:lineRule="exact"/>
              <w:rPr>
                <w:rFonts w:hint="eastAsia"/>
                <w:color w:val="auto"/>
                <w:szCs w:val="21"/>
                <w:highlight w:val="none"/>
              </w:rPr>
            </w:pPr>
            <w:r>
              <w:rPr>
                <w:rFonts w:hint="eastAsia"/>
                <w:color w:val="auto"/>
                <w:highlight w:val="none"/>
              </w:rPr>
              <w:t>地点：政采云平台http://www.zcygov.cn</w:t>
            </w:r>
          </w:p>
        </w:tc>
      </w:tr>
      <w:tr w14:paraId="12665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4F4F8648">
            <w:pPr>
              <w:jc w:val="center"/>
              <w:textAlignment w:val="center"/>
              <w:rPr>
                <w:rFonts w:hint="eastAsia" w:ascii="仿宋_GB2312" w:eastAsia="宋体"/>
                <w:color w:val="auto"/>
                <w:highlight w:val="none"/>
                <w:lang w:eastAsia="zh-CN"/>
              </w:rPr>
            </w:pPr>
            <w:r>
              <w:rPr>
                <w:rFonts w:hint="eastAsia"/>
                <w:color w:val="auto"/>
                <w:highlight w:val="none"/>
                <w:lang w:bidi="ar"/>
              </w:rPr>
              <w:t>1</w:t>
            </w:r>
            <w:r>
              <w:rPr>
                <w:rFonts w:hint="eastAsia"/>
                <w:color w:val="auto"/>
                <w:highlight w:val="none"/>
                <w:lang w:val="en-US" w:eastAsia="zh-CN" w:bidi="ar"/>
              </w:rPr>
              <w:t>2</w:t>
            </w:r>
          </w:p>
        </w:tc>
        <w:tc>
          <w:tcPr>
            <w:tcW w:w="2509" w:type="dxa"/>
            <w:noWrap w:val="0"/>
            <w:vAlign w:val="center"/>
          </w:tcPr>
          <w:p w14:paraId="6D6C42A4">
            <w:pPr>
              <w:overflowPunct w:val="0"/>
              <w:spacing w:line="440" w:lineRule="exact"/>
              <w:jc w:val="center"/>
              <w:rPr>
                <w:color w:val="auto"/>
                <w:highlight w:val="none"/>
              </w:rPr>
            </w:pPr>
            <w:r>
              <w:rPr>
                <w:rFonts w:hint="eastAsia"/>
                <w:color w:val="auto"/>
                <w:highlight w:val="none"/>
              </w:rPr>
              <w:t>标书售价</w:t>
            </w:r>
          </w:p>
        </w:tc>
        <w:tc>
          <w:tcPr>
            <w:tcW w:w="6837" w:type="dxa"/>
            <w:noWrap w:val="0"/>
            <w:vAlign w:val="center"/>
          </w:tcPr>
          <w:p w14:paraId="5FDCC25E">
            <w:pPr>
              <w:overflowPunct w:val="0"/>
              <w:spacing w:line="440" w:lineRule="exact"/>
              <w:rPr>
                <w:color w:val="auto"/>
                <w:highlight w:val="none"/>
              </w:rPr>
            </w:pPr>
            <w:r>
              <w:rPr>
                <w:rFonts w:hint="eastAsia"/>
                <w:color w:val="auto"/>
                <w:highlight w:val="none"/>
              </w:rPr>
              <w:t>人民币</w:t>
            </w:r>
            <w:r>
              <w:rPr>
                <w:color w:val="auto"/>
                <w:highlight w:val="none"/>
              </w:rPr>
              <w:t>0</w:t>
            </w:r>
            <w:r>
              <w:rPr>
                <w:rFonts w:hint="eastAsia"/>
                <w:color w:val="auto"/>
                <w:highlight w:val="none"/>
              </w:rPr>
              <w:t>元</w:t>
            </w:r>
            <w:r>
              <w:rPr>
                <w:rFonts w:hint="eastAsia"/>
                <w:color w:val="auto"/>
                <w:highlight w:val="none"/>
                <w:lang w:eastAsia="zh-CN"/>
              </w:rPr>
              <w:t>；</w:t>
            </w:r>
            <w:r>
              <w:rPr>
                <w:rFonts w:hint="eastAsia"/>
                <w:color w:val="auto"/>
                <w:highlight w:val="none"/>
              </w:rPr>
              <w:t>投标资格不能转让。</w:t>
            </w:r>
          </w:p>
        </w:tc>
      </w:tr>
      <w:tr w14:paraId="77A97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noWrap w:val="0"/>
            <w:vAlign w:val="center"/>
          </w:tcPr>
          <w:p w14:paraId="3C0BB7A6">
            <w:pPr>
              <w:jc w:val="center"/>
              <w:textAlignment w:val="center"/>
              <w:rPr>
                <w:rFonts w:hint="default" w:ascii="仿宋_GB2312" w:eastAsia="宋体"/>
                <w:color w:val="auto"/>
                <w:highlight w:val="none"/>
                <w:lang w:val="en-US" w:eastAsia="zh-CN"/>
              </w:rPr>
            </w:pPr>
            <w:r>
              <w:rPr>
                <w:rFonts w:hint="eastAsia"/>
                <w:color w:val="auto"/>
                <w:highlight w:val="none"/>
                <w:lang w:val="en-US" w:eastAsia="zh-CN" w:bidi="ar"/>
              </w:rPr>
              <w:t>13</w:t>
            </w:r>
          </w:p>
        </w:tc>
        <w:tc>
          <w:tcPr>
            <w:tcW w:w="2509" w:type="dxa"/>
            <w:noWrap w:val="0"/>
            <w:vAlign w:val="center"/>
          </w:tcPr>
          <w:p w14:paraId="2AFD7949">
            <w:pPr>
              <w:overflowPunct w:val="0"/>
              <w:spacing w:line="440" w:lineRule="exact"/>
              <w:ind w:left="240" w:hanging="240" w:hangingChars="100"/>
              <w:jc w:val="center"/>
              <w:rPr>
                <w:color w:val="auto"/>
                <w:highlight w:val="none"/>
              </w:rPr>
            </w:pPr>
            <w:r>
              <w:rPr>
                <w:rFonts w:hint="eastAsia"/>
                <w:color w:val="auto"/>
                <w:highlight w:val="none"/>
              </w:rPr>
              <w:t>投标文件递交截止时间及开标时间</w:t>
            </w:r>
          </w:p>
        </w:tc>
        <w:tc>
          <w:tcPr>
            <w:tcW w:w="6837" w:type="dxa"/>
            <w:noWrap w:val="0"/>
            <w:vAlign w:val="center"/>
          </w:tcPr>
          <w:p w14:paraId="690F8986">
            <w:pPr>
              <w:spacing w:line="240" w:lineRule="atLeast"/>
              <w:rPr>
                <w:color w:val="auto"/>
                <w:highlight w:val="none"/>
              </w:rPr>
            </w:pPr>
            <w:r>
              <w:rPr>
                <w:rFonts w:hint="eastAsia" w:cs="Arial"/>
                <w:color w:val="auto"/>
                <w:highlight w:val="none"/>
                <w:lang w:eastAsia="zh-CN"/>
              </w:rPr>
              <w:t>2026年</w:t>
            </w:r>
            <w:r>
              <w:rPr>
                <w:rFonts w:hint="eastAsia" w:cs="Arial"/>
                <w:color w:val="auto"/>
                <w:highlight w:val="none"/>
                <w:lang w:val="en-US" w:eastAsia="zh-CN"/>
              </w:rPr>
              <w:t>06</w:t>
            </w:r>
            <w:r>
              <w:rPr>
                <w:rFonts w:hint="eastAsia" w:cs="Arial"/>
                <w:color w:val="auto"/>
                <w:highlight w:val="none"/>
                <w:lang w:eastAsia="zh-CN"/>
              </w:rPr>
              <w:t>月</w:t>
            </w:r>
            <w:r>
              <w:rPr>
                <w:rFonts w:hint="eastAsia" w:cs="Arial"/>
                <w:color w:val="auto"/>
                <w:highlight w:val="none"/>
                <w:lang w:val="en-US" w:eastAsia="zh-CN"/>
              </w:rPr>
              <w:t>04</w:t>
            </w:r>
            <w:r>
              <w:rPr>
                <w:rFonts w:hint="eastAsia" w:cs="Arial"/>
                <w:color w:val="auto"/>
                <w:highlight w:val="none"/>
                <w:lang w:eastAsia="zh-CN"/>
              </w:rPr>
              <w:t>日</w:t>
            </w:r>
            <w:r>
              <w:rPr>
                <w:rFonts w:cs="Arial"/>
                <w:color w:val="auto"/>
                <w:highlight w:val="none"/>
              </w:rPr>
              <w:t xml:space="preserve"> 11:00（北京时间）</w:t>
            </w:r>
          </w:p>
        </w:tc>
      </w:tr>
      <w:tr w14:paraId="073C7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noWrap w:val="0"/>
            <w:vAlign w:val="center"/>
          </w:tcPr>
          <w:p w14:paraId="6A75375F">
            <w:pPr>
              <w:jc w:val="center"/>
              <w:textAlignment w:val="center"/>
              <w:rPr>
                <w:rFonts w:hint="eastAsia" w:ascii="仿宋_GB2312" w:eastAsia="宋体"/>
                <w:color w:val="auto"/>
                <w:highlight w:val="none"/>
                <w:lang w:eastAsia="zh-CN"/>
              </w:rPr>
            </w:pPr>
            <w:r>
              <w:rPr>
                <w:rFonts w:hint="eastAsia"/>
                <w:color w:val="auto"/>
                <w:highlight w:val="none"/>
                <w:lang w:bidi="ar"/>
              </w:rPr>
              <w:t>1</w:t>
            </w:r>
            <w:r>
              <w:rPr>
                <w:rFonts w:hint="eastAsia"/>
                <w:color w:val="auto"/>
                <w:highlight w:val="none"/>
                <w:lang w:val="en-US" w:eastAsia="zh-CN" w:bidi="ar"/>
              </w:rPr>
              <w:t>4</w:t>
            </w:r>
          </w:p>
        </w:tc>
        <w:tc>
          <w:tcPr>
            <w:tcW w:w="2509" w:type="dxa"/>
            <w:noWrap w:val="0"/>
            <w:vAlign w:val="center"/>
          </w:tcPr>
          <w:p w14:paraId="730C69BA">
            <w:pPr>
              <w:overflowPunct w:val="0"/>
              <w:spacing w:line="440" w:lineRule="exact"/>
              <w:jc w:val="center"/>
              <w:rPr>
                <w:color w:val="auto"/>
                <w:highlight w:val="none"/>
              </w:rPr>
            </w:pPr>
            <w:r>
              <w:rPr>
                <w:rFonts w:hint="eastAsia"/>
                <w:color w:val="auto"/>
                <w:highlight w:val="none"/>
              </w:rPr>
              <w:t>投标文件递交及开标地点</w:t>
            </w:r>
          </w:p>
        </w:tc>
        <w:tc>
          <w:tcPr>
            <w:tcW w:w="6837" w:type="dxa"/>
            <w:noWrap w:val="0"/>
            <w:vAlign w:val="center"/>
          </w:tcPr>
          <w:p w14:paraId="77E75D30">
            <w:pPr>
              <w:spacing w:line="400" w:lineRule="exact"/>
              <w:rPr>
                <w:rFonts w:cs="Arial"/>
                <w:color w:val="auto"/>
                <w:szCs w:val="28"/>
                <w:highlight w:val="none"/>
              </w:rPr>
            </w:pPr>
            <w:r>
              <w:rPr>
                <w:rFonts w:hint="eastAsia" w:cs="Arial"/>
                <w:color w:val="auto"/>
                <w:highlight w:val="none"/>
              </w:rPr>
              <w:t>将投标文件上传至政采云平台https://www.zcygov.cn/对应位置（逾期未上传的或不符合规定的投标文件将被拒绝接收）</w:t>
            </w:r>
          </w:p>
        </w:tc>
      </w:tr>
      <w:tr w14:paraId="69EA8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79" w:type="dxa"/>
            <w:noWrap w:val="0"/>
            <w:vAlign w:val="center"/>
          </w:tcPr>
          <w:p w14:paraId="0D63A58C">
            <w:pPr>
              <w:jc w:val="center"/>
              <w:textAlignment w:val="center"/>
              <w:rPr>
                <w:rFonts w:hint="eastAsia" w:ascii="仿宋_GB2312" w:eastAsia="宋体"/>
                <w:color w:val="auto"/>
                <w:highlight w:val="none"/>
                <w:lang w:eastAsia="zh-CN"/>
              </w:rPr>
            </w:pPr>
            <w:r>
              <w:rPr>
                <w:rFonts w:hint="eastAsia"/>
                <w:color w:val="auto"/>
                <w:highlight w:val="none"/>
                <w:lang w:bidi="ar"/>
              </w:rPr>
              <w:t>1</w:t>
            </w:r>
            <w:r>
              <w:rPr>
                <w:rFonts w:hint="eastAsia"/>
                <w:color w:val="auto"/>
                <w:highlight w:val="none"/>
                <w:lang w:val="en-US" w:eastAsia="zh-CN" w:bidi="ar"/>
              </w:rPr>
              <w:t>5</w:t>
            </w:r>
          </w:p>
        </w:tc>
        <w:tc>
          <w:tcPr>
            <w:tcW w:w="2509" w:type="dxa"/>
            <w:noWrap w:val="0"/>
            <w:vAlign w:val="center"/>
          </w:tcPr>
          <w:p w14:paraId="4E7A4F3F">
            <w:pPr>
              <w:overflowPunct w:val="0"/>
              <w:spacing w:line="440" w:lineRule="exact"/>
              <w:jc w:val="center"/>
              <w:rPr>
                <w:color w:val="auto"/>
                <w:highlight w:val="none"/>
              </w:rPr>
            </w:pPr>
            <w:r>
              <w:rPr>
                <w:rFonts w:hint="eastAsia"/>
                <w:color w:val="auto"/>
                <w:highlight w:val="none"/>
              </w:rPr>
              <w:t>投标有效期</w:t>
            </w:r>
          </w:p>
        </w:tc>
        <w:tc>
          <w:tcPr>
            <w:tcW w:w="6837" w:type="dxa"/>
            <w:noWrap w:val="0"/>
            <w:vAlign w:val="center"/>
          </w:tcPr>
          <w:p w14:paraId="4ED61635">
            <w:pPr>
              <w:overflowPunct w:val="0"/>
              <w:spacing w:line="440" w:lineRule="exact"/>
              <w:rPr>
                <w:rFonts w:hint="eastAsia" w:eastAsia="宋体"/>
                <w:color w:val="auto"/>
                <w:highlight w:val="none"/>
                <w:lang w:eastAsia="zh-CN"/>
              </w:rPr>
            </w:pPr>
            <w:r>
              <w:rPr>
                <w:rFonts w:hint="eastAsia"/>
                <w:color w:val="auto"/>
                <w:highlight w:val="none"/>
                <w:lang w:val="en-US" w:eastAsia="zh-CN"/>
              </w:rPr>
              <w:t>90日</w:t>
            </w:r>
          </w:p>
        </w:tc>
      </w:tr>
      <w:tr w14:paraId="5E927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979" w:type="dxa"/>
            <w:noWrap w:val="0"/>
            <w:vAlign w:val="center"/>
          </w:tcPr>
          <w:p w14:paraId="05D03B05">
            <w:pPr>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16</w:t>
            </w:r>
          </w:p>
        </w:tc>
        <w:tc>
          <w:tcPr>
            <w:tcW w:w="2509" w:type="dxa"/>
            <w:noWrap w:val="0"/>
            <w:vAlign w:val="center"/>
          </w:tcPr>
          <w:p w14:paraId="1A69FB5F">
            <w:pPr>
              <w:overflowPunct w:val="0"/>
              <w:spacing w:line="440" w:lineRule="exact"/>
              <w:jc w:val="center"/>
              <w:rPr>
                <w:rFonts w:hint="eastAsia"/>
                <w:color w:val="auto"/>
                <w:highlight w:val="none"/>
              </w:rPr>
            </w:pPr>
            <w:r>
              <w:rPr>
                <w:rFonts w:hint="eastAsia"/>
                <w:color w:val="auto"/>
                <w:highlight w:val="none"/>
                <w:lang w:eastAsia="zh-CN"/>
              </w:rPr>
              <w:t>服务期限</w:t>
            </w:r>
          </w:p>
        </w:tc>
        <w:tc>
          <w:tcPr>
            <w:tcW w:w="6837" w:type="dxa"/>
            <w:noWrap w:val="0"/>
            <w:vAlign w:val="center"/>
          </w:tcPr>
          <w:p w14:paraId="0F13E9A0">
            <w:pPr>
              <w:spacing w:line="440" w:lineRule="exact"/>
              <w:rPr>
                <w:rFonts w:hint="eastAsia" w:eastAsia="宋体"/>
                <w:color w:val="auto"/>
                <w:highlight w:val="none"/>
                <w:lang w:eastAsia="zh-CN"/>
              </w:rPr>
            </w:pPr>
            <w:r>
              <w:rPr>
                <w:rFonts w:hint="eastAsia"/>
                <w:color w:val="auto"/>
                <w:highlight w:val="none"/>
                <w:lang w:eastAsia="zh-CN"/>
              </w:rPr>
              <w:t>服务期限两个月。自合同签订之日起两个月内完成全部评估工作，提交正式评估报告并通过专家评审。若需后续补充调研、报告修改，服务期顺延。</w:t>
            </w:r>
          </w:p>
        </w:tc>
      </w:tr>
      <w:tr w14:paraId="4CAEB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19A468F2">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17</w:t>
            </w:r>
          </w:p>
        </w:tc>
        <w:tc>
          <w:tcPr>
            <w:tcW w:w="2509" w:type="dxa"/>
            <w:noWrap w:val="0"/>
            <w:vAlign w:val="center"/>
          </w:tcPr>
          <w:p w14:paraId="11786591">
            <w:pPr>
              <w:overflowPunct w:val="0"/>
              <w:spacing w:line="440" w:lineRule="exact"/>
              <w:jc w:val="center"/>
              <w:rPr>
                <w:color w:val="auto"/>
                <w:highlight w:val="none"/>
              </w:rPr>
            </w:pPr>
            <w:r>
              <w:rPr>
                <w:rFonts w:hint="eastAsia"/>
                <w:color w:val="auto"/>
                <w:highlight w:val="none"/>
                <w:lang w:eastAsia="zh-CN"/>
              </w:rPr>
              <w:t>服务</w:t>
            </w:r>
            <w:r>
              <w:rPr>
                <w:rFonts w:hint="eastAsia"/>
                <w:color w:val="auto"/>
                <w:highlight w:val="none"/>
              </w:rPr>
              <w:t>地点</w:t>
            </w:r>
          </w:p>
        </w:tc>
        <w:tc>
          <w:tcPr>
            <w:tcW w:w="6837" w:type="dxa"/>
            <w:noWrap w:val="0"/>
            <w:vAlign w:val="center"/>
          </w:tcPr>
          <w:p w14:paraId="6B5A2A7A">
            <w:pPr>
              <w:spacing w:line="440" w:lineRule="exact"/>
              <w:rPr>
                <w:color w:val="auto"/>
                <w:highlight w:val="none"/>
              </w:rPr>
            </w:pPr>
            <w:r>
              <w:rPr>
                <w:rFonts w:hint="eastAsia"/>
                <w:color w:val="auto"/>
                <w:highlight w:val="none"/>
                <w:lang w:eastAsia="zh-CN"/>
              </w:rPr>
              <w:t>乌鲁木齐市</w:t>
            </w:r>
          </w:p>
        </w:tc>
      </w:tr>
      <w:tr w14:paraId="7FB39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979" w:type="dxa"/>
            <w:tcBorders>
              <w:bottom w:val="single" w:color="auto" w:sz="4" w:space="0"/>
            </w:tcBorders>
            <w:noWrap w:val="0"/>
            <w:vAlign w:val="center"/>
          </w:tcPr>
          <w:p w14:paraId="5A00BD85">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18</w:t>
            </w:r>
          </w:p>
        </w:tc>
        <w:tc>
          <w:tcPr>
            <w:tcW w:w="2509" w:type="dxa"/>
            <w:tcBorders>
              <w:bottom w:val="single" w:color="auto" w:sz="4" w:space="0"/>
            </w:tcBorders>
            <w:noWrap w:val="0"/>
            <w:vAlign w:val="center"/>
          </w:tcPr>
          <w:p w14:paraId="7A6FB039">
            <w:pPr>
              <w:overflowPunct w:val="0"/>
              <w:spacing w:line="440" w:lineRule="exact"/>
              <w:jc w:val="center"/>
              <w:rPr>
                <w:color w:val="auto"/>
                <w:highlight w:val="none"/>
              </w:rPr>
            </w:pPr>
            <w:r>
              <w:rPr>
                <w:rFonts w:hint="eastAsia"/>
                <w:color w:val="auto"/>
                <w:highlight w:val="none"/>
              </w:rPr>
              <w:t>评标方法</w:t>
            </w:r>
          </w:p>
        </w:tc>
        <w:tc>
          <w:tcPr>
            <w:tcW w:w="6837" w:type="dxa"/>
            <w:tcBorders>
              <w:bottom w:val="single" w:color="auto" w:sz="4" w:space="0"/>
            </w:tcBorders>
            <w:noWrap w:val="0"/>
            <w:vAlign w:val="center"/>
          </w:tcPr>
          <w:p w14:paraId="4CA75272">
            <w:pPr>
              <w:overflowPunct w:val="0"/>
              <w:spacing w:line="440" w:lineRule="exact"/>
              <w:rPr>
                <w:color w:val="auto"/>
                <w:highlight w:val="none"/>
              </w:rPr>
            </w:pPr>
            <w:r>
              <w:rPr>
                <w:rFonts w:hint="eastAsia"/>
                <w:color w:val="auto"/>
                <w:highlight w:val="none"/>
              </w:rPr>
              <w:t>综合评分法</w:t>
            </w:r>
          </w:p>
        </w:tc>
      </w:tr>
      <w:tr w14:paraId="30009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79" w:type="dxa"/>
            <w:vMerge w:val="restart"/>
            <w:noWrap w:val="0"/>
            <w:vAlign w:val="center"/>
          </w:tcPr>
          <w:p w14:paraId="7073F955">
            <w:pPr>
              <w:jc w:val="center"/>
              <w:textAlignment w:val="center"/>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bidi="ar"/>
              </w:rPr>
              <w:t>19</w:t>
            </w:r>
          </w:p>
          <w:p w14:paraId="7504269B">
            <w:pPr>
              <w:jc w:val="center"/>
              <w:textAlignment w:val="center"/>
              <w:rPr>
                <w:rFonts w:hint="eastAsia" w:ascii="宋体" w:hAnsi="宋体" w:eastAsia="宋体" w:cs="宋体"/>
                <w:color w:val="auto"/>
                <w:highlight w:val="none"/>
                <w:lang w:bidi="ar"/>
              </w:rPr>
            </w:pPr>
          </w:p>
        </w:tc>
        <w:tc>
          <w:tcPr>
            <w:tcW w:w="2509" w:type="dxa"/>
            <w:vMerge w:val="restart"/>
            <w:noWrap w:val="0"/>
            <w:vAlign w:val="center"/>
          </w:tcPr>
          <w:p w14:paraId="5FD9FFD8">
            <w:pPr>
              <w:overflowPunct w:val="0"/>
              <w:spacing w:line="440" w:lineRule="exact"/>
              <w:jc w:val="center"/>
              <w:rPr>
                <w:color w:val="auto"/>
                <w:highlight w:val="none"/>
              </w:rPr>
            </w:pPr>
            <w:r>
              <w:rPr>
                <w:rFonts w:hint="eastAsia"/>
                <w:color w:val="auto"/>
                <w:highlight w:val="none"/>
              </w:rPr>
              <w:t>投标保证金</w:t>
            </w:r>
          </w:p>
        </w:tc>
        <w:tc>
          <w:tcPr>
            <w:tcW w:w="6837" w:type="dxa"/>
            <w:tcBorders>
              <w:bottom w:val="single" w:color="auto" w:sz="4" w:space="0"/>
            </w:tcBorders>
            <w:noWrap w:val="0"/>
            <w:vAlign w:val="center"/>
          </w:tcPr>
          <w:p w14:paraId="5E11C534">
            <w:pPr>
              <w:overflowPunct w:val="0"/>
              <w:spacing w:line="440" w:lineRule="exact"/>
              <w:rPr>
                <w:rFonts w:hint="default" w:eastAsia="宋体" w:cs="Times New Roman"/>
                <w:color w:val="auto"/>
                <w:highlight w:val="none"/>
                <w:lang w:val="en-US" w:eastAsia="zh-CN"/>
              </w:rPr>
            </w:pPr>
            <w:r>
              <w:rPr>
                <w:rFonts w:hint="eastAsia"/>
                <w:color w:val="auto"/>
                <w:highlight w:val="none"/>
              </w:rPr>
              <w:t>一、保证金金额：</w:t>
            </w:r>
            <w:r>
              <w:rPr>
                <w:rFonts w:hint="eastAsia"/>
                <w:color w:val="auto"/>
                <w:highlight w:val="none"/>
                <w:lang w:val="en-US" w:eastAsia="zh-CN"/>
              </w:rPr>
              <w:t>19800.00元（ 壹万玖仟捌佰元整）</w:t>
            </w:r>
          </w:p>
        </w:tc>
      </w:tr>
      <w:tr w14:paraId="443B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979" w:type="dxa"/>
            <w:vMerge w:val="continue"/>
            <w:noWrap w:val="0"/>
            <w:vAlign w:val="center"/>
          </w:tcPr>
          <w:p w14:paraId="34093D1D">
            <w:pPr>
              <w:jc w:val="center"/>
              <w:textAlignment w:val="center"/>
              <w:rPr>
                <w:rFonts w:hint="eastAsia" w:ascii="宋体" w:hAnsi="宋体" w:eastAsia="宋体" w:cs="宋体"/>
                <w:color w:val="auto"/>
                <w:highlight w:val="none"/>
                <w:lang w:bidi="ar"/>
              </w:rPr>
            </w:pPr>
          </w:p>
        </w:tc>
        <w:tc>
          <w:tcPr>
            <w:tcW w:w="2509" w:type="dxa"/>
            <w:vMerge w:val="continue"/>
            <w:noWrap w:val="0"/>
            <w:vAlign w:val="center"/>
          </w:tcPr>
          <w:p w14:paraId="30F85DED">
            <w:pPr>
              <w:overflowPunct w:val="0"/>
              <w:spacing w:line="440" w:lineRule="exact"/>
              <w:jc w:val="center"/>
              <w:rPr>
                <w:rFonts w:hint="eastAsia"/>
                <w:color w:val="auto"/>
                <w:highlight w:val="none"/>
              </w:rPr>
            </w:pPr>
          </w:p>
        </w:tc>
        <w:tc>
          <w:tcPr>
            <w:tcW w:w="6837" w:type="dxa"/>
            <w:tcBorders>
              <w:top w:val="single" w:color="auto" w:sz="4" w:space="0"/>
              <w:bottom w:val="single" w:color="auto" w:sz="4" w:space="0"/>
            </w:tcBorders>
            <w:noWrap w:val="0"/>
            <w:vAlign w:val="center"/>
          </w:tcPr>
          <w:p w14:paraId="28016BAB">
            <w:pPr>
              <w:numPr>
                <w:ilvl w:val="0"/>
                <w:numId w:val="4"/>
              </w:numPr>
              <w:overflowPunct w:val="0"/>
              <w:spacing w:line="440" w:lineRule="exact"/>
              <w:rPr>
                <w:rFonts w:hint="eastAsia"/>
                <w:color w:val="auto"/>
                <w:highlight w:val="none"/>
              </w:rPr>
            </w:pPr>
            <w:r>
              <w:rPr>
                <w:rFonts w:hint="eastAsia"/>
                <w:color w:val="auto"/>
                <w:highlight w:val="none"/>
              </w:rPr>
              <w:t>保证金缴纳方式：</w:t>
            </w:r>
          </w:p>
          <w:p w14:paraId="38956D02">
            <w:pPr>
              <w:overflowPunct w:val="0"/>
              <w:spacing w:line="440" w:lineRule="exact"/>
              <w:rPr>
                <w:color w:val="auto"/>
                <w:highlight w:val="none"/>
              </w:rPr>
            </w:pPr>
            <w:r>
              <w:rPr>
                <w:rFonts w:hint="eastAsia"/>
                <w:color w:val="auto"/>
                <w:highlight w:val="none"/>
              </w:rPr>
              <w:t>1.</w:t>
            </w:r>
            <w:r>
              <w:rPr>
                <w:rFonts w:hint="eastAsia"/>
                <w:color w:val="auto"/>
                <w:kern w:val="2"/>
                <w:szCs w:val="22"/>
                <w:highlight w:val="none"/>
              </w:rPr>
              <w:t>电汇、网银转账等非现金形式</w:t>
            </w:r>
          </w:p>
          <w:p w14:paraId="39EED612">
            <w:pPr>
              <w:overflowPunct w:val="0"/>
              <w:spacing w:line="440" w:lineRule="exact"/>
              <w:rPr>
                <w:color w:val="auto"/>
                <w:highlight w:val="none"/>
              </w:rPr>
            </w:pPr>
            <w:r>
              <w:rPr>
                <w:rFonts w:hint="eastAsia"/>
                <w:color w:val="auto"/>
                <w:highlight w:val="none"/>
              </w:rPr>
              <w:t>投标保证金缴纳账号：</w:t>
            </w:r>
          </w:p>
          <w:p w14:paraId="2E1072D0">
            <w:pPr>
              <w:overflowPunct w:val="0"/>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账户名：新疆弘伟工程项目管理有限公司</w:t>
            </w:r>
          </w:p>
          <w:p w14:paraId="048E7848">
            <w:pPr>
              <w:overflowPunct w:val="0"/>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开户行：中国建设银行股份有限公司乌鲁木齐南湖东路支行</w:t>
            </w:r>
          </w:p>
          <w:p w14:paraId="0CB63D2A">
            <w:pPr>
              <w:overflowPunct w:val="0"/>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行</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 xml:space="preserve">号：105881000518 </w:t>
            </w:r>
          </w:p>
          <w:p w14:paraId="012C114F">
            <w:pPr>
              <w:overflowPunct w:val="0"/>
              <w:spacing w:line="44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帐</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 xml:space="preserve">号：65050161603900000480                  </w:t>
            </w:r>
          </w:p>
          <w:p w14:paraId="015FAD28">
            <w:pPr>
              <w:jc w:val="both"/>
              <w:rPr>
                <w:rFonts w:hint="eastAsia" w:ascii="宋体" w:hAnsi="宋体" w:eastAsia="宋体" w:cs="宋体"/>
                <w:color w:val="auto"/>
                <w:highlight w:val="none"/>
              </w:rPr>
            </w:pPr>
            <w:r>
              <w:rPr>
                <w:rFonts w:hint="eastAsia" w:cs="宋体"/>
                <w:color w:val="auto"/>
                <w:highlight w:val="none"/>
                <w:lang w:eastAsia="zh-CN"/>
              </w:rPr>
              <w:t>投标</w:t>
            </w:r>
            <w:r>
              <w:rPr>
                <w:rFonts w:hint="eastAsia" w:ascii="宋体" w:hAnsi="宋体" w:eastAsia="宋体" w:cs="宋体"/>
                <w:color w:val="auto"/>
                <w:highlight w:val="none"/>
              </w:rPr>
              <w:t>保证金以到账信息为准，</w:t>
            </w:r>
            <w:r>
              <w:rPr>
                <w:rFonts w:hint="eastAsia" w:cs="宋体"/>
                <w:color w:val="auto"/>
                <w:highlight w:val="none"/>
                <w:lang w:eastAsia="zh-CN"/>
              </w:rPr>
              <w:t>投标人</w:t>
            </w:r>
            <w:r>
              <w:rPr>
                <w:rFonts w:hint="eastAsia" w:ascii="宋体" w:hAnsi="宋体" w:eastAsia="宋体" w:cs="宋体"/>
                <w:color w:val="auto"/>
                <w:highlight w:val="none"/>
              </w:rPr>
              <w:t>应充分考虑在途时间，投标人未按照</w:t>
            </w:r>
            <w:r>
              <w:rPr>
                <w:rFonts w:hint="eastAsia" w:cs="宋体"/>
                <w:color w:val="auto"/>
                <w:highlight w:val="none"/>
                <w:lang w:eastAsia="zh-CN"/>
              </w:rPr>
              <w:t>招标</w:t>
            </w:r>
            <w:r>
              <w:rPr>
                <w:rFonts w:hint="eastAsia" w:ascii="宋体" w:hAnsi="宋体" w:eastAsia="宋体" w:cs="宋体"/>
                <w:color w:val="auto"/>
                <w:highlight w:val="none"/>
              </w:rPr>
              <w:t>文件要求提交</w:t>
            </w:r>
            <w:r>
              <w:rPr>
                <w:rFonts w:hint="eastAsia" w:cs="宋体"/>
                <w:color w:val="auto"/>
                <w:highlight w:val="none"/>
                <w:lang w:eastAsia="zh-CN"/>
              </w:rPr>
              <w:t>投标</w:t>
            </w:r>
            <w:r>
              <w:rPr>
                <w:rFonts w:hint="eastAsia" w:ascii="宋体" w:hAnsi="宋体" w:eastAsia="宋体" w:cs="宋体"/>
                <w:color w:val="auto"/>
                <w:highlight w:val="none"/>
              </w:rPr>
              <w:t>保证金的，</w:t>
            </w:r>
            <w:r>
              <w:rPr>
                <w:rFonts w:hint="eastAsia" w:cs="宋体"/>
                <w:color w:val="auto"/>
                <w:highlight w:val="none"/>
                <w:lang w:eastAsia="zh-CN"/>
              </w:rPr>
              <w:t>投标</w:t>
            </w:r>
            <w:r>
              <w:rPr>
                <w:rFonts w:hint="eastAsia" w:ascii="宋体" w:hAnsi="宋体" w:eastAsia="宋体" w:cs="宋体"/>
                <w:color w:val="auto"/>
                <w:highlight w:val="none"/>
              </w:rPr>
              <w:t>无效。</w:t>
            </w:r>
          </w:p>
          <w:p w14:paraId="67BD5CB6">
            <w:pPr>
              <w:jc w:val="both"/>
              <w:rPr>
                <w:rFonts w:hint="eastAsia" w:ascii="宋体" w:hAnsi="宋体" w:eastAsia="宋体" w:cs="宋体"/>
                <w:color w:val="auto"/>
                <w:highlight w:val="none"/>
              </w:rPr>
            </w:pPr>
            <w:r>
              <w:rPr>
                <w:rFonts w:hint="eastAsia" w:cs="宋体"/>
                <w:color w:val="auto"/>
                <w:highlight w:val="none"/>
                <w:lang w:eastAsia="zh-CN"/>
              </w:rPr>
              <w:t>投标</w:t>
            </w:r>
            <w:r>
              <w:rPr>
                <w:rFonts w:hint="eastAsia" w:ascii="宋体" w:hAnsi="宋体" w:eastAsia="宋体" w:cs="宋体"/>
                <w:color w:val="auto"/>
                <w:highlight w:val="none"/>
              </w:rPr>
              <w:t>保证金缴纳截止时间：投标截止时间前</w:t>
            </w:r>
          </w:p>
          <w:p w14:paraId="57FA8A15">
            <w:pPr>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cs="宋体"/>
                <w:color w:val="auto"/>
                <w:highlight w:val="none"/>
                <w:lang w:eastAsia="zh-CN"/>
              </w:rPr>
              <w:t>投标人</w:t>
            </w:r>
            <w:r>
              <w:rPr>
                <w:rFonts w:hint="eastAsia" w:ascii="宋体" w:hAnsi="宋体" w:eastAsia="宋体" w:cs="宋体"/>
                <w:color w:val="auto"/>
                <w:highlight w:val="none"/>
              </w:rPr>
              <w:t>需自行评估因异地、跨行、公休日等因素造成的投标保证金到账延迟风险，并承担相应责任。</w:t>
            </w:r>
          </w:p>
          <w:p w14:paraId="7AE6F0A5">
            <w:pPr>
              <w:jc w:val="both"/>
              <w:rPr>
                <w:rFonts w:hint="eastAsia" w:ascii="宋体" w:hAnsi="宋体" w:eastAsia="宋体" w:cs="宋体"/>
                <w:color w:val="auto"/>
                <w:highlight w:val="none"/>
              </w:rPr>
            </w:pPr>
            <w:r>
              <w:rPr>
                <w:rFonts w:hint="eastAsia" w:ascii="宋体" w:hAnsi="宋体" w:eastAsia="宋体" w:cs="宋体"/>
                <w:color w:val="auto"/>
                <w:highlight w:val="none"/>
              </w:rPr>
              <w:t>（2）投标保证金的交纳必须从供应商开户许可证所列账号（结算卡等关联账号不予认可,自然人投标的从与其名称一致的个人账户）进行电汇或转账，否则将导致投标被拒绝。</w:t>
            </w:r>
          </w:p>
          <w:p w14:paraId="40FC3C79">
            <w:pPr>
              <w:jc w:val="both"/>
              <w:rPr>
                <w:rFonts w:hint="eastAsia"/>
                <w:color w:val="auto"/>
                <w:highlight w:val="none"/>
              </w:rPr>
            </w:pPr>
            <w:r>
              <w:rPr>
                <w:rFonts w:hint="eastAsia" w:ascii="宋体" w:hAnsi="宋体" w:eastAsia="宋体" w:cs="宋体"/>
                <w:color w:val="auto"/>
                <w:highlight w:val="none"/>
              </w:rPr>
              <w:t>注意：递交保证金时须注明（xxx项目名称）保证金。</w:t>
            </w:r>
          </w:p>
        </w:tc>
      </w:tr>
      <w:tr w14:paraId="103E5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noWrap w:val="0"/>
            <w:vAlign w:val="center"/>
          </w:tcPr>
          <w:p w14:paraId="6D26C674">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20</w:t>
            </w:r>
          </w:p>
        </w:tc>
        <w:tc>
          <w:tcPr>
            <w:tcW w:w="2509" w:type="dxa"/>
            <w:tcBorders>
              <w:top w:val="single" w:color="auto" w:sz="4" w:space="0"/>
              <w:bottom w:val="single" w:color="auto" w:sz="4" w:space="0"/>
            </w:tcBorders>
            <w:noWrap w:val="0"/>
            <w:vAlign w:val="center"/>
          </w:tcPr>
          <w:p w14:paraId="377929EB">
            <w:pPr>
              <w:overflowPunct w:val="0"/>
              <w:spacing w:line="440" w:lineRule="exact"/>
              <w:jc w:val="center"/>
              <w:rPr>
                <w:color w:val="auto"/>
                <w:highlight w:val="none"/>
              </w:rPr>
            </w:pPr>
            <w:r>
              <w:rPr>
                <w:rFonts w:hint="eastAsia" w:cs="Arial"/>
                <w:color w:val="auto"/>
                <w:highlight w:val="none"/>
              </w:rPr>
              <w:t>电子投标文件须知</w:t>
            </w:r>
          </w:p>
        </w:tc>
        <w:tc>
          <w:tcPr>
            <w:tcW w:w="6837" w:type="dxa"/>
            <w:tcBorders>
              <w:top w:val="single" w:color="auto" w:sz="4" w:space="0"/>
              <w:bottom w:val="single" w:color="auto" w:sz="4" w:space="0"/>
            </w:tcBorders>
            <w:noWrap w:val="0"/>
            <w:vAlign w:val="center"/>
          </w:tcPr>
          <w:p w14:paraId="0895F5C3">
            <w:pPr>
              <w:pStyle w:val="126"/>
              <w:widowControl/>
              <w:autoSpaceDE w:val="0"/>
              <w:autoSpaceDN w:val="0"/>
              <w:spacing w:line="360" w:lineRule="exact"/>
              <w:rPr>
                <w:rFonts w:ascii="宋体" w:hAnsi="宋体" w:cs="宋体"/>
                <w:b/>
                <w:color w:val="auto"/>
                <w:kern w:val="2"/>
                <w:sz w:val="24"/>
                <w:szCs w:val="22"/>
                <w:highlight w:val="none"/>
              </w:rPr>
            </w:pPr>
            <w:r>
              <w:rPr>
                <w:rFonts w:hint="eastAsia" w:ascii="宋体" w:hAnsi="宋体"/>
                <w:color w:val="auto"/>
                <w:kern w:val="2"/>
                <w:sz w:val="24"/>
                <w:szCs w:val="22"/>
                <w:highlight w:val="none"/>
              </w:rPr>
              <w:sym w:font="Wingdings 2" w:char="0052"/>
            </w:r>
            <w:r>
              <w:rPr>
                <w:rFonts w:hint="eastAsia" w:ascii="宋体" w:hAnsi="宋体" w:cs="宋体"/>
                <w:b/>
                <w:color w:val="auto"/>
                <w:kern w:val="2"/>
                <w:sz w:val="24"/>
                <w:szCs w:val="24"/>
                <w:highlight w:val="none"/>
              </w:rPr>
              <w:t>采用不见面开标：</w:t>
            </w:r>
          </w:p>
          <w:p w14:paraId="48870F44">
            <w:pPr>
              <w:spacing w:line="360" w:lineRule="auto"/>
              <w:rPr>
                <w:rFonts w:hint="eastAsia" w:cs="Arial"/>
                <w:color w:val="auto"/>
                <w:highlight w:val="none"/>
              </w:rPr>
            </w:pPr>
            <w:r>
              <w:rPr>
                <w:rFonts w:hint="eastAsia" w:cs="Arial"/>
                <w:color w:val="auto"/>
                <w:highlight w:val="none"/>
              </w:rPr>
              <w:t>1.本项目实行网上投标，采用电子投标文件；</w:t>
            </w:r>
          </w:p>
          <w:p w14:paraId="422BB3CF">
            <w:pPr>
              <w:spacing w:line="360" w:lineRule="auto"/>
              <w:rPr>
                <w:rFonts w:hint="eastAsia" w:cs="Arial"/>
                <w:color w:val="auto"/>
                <w:highlight w:val="none"/>
              </w:rPr>
            </w:pPr>
            <w:r>
              <w:rPr>
                <w:rFonts w:hint="eastAsia" w:cs="Arial"/>
                <w:color w:val="auto"/>
                <w:highlight w:val="none"/>
              </w:rPr>
              <w:t>2.各</w:t>
            </w:r>
            <w:r>
              <w:rPr>
                <w:rFonts w:hint="eastAsia" w:cs="Arial"/>
                <w:color w:val="auto"/>
                <w:highlight w:val="none"/>
                <w:lang w:eastAsia="zh-CN"/>
              </w:rPr>
              <w:t>投标人</w:t>
            </w:r>
            <w:r>
              <w:rPr>
                <w:rFonts w:hint="eastAsia" w:cs="Arial"/>
                <w:color w:val="auto"/>
                <w:highlight w:val="none"/>
              </w:rPr>
              <w:t>在开标前应确保成为新疆政府采购网正式注册入库</w:t>
            </w:r>
            <w:r>
              <w:rPr>
                <w:rFonts w:hint="eastAsia" w:cs="Arial"/>
                <w:color w:val="auto"/>
                <w:highlight w:val="none"/>
                <w:lang w:eastAsia="zh-CN"/>
              </w:rPr>
              <w:t>投标人</w:t>
            </w:r>
            <w:r>
              <w:rPr>
                <w:rFonts w:hint="eastAsia" w:cs="Arial"/>
                <w:color w:val="auto"/>
                <w:highlight w:val="none"/>
              </w:rPr>
              <w:t>，并完成CA数字证书（符合国密标准）申领。因未注册入库、未办理CA数字证书等原因造成无法投标或投标失败等后果由</w:t>
            </w:r>
            <w:r>
              <w:rPr>
                <w:rFonts w:hint="eastAsia" w:cs="Arial"/>
                <w:color w:val="auto"/>
                <w:highlight w:val="none"/>
                <w:lang w:eastAsia="zh-CN"/>
              </w:rPr>
              <w:t>投标人</w:t>
            </w:r>
            <w:r>
              <w:rPr>
                <w:rFonts w:hint="eastAsia" w:cs="Arial"/>
                <w:color w:val="auto"/>
                <w:highlight w:val="none"/>
              </w:rPr>
              <w:t>自行承担。有意向参与电子开评标的</w:t>
            </w:r>
            <w:r>
              <w:rPr>
                <w:rFonts w:hint="eastAsia" w:cs="Arial"/>
                <w:color w:val="auto"/>
                <w:highlight w:val="none"/>
                <w:lang w:eastAsia="zh-CN"/>
              </w:rPr>
              <w:t>投标人</w:t>
            </w:r>
            <w:r>
              <w:rPr>
                <w:rFonts w:hint="eastAsia" w:cs="Arial"/>
                <w:color w:val="auto"/>
                <w:highlight w:val="none"/>
              </w:rPr>
              <w:t>，可访问新疆数字证书认证中心官方网站（</w:t>
            </w:r>
            <w:r>
              <w:rPr>
                <w:rFonts w:hint="eastAsia" w:cs="Arial"/>
                <w:color w:val="auto"/>
                <w:highlight w:val="none"/>
              </w:rPr>
              <w:fldChar w:fldCharType="begin"/>
            </w:r>
            <w:r>
              <w:rPr>
                <w:rFonts w:hint="eastAsia" w:cs="Arial"/>
                <w:color w:val="auto"/>
                <w:highlight w:val="none"/>
              </w:rPr>
              <w:instrText xml:space="preserve"> HYPERLINK "https://www.xjca.com.cn/）或下载\“新疆政务通\”APP自行进行申领。如需咨询，请联系新疆CA服务热线0991-2819290；" </w:instrText>
            </w:r>
            <w:r>
              <w:rPr>
                <w:rFonts w:hint="eastAsia" w:cs="Arial"/>
                <w:color w:val="auto"/>
                <w:highlight w:val="none"/>
              </w:rPr>
              <w:fldChar w:fldCharType="separate"/>
            </w:r>
            <w:r>
              <w:rPr>
                <w:rFonts w:hint="eastAsia" w:cs="Arial"/>
                <w:color w:val="auto"/>
                <w:highlight w:val="none"/>
              </w:rPr>
              <w:t>https://www.xjca.com.cn/）或下载“新疆政务通”APP自行申领。如需咨询，请联系新疆CA服务热线0991-2819290</w:t>
            </w:r>
            <w:r>
              <w:rPr>
                <w:rFonts w:hint="eastAsia" w:cs="Arial"/>
                <w:color w:val="auto"/>
                <w:highlight w:val="none"/>
              </w:rPr>
              <w:fldChar w:fldCharType="end"/>
            </w:r>
            <w:r>
              <w:rPr>
                <w:rFonts w:hint="eastAsia" w:cs="Arial"/>
                <w:color w:val="auto"/>
                <w:highlight w:val="none"/>
              </w:rPr>
              <w:t>；</w:t>
            </w:r>
          </w:p>
          <w:p w14:paraId="59E1BC8A">
            <w:pPr>
              <w:spacing w:line="360" w:lineRule="auto"/>
              <w:rPr>
                <w:rFonts w:hint="eastAsia" w:cs="Arial"/>
                <w:color w:val="auto"/>
                <w:highlight w:val="none"/>
              </w:rPr>
            </w:pPr>
            <w:r>
              <w:rPr>
                <w:rFonts w:hint="eastAsia" w:cs="Arial"/>
                <w:color w:val="auto"/>
                <w:highlight w:val="none"/>
              </w:rPr>
              <w:t>3.</w:t>
            </w:r>
            <w:r>
              <w:rPr>
                <w:rFonts w:hint="eastAsia" w:cs="Arial"/>
                <w:color w:val="auto"/>
                <w:highlight w:val="none"/>
                <w:lang w:eastAsia="zh-CN"/>
              </w:rPr>
              <w:t>投标人</w:t>
            </w:r>
            <w:r>
              <w:rPr>
                <w:rFonts w:hint="eastAsia" w:cs="Arial"/>
                <w:color w:val="auto"/>
                <w:highlight w:val="none"/>
              </w:rPr>
              <w:t>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w:t>
            </w:r>
            <w:r>
              <w:rPr>
                <w:rFonts w:hint="eastAsia" w:cs="Arial"/>
                <w:color w:val="auto"/>
                <w:highlight w:val="none"/>
                <w:lang w:eastAsia="zh-CN"/>
              </w:rPr>
              <w:t>投标人</w:t>
            </w:r>
            <w:r>
              <w:rPr>
                <w:rFonts w:hint="eastAsia" w:cs="Arial"/>
                <w:color w:val="auto"/>
                <w:highlight w:val="none"/>
              </w:rPr>
              <w:t>自身原因导致在规定时间内无法正常解密的（如：浏览器故障、未安装相关驱动、网络故障、加密CA与解密CA不一致等），采购中心/代理机构不予异常处理，视为</w:t>
            </w:r>
            <w:r>
              <w:rPr>
                <w:rFonts w:hint="eastAsia" w:cs="Arial"/>
                <w:color w:val="auto"/>
                <w:highlight w:val="none"/>
                <w:lang w:eastAsia="zh-CN"/>
              </w:rPr>
              <w:t>投标人</w:t>
            </w:r>
            <w:r>
              <w:rPr>
                <w:rFonts w:hint="eastAsia" w:cs="Arial"/>
                <w:color w:val="auto"/>
                <w:highlight w:val="none"/>
              </w:rPr>
              <w:t>自动弃标；</w:t>
            </w:r>
          </w:p>
          <w:p w14:paraId="60E103C2">
            <w:pPr>
              <w:spacing w:line="360" w:lineRule="auto"/>
              <w:rPr>
                <w:rFonts w:hint="eastAsia" w:cs="Arial"/>
                <w:color w:val="auto"/>
                <w:highlight w:val="none"/>
              </w:rPr>
            </w:pPr>
            <w:r>
              <w:rPr>
                <w:rFonts w:hint="eastAsia" w:cs="Arial"/>
                <w:color w:val="auto"/>
                <w:highlight w:val="none"/>
              </w:rPr>
              <w:t>4.</w:t>
            </w:r>
            <w:r>
              <w:rPr>
                <w:rFonts w:hint="eastAsia" w:cs="Arial"/>
                <w:color w:val="auto"/>
                <w:highlight w:val="none"/>
                <w:lang w:eastAsia="zh-CN"/>
              </w:rPr>
              <w:t>投标人</w:t>
            </w:r>
            <w:r>
              <w:rPr>
                <w:rFonts w:hint="eastAsia" w:cs="Arial"/>
                <w:color w:val="auto"/>
                <w:highlight w:val="none"/>
              </w:rPr>
              <w:t>应当在投标截止时间前,将生成的“电子加密投标文件”上传递交至“政府采购云平台”,投标截止时间以后上传递交的投标文件将被“政府采购云平台”拒收；</w:t>
            </w:r>
          </w:p>
          <w:p w14:paraId="75CC49F5">
            <w:pPr>
              <w:spacing w:line="360" w:lineRule="auto"/>
              <w:rPr>
                <w:rFonts w:hint="eastAsia" w:cs="Arial"/>
                <w:color w:val="auto"/>
                <w:highlight w:val="none"/>
              </w:rPr>
            </w:pPr>
            <w:r>
              <w:rPr>
                <w:rFonts w:hint="eastAsia" w:cs="Arial"/>
                <w:color w:val="auto"/>
                <w:highlight w:val="none"/>
              </w:rPr>
              <w:t>5.</w:t>
            </w:r>
            <w:r>
              <w:rPr>
                <w:rFonts w:hint="eastAsia" w:cs="Arial"/>
                <w:color w:val="auto"/>
                <w:highlight w:val="none"/>
                <w:lang w:eastAsia="zh-CN"/>
              </w:rPr>
              <w:t>投标人</w:t>
            </w:r>
            <w:r>
              <w:rPr>
                <w:rFonts w:hint="eastAsia" w:cs="Arial"/>
                <w:color w:val="auto"/>
                <w:highlight w:val="none"/>
              </w:rPr>
              <w:t>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w:t>
            </w:r>
            <w:r>
              <w:rPr>
                <w:rFonts w:hint="eastAsia" w:cs="Arial"/>
                <w:color w:val="auto"/>
                <w:highlight w:val="none"/>
                <w:lang w:eastAsia="zh-CN"/>
              </w:rPr>
              <w:t>投标人</w:t>
            </w:r>
            <w:r>
              <w:rPr>
                <w:rFonts w:hint="eastAsia" w:cs="Arial"/>
                <w:color w:val="auto"/>
                <w:highlight w:val="none"/>
              </w:rPr>
              <w:t>在规定时间内因自身原因导致无法正常解密,后果由</w:t>
            </w:r>
            <w:r>
              <w:rPr>
                <w:rFonts w:hint="eastAsia" w:cs="Arial"/>
                <w:color w:val="auto"/>
                <w:highlight w:val="none"/>
                <w:lang w:eastAsia="zh-CN"/>
              </w:rPr>
              <w:t>投标人</w:t>
            </w:r>
            <w:r>
              <w:rPr>
                <w:rFonts w:hint="eastAsia" w:cs="Arial"/>
                <w:color w:val="auto"/>
                <w:highlight w:val="none"/>
              </w:rPr>
              <w:t>自行承担。</w:t>
            </w:r>
          </w:p>
          <w:p w14:paraId="75A52F75">
            <w:pPr>
              <w:pStyle w:val="125"/>
              <w:spacing w:line="360" w:lineRule="auto"/>
              <w:outlineLvl w:val="0"/>
              <w:rPr>
                <w:color w:val="auto"/>
                <w:highlight w:val="none"/>
              </w:rPr>
            </w:pPr>
            <w:bookmarkStart w:id="7" w:name="_Toc9330"/>
            <w:r>
              <w:rPr>
                <w:rFonts w:hint="eastAsia" w:ascii="宋体" w:hAnsi="宋体"/>
                <w:color w:val="auto"/>
                <w:sz w:val="24"/>
                <w:szCs w:val="24"/>
                <w:highlight w:val="none"/>
              </w:rPr>
              <w:t>6、</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登录政采云平台，在开标时间后30分钟内用“项目采购-开标评标”功能进行解密投标文件。若</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在规定时间内未按时解密的，视为无效投标。解密与加密投标文件须使用同一个 CA。</w:t>
            </w:r>
            <w:bookmarkEnd w:id="7"/>
          </w:p>
        </w:tc>
      </w:tr>
      <w:tr w14:paraId="06AA0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36DE13C0">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21</w:t>
            </w:r>
          </w:p>
        </w:tc>
        <w:tc>
          <w:tcPr>
            <w:tcW w:w="2509" w:type="dxa"/>
            <w:noWrap w:val="0"/>
            <w:vAlign w:val="center"/>
          </w:tcPr>
          <w:p w14:paraId="605F23A1">
            <w:pPr>
              <w:overflowPunct w:val="0"/>
              <w:spacing w:line="440" w:lineRule="exact"/>
              <w:jc w:val="center"/>
              <w:rPr>
                <w:color w:val="auto"/>
                <w:highlight w:val="none"/>
              </w:rPr>
            </w:pPr>
            <w:r>
              <w:rPr>
                <w:rFonts w:hint="eastAsia"/>
                <w:color w:val="auto"/>
                <w:highlight w:val="none"/>
              </w:rPr>
              <w:t>投标文件的签署规定</w:t>
            </w:r>
          </w:p>
        </w:tc>
        <w:tc>
          <w:tcPr>
            <w:tcW w:w="6837" w:type="dxa"/>
            <w:noWrap w:val="0"/>
            <w:vAlign w:val="center"/>
          </w:tcPr>
          <w:p w14:paraId="08D93552">
            <w:pPr>
              <w:spacing w:line="440" w:lineRule="exact"/>
              <w:rPr>
                <w:rFonts w:hint="eastAsia"/>
                <w:color w:val="auto"/>
                <w:highlight w:val="none"/>
              </w:rPr>
            </w:pPr>
            <w:r>
              <w:rPr>
                <w:color w:val="auto"/>
                <w:highlight w:val="none"/>
              </w:rPr>
              <w:t>1</w:t>
            </w:r>
            <w:r>
              <w:rPr>
                <w:rFonts w:hint="eastAsia"/>
                <w:color w:val="auto"/>
                <w:highlight w:val="none"/>
              </w:rPr>
              <w:t>. 投标文件应按招标文件要求在签字盖章处加盖公章和由法定代表人或其授权代表签字。</w:t>
            </w:r>
          </w:p>
          <w:p w14:paraId="59DC7F3A">
            <w:pPr>
              <w:spacing w:line="440" w:lineRule="exact"/>
              <w:rPr>
                <w:rFonts w:hint="eastAsia"/>
                <w:color w:val="auto"/>
                <w:highlight w:val="none"/>
              </w:rPr>
            </w:pPr>
            <w:r>
              <w:rPr>
                <w:color w:val="auto"/>
                <w:highlight w:val="none"/>
              </w:rPr>
              <w:t>2.</w:t>
            </w:r>
            <w:r>
              <w:rPr>
                <w:rFonts w:hint="eastAsia"/>
                <w:color w:val="auto"/>
                <w:highlight w:val="none"/>
              </w:rPr>
              <w:t>投标文件中的任何行间插字、涂改和增删，应加盖公章或由投标人的法定代表人或其授权的代理人签字确认。否则，在评标时将其视为无效投标。</w:t>
            </w:r>
          </w:p>
        </w:tc>
      </w:tr>
      <w:tr w14:paraId="01E0B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6260B99D">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22</w:t>
            </w:r>
          </w:p>
        </w:tc>
        <w:tc>
          <w:tcPr>
            <w:tcW w:w="2509" w:type="dxa"/>
            <w:noWrap w:val="0"/>
            <w:vAlign w:val="center"/>
          </w:tcPr>
          <w:p w14:paraId="6A968B12">
            <w:pPr>
              <w:overflowPunct w:val="0"/>
              <w:spacing w:line="440" w:lineRule="exact"/>
              <w:jc w:val="center"/>
              <w:rPr>
                <w:color w:val="auto"/>
                <w:highlight w:val="none"/>
              </w:rPr>
            </w:pPr>
            <w:r>
              <w:rPr>
                <w:rFonts w:hint="eastAsia"/>
                <w:color w:val="auto"/>
                <w:highlight w:val="none"/>
              </w:rPr>
              <w:t>投标文件格式</w:t>
            </w:r>
          </w:p>
        </w:tc>
        <w:tc>
          <w:tcPr>
            <w:tcW w:w="6837" w:type="dxa"/>
            <w:noWrap w:val="0"/>
            <w:vAlign w:val="center"/>
          </w:tcPr>
          <w:p w14:paraId="5B7FAF4D">
            <w:pPr>
              <w:numPr>
                <w:ilvl w:val="0"/>
                <w:numId w:val="0"/>
              </w:numPr>
              <w:spacing w:line="440" w:lineRule="exact"/>
              <w:rPr>
                <w:rFonts w:hint="eastAsia"/>
                <w:color w:val="auto"/>
                <w:highlight w:val="none"/>
              </w:rPr>
            </w:pPr>
            <w:r>
              <w:rPr>
                <w:rFonts w:hint="eastAsia"/>
                <w:color w:val="auto"/>
                <w:highlight w:val="none"/>
                <w:lang w:val="en-US" w:eastAsia="zh-CN"/>
              </w:rPr>
              <w:t>1.</w:t>
            </w:r>
            <w:r>
              <w:rPr>
                <w:rFonts w:hint="eastAsia"/>
                <w:color w:val="auto"/>
                <w:highlight w:val="none"/>
              </w:rPr>
              <w:t>投标人应按招标文件中提供的投标文件格式填写。</w:t>
            </w:r>
          </w:p>
          <w:p w14:paraId="6475B571">
            <w:pPr>
              <w:spacing w:line="440" w:lineRule="exact"/>
              <w:rPr>
                <w:color w:val="auto"/>
                <w:highlight w:val="none"/>
              </w:rPr>
            </w:pPr>
            <w:r>
              <w:rPr>
                <w:color w:val="auto"/>
                <w:highlight w:val="none"/>
              </w:rPr>
              <w:t>2</w:t>
            </w:r>
            <w:r>
              <w:rPr>
                <w:rFonts w:hint="eastAsia"/>
                <w:color w:val="auto"/>
                <w:highlight w:val="none"/>
              </w:rPr>
              <w:t>.如招标文件没有提供格式的，投标人可自行设置。</w:t>
            </w:r>
          </w:p>
          <w:p w14:paraId="12DBC0A3">
            <w:pPr>
              <w:spacing w:line="460" w:lineRule="atLeast"/>
              <w:rPr>
                <w:rFonts w:hint="eastAsia"/>
                <w:color w:val="auto"/>
                <w:highlight w:val="none"/>
              </w:rPr>
            </w:pPr>
            <w:r>
              <w:rPr>
                <w:color w:val="auto"/>
                <w:highlight w:val="none"/>
              </w:rPr>
              <w:t>3</w:t>
            </w:r>
            <w:r>
              <w:rPr>
                <w:rFonts w:hint="eastAsia"/>
                <w:color w:val="auto"/>
                <w:highlight w:val="none"/>
              </w:rPr>
              <w:t>.投标人应将投标文件按规定的顺序编排、并应编制目录、逐页标注连续页码。</w:t>
            </w:r>
          </w:p>
          <w:p w14:paraId="19E99735">
            <w:pPr>
              <w:spacing w:line="460" w:lineRule="atLeast"/>
              <w:rPr>
                <w:rFonts w:hint="eastAsia"/>
                <w:b/>
                <w:color w:val="auto"/>
                <w:highlight w:val="none"/>
              </w:rPr>
            </w:pPr>
            <w:r>
              <w:rPr>
                <w:rFonts w:hint="eastAsia"/>
                <w:color w:val="auto"/>
                <w:highlight w:val="none"/>
              </w:rPr>
              <w:t>4.电报、电话、传真、电子邮件等形式的投标概不接受。</w:t>
            </w:r>
          </w:p>
        </w:tc>
      </w:tr>
      <w:tr w14:paraId="4B2B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979" w:type="dxa"/>
            <w:tcBorders>
              <w:top w:val="single" w:color="auto" w:sz="4" w:space="0"/>
            </w:tcBorders>
            <w:noWrap w:val="0"/>
            <w:vAlign w:val="center"/>
          </w:tcPr>
          <w:p w14:paraId="77A91D8D">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23</w:t>
            </w:r>
          </w:p>
        </w:tc>
        <w:tc>
          <w:tcPr>
            <w:tcW w:w="2509" w:type="dxa"/>
            <w:tcBorders>
              <w:top w:val="single" w:color="auto" w:sz="4" w:space="0"/>
              <w:bottom w:val="single" w:color="auto" w:sz="4" w:space="0"/>
            </w:tcBorders>
            <w:noWrap w:val="0"/>
            <w:vAlign w:val="center"/>
          </w:tcPr>
          <w:p w14:paraId="669C047D">
            <w:pPr>
              <w:overflowPunct w:val="0"/>
              <w:spacing w:line="440" w:lineRule="exact"/>
              <w:jc w:val="center"/>
              <w:rPr>
                <w:color w:val="auto"/>
                <w:highlight w:val="none"/>
              </w:rPr>
            </w:pPr>
            <w:r>
              <w:rPr>
                <w:rFonts w:hint="eastAsia"/>
                <w:color w:val="auto"/>
                <w:highlight w:val="none"/>
              </w:rPr>
              <w:t>付款方式及币种</w:t>
            </w:r>
          </w:p>
        </w:tc>
        <w:tc>
          <w:tcPr>
            <w:tcW w:w="6837" w:type="dxa"/>
            <w:tcBorders>
              <w:top w:val="single" w:color="auto" w:sz="4" w:space="0"/>
            </w:tcBorders>
            <w:noWrap w:val="0"/>
            <w:vAlign w:val="center"/>
          </w:tcPr>
          <w:p w14:paraId="7983A343">
            <w:pPr>
              <w:overflowPunct w:val="0"/>
              <w:spacing w:line="440" w:lineRule="exact"/>
              <w:rPr>
                <w:color w:val="auto"/>
                <w:highlight w:val="none"/>
              </w:rPr>
            </w:pPr>
            <w:r>
              <w:rPr>
                <w:color w:val="auto"/>
                <w:highlight w:val="none"/>
              </w:rPr>
              <w:t>1</w:t>
            </w:r>
            <w:r>
              <w:rPr>
                <w:rFonts w:hint="eastAsia"/>
                <w:color w:val="auto"/>
                <w:highlight w:val="none"/>
              </w:rPr>
              <w:t>、付款币种</w:t>
            </w:r>
          </w:p>
          <w:p w14:paraId="22CA7562">
            <w:pPr>
              <w:overflowPunct w:val="0"/>
              <w:spacing w:line="440" w:lineRule="exact"/>
              <w:rPr>
                <w:color w:val="auto"/>
                <w:highlight w:val="none"/>
              </w:rPr>
            </w:pPr>
            <w:r>
              <w:rPr>
                <w:rFonts w:hint="eastAsia"/>
                <w:color w:val="auto"/>
                <w:highlight w:val="none"/>
              </w:rPr>
              <w:t>本次招标所述的项目资金均以人民币支付。</w:t>
            </w:r>
          </w:p>
          <w:p w14:paraId="00D28380">
            <w:pPr>
              <w:numPr>
                <w:ilvl w:val="0"/>
                <w:numId w:val="5"/>
              </w:numPr>
              <w:spacing w:line="360" w:lineRule="auto"/>
              <w:rPr>
                <w:rFonts w:hint="eastAsia"/>
                <w:color w:val="auto"/>
                <w:highlight w:val="none"/>
              </w:rPr>
            </w:pPr>
            <w:r>
              <w:rPr>
                <w:rFonts w:hint="eastAsia"/>
                <w:color w:val="auto"/>
                <w:highlight w:val="none"/>
              </w:rPr>
              <w:t>付款方式：</w:t>
            </w:r>
          </w:p>
          <w:p w14:paraId="66269604">
            <w:pPr>
              <w:numPr>
                <w:ilvl w:val="0"/>
                <w:numId w:val="0"/>
              </w:numPr>
              <w:spacing w:line="360" w:lineRule="auto"/>
              <w:rPr>
                <w:rFonts w:hint="eastAsia"/>
                <w:b w:val="0"/>
                <w:bCs/>
                <w:color w:val="auto"/>
                <w:highlight w:val="none"/>
                <w:lang w:val="en-US" w:eastAsia="zh-CN"/>
              </w:rPr>
            </w:pPr>
            <w:r>
              <w:rPr>
                <w:rFonts w:hint="eastAsia"/>
                <w:b w:val="0"/>
                <w:bCs/>
                <w:color w:val="auto"/>
                <w:highlight w:val="none"/>
                <w:lang w:val="en-US" w:eastAsia="zh-CN"/>
              </w:rPr>
              <w:t>（1）中标人与采购人签订合同后，中标人向采购人开具发票，采购人以银行转账方式向中标人支付70%项目合同金额；</w:t>
            </w:r>
          </w:p>
          <w:p w14:paraId="1EC086FD">
            <w:pPr>
              <w:spacing w:line="360" w:lineRule="auto"/>
              <w:rPr>
                <w:b/>
                <w:color w:val="auto"/>
                <w:highlight w:val="none"/>
              </w:rPr>
            </w:pPr>
            <w:r>
              <w:rPr>
                <w:rFonts w:hint="eastAsia"/>
                <w:b w:val="0"/>
                <w:bCs/>
                <w:color w:val="auto"/>
                <w:highlight w:val="none"/>
                <w:lang w:val="en-US" w:eastAsia="zh-CN"/>
              </w:rPr>
              <w:t>（2）中标人按本项目招标文件及合同要求提交相关成果材料，经专家评审通过后，中标人向采购人开具发票，采购人以转账方式一次性向中标人支付合同剩余款项。</w:t>
            </w:r>
          </w:p>
        </w:tc>
      </w:tr>
      <w:tr w14:paraId="2A869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979" w:type="dxa"/>
            <w:noWrap w:val="0"/>
            <w:vAlign w:val="center"/>
          </w:tcPr>
          <w:p w14:paraId="4B2F09F1">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24</w:t>
            </w:r>
          </w:p>
        </w:tc>
        <w:tc>
          <w:tcPr>
            <w:tcW w:w="2509" w:type="dxa"/>
            <w:tcBorders>
              <w:top w:val="single" w:color="auto" w:sz="4" w:space="0"/>
            </w:tcBorders>
            <w:noWrap w:val="0"/>
            <w:vAlign w:val="center"/>
          </w:tcPr>
          <w:p w14:paraId="3C0EF7E3">
            <w:pPr>
              <w:overflowPunct w:val="0"/>
              <w:spacing w:line="440" w:lineRule="exact"/>
              <w:jc w:val="center"/>
              <w:rPr>
                <w:rFonts w:hint="eastAsia"/>
                <w:color w:val="auto"/>
                <w:highlight w:val="none"/>
              </w:rPr>
            </w:pPr>
            <w:r>
              <w:rPr>
                <w:rFonts w:hint="eastAsia"/>
                <w:color w:val="auto"/>
                <w:highlight w:val="none"/>
              </w:rPr>
              <w:t>投标费用</w:t>
            </w:r>
          </w:p>
        </w:tc>
        <w:tc>
          <w:tcPr>
            <w:tcW w:w="6837" w:type="dxa"/>
            <w:noWrap w:val="0"/>
            <w:vAlign w:val="center"/>
          </w:tcPr>
          <w:p w14:paraId="01416B5C">
            <w:pPr>
              <w:spacing w:line="400" w:lineRule="exact"/>
              <w:rPr>
                <w:rFonts w:hint="eastAsia"/>
                <w:color w:val="auto"/>
                <w:highlight w:val="none"/>
              </w:rPr>
            </w:pPr>
            <w:r>
              <w:rPr>
                <w:rFonts w:hint="eastAsia"/>
                <w:color w:val="auto"/>
                <w:highlight w:val="none"/>
              </w:rPr>
              <w:t>不论投标的结果如何，投标人均应自行承担所有与参加投标有关的全部费用。</w:t>
            </w:r>
          </w:p>
        </w:tc>
      </w:tr>
      <w:tr w14:paraId="1305A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979" w:type="dxa"/>
            <w:noWrap w:val="0"/>
            <w:vAlign w:val="center"/>
          </w:tcPr>
          <w:p w14:paraId="7E4AD4BC">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25</w:t>
            </w:r>
          </w:p>
        </w:tc>
        <w:tc>
          <w:tcPr>
            <w:tcW w:w="2509" w:type="dxa"/>
            <w:noWrap w:val="0"/>
            <w:vAlign w:val="center"/>
          </w:tcPr>
          <w:p w14:paraId="031A3F7F">
            <w:pPr>
              <w:overflowPunct w:val="0"/>
              <w:spacing w:line="440" w:lineRule="exact"/>
              <w:jc w:val="center"/>
              <w:rPr>
                <w:color w:val="auto"/>
                <w:highlight w:val="none"/>
              </w:rPr>
            </w:pPr>
            <w:r>
              <w:rPr>
                <w:rFonts w:hint="eastAsia"/>
                <w:color w:val="auto"/>
                <w:highlight w:val="none"/>
              </w:rPr>
              <w:t>招标代理服务费</w:t>
            </w:r>
          </w:p>
        </w:tc>
        <w:tc>
          <w:tcPr>
            <w:tcW w:w="6837" w:type="dxa"/>
            <w:noWrap w:val="0"/>
            <w:vAlign w:val="center"/>
          </w:tcPr>
          <w:p w14:paraId="77D6C4FC">
            <w:pPr>
              <w:spacing w:line="360" w:lineRule="auto"/>
              <w:rPr>
                <w:rFonts w:hint="eastAsia"/>
                <w:color w:val="auto"/>
                <w:highlight w:val="none"/>
              </w:rPr>
            </w:pPr>
            <w:r>
              <w:rPr>
                <w:rFonts w:hint="eastAsia" w:ascii="宋体" w:hAnsi="宋体" w:eastAsia="宋体" w:cs="Arial"/>
                <w:color w:val="auto"/>
                <w:highlight w:val="none"/>
              </w:rPr>
              <w:t>本次招标由中标人支付招标代理服务费。参考新疆维吾尔自治区关于印发《新疆维吾尔自治区招标代理服务收费指导意见》的通知（新建招协{2024}4号）文件计算规定执行。中标人在收到中标通知书的同时，支付招标代理费，币种与中标签订合同的币种相同。</w:t>
            </w:r>
            <w:r>
              <w:rPr>
                <w:rFonts w:hint="eastAsia"/>
                <w:color w:val="auto"/>
                <w:highlight w:val="none"/>
              </w:rPr>
              <w:t>代理报酬的支付账号：同投标保证金缴纳账号。</w:t>
            </w:r>
          </w:p>
        </w:tc>
      </w:tr>
      <w:tr w14:paraId="065E3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FF09BDE">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26</w:t>
            </w:r>
          </w:p>
        </w:tc>
        <w:tc>
          <w:tcPr>
            <w:tcW w:w="2509" w:type="dxa"/>
            <w:noWrap w:val="0"/>
            <w:vAlign w:val="center"/>
          </w:tcPr>
          <w:p w14:paraId="7C107188">
            <w:pPr>
              <w:overflowPunct w:val="0"/>
              <w:jc w:val="center"/>
              <w:rPr>
                <w:color w:val="auto"/>
                <w:highlight w:val="none"/>
              </w:rPr>
            </w:pPr>
            <w:r>
              <w:rPr>
                <w:rFonts w:hint="eastAsia"/>
                <w:color w:val="auto"/>
                <w:highlight w:val="none"/>
              </w:rPr>
              <w:t>低于成本价不正当</w:t>
            </w:r>
          </w:p>
          <w:p w14:paraId="4C60F562">
            <w:pPr>
              <w:overflowPunct w:val="0"/>
              <w:jc w:val="center"/>
              <w:rPr>
                <w:color w:val="auto"/>
                <w:highlight w:val="none"/>
              </w:rPr>
            </w:pPr>
            <w:r>
              <w:rPr>
                <w:rFonts w:hint="eastAsia"/>
                <w:color w:val="auto"/>
                <w:highlight w:val="none"/>
              </w:rPr>
              <w:t>竞争预防措施</w:t>
            </w:r>
          </w:p>
        </w:tc>
        <w:tc>
          <w:tcPr>
            <w:tcW w:w="6837" w:type="dxa"/>
            <w:noWrap w:val="0"/>
            <w:vAlign w:val="center"/>
          </w:tcPr>
          <w:p w14:paraId="7BBD61A6">
            <w:pPr>
              <w:spacing w:line="440" w:lineRule="exact"/>
              <w:rPr>
                <w:rFonts w:hint="eastAsia"/>
                <w:color w:val="auto"/>
                <w:highlight w:val="none"/>
              </w:rPr>
            </w:pPr>
            <w:r>
              <w:rPr>
                <w:rFonts w:hint="eastAsia"/>
                <w:color w:val="auto"/>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EC0D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3B4D1EE">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27</w:t>
            </w:r>
          </w:p>
        </w:tc>
        <w:tc>
          <w:tcPr>
            <w:tcW w:w="2509" w:type="dxa"/>
            <w:noWrap w:val="0"/>
            <w:vAlign w:val="center"/>
          </w:tcPr>
          <w:p w14:paraId="32A4DFE6">
            <w:pPr>
              <w:jc w:val="center"/>
              <w:rPr>
                <w:color w:val="auto"/>
                <w:highlight w:val="none"/>
              </w:rPr>
            </w:pPr>
            <w:r>
              <w:rPr>
                <w:rFonts w:hint="eastAsia"/>
                <w:color w:val="auto"/>
                <w:highlight w:val="none"/>
              </w:rPr>
              <w:t>政府采购政策支持</w:t>
            </w:r>
          </w:p>
        </w:tc>
        <w:tc>
          <w:tcPr>
            <w:tcW w:w="6837" w:type="dxa"/>
            <w:noWrap w:val="0"/>
            <w:vAlign w:val="top"/>
          </w:tcPr>
          <w:p w14:paraId="512A29F6">
            <w:pPr>
              <w:spacing w:line="440" w:lineRule="exact"/>
              <w:rPr>
                <w:color w:val="auto"/>
                <w:highlight w:val="none"/>
              </w:rPr>
            </w:pPr>
            <w:r>
              <w:rPr>
                <w:rFonts w:hint="eastAsia"/>
                <w:color w:val="auto"/>
                <w:highlight w:val="none"/>
              </w:rPr>
              <w:t>节约能源、保护环境、扶持不发达地区和少数民族地区、促进中小企业发展等政府采购政策。</w:t>
            </w:r>
          </w:p>
          <w:p w14:paraId="12EB35F5">
            <w:pPr>
              <w:numPr>
                <w:ilvl w:val="0"/>
                <w:numId w:val="6"/>
              </w:numPr>
              <w:spacing w:line="440" w:lineRule="exact"/>
              <w:rPr>
                <w:rFonts w:hint="eastAsia"/>
                <w:color w:val="auto"/>
                <w:highlight w:val="none"/>
              </w:rPr>
            </w:pPr>
            <w:r>
              <w:rPr>
                <w:rFonts w:hint="eastAsia"/>
                <w:color w:val="auto"/>
                <w:highlight w:val="none"/>
              </w:rPr>
              <w:t>本项目为</w:t>
            </w:r>
            <w:r>
              <w:rPr>
                <w:rFonts w:hint="eastAsia"/>
                <w:color w:val="auto"/>
                <w:highlight w:val="none"/>
                <w:lang w:eastAsia="zh-CN"/>
              </w:rPr>
              <w:t>非</w:t>
            </w:r>
            <w:r>
              <w:rPr>
                <w:rFonts w:hint="eastAsia"/>
                <w:color w:val="auto"/>
                <w:highlight w:val="none"/>
              </w:rPr>
              <w:t>专门面向</w:t>
            </w:r>
            <w:r>
              <w:rPr>
                <w:rFonts w:hint="eastAsia"/>
                <w:color w:val="auto"/>
                <w:highlight w:val="none"/>
                <w:lang w:eastAsia="zh-CN"/>
              </w:rPr>
              <w:t>小微</w:t>
            </w:r>
            <w:r>
              <w:rPr>
                <w:rFonts w:hint="eastAsia"/>
                <w:color w:val="auto"/>
                <w:highlight w:val="none"/>
              </w:rPr>
              <w:t>企业（含小型、微型企业）采购项目。监狱企业、残疾人福利性单位视同为小微企业。</w:t>
            </w:r>
          </w:p>
          <w:p w14:paraId="3D02C45E">
            <w:pPr>
              <w:numPr>
                <w:ilvl w:val="0"/>
                <w:numId w:val="6"/>
              </w:numPr>
              <w:spacing w:line="440" w:lineRule="exact"/>
              <w:rPr>
                <w:color w:val="auto"/>
                <w:highlight w:val="none"/>
              </w:rPr>
            </w:pPr>
            <w:r>
              <w:rPr>
                <w:rFonts w:hint="eastAsia"/>
                <w:color w:val="auto"/>
                <w:highlight w:val="none"/>
              </w:rPr>
              <w:t>本项目采购标的对应的</w:t>
            </w:r>
            <w:r>
              <w:rPr>
                <w:rFonts w:hint="eastAsia"/>
                <w:color w:val="auto"/>
                <w:highlight w:val="none"/>
                <w:lang w:eastAsia="zh-CN"/>
              </w:rPr>
              <w:t>小微</w:t>
            </w:r>
            <w:r>
              <w:rPr>
                <w:rFonts w:hint="eastAsia"/>
                <w:color w:val="auto"/>
                <w:highlight w:val="none"/>
              </w:rPr>
              <w:t>企业划分标准所属行业为</w:t>
            </w:r>
            <w:r>
              <w:rPr>
                <w:rFonts w:hint="eastAsia"/>
                <w:b/>
                <w:bCs/>
                <w:color w:val="auto"/>
                <w:highlight w:val="none"/>
                <w:u w:val="single"/>
                <w:lang w:val="en-US" w:eastAsia="zh-CN"/>
              </w:rPr>
              <w:t>租赁和商务</w:t>
            </w:r>
            <w:r>
              <w:rPr>
                <w:rFonts w:hint="eastAsia"/>
                <w:b/>
                <w:bCs/>
                <w:color w:val="auto"/>
                <w:highlight w:val="none"/>
                <w:u w:val="single"/>
              </w:rPr>
              <w:t>服务业</w:t>
            </w:r>
            <w:r>
              <w:rPr>
                <w:rFonts w:hint="eastAsia"/>
                <w:color w:val="auto"/>
                <w:highlight w:val="none"/>
              </w:rPr>
              <w:t>。</w:t>
            </w:r>
          </w:p>
          <w:p w14:paraId="7F106F44">
            <w:pPr>
              <w:spacing w:line="440" w:lineRule="exact"/>
              <w:rPr>
                <w:color w:val="auto"/>
                <w:highlight w:val="none"/>
              </w:rPr>
            </w:pPr>
            <w:r>
              <w:rPr>
                <w:rFonts w:hint="eastAsia"/>
                <w:color w:val="auto"/>
                <w:highlight w:val="none"/>
                <w:lang w:val="en-US" w:eastAsia="zh-CN"/>
              </w:rPr>
              <w:t>3</w:t>
            </w:r>
            <w:r>
              <w:rPr>
                <w:rFonts w:hint="eastAsia"/>
                <w:color w:val="auto"/>
                <w:highlight w:val="none"/>
              </w:rPr>
              <w:t>、政府采购强制采购：标记★符号的节能产品：符合《节能产品政府采购品目清单》内并获得认证的强制采购节能产品。</w:t>
            </w:r>
          </w:p>
          <w:p w14:paraId="3BC1E08B">
            <w:pPr>
              <w:spacing w:line="440" w:lineRule="exact"/>
              <w:rPr>
                <w:color w:val="auto"/>
                <w:highlight w:val="none"/>
              </w:rPr>
            </w:pPr>
            <w:r>
              <w:rPr>
                <w:rFonts w:hint="eastAsia"/>
                <w:color w:val="auto"/>
                <w:highlight w:val="none"/>
                <w:lang w:val="en-US" w:eastAsia="zh-CN"/>
              </w:rPr>
              <w:t>4</w:t>
            </w:r>
            <w:r>
              <w:rPr>
                <w:rFonts w:hint="eastAsia"/>
                <w:color w:val="auto"/>
                <w:highlight w:val="none"/>
              </w:rPr>
              <w:t>、政府采购优先采购：</w:t>
            </w:r>
            <w:r>
              <w:rPr>
                <w:color w:val="auto"/>
                <w:highlight w:val="none"/>
              </w:rPr>
              <w:t>(1)</w:t>
            </w:r>
            <w:r>
              <w:rPr>
                <w:rFonts w:hint="eastAsia"/>
                <w:color w:val="auto"/>
                <w:highlight w:val="none"/>
              </w:rPr>
              <w:t>非标记★符号的节能产品；</w:t>
            </w:r>
            <w:r>
              <w:rPr>
                <w:color w:val="auto"/>
                <w:highlight w:val="none"/>
              </w:rPr>
              <w:t>(2)</w:t>
            </w:r>
            <w:r>
              <w:rPr>
                <w:rFonts w:hint="eastAsia"/>
                <w:color w:val="auto"/>
                <w:highlight w:val="none"/>
              </w:rPr>
              <w:t>环境标志产品；</w:t>
            </w:r>
          </w:p>
          <w:p w14:paraId="05C3B1F7">
            <w:pPr>
              <w:spacing w:line="440" w:lineRule="exact"/>
              <w:rPr>
                <w:color w:val="auto"/>
                <w:highlight w:val="none"/>
              </w:rPr>
            </w:pPr>
            <w:r>
              <w:rPr>
                <w:rFonts w:hint="eastAsia"/>
                <w:color w:val="auto"/>
                <w:highlight w:val="none"/>
              </w:rPr>
              <w:t>采购产品为《节能产品政府采购品目清单》内并获得认证非标记★符号的节能产品及《环境标志产品政府采购品目清单》内并获得认证的产品：投标文件中对所供产品为节能、环境标志产品清单中的产品，须在节能、环境标志产品优惠明细表中列明并按要求提供证明材料，否则不予认定。</w:t>
            </w:r>
          </w:p>
        </w:tc>
      </w:tr>
      <w:tr w14:paraId="52204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6AFA79CD">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28</w:t>
            </w:r>
          </w:p>
        </w:tc>
        <w:tc>
          <w:tcPr>
            <w:tcW w:w="2509" w:type="dxa"/>
            <w:noWrap w:val="0"/>
            <w:vAlign w:val="center"/>
          </w:tcPr>
          <w:p w14:paraId="7E1442A7">
            <w:pPr>
              <w:pStyle w:val="105"/>
              <w:spacing w:line="440" w:lineRule="exact"/>
              <w:jc w:val="center"/>
              <w:rPr>
                <w:rFonts w:hint="eastAsia" w:cs="Times New Roman"/>
                <w:color w:val="auto"/>
                <w:kern w:val="2"/>
                <w:highlight w:val="none"/>
              </w:rPr>
            </w:pPr>
            <w:r>
              <w:rPr>
                <w:rFonts w:hint="eastAsia" w:cs="Times New Roman"/>
                <w:color w:val="auto"/>
                <w:kern w:val="2"/>
                <w:highlight w:val="none"/>
              </w:rPr>
              <w:t>质疑须知</w:t>
            </w:r>
          </w:p>
        </w:tc>
        <w:tc>
          <w:tcPr>
            <w:tcW w:w="6837" w:type="dxa"/>
            <w:noWrap w:val="0"/>
            <w:vAlign w:val="center"/>
          </w:tcPr>
          <w:p w14:paraId="3114C901">
            <w:pPr>
              <w:pStyle w:val="105"/>
              <w:spacing w:line="440" w:lineRule="exact"/>
              <w:jc w:val="both"/>
              <w:rPr>
                <w:rFonts w:hint="eastAsia" w:cs="Times New Roman"/>
                <w:color w:val="auto"/>
                <w:kern w:val="2"/>
                <w:highlight w:val="none"/>
              </w:rPr>
            </w:pPr>
            <w:r>
              <w:rPr>
                <w:rFonts w:hint="eastAsia" w:cs="Times New Roman"/>
                <w:color w:val="auto"/>
                <w:kern w:val="2"/>
                <w:highlight w:val="none"/>
              </w:rPr>
              <w:t>接收质疑函的方式：现场递交纸质版及Word格式电子版质疑文件至接受单位接受质疑的单位：新疆弘伟工程项目管理有限公司</w:t>
            </w:r>
          </w:p>
          <w:p w14:paraId="5BE47707">
            <w:pPr>
              <w:pStyle w:val="105"/>
              <w:spacing w:line="440" w:lineRule="exact"/>
              <w:jc w:val="both"/>
              <w:rPr>
                <w:rFonts w:cs="Times New Roman"/>
                <w:color w:val="auto"/>
                <w:kern w:val="2"/>
                <w:highlight w:val="none"/>
              </w:rPr>
            </w:pPr>
            <w:r>
              <w:rPr>
                <w:rFonts w:hint="eastAsia" w:cs="Times New Roman"/>
                <w:color w:val="auto"/>
                <w:kern w:val="2"/>
                <w:highlight w:val="none"/>
              </w:rPr>
              <w:t>联系电话：</w:t>
            </w:r>
            <w:r>
              <w:rPr>
                <w:rFonts w:hint="eastAsia" w:cs="Arial"/>
                <w:color w:val="auto"/>
                <w:highlight w:val="none"/>
                <w:lang w:val="en-US" w:eastAsia="zh-CN"/>
              </w:rPr>
              <w:t>17591511116</w:t>
            </w:r>
            <w:r>
              <w:rPr>
                <w:rFonts w:hint="eastAsia" w:eastAsia="宋体" w:cs="Arial"/>
                <w:color w:val="auto"/>
                <w:highlight w:val="none"/>
                <w:lang w:eastAsia="zh-CN"/>
              </w:rPr>
              <w:t>、</w:t>
            </w:r>
            <w:r>
              <w:rPr>
                <w:rFonts w:hint="eastAsia" w:ascii="宋体" w:hAnsi="宋体" w:eastAsia="宋体" w:cs="宋体"/>
                <w:color w:val="auto"/>
                <w:sz w:val="24"/>
                <w:szCs w:val="24"/>
                <w:highlight w:val="none"/>
              </w:rPr>
              <w:t>19199261940</w:t>
            </w:r>
          </w:p>
          <w:p w14:paraId="7E340617">
            <w:pPr>
              <w:pStyle w:val="105"/>
              <w:spacing w:line="440" w:lineRule="exact"/>
              <w:jc w:val="both"/>
              <w:rPr>
                <w:rFonts w:hint="eastAsia" w:cs="Times New Roman"/>
                <w:color w:val="auto"/>
                <w:kern w:val="2"/>
                <w:highlight w:val="none"/>
              </w:rPr>
            </w:pPr>
            <w:r>
              <w:rPr>
                <w:rFonts w:hint="eastAsia" w:cs="Times New Roman"/>
                <w:color w:val="auto"/>
                <w:kern w:val="2"/>
                <w:highlight w:val="none"/>
              </w:rPr>
              <w:t>地址：乌鲁木齐市新市区鲤鱼山北路298号领世广场7楼704室</w:t>
            </w:r>
          </w:p>
          <w:p w14:paraId="0542A2C7">
            <w:pPr>
              <w:pStyle w:val="105"/>
              <w:spacing w:line="440" w:lineRule="exact"/>
              <w:jc w:val="both"/>
              <w:rPr>
                <w:rFonts w:hint="eastAsia" w:cs="Times New Roman"/>
                <w:color w:val="auto"/>
                <w:kern w:val="2"/>
                <w:highlight w:val="none"/>
              </w:rPr>
            </w:pPr>
            <w:r>
              <w:rPr>
                <w:rFonts w:hint="eastAsia" w:cs="Times New Roman"/>
                <w:color w:val="auto"/>
                <w:kern w:val="2"/>
                <w:highlight w:val="none"/>
                <w:lang w:eastAsia="zh-CN"/>
              </w:rPr>
              <w:t>邮箱：</w:t>
            </w:r>
            <w:r>
              <w:rPr>
                <w:rFonts w:hint="eastAsia" w:cs="Times New Roman"/>
                <w:color w:val="auto"/>
                <w:kern w:val="2"/>
                <w:highlight w:val="none"/>
                <w:lang w:val="en-US" w:eastAsia="zh-CN"/>
              </w:rPr>
              <w:t>506802024@qq.com</w:t>
            </w:r>
          </w:p>
        </w:tc>
      </w:tr>
      <w:tr w14:paraId="30612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227E006">
            <w:pPr>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highlight w:val="none"/>
                <w:lang w:bidi="ar"/>
              </w:rPr>
              <w:t>29</w:t>
            </w:r>
          </w:p>
        </w:tc>
        <w:tc>
          <w:tcPr>
            <w:tcW w:w="2509" w:type="dxa"/>
            <w:noWrap w:val="0"/>
            <w:vAlign w:val="center"/>
          </w:tcPr>
          <w:p w14:paraId="45ABCFE0">
            <w:pPr>
              <w:pStyle w:val="105"/>
              <w:spacing w:line="440" w:lineRule="exact"/>
              <w:jc w:val="center"/>
              <w:rPr>
                <w:rFonts w:hint="eastAsia" w:cs="Times New Roman"/>
                <w:color w:val="auto"/>
                <w:kern w:val="2"/>
                <w:highlight w:val="none"/>
              </w:rPr>
            </w:pPr>
            <w:r>
              <w:rPr>
                <w:rFonts w:hint="eastAsia" w:cs="Times New Roman"/>
                <w:color w:val="auto"/>
                <w:kern w:val="2"/>
                <w:highlight w:val="none"/>
              </w:rPr>
              <w:t>公告发布媒体</w:t>
            </w:r>
          </w:p>
        </w:tc>
        <w:tc>
          <w:tcPr>
            <w:tcW w:w="6837" w:type="dxa"/>
            <w:noWrap w:val="0"/>
            <w:vAlign w:val="center"/>
          </w:tcPr>
          <w:p w14:paraId="4F78DBC1">
            <w:pPr>
              <w:rPr>
                <w:rFonts w:hint="eastAsia"/>
                <w:color w:val="auto"/>
                <w:highlight w:val="none"/>
              </w:rPr>
            </w:pPr>
            <w:r>
              <w:rPr>
                <w:color w:val="auto"/>
                <w:highlight w:val="none"/>
              </w:rPr>
              <w:t>新疆政府采购网</w:t>
            </w:r>
          </w:p>
        </w:tc>
      </w:tr>
      <w:tr w14:paraId="28379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4B90284B">
            <w:pPr>
              <w:jc w:val="center"/>
              <w:textAlignment w:val="center"/>
              <w:rPr>
                <w:rFonts w:hint="default"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30</w:t>
            </w:r>
          </w:p>
        </w:tc>
        <w:tc>
          <w:tcPr>
            <w:tcW w:w="9346" w:type="dxa"/>
            <w:gridSpan w:val="2"/>
            <w:noWrap w:val="0"/>
            <w:vAlign w:val="center"/>
          </w:tcPr>
          <w:p w14:paraId="51278C99">
            <w:pPr>
              <w:rPr>
                <w:rFonts w:hint="eastAsia"/>
                <w:b/>
                <w:bCs/>
                <w:color w:val="auto"/>
                <w:szCs w:val="21"/>
                <w:highlight w:val="none"/>
              </w:rPr>
            </w:pPr>
          </w:p>
        </w:tc>
      </w:tr>
      <w:tr w14:paraId="5181B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57CA4E22">
            <w:pPr>
              <w:overflowPunct w:val="0"/>
              <w:spacing w:line="440" w:lineRule="exact"/>
              <w:jc w:val="center"/>
              <w:rPr>
                <w:b/>
                <w:color w:val="auto"/>
                <w:highlight w:val="none"/>
              </w:rPr>
            </w:pPr>
            <w:r>
              <w:rPr>
                <w:rFonts w:hint="eastAsia"/>
                <w:b/>
                <w:color w:val="auto"/>
                <w:highlight w:val="none"/>
              </w:rPr>
              <w:t>备注</w:t>
            </w:r>
          </w:p>
        </w:tc>
        <w:tc>
          <w:tcPr>
            <w:tcW w:w="9346" w:type="dxa"/>
            <w:gridSpan w:val="2"/>
            <w:noWrap w:val="0"/>
            <w:vAlign w:val="center"/>
          </w:tcPr>
          <w:p w14:paraId="0D39D446">
            <w:pPr>
              <w:spacing w:line="440" w:lineRule="exact"/>
              <w:rPr>
                <w:b/>
                <w:color w:val="auto"/>
                <w:highlight w:val="none"/>
              </w:rPr>
            </w:pPr>
            <w:r>
              <w:rPr>
                <w:b/>
                <w:color w:val="auto"/>
                <w:highlight w:val="none"/>
              </w:rPr>
              <w:t>1</w:t>
            </w:r>
            <w:r>
              <w:rPr>
                <w:rFonts w:hint="eastAsia"/>
                <w:b/>
                <w:color w:val="auto"/>
                <w:highlight w:val="none"/>
              </w:rPr>
              <w:t>、招标文件中部分加“</w:t>
            </w:r>
            <w:r>
              <w:rPr>
                <w:b/>
                <w:color w:val="auto"/>
                <w:highlight w:val="none"/>
              </w:rPr>
              <w:t>*</w:t>
            </w:r>
            <w:r>
              <w:rPr>
                <w:rFonts w:hint="eastAsia"/>
                <w:b/>
                <w:color w:val="auto"/>
                <w:highlight w:val="none"/>
              </w:rPr>
              <w:t>”、“</w:t>
            </w:r>
            <w:r>
              <w:rPr>
                <w:rFonts w:hint="eastAsia" w:ascii="等线" w:hAnsi="等线" w:eastAsia="等线"/>
                <w:color w:val="auto"/>
                <w:highlight w:val="none"/>
              </w:rPr>
              <w:t>★</w:t>
            </w:r>
            <w:r>
              <w:rPr>
                <w:rFonts w:hint="eastAsia"/>
                <w:b/>
                <w:color w:val="auto"/>
                <w:highlight w:val="none"/>
              </w:rPr>
              <w:t>”、加粗、加下划线、废标、无效标、投标被拒绝字样的条款，为招标的实质性要求和条件，着重提醒各投标人注意，并认真查看招标文件中的每一个条款及要求，因误读招标文件而造成的后果，招标人概不负责。</w:t>
            </w:r>
          </w:p>
          <w:p w14:paraId="6A4A4918">
            <w:pPr>
              <w:spacing w:line="440" w:lineRule="exact"/>
              <w:rPr>
                <w:b/>
                <w:color w:val="auto"/>
                <w:highlight w:val="none"/>
              </w:rPr>
            </w:pPr>
            <w:r>
              <w:rPr>
                <w:b/>
                <w:color w:val="auto"/>
                <w:highlight w:val="none"/>
              </w:rPr>
              <w:t>2</w:t>
            </w:r>
            <w:r>
              <w:rPr>
                <w:rFonts w:hint="eastAsia"/>
                <w:b/>
                <w:color w:val="auto"/>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14:paraId="4B857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noWrap w:val="0"/>
            <w:vAlign w:val="center"/>
          </w:tcPr>
          <w:p w14:paraId="32BAADC0">
            <w:pPr>
              <w:spacing w:line="360" w:lineRule="auto"/>
              <w:rPr>
                <w:b/>
                <w:color w:val="auto"/>
                <w:highlight w:val="none"/>
              </w:rPr>
            </w:pPr>
            <w:r>
              <w:rPr>
                <w:rFonts w:hint="eastAsia"/>
                <w:b/>
                <w:color w:val="auto"/>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5EF49E53">
      <w:pPr>
        <w:pStyle w:val="85"/>
        <w:spacing w:line="440" w:lineRule="exact"/>
        <w:outlineLvl w:val="0"/>
        <w:rPr>
          <w:rFonts w:ascii="宋体" w:hAnsi="宋体"/>
          <w:b/>
          <w:color w:val="auto"/>
          <w:kern w:val="2"/>
          <w:sz w:val="36"/>
          <w:szCs w:val="20"/>
          <w:highlight w:val="none"/>
        </w:rPr>
      </w:pPr>
    </w:p>
    <w:p w14:paraId="225713B7">
      <w:pPr>
        <w:pStyle w:val="85"/>
        <w:spacing w:line="440" w:lineRule="exact"/>
        <w:jc w:val="center"/>
        <w:outlineLvl w:val="0"/>
        <w:rPr>
          <w:rFonts w:hint="eastAsia" w:ascii="宋体" w:hAnsi="宋体"/>
          <w:b/>
          <w:color w:val="auto"/>
          <w:kern w:val="2"/>
          <w:sz w:val="36"/>
          <w:szCs w:val="20"/>
          <w:highlight w:val="none"/>
        </w:rPr>
      </w:pPr>
    </w:p>
    <w:p w14:paraId="48D387B0">
      <w:pPr>
        <w:pStyle w:val="85"/>
        <w:spacing w:line="440" w:lineRule="exact"/>
        <w:jc w:val="center"/>
        <w:outlineLvl w:val="0"/>
        <w:rPr>
          <w:rFonts w:ascii="宋体" w:hAnsi="宋体"/>
          <w:b/>
          <w:color w:val="auto"/>
          <w:kern w:val="2"/>
          <w:sz w:val="36"/>
          <w:szCs w:val="20"/>
          <w:highlight w:val="none"/>
        </w:rPr>
      </w:pPr>
      <w:r>
        <w:rPr>
          <w:rFonts w:hint="eastAsia" w:ascii="宋体" w:hAnsi="宋体"/>
          <w:b/>
          <w:color w:val="auto"/>
          <w:kern w:val="2"/>
          <w:sz w:val="36"/>
          <w:szCs w:val="20"/>
          <w:highlight w:val="none"/>
        </w:rPr>
        <w:br w:type="page"/>
      </w:r>
      <w:bookmarkStart w:id="8" w:name="_Toc13807"/>
      <w:r>
        <w:rPr>
          <w:rFonts w:hint="eastAsia" w:ascii="宋体" w:hAnsi="宋体"/>
          <w:b/>
          <w:color w:val="auto"/>
          <w:kern w:val="2"/>
          <w:sz w:val="36"/>
          <w:szCs w:val="20"/>
          <w:highlight w:val="none"/>
        </w:rPr>
        <w:t>第二部分招标说明</w:t>
      </w:r>
      <w:bookmarkEnd w:id="8"/>
    </w:p>
    <w:p w14:paraId="40F27C0A">
      <w:pPr>
        <w:pStyle w:val="85"/>
        <w:spacing w:line="440" w:lineRule="exact"/>
        <w:jc w:val="center"/>
        <w:outlineLvl w:val="1"/>
        <w:rPr>
          <w:rFonts w:ascii="宋体" w:hAnsi="宋体"/>
          <w:b/>
          <w:color w:val="auto"/>
          <w:kern w:val="2"/>
          <w:sz w:val="32"/>
          <w:szCs w:val="32"/>
          <w:highlight w:val="none"/>
        </w:rPr>
      </w:pPr>
      <w:bookmarkStart w:id="9" w:name="_Toc20377"/>
      <w:r>
        <w:rPr>
          <w:rFonts w:hint="eastAsia" w:ascii="宋体" w:hAnsi="宋体"/>
          <w:b/>
          <w:color w:val="auto"/>
          <w:kern w:val="2"/>
          <w:sz w:val="32"/>
          <w:szCs w:val="32"/>
          <w:highlight w:val="none"/>
        </w:rPr>
        <w:t>第一章总则</w:t>
      </w:r>
      <w:bookmarkEnd w:id="9"/>
    </w:p>
    <w:p w14:paraId="54673353">
      <w:pPr>
        <w:spacing w:line="440" w:lineRule="exact"/>
        <w:ind w:firstLine="472" w:firstLineChars="196"/>
        <w:rPr>
          <w:b/>
          <w:color w:val="auto"/>
          <w:highlight w:val="none"/>
        </w:rPr>
      </w:pPr>
      <w:r>
        <w:rPr>
          <w:b/>
          <w:color w:val="auto"/>
          <w:highlight w:val="none"/>
        </w:rPr>
        <w:t xml:space="preserve">1. </w:t>
      </w:r>
      <w:r>
        <w:rPr>
          <w:rFonts w:hint="eastAsia"/>
          <w:b/>
          <w:color w:val="auto"/>
          <w:highlight w:val="none"/>
        </w:rPr>
        <w:t>适用范围</w:t>
      </w:r>
    </w:p>
    <w:p w14:paraId="10326307">
      <w:pPr>
        <w:spacing w:line="440" w:lineRule="exact"/>
        <w:ind w:firstLine="480" w:firstLineChars="200"/>
        <w:rPr>
          <w:color w:val="auto"/>
          <w:highlight w:val="none"/>
        </w:rPr>
      </w:pPr>
      <w:r>
        <w:rPr>
          <w:color w:val="auto"/>
          <w:highlight w:val="none"/>
        </w:rPr>
        <w:t xml:space="preserve">1.1  </w:t>
      </w:r>
      <w:r>
        <w:rPr>
          <w:rFonts w:hint="eastAsia"/>
          <w:color w:val="auto"/>
          <w:highlight w:val="none"/>
        </w:rPr>
        <w:t>本招标文件仅适用于</w:t>
      </w:r>
      <w:r>
        <w:rPr>
          <w:rFonts w:hint="eastAsia"/>
          <w:color w:val="auto"/>
          <w:highlight w:val="none"/>
          <w:lang w:eastAsia="zh-CN"/>
        </w:rPr>
        <w:t>新疆弘伟工程项目管理有限公司</w:t>
      </w:r>
      <w:r>
        <w:rPr>
          <w:rFonts w:hint="eastAsia"/>
          <w:color w:val="auto"/>
          <w:highlight w:val="none"/>
        </w:rPr>
        <w:t>的本次招标活动。</w:t>
      </w:r>
    </w:p>
    <w:p w14:paraId="0FA1B531">
      <w:pPr>
        <w:tabs>
          <w:tab w:val="left" w:pos="1185"/>
        </w:tabs>
        <w:spacing w:line="440" w:lineRule="exact"/>
        <w:ind w:firstLine="482" w:firstLineChars="200"/>
        <w:rPr>
          <w:b/>
          <w:color w:val="auto"/>
          <w:highlight w:val="none"/>
        </w:rPr>
      </w:pPr>
      <w:r>
        <w:rPr>
          <w:b/>
          <w:color w:val="auto"/>
          <w:highlight w:val="none"/>
        </w:rPr>
        <w:t xml:space="preserve">2. </w:t>
      </w:r>
      <w:r>
        <w:rPr>
          <w:rFonts w:hint="eastAsia"/>
          <w:b/>
          <w:color w:val="auto"/>
          <w:highlight w:val="none"/>
        </w:rPr>
        <w:t>投标资格</w:t>
      </w:r>
    </w:p>
    <w:p w14:paraId="07A6B6E5">
      <w:pPr>
        <w:spacing w:line="440" w:lineRule="exact"/>
        <w:ind w:firstLine="480" w:firstLineChars="200"/>
        <w:rPr>
          <w:rFonts w:hint="eastAsia"/>
          <w:color w:val="auto"/>
          <w:highlight w:val="none"/>
        </w:rPr>
      </w:pPr>
      <w:r>
        <w:rPr>
          <w:color w:val="auto"/>
          <w:highlight w:val="none"/>
        </w:rPr>
        <w:t>2.</w:t>
      </w:r>
      <w:r>
        <w:rPr>
          <w:rFonts w:hint="eastAsia"/>
          <w:color w:val="auto"/>
          <w:highlight w:val="none"/>
        </w:rPr>
        <w:t>1.满足《中华人民共和国政府采购法》第二十二条规定；</w:t>
      </w:r>
    </w:p>
    <w:p w14:paraId="2D6B7739">
      <w:pPr>
        <w:spacing w:line="440" w:lineRule="exact"/>
        <w:ind w:firstLine="480" w:firstLineChars="200"/>
        <w:rPr>
          <w:rFonts w:hint="eastAsia"/>
          <w:color w:val="auto"/>
          <w:highlight w:val="none"/>
        </w:rPr>
      </w:pPr>
      <w:r>
        <w:rPr>
          <w:color w:val="auto"/>
          <w:highlight w:val="none"/>
        </w:rPr>
        <w:t>2.</w:t>
      </w:r>
      <w:r>
        <w:rPr>
          <w:rFonts w:hint="eastAsia"/>
          <w:color w:val="auto"/>
          <w:highlight w:val="none"/>
        </w:rPr>
        <w:t>2.落实政府采购政策需满足的资格要求：见投标须知前附表</w:t>
      </w:r>
    </w:p>
    <w:p w14:paraId="56B85AE1">
      <w:pPr>
        <w:spacing w:line="440" w:lineRule="exact"/>
        <w:ind w:firstLine="480" w:firstLineChars="200"/>
        <w:rPr>
          <w:color w:val="auto"/>
          <w:highlight w:val="none"/>
        </w:rPr>
      </w:pPr>
      <w:r>
        <w:rPr>
          <w:color w:val="auto"/>
          <w:highlight w:val="none"/>
        </w:rPr>
        <w:t>2.</w:t>
      </w:r>
      <w:r>
        <w:rPr>
          <w:rFonts w:hint="eastAsia"/>
          <w:color w:val="auto"/>
          <w:highlight w:val="none"/>
        </w:rPr>
        <w:t>3.本项目的特定资格要求：见投标须知前附表</w:t>
      </w:r>
      <w:r>
        <w:rPr>
          <w:color w:val="auto"/>
          <w:highlight w:val="none"/>
        </w:rPr>
        <w:t xml:space="preserve"> </w:t>
      </w:r>
    </w:p>
    <w:p w14:paraId="1F48F138">
      <w:pPr>
        <w:spacing w:line="440" w:lineRule="exact"/>
        <w:ind w:firstLine="480" w:firstLineChars="200"/>
        <w:rPr>
          <w:color w:val="auto"/>
          <w:highlight w:val="none"/>
        </w:rPr>
      </w:pPr>
      <w:r>
        <w:rPr>
          <w:color w:val="auto"/>
          <w:highlight w:val="none"/>
        </w:rPr>
        <w:t xml:space="preserve">3. </w:t>
      </w:r>
      <w:r>
        <w:rPr>
          <w:rFonts w:hint="eastAsia"/>
          <w:color w:val="auto"/>
          <w:highlight w:val="none"/>
        </w:rPr>
        <w:t>投标人存在下列情形之一的，拒绝其参加本次投标（已投标的按无效标处理）：</w:t>
      </w:r>
    </w:p>
    <w:p w14:paraId="21BA0C6E">
      <w:pPr>
        <w:tabs>
          <w:tab w:val="left" w:pos="4320"/>
        </w:tabs>
        <w:spacing w:line="440" w:lineRule="exact"/>
        <w:ind w:firstLine="480" w:firstLineChars="200"/>
        <w:rPr>
          <w:rFonts w:hint="eastAsia"/>
          <w:color w:val="auto"/>
          <w:highlight w:val="none"/>
        </w:rPr>
      </w:pPr>
      <w:r>
        <w:rPr>
          <w:rFonts w:hint="eastAsia"/>
          <w:color w:val="auto"/>
          <w:highlight w:val="none"/>
        </w:rPr>
        <w:t>（1）为招标人不具有独立法人资格的附属机构（单位）；</w:t>
      </w:r>
    </w:p>
    <w:p w14:paraId="506EAA53">
      <w:pPr>
        <w:spacing w:line="440" w:lineRule="exact"/>
        <w:ind w:firstLine="480" w:firstLineChars="200"/>
        <w:rPr>
          <w:rFonts w:hint="eastAsia"/>
          <w:color w:val="auto"/>
          <w:highlight w:val="none"/>
        </w:rPr>
      </w:pPr>
      <w:r>
        <w:rPr>
          <w:rFonts w:hint="eastAsia"/>
          <w:color w:val="auto"/>
          <w:highlight w:val="none"/>
        </w:rPr>
        <w:t>（2）为本标段前期准备提供设计或咨询服务的；</w:t>
      </w:r>
    </w:p>
    <w:p w14:paraId="4F6A27F0">
      <w:pPr>
        <w:spacing w:line="440" w:lineRule="exact"/>
        <w:ind w:firstLine="480" w:firstLineChars="200"/>
        <w:rPr>
          <w:rFonts w:hint="eastAsia"/>
          <w:color w:val="auto"/>
          <w:highlight w:val="none"/>
        </w:rPr>
      </w:pPr>
      <w:r>
        <w:rPr>
          <w:rFonts w:hint="eastAsia"/>
          <w:color w:val="auto"/>
          <w:highlight w:val="none"/>
        </w:rPr>
        <w:t>（3）为本标段提供招标代理服务的；</w:t>
      </w:r>
    </w:p>
    <w:p w14:paraId="7A1BF172">
      <w:pPr>
        <w:spacing w:line="440" w:lineRule="exact"/>
        <w:ind w:firstLine="480" w:firstLineChars="200"/>
        <w:rPr>
          <w:rFonts w:hint="eastAsia"/>
          <w:color w:val="auto"/>
          <w:highlight w:val="none"/>
        </w:rPr>
      </w:pPr>
      <w:r>
        <w:rPr>
          <w:rFonts w:hint="eastAsia"/>
          <w:color w:val="auto"/>
          <w:highlight w:val="none"/>
        </w:rPr>
        <w:t>（4）单位负责人为同一人或者存在直接控股、管理关系的不同</w:t>
      </w:r>
      <w:r>
        <w:rPr>
          <w:rFonts w:hint="eastAsia"/>
          <w:color w:val="auto"/>
          <w:highlight w:val="none"/>
          <w:lang w:eastAsia="zh-CN"/>
        </w:rPr>
        <w:t>投标人</w:t>
      </w:r>
      <w:r>
        <w:rPr>
          <w:rFonts w:hint="eastAsia"/>
          <w:color w:val="auto"/>
          <w:highlight w:val="none"/>
        </w:rPr>
        <w:t>（服务商），不得参加同一合同项下的政府采购活动；</w:t>
      </w:r>
    </w:p>
    <w:p w14:paraId="03BB1AFA">
      <w:pPr>
        <w:spacing w:line="440" w:lineRule="exact"/>
        <w:ind w:firstLine="480" w:firstLineChars="200"/>
        <w:rPr>
          <w:rFonts w:hint="eastAsia"/>
          <w:color w:val="auto"/>
          <w:highlight w:val="none"/>
        </w:rPr>
      </w:pPr>
      <w:r>
        <w:rPr>
          <w:rFonts w:hint="eastAsia"/>
          <w:color w:val="auto"/>
          <w:highlight w:val="none"/>
        </w:rPr>
        <w:t>（5）除单一来源采购项目外，为采购项目提供整体设计、规范编制或者项目管理、监理、检测等服务的</w:t>
      </w:r>
      <w:r>
        <w:rPr>
          <w:rFonts w:hint="eastAsia"/>
          <w:color w:val="auto"/>
          <w:highlight w:val="none"/>
          <w:lang w:eastAsia="zh-CN"/>
        </w:rPr>
        <w:t>投标人</w:t>
      </w:r>
      <w:r>
        <w:rPr>
          <w:rFonts w:hint="eastAsia"/>
          <w:color w:val="auto"/>
          <w:highlight w:val="none"/>
        </w:rPr>
        <w:t>，不得再参加该采购项目的其他采购活动。　　</w:t>
      </w:r>
    </w:p>
    <w:p w14:paraId="610F36D2">
      <w:pPr>
        <w:spacing w:line="440" w:lineRule="exact"/>
        <w:ind w:firstLine="480" w:firstLineChars="200"/>
        <w:rPr>
          <w:rFonts w:hint="eastAsia"/>
          <w:color w:val="auto"/>
          <w:highlight w:val="none"/>
        </w:rPr>
      </w:pPr>
      <w:r>
        <w:rPr>
          <w:rFonts w:hint="eastAsia"/>
          <w:color w:val="auto"/>
          <w:highlight w:val="none"/>
        </w:rPr>
        <w:t>（6）以联合体形式参加政府采购活动的，联合体各方不得再单独参加或者与其他</w:t>
      </w:r>
      <w:r>
        <w:rPr>
          <w:rFonts w:hint="eastAsia"/>
          <w:color w:val="auto"/>
          <w:highlight w:val="none"/>
          <w:lang w:eastAsia="zh-CN"/>
        </w:rPr>
        <w:t>投标人</w:t>
      </w:r>
      <w:r>
        <w:rPr>
          <w:rFonts w:hint="eastAsia"/>
          <w:color w:val="auto"/>
          <w:highlight w:val="none"/>
        </w:rPr>
        <w:t>另外组成联合体参加同一合同项下的政府采购活动。</w:t>
      </w:r>
    </w:p>
    <w:p w14:paraId="5F2219F2">
      <w:pPr>
        <w:spacing w:line="440" w:lineRule="exact"/>
        <w:ind w:firstLine="480" w:firstLineChars="200"/>
        <w:rPr>
          <w:rFonts w:hint="eastAsia"/>
          <w:color w:val="auto"/>
          <w:highlight w:val="none"/>
        </w:rPr>
      </w:pPr>
      <w:r>
        <w:rPr>
          <w:rFonts w:hint="eastAsia"/>
          <w:color w:val="auto"/>
          <w:highlight w:val="none"/>
        </w:rPr>
        <w:t>（7）投标人未在政采云平台针对本项目于规定时间内下载电子采购文件。</w:t>
      </w:r>
    </w:p>
    <w:p w14:paraId="690641F9">
      <w:pPr>
        <w:spacing w:line="440" w:lineRule="exact"/>
        <w:ind w:firstLine="480" w:firstLineChars="200"/>
        <w:rPr>
          <w:rFonts w:hint="eastAsia"/>
          <w:color w:val="auto"/>
          <w:highlight w:val="none"/>
        </w:rPr>
      </w:pPr>
      <w:r>
        <w:rPr>
          <w:rFonts w:hint="eastAsia"/>
          <w:color w:val="auto"/>
          <w:highlight w:val="none"/>
        </w:rPr>
        <w:t>（8）被责令停业的；</w:t>
      </w:r>
    </w:p>
    <w:p w14:paraId="0BBF63BA">
      <w:pPr>
        <w:spacing w:line="440" w:lineRule="exact"/>
        <w:ind w:firstLine="480" w:firstLineChars="200"/>
        <w:rPr>
          <w:rFonts w:hint="eastAsia"/>
          <w:color w:val="auto"/>
          <w:highlight w:val="none"/>
        </w:rPr>
      </w:pPr>
      <w:r>
        <w:rPr>
          <w:rFonts w:hint="eastAsia"/>
          <w:color w:val="auto"/>
          <w:highlight w:val="none"/>
        </w:rPr>
        <w:t>（9）被暂停或取消投标资格的；</w:t>
      </w:r>
    </w:p>
    <w:p w14:paraId="20BAF7F7">
      <w:pPr>
        <w:spacing w:line="440" w:lineRule="exact"/>
        <w:ind w:firstLine="480" w:firstLineChars="200"/>
        <w:rPr>
          <w:rFonts w:hint="eastAsia"/>
          <w:color w:val="auto"/>
          <w:highlight w:val="none"/>
        </w:rPr>
      </w:pPr>
      <w:r>
        <w:rPr>
          <w:rFonts w:hint="eastAsia"/>
          <w:color w:val="auto"/>
          <w:highlight w:val="none"/>
        </w:rPr>
        <w:t>（10）财产被接管或冻结的；</w:t>
      </w:r>
    </w:p>
    <w:p w14:paraId="7DCF0307">
      <w:pPr>
        <w:spacing w:line="440" w:lineRule="exact"/>
        <w:ind w:firstLine="480" w:firstLineChars="200"/>
        <w:rPr>
          <w:rFonts w:hint="eastAsia"/>
          <w:color w:val="auto"/>
          <w:highlight w:val="none"/>
        </w:rPr>
      </w:pPr>
      <w:r>
        <w:rPr>
          <w:rFonts w:hint="eastAsia"/>
          <w:color w:val="auto"/>
          <w:highlight w:val="none"/>
        </w:rPr>
        <w:t>（11）在最近三年内有骗取中标或严重违约或重大质量问题的，受到行政处罚的。</w:t>
      </w:r>
    </w:p>
    <w:p w14:paraId="0F40279D">
      <w:pPr>
        <w:spacing w:line="440" w:lineRule="exact"/>
        <w:ind w:firstLine="480" w:firstLineChars="200"/>
        <w:rPr>
          <w:color w:val="auto"/>
          <w:highlight w:val="none"/>
        </w:rPr>
      </w:pPr>
      <w:r>
        <w:rPr>
          <w:color w:val="auto"/>
          <w:highlight w:val="none"/>
        </w:rPr>
        <w:t xml:space="preserve">4. </w:t>
      </w:r>
      <w:r>
        <w:rPr>
          <w:rFonts w:hint="eastAsia"/>
          <w:color w:val="auto"/>
          <w:highlight w:val="none"/>
        </w:rPr>
        <w:t>有下列情形之一的，视为投标人串通投标，其投标无效：</w:t>
      </w:r>
    </w:p>
    <w:p w14:paraId="6B125B7E">
      <w:pPr>
        <w:spacing w:line="440" w:lineRule="exact"/>
        <w:ind w:firstLine="540" w:firstLineChars="225"/>
        <w:rPr>
          <w:color w:val="auto"/>
          <w:highlight w:val="none"/>
        </w:rPr>
      </w:pPr>
      <w:r>
        <w:rPr>
          <w:rFonts w:hint="eastAsia"/>
          <w:color w:val="auto"/>
          <w:highlight w:val="none"/>
        </w:rPr>
        <w:t>（</w:t>
      </w:r>
      <w:r>
        <w:rPr>
          <w:color w:val="auto"/>
          <w:highlight w:val="none"/>
        </w:rPr>
        <w:t>1</w:t>
      </w:r>
      <w:r>
        <w:rPr>
          <w:rFonts w:hint="eastAsia"/>
          <w:color w:val="auto"/>
          <w:highlight w:val="none"/>
        </w:rPr>
        <w:t>）不同投标人的投标文件由同一单位或者个人编制。</w:t>
      </w:r>
    </w:p>
    <w:p w14:paraId="1D2EA977">
      <w:pPr>
        <w:spacing w:line="440" w:lineRule="exact"/>
        <w:ind w:firstLine="540" w:firstLineChars="225"/>
        <w:rPr>
          <w:color w:val="auto"/>
          <w:highlight w:val="none"/>
        </w:rPr>
      </w:pPr>
      <w:r>
        <w:rPr>
          <w:rFonts w:hint="eastAsia"/>
          <w:color w:val="auto"/>
          <w:highlight w:val="none"/>
        </w:rPr>
        <w:t>（</w:t>
      </w:r>
      <w:r>
        <w:rPr>
          <w:color w:val="auto"/>
          <w:highlight w:val="none"/>
        </w:rPr>
        <w:t>2</w:t>
      </w:r>
      <w:r>
        <w:rPr>
          <w:rFonts w:hint="eastAsia"/>
          <w:color w:val="auto"/>
          <w:highlight w:val="none"/>
        </w:rPr>
        <w:t>）不同投标人委托同一单位或者个人办理投标事宜。</w:t>
      </w:r>
    </w:p>
    <w:p w14:paraId="4DC6902C">
      <w:pPr>
        <w:spacing w:line="440" w:lineRule="exact"/>
        <w:ind w:firstLine="540" w:firstLineChars="225"/>
        <w:rPr>
          <w:color w:val="auto"/>
          <w:highlight w:val="none"/>
        </w:rPr>
      </w:pPr>
      <w:r>
        <w:rPr>
          <w:rFonts w:hint="eastAsia"/>
          <w:color w:val="auto"/>
          <w:highlight w:val="none"/>
        </w:rPr>
        <w:t>（</w:t>
      </w:r>
      <w:r>
        <w:rPr>
          <w:color w:val="auto"/>
          <w:highlight w:val="none"/>
        </w:rPr>
        <w:t>3</w:t>
      </w:r>
      <w:r>
        <w:rPr>
          <w:rFonts w:hint="eastAsia"/>
          <w:color w:val="auto"/>
          <w:highlight w:val="none"/>
        </w:rPr>
        <w:t>）不同投标人的投标文件载明的项目管理成员或者联系人员为同一人。</w:t>
      </w:r>
    </w:p>
    <w:p w14:paraId="775AA44D">
      <w:pPr>
        <w:spacing w:line="440" w:lineRule="exact"/>
        <w:ind w:firstLine="540" w:firstLineChars="225"/>
        <w:rPr>
          <w:color w:val="auto"/>
          <w:highlight w:val="none"/>
        </w:rPr>
      </w:pPr>
      <w:r>
        <w:rPr>
          <w:rFonts w:hint="eastAsia"/>
          <w:color w:val="auto"/>
          <w:highlight w:val="none"/>
        </w:rPr>
        <w:t>（</w:t>
      </w:r>
      <w:r>
        <w:rPr>
          <w:color w:val="auto"/>
          <w:highlight w:val="none"/>
        </w:rPr>
        <w:t>4</w:t>
      </w:r>
      <w:r>
        <w:rPr>
          <w:rFonts w:hint="eastAsia"/>
          <w:color w:val="auto"/>
          <w:highlight w:val="none"/>
        </w:rPr>
        <w:t>）不同投标人的投标文件异常一致或者投标报价呈规律性差异。</w:t>
      </w:r>
    </w:p>
    <w:p w14:paraId="22D5C900">
      <w:pPr>
        <w:spacing w:line="440" w:lineRule="exact"/>
        <w:ind w:firstLine="540" w:firstLineChars="225"/>
        <w:rPr>
          <w:color w:val="auto"/>
          <w:highlight w:val="none"/>
        </w:rPr>
      </w:pPr>
      <w:r>
        <w:rPr>
          <w:rFonts w:hint="eastAsia"/>
          <w:color w:val="auto"/>
          <w:highlight w:val="none"/>
        </w:rPr>
        <w:t>（</w:t>
      </w:r>
      <w:r>
        <w:rPr>
          <w:color w:val="auto"/>
          <w:highlight w:val="none"/>
        </w:rPr>
        <w:t>5</w:t>
      </w:r>
      <w:r>
        <w:rPr>
          <w:rFonts w:hint="eastAsia"/>
          <w:color w:val="auto"/>
          <w:highlight w:val="none"/>
        </w:rPr>
        <w:t>）不同投标人的投标文件相互混装。</w:t>
      </w:r>
    </w:p>
    <w:p w14:paraId="4481BCA9">
      <w:pPr>
        <w:spacing w:line="440" w:lineRule="exact"/>
        <w:ind w:firstLine="540" w:firstLineChars="225"/>
        <w:rPr>
          <w:color w:val="auto"/>
          <w:highlight w:val="none"/>
        </w:rPr>
      </w:pPr>
      <w:r>
        <w:rPr>
          <w:rFonts w:hint="eastAsia"/>
          <w:color w:val="auto"/>
          <w:highlight w:val="none"/>
        </w:rPr>
        <w:t>（</w:t>
      </w:r>
      <w:r>
        <w:rPr>
          <w:color w:val="auto"/>
          <w:highlight w:val="none"/>
        </w:rPr>
        <w:t>6</w:t>
      </w:r>
      <w:r>
        <w:rPr>
          <w:rFonts w:hint="eastAsia"/>
          <w:color w:val="auto"/>
          <w:highlight w:val="none"/>
        </w:rPr>
        <w:t>）不同投标人的投标保证金从同一单位或者个人的账户转出。</w:t>
      </w:r>
    </w:p>
    <w:p w14:paraId="1DEB48D6">
      <w:pPr>
        <w:pStyle w:val="127"/>
        <w:spacing w:line="360" w:lineRule="auto"/>
        <w:ind w:firstLine="480" w:firstLineChars="200"/>
        <w:rPr>
          <w:rFonts w:hint="eastAsia" w:ascii="宋体" w:hAnsi="宋体" w:eastAsia="宋体"/>
          <w:color w:val="auto"/>
          <w:kern w:val="2"/>
          <w:sz w:val="24"/>
          <w:szCs w:val="22"/>
          <w:highlight w:val="none"/>
        </w:rPr>
      </w:pPr>
      <w:r>
        <w:rPr>
          <w:rFonts w:hint="eastAsia" w:ascii="宋体" w:hAnsi="宋体" w:eastAsia="宋体" w:cs="宋体"/>
          <w:color w:val="auto"/>
          <w:sz w:val="24"/>
          <w:szCs w:val="24"/>
          <w:highlight w:val="none"/>
        </w:rPr>
        <w:t>（7）不同投标人委托同一单位或者个人办理投标事宜，或制作电子投标文件的文件制作</w:t>
      </w:r>
      <w:r>
        <w:rPr>
          <w:rFonts w:hint="eastAsia" w:ascii="宋体" w:hAnsi="宋体" w:eastAsia="宋体"/>
          <w:color w:val="auto"/>
          <w:kern w:val="2"/>
          <w:sz w:val="24"/>
          <w:szCs w:val="22"/>
          <w:highlight w:val="none"/>
        </w:rPr>
        <w:t>机器码（mac地址）一致，或制作电子投标文件的文件创建标识码一致；</w:t>
      </w:r>
    </w:p>
    <w:p w14:paraId="69D36D6E">
      <w:pPr>
        <w:spacing w:line="440" w:lineRule="exact"/>
        <w:ind w:firstLine="480" w:firstLineChars="200"/>
        <w:rPr>
          <w:rFonts w:hint="eastAsia"/>
          <w:color w:val="auto"/>
          <w:kern w:val="2"/>
          <w:szCs w:val="22"/>
          <w:highlight w:val="none"/>
        </w:rPr>
      </w:pPr>
      <w:r>
        <w:rPr>
          <w:rFonts w:hint="eastAsia"/>
          <w:color w:val="auto"/>
          <w:highlight w:val="none"/>
        </w:rPr>
        <w:t>5</w:t>
      </w:r>
      <w:r>
        <w:rPr>
          <w:color w:val="auto"/>
          <w:highlight w:val="none"/>
        </w:rPr>
        <w:t xml:space="preserve">. </w:t>
      </w:r>
      <w:r>
        <w:rPr>
          <w:rFonts w:hint="eastAsia"/>
          <w:color w:val="auto"/>
          <w:highlight w:val="none"/>
        </w:rPr>
        <w:t>有下列情形之一的，其投标作无效处理：</w:t>
      </w:r>
    </w:p>
    <w:p w14:paraId="60E719A9">
      <w:pPr>
        <w:spacing w:line="440" w:lineRule="exact"/>
        <w:ind w:firstLine="566" w:firstLineChars="236"/>
        <w:rPr>
          <w:rFonts w:hint="eastAsia"/>
          <w:color w:val="auto"/>
          <w:highlight w:val="none"/>
        </w:rPr>
      </w:pPr>
      <w:r>
        <w:rPr>
          <w:rFonts w:hint="eastAsia"/>
          <w:color w:val="auto"/>
          <w:highlight w:val="none"/>
        </w:rPr>
        <w:t>（1）投标文件技术规格中的响应与事实不符或虚假投标的；</w:t>
      </w:r>
    </w:p>
    <w:p w14:paraId="1CA5E254">
      <w:pPr>
        <w:spacing w:line="440" w:lineRule="exact"/>
        <w:ind w:firstLine="566" w:firstLineChars="236"/>
        <w:rPr>
          <w:rFonts w:hint="eastAsia"/>
          <w:color w:val="auto"/>
          <w:highlight w:val="none"/>
        </w:rPr>
      </w:pPr>
      <w:r>
        <w:rPr>
          <w:rFonts w:hint="eastAsia"/>
          <w:color w:val="auto"/>
          <w:highlight w:val="none"/>
        </w:rPr>
        <w:t>（2）投标人拒绝修正错误的；</w:t>
      </w:r>
    </w:p>
    <w:p w14:paraId="2B6AE536">
      <w:pPr>
        <w:spacing w:line="440" w:lineRule="exact"/>
        <w:ind w:firstLine="566" w:firstLineChars="236"/>
        <w:rPr>
          <w:rFonts w:hint="eastAsia"/>
          <w:color w:val="auto"/>
          <w:highlight w:val="none"/>
        </w:rPr>
      </w:pPr>
      <w:r>
        <w:rPr>
          <w:rFonts w:hint="eastAsia"/>
          <w:color w:val="auto"/>
          <w:highlight w:val="none"/>
        </w:rPr>
        <w:t>（3）投标人递交的电子投标文件（加密标书及备份标书）均无法满足正常开标、评标使用功能的；</w:t>
      </w:r>
    </w:p>
    <w:p w14:paraId="7713A919">
      <w:pPr>
        <w:spacing w:line="440" w:lineRule="exact"/>
        <w:ind w:firstLine="566" w:firstLineChars="236"/>
        <w:rPr>
          <w:rFonts w:hint="eastAsia"/>
          <w:color w:val="auto"/>
          <w:highlight w:val="none"/>
        </w:rPr>
      </w:pPr>
      <w:r>
        <w:rPr>
          <w:rFonts w:hint="eastAsia"/>
          <w:color w:val="auto"/>
          <w:highlight w:val="none"/>
        </w:rPr>
        <w:t>（4）投标人名称或组织结构与领取采购文件时不一致且无有效变更证明的；</w:t>
      </w:r>
    </w:p>
    <w:p w14:paraId="628D8722">
      <w:pPr>
        <w:spacing w:line="440" w:lineRule="exact"/>
        <w:ind w:firstLine="566" w:firstLineChars="236"/>
        <w:rPr>
          <w:rFonts w:hint="eastAsia"/>
          <w:color w:val="auto"/>
          <w:highlight w:val="none"/>
        </w:rPr>
      </w:pPr>
      <w:r>
        <w:rPr>
          <w:rFonts w:hint="eastAsia"/>
          <w:color w:val="auto"/>
          <w:highlight w:val="none"/>
        </w:rPr>
        <w:t>（5）不符合招标文件中规定的其他实质性要求。</w:t>
      </w:r>
    </w:p>
    <w:p w14:paraId="5D3603A0">
      <w:pPr>
        <w:spacing w:line="440" w:lineRule="exact"/>
        <w:ind w:firstLine="566" w:firstLineChars="236"/>
        <w:rPr>
          <w:rFonts w:hint="eastAsia"/>
          <w:color w:val="auto"/>
          <w:highlight w:val="none"/>
        </w:rPr>
      </w:pPr>
      <w:r>
        <w:rPr>
          <w:rFonts w:hint="eastAsia"/>
          <w:color w:val="auto"/>
          <w:highlight w:val="none"/>
        </w:rPr>
        <w:t>（6）其他违反相关法律法规规定的行为的；</w:t>
      </w:r>
    </w:p>
    <w:p w14:paraId="4DC2CC8F">
      <w:pPr>
        <w:spacing w:line="440" w:lineRule="exact"/>
        <w:ind w:firstLine="566" w:firstLineChars="236"/>
        <w:rPr>
          <w:rFonts w:hint="eastAsia"/>
          <w:color w:val="auto"/>
          <w:highlight w:val="none"/>
        </w:rPr>
      </w:pPr>
      <w:r>
        <w:rPr>
          <w:rFonts w:hint="eastAsia"/>
          <w:color w:val="auto"/>
          <w:highlight w:val="none"/>
        </w:rPr>
        <w:t>（7）评标委员会认为是其他应当否决的投标。</w:t>
      </w:r>
    </w:p>
    <w:p w14:paraId="7BA657E1">
      <w:pPr>
        <w:spacing w:line="440" w:lineRule="exact"/>
        <w:ind w:firstLine="480" w:firstLineChars="200"/>
        <w:rPr>
          <w:color w:val="auto"/>
          <w:highlight w:val="none"/>
        </w:rPr>
      </w:pPr>
      <w:r>
        <w:rPr>
          <w:rFonts w:hint="eastAsia"/>
          <w:color w:val="auto"/>
          <w:highlight w:val="none"/>
        </w:rPr>
        <w:t>6</w:t>
      </w:r>
      <w:r>
        <w:rPr>
          <w:color w:val="auto"/>
          <w:highlight w:val="none"/>
        </w:rPr>
        <w:t xml:space="preserve">. </w:t>
      </w:r>
      <w:r>
        <w:rPr>
          <w:rFonts w:hint="eastAsia"/>
          <w:color w:val="auto"/>
          <w:highlight w:val="none"/>
        </w:rPr>
        <w:t>投标人在本次招标活动中，必须遵守《中华人民共和国政府采购法》及相关法律法规的规定。</w:t>
      </w:r>
    </w:p>
    <w:p w14:paraId="12B64584">
      <w:pPr>
        <w:spacing w:line="440" w:lineRule="exact"/>
        <w:ind w:firstLine="480" w:firstLineChars="200"/>
        <w:rPr>
          <w:rFonts w:hint="eastAsia"/>
          <w:color w:val="auto"/>
          <w:highlight w:val="none"/>
        </w:rPr>
      </w:pPr>
      <w:r>
        <w:rPr>
          <w:rFonts w:hint="eastAsia"/>
          <w:color w:val="auto"/>
          <w:highlight w:val="none"/>
        </w:rPr>
        <w:t>7. 定义下列术语和缩写的定义为：</w:t>
      </w:r>
    </w:p>
    <w:p w14:paraId="191F5A62">
      <w:pPr>
        <w:spacing w:line="440" w:lineRule="exact"/>
        <w:ind w:firstLine="480" w:firstLineChars="200"/>
        <w:rPr>
          <w:rFonts w:hint="eastAsia"/>
          <w:color w:val="auto"/>
          <w:highlight w:val="none"/>
        </w:rPr>
      </w:pPr>
      <w:r>
        <w:rPr>
          <w:rFonts w:hint="eastAsia"/>
          <w:color w:val="auto"/>
          <w:highlight w:val="none"/>
        </w:rPr>
        <w:t>7.1  “</w:t>
      </w:r>
      <w:r>
        <w:rPr>
          <w:rFonts w:hint="eastAsia"/>
          <w:color w:val="auto"/>
          <w:highlight w:val="none"/>
          <w:lang w:eastAsia="zh-CN"/>
        </w:rPr>
        <w:t>招标人</w:t>
      </w:r>
      <w:r>
        <w:rPr>
          <w:rFonts w:hint="eastAsia"/>
          <w:color w:val="auto"/>
          <w:highlight w:val="none"/>
        </w:rPr>
        <w:t>”是指依法进行政府采购的国家机关、事业单位、团体组织。</w:t>
      </w:r>
    </w:p>
    <w:p w14:paraId="31F2173B">
      <w:pPr>
        <w:spacing w:line="440" w:lineRule="exact"/>
        <w:ind w:firstLine="480" w:firstLineChars="200"/>
        <w:rPr>
          <w:rFonts w:hint="eastAsia"/>
          <w:color w:val="auto"/>
          <w:highlight w:val="none"/>
        </w:rPr>
      </w:pPr>
      <w:r>
        <w:rPr>
          <w:rFonts w:hint="eastAsia"/>
          <w:color w:val="auto"/>
          <w:highlight w:val="none"/>
        </w:rPr>
        <w:t>7.2  “招标代理机构”系指</w:t>
      </w:r>
      <w:r>
        <w:rPr>
          <w:rFonts w:hint="eastAsia"/>
          <w:color w:val="auto"/>
          <w:highlight w:val="none"/>
          <w:lang w:eastAsia="zh-CN"/>
        </w:rPr>
        <w:t>新疆弘伟工程项目管理有限公司</w:t>
      </w:r>
      <w:r>
        <w:rPr>
          <w:rFonts w:hint="eastAsia"/>
          <w:color w:val="auto"/>
          <w:highlight w:val="none"/>
        </w:rPr>
        <w:t>。</w:t>
      </w:r>
    </w:p>
    <w:p w14:paraId="4320BEBD">
      <w:pPr>
        <w:spacing w:line="440" w:lineRule="exact"/>
        <w:ind w:firstLine="480" w:firstLineChars="200"/>
        <w:rPr>
          <w:rFonts w:hint="eastAsia"/>
          <w:color w:val="auto"/>
          <w:highlight w:val="none"/>
        </w:rPr>
      </w:pPr>
      <w:r>
        <w:rPr>
          <w:rFonts w:hint="eastAsia"/>
          <w:color w:val="auto"/>
          <w:highlight w:val="none"/>
        </w:rPr>
        <w:t>7.3  “招标方”系指</w:t>
      </w:r>
      <w:r>
        <w:rPr>
          <w:rFonts w:hint="eastAsia"/>
          <w:color w:val="auto"/>
          <w:highlight w:val="none"/>
          <w:lang w:eastAsia="zh-CN"/>
        </w:rPr>
        <w:t>招标人</w:t>
      </w:r>
      <w:r>
        <w:rPr>
          <w:rFonts w:hint="eastAsia"/>
          <w:color w:val="auto"/>
          <w:highlight w:val="none"/>
        </w:rPr>
        <w:t>和招标代理机构的统称。</w:t>
      </w:r>
    </w:p>
    <w:p w14:paraId="5F500914">
      <w:pPr>
        <w:spacing w:line="440" w:lineRule="exact"/>
        <w:ind w:firstLine="480" w:firstLineChars="200"/>
        <w:rPr>
          <w:color w:val="auto"/>
          <w:highlight w:val="none"/>
        </w:rPr>
      </w:pPr>
      <w:r>
        <w:rPr>
          <w:rFonts w:hint="eastAsia"/>
          <w:color w:val="auto"/>
          <w:highlight w:val="none"/>
        </w:rPr>
        <w:t>7.4  “投标人”是响应招标文件并且符合招标文件规定资格条件和参加投标竞争的法人、其他组织或者自然人。</w:t>
      </w:r>
    </w:p>
    <w:p w14:paraId="3FBD988D">
      <w:pPr>
        <w:pStyle w:val="15"/>
        <w:spacing w:line="440" w:lineRule="exact"/>
        <w:ind w:firstLine="480" w:firstLineChars="200"/>
        <w:rPr>
          <w:rFonts w:hAnsi="宋体"/>
          <w:color w:val="auto"/>
          <w:sz w:val="24"/>
          <w:highlight w:val="none"/>
        </w:rPr>
      </w:pPr>
      <w:r>
        <w:rPr>
          <w:rFonts w:hint="eastAsia" w:hAnsi="宋体"/>
          <w:color w:val="auto"/>
          <w:sz w:val="24"/>
          <w:highlight w:val="none"/>
        </w:rPr>
        <w:t>7.</w:t>
      </w:r>
      <w:r>
        <w:rPr>
          <w:rFonts w:hAnsi="宋体"/>
          <w:color w:val="auto"/>
          <w:sz w:val="24"/>
          <w:highlight w:val="none"/>
        </w:rPr>
        <w:t>5</w:t>
      </w:r>
      <w:r>
        <w:rPr>
          <w:rFonts w:hint="eastAsia" w:hAnsi="宋体"/>
          <w:color w:val="auto"/>
          <w:sz w:val="24"/>
          <w:highlight w:val="none"/>
        </w:rPr>
        <w:t>　“</w:t>
      </w:r>
      <w:r>
        <w:rPr>
          <w:rFonts w:hint="eastAsia" w:hAnsi="宋体"/>
          <w:color w:val="auto"/>
          <w:sz w:val="24"/>
          <w:highlight w:val="none"/>
          <w:lang w:eastAsia="zh-CN"/>
        </w:rPr>
        <w:t>投标人</w:t>
      </w:r>
      <w:r>
        <w:rPr>
          <w:rFonts w:hint="eastAsia" w:hAnsi="宋体"/>
          <w:color w:val="auto"/>
          <w:sz w:val="24"/>
          <w:highlight w:val="none"/>
        </w:rPr>
        <w:t>”是指向</w:t>
      </w:r>
      <w:r>
        <w:rPr>
          <w:rFonts w:hint="eastAsia" w:hAnsi="宋体"/>
          <w:color w:val="auto"/>
          <w:sz w:val="24"/>
          <w:highlight w:val="none"/>
          <w:lang w:eastAsia="zh-CN"/>
        </w:rPr>
        <w:t>招标人</w:t>
      </w:r>
      <w:r>
        <w:rPr>
          <w:rFonts w:hint="eastAsia" w:hAnsi="宋体"/>
          <w:color w:val="auto"/>
          <w:sz w:val="24"/>
          <w:highlight w:val="none"/>
        </w:rPr>
        <w:t>提供货物、工程或者服务的法人、其他组织或者自然人。</w:t>
      </w:r>
    </w:p>
    <w:p w14:paraId="489E2726">
      <w:pPr>
        <w:spacing w:line="440" w:lineRule="exact"/>
        <w:ind w:firstLine="480" w:firstLineChars="200"/>
        <w:rPr>
          <w:rFonts w:hint="eastAsia"/>
          <w:color w:val="auto"/>
          <w:highlight w:val="none"/>
        </w:rPr>
      </w:pPr>
      <w:r>
        <w:rPr>
          <w:rFonts w:hint="eastAsia"/>
          <w:color w:val="auto"/>
          <w:highlight w:val="none"/>
        </w:rPr>
        <w:t>7.</w:t>
      </w:r>
      <w:r>
        <w:rPr>
          <w:color w:val="auto"/>
          <w:highlight w:val="none"/>
        </w:rPr>
        <w:t>6</w:t>
      </w:r>
      <w:r>
        <w:rPr>
          <w:rFonts w:hint="eastAsia"/>
          <w:color w:val="auto"/>
          <w:highlight w:val="none"/>
        </w:rPr>
        <w:t xml:space="preserve">  “投标人代表”是指投标人法定代表人，或法定代表人指定的某一代表自己参与和处理与投标项目有关事宜的自然人。</w:t>
      </w:r>
    </w:p>
    <w:p w14:paraId="4DE34D75">
      <w:pPr>
        <w:pStyle w:val="127"/>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rPr>
        <w:t>7.7“投标人公章”在投标文件中指与投标人标准公章一致的投标人电子签章。</w:t>
      </w:r>
    </w:p>
    <w:p w14:paraId="544B691B">
      <w:pPr>
        <w:pStyle w:val="127"/>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rPr>
        <w:t>7.8“电子投标文件</w:t>
      </w:r>
      <w:r>
        <w:rPr>
          <w:rFonts w:ascii="宋体" w:hAnsi="宋体" w:eastAsia="宋体"/>
          <w:color w:val="auto"/>
          <w:kern w:val="2"/>
          <w:sz w:val="24"/>
          <w:szCs w:val="22"/>
          <w:highlight w:val="none"/>
        </w:rPr>
        <w:t>”</w:t>
      </w:r>
      <w:r>
        <w:rPr>
          <w:rFonts w:hint="eastAsia" w:ascii="宋体" w:hAnsi="宋体" w:eastAsia="宋体"/>
          <w:color w:val="auto"/>
          <w:kern w:val="2"/>
          <w:sz w:val="24"/>
          <w:szCs w:val="22"/>
          <w:highlight w:val="none"/>
        </w:rPr>
        <w:t>指利用政采云平台提供的“电子投标文件制作工具</w:t>
      </w:r>
      <w:r>
        <w:rPr>
          <w:rFonts w:ascii="宋体" w:hAnsi="宋体" w:eastAsia="宋体"/>
          <w:color w:val="auto"/>
          <w:kern w:val="2"/>
          <w:sz w:val="24"/>
          <w:szCs w:val="22"/>
          <w:highlight w:val="none"/>
        </w:rPr>
        <w:t>”</w:t>
      </w:r>
      <w:r>
        <w:rPr>
          <w:rFonts w:hint="eastAsia" w:ascii="宋体" w:hAnsi="宋体" w:eastAsia="宋体"/>
          <w:color w:val="auto"/>
          <w:kern w:val="2"/>
          <w:sz w:val="24"/>
          <w:szCs w:val="22"/>
          <w:highlight w:val="none"/>
        </w:rPr>
        <w:t>编制的投标文件加密标书及与加密标书同时生成的备份标书。</w:t>
      </w:r>
    </w:p>
    <w:p w14:paraId="2E5B6251">
      <w:pPr>
        <w:spacing w:line="440" w:lineRule="exact"/>
        <w:ind w:firstLine="480" w:firstLineChars="200"/>
        <w:rPr>
          <w:rFonts w:hint="eastAsia"/>
          <w:color w:val="auto"/>
          <w:highlight w:val="none"/>
        </w:rPr>
      </w:pPr>
      <w:r>
        <w:rPr>
          <w:rFonts w:hint="eastAsia"/>
          <w:color w:val="auto"/>
          <w:highlight w:val="none"/>
        </w:rPr>
        <w:t>7.9 “中标人”系指经评标委员会评定后由评标委员会推荐并由</w:t>
      </w:r>
      <w:r>
        <w:rPr>
          <w:rFonts w:hint="eastAsia"/>
          <w:color w:val="auto"/>
          <w:highlight w:val="none"/>
          <w:lang w:eastAsia="zh-CN"/>
        </w:rPr>
        <w:t>招标人</w:t>
      </w:r>
      <w:r>
        <w:rPr>
          <w:rFonts w:hint="eastAsia"/>
          <w:color w:val="auto"/>
          <w:highlight w:val="none"/>
        </w:rPr>
        <w:t>确定的投标人。</w:t>
      </w:r>
    </w:p>
    <w:p w14:paraId="359A2061">
      <w:pPr>
        <w:spacing w:line="440" w:lineRule="exact"/>
        <w:ind w:firstLine="480" w:firstLineChars="200"/>
        <w:rPr>
          <w:rFonts w:hint="eastAsia"/>
          <w:color w:val="auto"/>
          <w:highlight w:val="none"/>
        </w:rPr>
      </w:pPr>
      <w:r>
        <w:rPr>
          <w:rFonts w:hint="eastAsia"/>
          <w:color w:val="auto"/>
          <w:highlight w:val="none"/>
        </w:rPr>
        <w:t>7.10  “</w:t>
      </w:r>
      <w:r>
        <w:rPr>
          <w:rFonts w:hint="eastAsia"/>
          <w:color w:val="auto"/>
          <w:highlight w:val="none"/>
          <w:lang w:eastAsia="zh-CN"/>
        </w:rPr>
        <w:t>服务</w:t>
      </w:r>
      <w:r>
        <w:rPr>
          <w:rFonts w:hint="eastAsia"/>
          <w:color w:val="auto"/>
          <w:highlight w:val="none"/>
        </w:rPr>
        <w:t>”指本招标文件中第四部分《采购需求》及《政府采购品目分类目录》(财库[2013]189号)所述所有相关服务。</w:t>
      </w:r>
    </w:p>
    <w:p w14:paraId="0B1DDC6D">
      <w:pPr>
        <w:spacing w:line="440" w:lineRule="exact"/>
        <w:ind w:firstLine="480" w:firstLineChars="200"/>
        <w:rPr>
          <w:rFonts w:hint="eastAsia"/>
          <w:color w:val="auto"/>
          <w:highlight w:val="none"/>
        </w:rPr>
      </w:pPr>
      <w:r>
        <w:rPr>
          <w:rFonts w:hint="eastAsia"/>
          <w:color w:val="auto"/>
          <w:highlight w:val="none"/>
        </w:rPr>
        <w:t>7.11 采购信息安全产品的，应当采购经国家认证的信息安全产品；供应货物中的相关产品，</w:t>
      </w:r>
      <w:r>
        <w:rPr>
          <w:rFonts w:hint="eastAsia"/>
          <w:color w:val="auto"/>
          <w:highlight w:val="none"/>
          <w:lang w:eastAsia="zh-CN"/>
        </w:rPr>
        <w:t>投标人</w:t>
      </w:r>
      <w:r>
        <w:rPr>
          <w:rFonts w:hint="eastAsia"/>
          <w:color w:val="auto"/>
          <w:highlight w:val="none"/>
        </w:rPr>
        <w:t>应提供由中国信息安全认证中心按国家标准认证颁发的有效认证证书。</w:t>
      </w:r>
    </w:p>
    <w:p w14:paraId="0003CC88">
      <w:pPr>
        <w:spacing w:line="440" w:lineRule="exact"/>
        <w:ind w:firstLine="480" w:firstLineChars="200"/>
        <w:rPr>
          <w:rFonts w:hint="eastAsia"/>
          <w:color w:val="auto"/>
          <w:highlight w:val="none"/>
        </w:rPr>
      </w:pPr>
      <w:r>
        <w:rPr>
          <w:rFonts w:hint="eastAsia"/>
          <w:color w:val="auto"/>
          <w:highlight w:val="none"/>
        </w:rPr>
        <w:t>7.</w:t>
      </w:r>
      <w:r>
        <w:rPr>
          <w:color w:val="auto"/>
          <w:highlight w:val="none"/>
        </w:rPr>
        <w:t>1</w:t>
      </w:r>
      <w:r>
        <w:rPr>
          <w:rFonts w:hint="eastAsia"/>
          <w:color w:val="auto"/>
          <w:highlight w:val="none"/>
        </w:rPr>
        <w:t>2 “节能产品”或者“环保产品”是指财政部发布的《节能产品政府采购品目清单》内并获得认证的产品及《环境标志产品政府采购品目清单》内并获得认证的产品。</w:t>
      </w:r>
    </w:p>
    <w:p w14:paraId="08423010">
      <w:pPr>
        <w:spacing w:line="440" w:lineRule="exact"/>
        <w:ind w:firstLine="480" w:firstLineChars="200"/>
        <w:rPr>
          <w:rFonts w:hint="eastAsia"/>
          <w:color w:val="auto"/>
          <w:highlight w:val="none"/>
        </w:rPr>
      </w:pPr>
      <w:r>
        <w:rPr>
          <w:rFonts w:hint="eastAsia"/>
          <w:color w:val="auto"/>
          <w:highlight w:val="none"/>
        </w:rPr>
        <w:t>7.</w:t>
      </w:r>
      <w:r>
        <w:rPr>
          <w:color w:val="auto"/>
          <w:highlight w:val="none"/>
        </w:rPr>
        <w:t>1</w:t>
      </w:r>
      <w:r>
        <w:rPr>
          <w:rFonts w:hint="eastAsia"/>
          <w:color w:val="auto"/>
          <w:highlight w:val="none"/>
        </w:rPr>
        <w:t>3 “进口产品”是指通过中国海关报关验放进入中国境内且产自关境外的产品，详见《关于政府采购进口产品管理有关问题的通知》(财库[2007]119号)。</w:t>
      </w:r>
    </w:p>
    <w:p w14:paraId="1B793C1E">
      <w:pPr>
        <w:spacing w:line="440" w:lineRule="exact"/>
        <w:ind w:firstLine="480" w:firstLineChars="200"/>
        <w:rPr>
          <w:rFonts w:hint="eastAsia"/>
          <w:color w:val="auto"/>
          <w:highlight w:val="none"/>
        </w:rPr>
      </w:pPr>
      <w:r>
        <w:rPr>
          <w:rFonts w:hint="eastAsia"/>
          <w:color w:val="auto"/>
          <w:highlight w:val="none"/>
        </w:rPr>
        <w:t>7.14  “服务”系指招标文件中规定投标人须承担的质保、技术协助、培训及其他类似的责任。</w:t>
      </w:r>
    </w:p>
    <w:p w14:paraId="64B10954">
      <w:pPr>
        <w:spacing w:line="440" w:lineRule="exact"/>
        <w:ind w:firstLine="480" w:firstLineChars="200"/>
        <w:rPr>
          <w:rFonts w:hint="eastAsia"/>
          <w:color w:val="auto"/>
          <w:highlight w:val="none"/>
        </w:rPr>
      </w:pPr>
      <w:r>
        <w:rPr>
          <w:rFonts w:hint="eastAsia"/>
          <w:color w:val="auto"/>
          <w:highlight w:val="none"/>
        </w:rPr>
        <w:t>7.15 “响应”系指投标人根据招标代理机构发布的招标文件，编制投标文件并按规定投标的行为。</w:t>
      </w:r>
    </w:p>
    <w:p w14:paraId="2BC4CEF2">
      <w:pPr>
        <w:spacing w:line="440" w:lineRule="exact"/>
        <w:ind w:firstLine="480" w:firstLineChars="200"/>
        <w:rPr>
          <w:rFonts w:hint="eastAsia"/>
          <w:color w:val="auto"/>
          <w:highlight w:val="none"/>
        </w:rPr>
      </w:pPr>
      <w:r>
        <w:rPr>
          <w:rFonts w:hint="eastAsia"/>
          <w:color w:val="auto"/>
          <w:highlight w:val="none"/>
        </w:rPr>
        <w:t>7.16  “标段/标项（包）”系指一个完整独立的投标项目。</w:t>
      </w:r>
    </w:p>
    <w:p w14:paraId="46585DAF">
      <w:pPr>
        <w:spacing w:line="440" w:lineRule="exact"/>
        <w:ind w:firstLine="482" w:firstLineChars="200"/>
        <w:rPr>
          <w:b/>
          <w:color w:val="auto"/>
          <w:highlight w:val="none"/>
        </w:rPr>
      </w:pPr>
      <w:r>
        <w:rPr>
          <w:rFonts w:hint="eastAsia"/>
          <w:b/>
          <w:color w:val="auto"/>
          <w:highlight w:val="none"/>
        </w:rPr>
        <w:t>8.</w:t>
      </w:r>
      <w:r>
        <w:rPr>
          <w:b/>
          <w:color w:val="auto"/>
          <w:highlight w:val="none"/>
        </w:rPr>
        <w:t xml:space="preserve"> </w:t>
      </w:r>
      <w:r>
        <w:rPr>
          <w:rFonts w:hint="eastAsia"/>
          <w:b/>
          <w:color w:val="auto"/>
          <w:highlight w:val="none"/>
        </w:rPr>
        <w:t>投标费用</w:t>
      </w:r>
    </w:p>
    <w:p w14:paraId="48569268">
      <w:pPr>
        <w:spacing w:line="440" w:lineRule="exact"/>
        <w:ind w:firstLine="482"/>
        <w:rPr>
          <w:color w:val="auto"/>
          <w:highlight w:val="none"/>
        </w:rPr>
      </w:pPr>
      <w:r>
        <w:rPr>
          <w:rFonts w:hint="eastAsia"/>
          <w:color w:val="auto"/>
          <w:highlight w:val="none"/>
        </w:rPr>
        <w:t>8.</w:t>
      </w:r>
      <w:r>
        <w:rPr>
          <w:color w:val="auto"/>
          <w:highlight w:val="none"/>
        </w:rPr>
        <w:t xml:space="preserve">1  </w:t>
      </w:r>
      <w:r>
        <w:rPr>
          <w:rFonts w:hint="eastAsia"/>
          <w:color w:val="auto"/>
          <w:highlight w:val="none"/>
        </w:rPr>
        <w:t>无论投标结果如何，凡参与招标、投标活动有关的所有费用将由投标人自行承担。</w:t>
      </w:r>
    </w:p>
    <w:p w14:paraId="5B079A21">
      <w:pPr>
        <w:tabs>
          <w:tab w:val="left" w:pos="1185"/>
        </w:tabs>
        <w:spacing w:line="440" w:lineRule="exact"/>
        <w:ind w:firstLine="480" w:firstLineChars="200"/>
        <w:rPr>
          <w:color w:val="auto"/>
          <w:highlight w:val="none"/>
        </w:rPr>
      </w:pPr>
      <w:r>
        <w:rPr>
          <w:rFonts w:hint="eastAsia"/>
          <w:color w:val="auto"/>
          <w:highlight w:val="none"/>
        </w:rPr>
        <w:t>8.</w:t>
      </w:r>
      <w:r>
        <w:rPr>
          <w:color w:val="auto"/>
          <w:highlight w:val="none"/>
        </w:rPr>
        <w:t xml:space="preserve">2  </w:t>
      </w:r>
      <w:r>
        <w:rPr>
          <w:rFonts w:hint="eastAsia"/>
          <w:color w:val="auto"/>
          <w:highlight w:val="none"/>
        </w:rPr>
        <w:t>投标人被视为熟悉本招标项目的各种情况以及与履行合同有关的一切情况。</w:t>
      </w:r>
    </w:p>
    <w:p w14:paraId="713CC646">
      <w:pPr>
        <w:tabs>
          <w:tab w:val="left" w:pos="1185"/>
        </w:tabs>
        <w:spacing w:line="440" w:lineRule="exact"/>
        <w:ind w:firstLine="480" w:firstLineChars="200"/>
        <w:rPr>
          <w:color w:val="auto"/>
          <w:highlight w:val="none"/>
        </w:rPr>
      </w:pPr>
    </w:p>
    <w:p w14:paraId="07AC100D">
      <w:pPr>
        <w:rPr>
          <w:rFonts w:hint="eastAsia" w:ascii="宋体" w:hAnsi="宋体"/>
          <w:b/>
          <w:color w:val="auto"/>
          <w:kern w:val="2"/>
          <w:sz w:val="32"/>
          <w:szCs w:val="32"/>
          <w:highlight w:val="none"/>
        </w:rPr>
      </w:pPr>
      <w:bookmarkStart w:id="10" w:name="_Toc20907"/>
      <w:r>
        <w:rPr>
          <w:rFonts w:hint="eastAsia" w:ascii="宋体" w:hAnsi="宋体"/>
          <w:b/>
          <w:color w:val="auto"/>
          <w:kern w:val="2"/>
          <w:sz w:val="32"/>
          <w:szCs w:val="32"/>
          <w:highlight w:val="none"/>
        </w:rPr>
        <w:br w:type="page"/>
      </w:r>
    </w:p>
    <w:p w14:paraId="795056CB">
      <w:pPr>
        <w:pStyle w:val="85"/>
        <w:spacing w:line="440" w:lineRule="exact"/>
        <w:jc w:val="center"/>
        <w:outlineLvl w:val="1"/>
        <w:rPr>
          <w:rFonts w:ascii="宋体" w:hAnsi="宋体"/>
          <w:b/>
          <w:color w:val="auto"/>
          <w:kern w:val="2"/>
          <w:sz w:val="32"/>
          <w:szCs w:val="32"/>
          <w:highlight w:val="none"/>
        </w:rPr>
      </w:pPr>
      <w:r>
        <w:rPr>
          <w:rFonts w:hint="eastAsia" w:ascii="宋体" w:hAnsi="宋体"/>
          <w:b/>
          <w:color w:val="auto"/>
          <w:kern w:val="2"/>
          <w:sz w:val="32"/>
          <w:szCs w:val="32"/>
          <w:highlight w:val="none"/>
        </w:rPr>
        <w:t>第二章招标文件</w:t>
      </w:r>
      <w:bookmarkEnd w:id="10"/>
    </w:p>
    <w:p w14:paraId="74547FAE">
      <w:pPr>
        <w:spacing w:line="440" w:lineRule="exact"/>
        <w:ind w:firstLine="482" w:firstLineChars="200"/>
        <w:rPr>
          <w:b/>
          <w:color w:val="auto"/>
          <w:highlight w:val="none"/>
        </w:rPr>
      </w:pPr>
      <w:r>
        <w:rPr>
          <w:rFonts w:hint="eastAsia"/>
          <w:b/>
          <w:color w:val="auto"/>
          <w:highlight w:val="none"/>
        </w:rPr>
        <w:t>9.</w:t>
      </w:r>
      <w:r>
        <w:rPr>
          <w:b/>
          <w:color w:val="auto"/>
          <w:highlight w:val="none"/>
        </w:rPr>
        <w:t xml:space="preserve"> </w:t>
      </w:r>
      <w:r>
        <w:rPr>
          <w:rFonts w:hint="eastAsia"/>
          <w:b/>
          <w:color w:val="auto"/>
          <w:highlight w:val="none"/>
        </w:rPr>
        <w:t>招标文件说明</w:t>
      </w:r>
    </w:p>
    <w:p w14:paraId="6F94F739">
      <w:pPr>
        <w:tabs>
          <w:tab w:val="left" w:pos="1185"/>
        </w:tabs>
        <w:spacing w:line="440" w:lineRule="exact"/>
        <w:ind w:firstLine="480" w:firstLineChars="200"/>
        <w:rPr>
          <w:color w:val="auto"/>
          <w:highlight w:val="none"/>
        </w:rPr>
      </w:pPr>
      <w:r>
        <w:rPr>
          <w:rFonts w:hint="eastAsia"/>
          <w:color w:val="auto"/>
          <w:highlight w:val="none"/>
        </w:rPr>
        <w:t>9.</w:t>
      </w:r>
      <w:r>
        <w:rPr>
          <w:color w:val="auto"/>
          <w:highlight w:val="none"/>
        </w:rPr>
        <w:t xml:space="preserve">1  </w:t>
      </w:r>
      <w:r>
        <w:rPr>
          <w:rFonts w:hint="eastAsia"/>
          <w:color w:val="auto"/>
          <w:highlight w:val="none"/>
        </w:rPr>
        <w:t>招标文件组成如下：</w:t>
      </w:r>
    </w:p>
    <w:p w14:paraId="1371CFDA">
      <w:pPr>
        <w:tabs>
          <w:tab w:val="left" w:pos="1185"/>
        </w:tabs>
        <w:spacing w:line="440" w:lineRule="exact"/>
        <w:ind w:firstLine="480" w:firstLineChars="200"/>
        <w:rPr>
          <w:b/>
          <w:color w:val="auto"/>
          <w:highlight w:val="none"/>
        </w:rPr>
      </w:pPr>
      <w:r>
        <w:rPr>
          <w:color w:val="auto"/>
          <w:highlight w:val="none"/>
        </w:rPr>
        <w:t xml:space="preserve">  </w:t>
      </w:r>
      <w:r>
        <w:rPr>
          <w:rFonts w:hint="eastAsia"/>
          <w:color w:val="auto"/>
          <w:highlight w:val="none"/>
        </w:rPr>
        <w:t>投标邀请</w:t>
      </w:r>
    </w:p>
    <w:p w14:paraId="78E0ACD6">
      <w:pPr>
        <w:spacing w:line="440" w:lineRule="exact"/>
        <w:ind w:firstLine="720" w:firstLineChars="300"/>
        <w:rPr>
          <w:color w:val="auto"/>
          <w:highlight w:val="none"/>
        </w:rPr>
      </w:pPr>
      <w:r>
        <w:rPr>
          <w:rFonts w:hint="eastAsia"/>
          <w:color w:val="auto"/>
          <w:highlight w:val="none"/>
        </w:rPr>
        <w:t>第一部分投标须知</w:t>
      </w:r>
    </w:p>
    <w:p w14:paraId="6B909102">
      <w:pPr>
        <w:spacing w:line="440" w:lineRule="exact"/>
        <w:ind w:firstLine="720" w:firstLineChars="300"/>
        <w:rPr>
          <w:color w:val="auto"/>
          <w:highlight w:val="none"/>
        </w:rPr>
      </w:pPr>
      <w:r>
        <w:rPr>
          <w:rFonts w:hint="eastAsia"/>
          <w:color w:val="auto"/>
          <w:highlight w:val="none"/>
        </w:rPr>
        <w:t>第二部分招标说明</w:t>
      </w:r>
    </w:p>
    <w:p w14:paraId="7471E8A6">
      <w:pPr>
        <w:spacing w:line="440" w:lineRule="exact"/>
        <w:ind w:firstLine="720" w:firstLineChars="300"/>
        <w:rPr>
          <w:color w:val="auto"/>
          <w:highlight w:val="none"/>
        </w:rPr>
      </w:pPr>
      <w:r>
        <w:rPr>
          <w:rFonts w:hint="eastAsia"/>
          <w:color w:val="auto"/>
          <w:highlight w:val="none"/>
        </w:rPr>
        <w:t>第三部分投标说明</w:t>
      </w:r>
    </w:p>
    <w:p w14:paraId="5B8455C8">
      <w:pPr>
        <w:spacing w:line="440" w:lineRule="exact"/>
        <w:ind w:firstLine="720" w:firstLineChars="300"/>
        <w:rPr>
          <w:color w:val="auto"/>
          <w:highlight w:val="none"/>
        </w:rPr>
      </w:pPr>
      <w:r>
        <w:rPr>
          <w:rFonts w:hint="eastAsia"/>
          <w:color w:val="auto"/>
          <w:highlight w:val="none"/>
        </w:rPr>
        <w:t>第四部分采购需求</w:t>
      </w:r>
    </w:p>
    <w:p w14:paraId="4D53230A">
      <w:pPr>
        <w:spacing w:line="440" w:lineRule="exact"/>
        <w:ind w:firstLine="720" w:firstLineChars="300"/>
        <w:rPr>
          <w:color w:val="auto"/>
          <w:highlight w:val="none"/>
        </w:rPr>
      </w:pPr>
      <w:r>
        <w:rPr>
          <w:rFonts w:hint="eastAsia"/>
          <w:color w:val="auto"/>
          <w:highlight w:val="none"/>
        </w:rPr>
        <w:t>第五部分合同部分</w:t>
      </w:r>
    </w:p>
    <w:p w14:paraId="487837B7">
      <w:pPr>
        <w:spacing w:line="440" w:lineRule="exact"/>
        <w:ind w:firstLine="720" w:firstLineChars="300"/>
        <w:rPr>
          <w:color w:val="auto"/>
          <w:highlight w:val="none"/>
        </w:rPr>
      </w:pPr>
      <w:r>
        <w:rPr>
          <w:rFonts w:hint="eastAsia"/>
          <w:color w:val="auto"/>
          <w:highlight w:val="none"/>
        </w:rPr>
        <w:t>第六部分投标文件格式（范本格式）</w:t>
      </w:r>
    </w:p>
    <w:p w14:paraId="7B0B785E">
      <w:pPr>
        <w:tabs>
          <w:tab w:val="left" w:pos="1185"/>
        </w:tabs>
        <w:spacing w:line="440" w:lineRule="exact"/>
        <w:ind w:firstLine="480" w:firstLineChars="200"/>
        <w:rPr>
          <w:color w:val="auto"/>
          <w:highlight w:val="none"/>
        </w:rPr>
      </w:pPr>
      <w:r>
        <w:rPr>
          <w:rFonts w:hint="eastAsia"/>
          <w:color w:val="auto"/>
          <w:highlight w:val="none"/>
        </w:rPr>
        <w:t>9.</w:t>
      </w:r>
      <w:r>
        <w:rPr>
          <w:color w:val="auto"/>
          <w:highlight w:val="none"/>
        </w:rPr>
        <w:t xml:space="preserve">2  </w:t>
      </w:r>
      <w:r>
        <w:rPr>
          <w:rFonts w:hint="eastAsia"/>
          <w:color w:val="auto"/>
          <w:highlight w:val="none"/>
        </w:rPr>
        <w:t>投标人应详细阅读招标文件的全部内容。如果投标人未按照招标文件要求提交全部资料或者投标文件没有对招标文件在各方面的要求做出实质性响应，将导致其投标被拒绝。</w:t>
      </w:r>
    </w:p>
    <w:p w14:paraId="33CCEC01">
      <w:pPr>
        <w:spacing w:line="440" w:lineRule="exact"/>
        <w:ind w:left="547" w:leftChars="228"/>
        <w:rPr>
          <w:rFonts w:hint="eastAsia"/>
          <w:color w:val="auto"/>
          <w:highlight w:val="none"/>
        </w:rPr>
      </w:pPr>
      <w:r>
        <w:rPr>
          <w:rFonts w:hint="eastAsia"/>
          <w:b/>
          <w:color w:val="auto"/>
          <w:highlight w:val="none"/>
        </w:rPr>
        <w:t>10. 招标文件的修改或补充</w:t>
      </w:r>
      <w:r>
        <w:rPr>
          <w:rFonts w:hint="eastAsia"/>
          <w:color w:val="auto"/>
          <w:highlight w:val="none"/>
        </w:rPr>
        <w:br w:type="textWrapping"/>
      </w:r>
      <w:r>
        <w:rPr>
          <w:rFonts w:hint="eastAsia"/>
          <w:color w:val="auto"/>
          <w:highlight w:val="none"/>
        </w:rPr>
        <w:t>10.1　澄清或者修改的内容可能影响投标文件编制的，在投标截止期十五日前的任何时间，招标方可主动或依据投标人要求澄清的问题而修改或补充招标文件，并以书面形式或网上公告通知所有投标人。</w:t>
      </w:r>
      <w:r>
        <w:rPr>
          <w:rFonts w:hint="eastAsia"/>
          <w:color w:val="auto"/>
          <w:kern w:val="2"/>
          <w:szCs w:val="22"/>
          <w:highlight w:val="none"/>
          <w:lang w:eastAsia="zh-CN"/>
        </w:rPr>
        <w:t>招标代理机构</w:t>
      </w:r>
      <w:r>
        <w:rPr>
          <w:rFonts w:hint="eastAsia"/>
          <w:color w:val="auto"/>
          <w:kern w:val="2"/>
          <w:szCs w:val="22"/>
          <w:highlight w:val="none"/>
        </w:rPr>
        <w:t>对招标文件作出的澄清、修改在政采云平台内发布公告，请投标人及时关注并获取相关资料。因登记有误、线路故障或其它任何意外情形，导致投标人未及时获取的，</w:t>
      </w:r>
      <w:r>
        <w:rPr>
          <w:rFonts w:hint="eastAsia"/>
          <w:color w:val="auto"/>
          <w:kern w:val="2"/>
          <w:szCs w:val="22"/>
          <w:highlight w:val="none"/>
          <w:lang w:eastAsia="zh-CN"/>
        </w:rPr>
        <w:t>招标代理机构</w:t>
      </w:r>
      <w:r>
        <w:rPr>
          <w:rFonts w:hint="eastAsia"/>
          <w:color w:val="auto"/>
          <w:kern w:val="2"/>
          <w:szCs w:val="22"/>
          <w:highlight w:val="none"/>
        </w:rPr>
        <w:t>不因此承担任何责任，且有关的招标活动继续有效地进行。当招标文件的澄清、修改及进行其他答复等就同一内容的表述不一致时，以最后发布的内容为准。</w:t>
      </w:r>
      <w:r>
        <w:rPr>
          <w:rFonts w:hint="eastAsia"/>
          <w:color w:val="auto"/>
          <w:highlight w:val="none"/>
        </w:rPr>
        <w:br w:type="textWrapping"/>
      </w:r>
      <w:r>
        <w:rPr>
          <w:rFonts w:hint="eastAsia"/>
          <w:color w:val="auto"/>
          <w:highlight w:val="none"/>
        </w:rPr>
        <w:t>10.2　为使投标人在准备投标时有适当的时间考虑投标文件的修改，招标方有权决定推迟投标截止时间和开标时间，并将此变更通知所有的投标人。</w:t>
      </w:r>
      <w:r>
        <w:rPr>
          <w:rFonts w:hint="eastAsia"/>
          <w:color w:val="auto"/>
          <w:highlight w:val="none"/>
        </w:rPr>
        <w:br w:type="textWrapping"/>
      </w:r>
      <w:r>
        <w:rPr>
          <w:rFonts w:hint="eastAsia"/>
          <w:color w:val="auto"/>
          <w:highlight w:val="none"/>
        </w:rPr>
        <w:t>10.3　招标文件的修改和补充文件将构成招标文件的一部分，并且对投标人具有优先约束力。</w:t>
      </w:r>
    </w:p>
    <w:p w14:paraId="76102798">
      <w:pPr>
        <w:spacing w:line="440" w:lineRule="exact"/>
        <w:ind w:firstLine="482" w:firstLineChars="200"/>
        <w:rPr>
          <w:rFonts w:hint="eastAsia"/>
          <w:b/>
          <w:color w:val="auto"/>
          <w:highlight w:val="none"/>
        </w:rPr>
      </w:pPr>
      <w:r>
        <w:rPr>
          <w:rFonts w:hint="eastAsia"/>
          <w:b/>
          <w:color w:val="auto"/>
          <w:highlight w:val="none"/>
        </w:rPr>
        <w:t>11.质疑须知</w:t>
      </w:r>
    </w:p>
    <w:p w14:paraId="32DD2E30">
      <w:pPr>
        <w:spacing w:line="440" w:lineRule="exact"/>
        <w:ind w:firstLine="480" w:firstLineChars="200"/>
        <w:rPr>
          <w:b/>
          <w:color w:val="auto"/>
          <w:sz w:val="36"/>
          <w:highlight w:val="none"/>
        </w:rPr>
      </w:pPr>
      <w:r>
        <w:rPr>
          <w:rFonts w:hint="eastAsia"/>
          <w:color w:val="auto"/>
          <w:highlight w:val="none"/>
        </w:rPr>
        <w:t>投标人如需提出质疑的，应在法定质疑期内一次性提出针对同一采购程序环节的质疑。</w:t>
      </w:r>
    </w:p>
    <w:p w14:paraId="0D057CA9">
      <w:pPr>
        <w:pStyle w:val="85"/>
        <w:spacing w:line="440" w:lineRule="exact"/>
        <w:jc w:val="center"/>
        <w:outlineLvl w:val="0"/>
        <w:rPr>
          <w:rFonts w:ascii="宋体" w:hAnsi="宋体"/>
          <w:b/>
          <w:color w:val="auto"/>
          <w:kern w:val="2"/>
          <w:sz w:val="36"/>
          <w:szCs w:val="20"/>
          <w:highlight w:val="none"/>
        </w:rPr>
      </w:pPr>
      <w:r>
        <w:rPr>
          <w:rFonts w:ascii="宋体" w:hAnsi="宋体"/>
          <w:b/>
          <w:color w:val="auto"/>
          <w:kern w:val="2"/>
          <w:sz w:val="36"/>
          <w:szCs w:val="20"/>
          <w:highlight w:val="none"/>
        </w:rPr>
        <w:br w:type="page"/>
      </w:r>
      <w:bookmarkStart w:id="11" w:name="_Toc29169"/>
      <w:r>
        <w:rPr>
          <w:rFonts w:hint="eastAsia" w:ascii="宋体" w:hAnsi="宋体"/>
          <w:b/>
          <w:color w:val="auto"/>
          <w:kern w:val="2"/>
          <w:sz w:val="36"/>
          <w:szCs w:val="20"/>
          <w:highlight w:val="none"/>
        </w:rPr>
        <w:t>第三部分投标说明</w:t>
      </w:r>
      <w:bookmarkEnd w:id="11"/>
    </w:p>
    <w:p w14:paraId="0D3CE48A">
      <w:pPr>
        <w:spacing w:line="440" w:lineRule="exact"/>
        <w:ind w:firstLine="2891" w:firstLineChars="900"/>
        <w:outlineLvl w:val="1"/>
        <w:rPr>
          <w:b/>
          <w:color w:val="auto"/>
          <w:sz w:val="32"/>
          <w:highlight w:val="none"/>
        </w:rPr>
      </w:pPr>
      <w:bookmarkStart w:id="12" w:name="_Toc8858"/>
      <w:r>
        <w:rPr>
          <w:rFonts w:hint="eastAsia"/>
          <w:b/>
          <w:color w:val="auto"/>
          <w:sz w:val="32"/>
          <w:highlight w:val="none"/>
        </w:rPr>
        <w:t>第一章 投标人的资格证明</w:t>
      </w:r>
      <w:bookmarkEnd w:id="12"/>
    </w:p>
    <w:p w14:paraId="4C681F78">
      <w:pPr>
        <w:spacing w:line="440" w:lineRule="exact"/>
        <w:ind w:firstLine="482" w:firstLineChars="200"/>
        <w:rPr>
          <w:b/>
          <w:color w:val="auto"/>
          <w:highlight w:val="none"/>
        </w:rPr>
      </w:pPr>
      <w:r>
        <w:rPr>
          <w:b/>
          <w:color w:val="auto"/>
          <w:highlight w:val="none"/>
        </w:rPr>
        <w:t>1</w:t>
      </w:r>
      <w:r>
        <w:rPr>
          <w:rFonts w:hint="eastAsia"/>
          <w:b/>
          <w:color w:val="auto"/>
          <w:highlight w:val="none"/>
        </w:rPr>
        <w:t>.</w:t>
      </w:r>
      <w:r>
        <w:rPr>
          <w:rFonts w:hint="eastAsia"/>
          <w:color w:val="auto"/>
          <w:highlight w:val="none"/>
        </w:rPr>
        <w:t xml:space="preserve"> </w:t>
      </w:r>
      <w:r>
        <w:rPr>
          <w:rFonts w:hint="eastAsia"/>
          <w:b/>
          <w:color w:val="auto"/>
          <w:highlight w:val="none"/>
        </w:rPr>
        <w:t>投标人的资格证明</w:t>
      </w:r>
    </w:p>
    <w:p w14:paraId="1F10C930">
      <w:pPr>
        <w:spacing w:line="440" w:lineRule="exact"/>
        <w:ind w:firstLine="480" w:firstLineChars="200"/>
        <w:rPr>
          <w:color w:val="auto"/>
          <w:highlight w:val="none"/>
        </w:rPr>
      </w:pPr>
      <w:r>
        <w:rPr>
          <w:color w:val="auto"/>
          <w:highlight w:val="none"/>
        </w:rPr>
        <w:t>1.1</w:t>
      </w:r>
      <w:r>
        <w:rPr>
          <w:rFonts w:hint="eastAsia"/>
          <w:color w:val="auto"/>
          <w:highlight w:val="none"/>
        </w:rPr>
        <w:t>投标人的资格条件见投标人须知前附表。</w:t>
      </w:r>
    </w:p>
    <w:p w14:paraId="1C8D3799">
      <w:pPr>
        <w:spacing w:line="440" w:lineRule="exact"/>
        <w:ind w:firstLine="480" w:firstLineChars="200"/>
        <w:rPr>
          <w:rFonts w:hint="eastAsia"/>
          <w:color w:val="auto"/>
          <w:highlight w:val="none"/>
        </w:rPr>
      </w:pPr>
      <w:r>
        <w:rPr>
          <w:rFonts w:hint="eastAsia"/>
          <w:color w:val="auto"/>
          <w:highlight w:val="none"/>
        </w:rPr>
        <w:t>1.2投标人</w:t>
      </w:r>
      <w:r>
        <w:rPr>
          <w:rFonts w:hint="eastAsia"/>
          <w:bCs/>
          <w:color w:val="auto"/>
          <w:highlight w:val="none"/>
        </w:rPr>
        <w:t>投标文件</w:t>
      </w:r>
      <w:r>
        <w:rPr>
          <w:rFonts w:hint="eastAsia"/>
          <w:color w:val="auto"/>
          <w:highlight w:val="none"/>
        </w:rPr>
        <w:t xml:space="preserve">中必须按招标文件要求提供资格证明文件，作为投标文件的一部分。 </w:t>
      </w:r>
    </w:p>
    <w:p w14:paraId="4D6795B1">
      <w:pPr>
        <w:spacing w:line="440" w:lineRule="exact"/>
        <w:ind w:firstLine="480" w:firstLineChars="200"/>
        <w:rPr>
          <w:b/>
          <w:color w:val="auto"/>
          <w:highlight w:val="none"/>
          <w:u w:val="single"/>
        </w:rPr>
      </w:pPr>
      <w:r>
        <w:rPr>
          <w:bCs/>
          <w:color w:val="auto"/>
          <w:highlight w:val="none"/>
        </w:rPr>
        <w:t>1.</w:t>
      </w:r>
      <w:r>
        <w:rPr>
          <w:rFonts w:hint="eastAsia"/>
          <w:bCs/>
          <w:color w:val="auto"/>
          <w:highlight w:val="none"/>
        </w:rPr>
        <w:t>3</w:t>
      </w:r>
      <w:r>
        <w:rPr>
          <w:bCs/>
          <w:color w:val="auto"/>
          <w:highlight w:val="none"/>
        </w:rPr>
        <w:t xml:space="preserve">  </w:t>
      </w:r>
      <w:r>
        <w:rPr>
          <w:rFonts w:hint="eastAsia"/>
          <w:b/>
          <w:color w:val="auto"/>
          <w:highlight w:val="none"/>
        </w:rPr>
        <w:t>所有资格证明文件的复印件（扫描件）须加盖公章。</w:t>
      </w:r>
    </w:p>
    <w:p w14:paraId="18F8FEA3">
      <w:pPr>
        <w:spacing w:line="440" w:lineRule="exact"/>
        <w:ind w:firstLine="480" w:firstLineChars="200"/>
        <w:rPr>
          <w:rFonts w:hint="eastAsia"/>
          <w:bCs/>
          <w:color w:val="auto"/>
          <w:highlight w:val="none"/>
        </w:rPr>
      </w:pPr>
      <w:r>
        <w:rPr>
          <w:bCs/>
          <w:color w:val="auto"/>
          <w:highlight w:val="none"/>
        </w:rPr>
        <w:t>1.</w:t>
      </w:r>
      <w:r>
        <w:rPr>
          <w:rFonts w:hint="eastAsia"/>
          <w:bCs/>
          <w:color w:val="auto"/>
          <w:highlight w:val="none"/>
        </w:rPr>
        <w:t>4　所有资格证明文件必须满足招标文件的要求，否则将导致投标无效。</w:t>
      </w:r>
    </w:p>
    <w:p w14:paraId="3209875F">
      <w:pPr>
        <w:spacing w:line="440" w:lineRule="exact"/>
        <w:ind w:firstLine="360" w:firstLineChars="150"/>
        <w:rPr>
          <w:rFonts w:hint="eastAsia"/>
          <w:bCs/>
          <w:color w:val="auto"/>
          <w:highlight w:val="none"/>
        </w:rPr>
      </w:pPr>
    </w:p>
    <w:p w14:paraId="4DF15187">
      <w:pPr>
        <w:rPr>
          <w:rFonts w:hint="eastAsia"/>
          <w:b/>
          <w:color w:val="auto"/>
          <w:sz w:val="32"/>
          <w:szCs w:val="32"/>
          <w:highlight w:val="none"/>
        </w:rPr>
      </w:pPr>
      <w:bookmarkStart w:id="13" w:name="_Toc3426"/>
      <w:r>
        <w:rPr>
          <w:rFonts w:hint="eastAsia"/>
          <w:b/>
          <w:color w:val="auto"/>
          <w:sz w:val="32"/>
          <w:szCs w:val="32"/>
          <w:highlight w:val="none"/>
        </w:rPr>
        <w:br w:type="page"/>
      </w:r>
    </w:p>
    <w:p w14:paraId="744A258F">
      <w:pPr>
        <w:spacing w:line="440" w:lineRule="exact"/>
        <w:ind w:firstLine="3213" w:firstLineChars="1000"/>
        <w:outlineLvl w:val="1"/>
        <w:rPr>
          <w:b/>
          <w:color w:val="auto"/>
          <w:sz w:val="32"/>
          <w:szCs w:val="32"/>
          <w:highlight w:val="none"/>
        </w:rPr>
      </w:pPr>
      <w:r>
        <w:rPr>
          <w:rFonts w:hint="eastAsia"/>
          <w:b/>
          <w:color w:val="auto"/>
          <w:sz w:val="32"/>
          <w:szCs w:val="32"/>
          <w:highlight w:val="none"/>
        </w:rPr>
        <w:t>第二章 投标文件的编写</w:t>
      </w:r>
      <w:bookmarkEnd w:id="13"/>
    </w:p>
    <w:p w14:paraId="4EB81610">
      <w:pPr>
        <w:spacing w:line="440" w:lineRule="exact"/>
        <w:ind w:firstLine="480" w:firstLineChars="200"/>
        <w:rPr>
          <w:color w:val="auto"/>
          <w:highlight w:val="none"/>
        </w:rPr>
      </w:pPr>
      <w:r>
        <w:rPr>
          <w:color w:val="auto"/>
          <w:highlight w:val="none"/>
        </w:rPr>
        <w:t xml:space="preserve">2.1  </w:t>
      </w:r>
      <w:r>
        <w:rPr>
          <w:rFonts w:hint="eastAsia"/>
          <w:color w:val="auto"/>
          <w:highlight w:val="none"/>
        </w:rPr>
        <w:t>投标人应详细阅读招标文件中的条款、规范、表示、条件和格式等所有内容，按招标文件的要求份数提供投标文件，并保证所提供全部材料的真实性，使其投标对招标文件做出实质性响应。否则，其投标视为无效。</w:t>
      </w:r>
    </w:p>
    <w:p w14:paraId="2A7B143A">
      <w:pPr>
        <w:spacing w:line="440" w:lineRule="exact"/>
        <w:ind w:firstLine="480" w:firstLineChars="200"/>
        <w:rPr>
          <w:color w:val="auto"/>
          <w:highlight w:val="none"/>
        </w:rPr>
      </w:pPr>
      <w:r>
        <w:rPr>
          <w:color w:val="auto"/>
          <w:highlight w:val="none"/>
        </w:rPr>
        <w:t xml:space="preserve">2.2  </w:t>
      </w:r>
      <w:r>
        <w:rPr>
          <w:rFonts w:hint="eastAsia"/>
          <w:color w:val="auto"/>
          <w:highlight w:val="none"/>
        </w:rPr>
        <w:t>允许投标人对本招标文件中的所有标项投标，也可根据本企业生产或代理产品的情况对部标项进行投标，但不允许投标人对某一标项中的一项或部分项进行投标。招标人可选择一家投标单位为所有标项的中标人，也可选择若干个投标单位分别中标。</w:t>
      </w:r>
    </w:p>
    <w:p w14:paraId="54F0A0F5">
      <w:pPr>
        <w:spacing w:line="440" w:lineRule="exact"/>
        <w:ind w:firstLine="482" w:firstLineChars="200"/>
        <w:rPr>
          <w:b/>
          <w:color w:val="auto"/>
          <w:highlight w:val="none"/>
        </w:rPr>
      </w:pPr>
      <w:r>
        <w:rPr>
          <w:b/>
          <w:color w:val="auto"/>
          <w:highlight w:val="none"/>
        </w:rPr>
        <w:t xml:space="preserve">3. </w:t>
      </w:r>
      <w:r>
        <w:rPr>
          <w:rFonts w:hint="eastAsia"/>
          <w:b/>
          <w:color w:val="auto"/>
          <w:highlight w:val="none"/>
        </w:rPr>
        <w:t>投标文件语言和度量单位</w:t>
      </w:r>
    </w:p>
    <w:p w14:paraId="14964814">
      <w:pPr>
        <w:spacing w:line="440" w:lineRule="exact"/>
        <w:ind w:firstLine="480" w:firstLineChars="200"/>
        <w:rPr>
          <w:color w:val="auto"/>
          <w:highlight w:val="none"/>
        </w:rPr>
      </w:pPr>
      <w:r>
        <w:rPr>
          <w:color w:val="auto"/>
          <w:highlight w:val="none"/>
        </w:rPr>
        <w:t xml:space="preserve">3.1  </w:t>
      </w:r>
      <w:r>
        <w:rPr>
          <w:rFonts w:hint="eastAsia"/>
          <w:color w:val="auto"/>
          <w:highlight w:val="none"/>
        </w:rPr>
        <w:t>投标文件及投标人和招标方就招标、投标交换的文件和往来信件，须以中文书写。</w:t>
      </w:r>
    </w:p>
    <w:p w14:paraId="74CD67A1">
      <w:pPr>
        <w:spacing w:line="440" w:lineRule="exact"/>
        <w:ind w:firstLine="480" w:firstLineChars="200"/>
        <w:rPr>
          <w:color w:val="auto"/>
          <w:highlight w:val="none"/>
        </w:rPr>
      </w:pPr>
      <w:r>
        <w:rPr>
          <w:color w:val="auto"/>
          <w:highlight w:val="none"/>
        </w:rPr>
        <w:t xml:space="preserve">3.2  </w:t>
      </w:r>
      <w:r>
        <w:rPr>
          <w:rFonts w:hint="eastAsia"/>
          <w:color w:val="auto"/>
          <w:highlight w:val="none"/>
        </w:rPr>
        <w:t>除在招标文件的技术规格中另有规定外，计量单位应使用中华人民共和国法定计量单位。</w:t>
      </w:r>
    </w:p>
    <w:p w14:paraId="67A3E6EF">
      <w:pPr>
        <w:spacing w:line="440" w:lineRule="exact"/>
        <w:ind w:firstLine="482" w:firstLineChars="200"/>
        <w:rPr>
          <w:b/>
          <w:color w:val="auto"/>
          <w:highlight w:val="none"/>
        </w:rPr>
      </w:pPr>
      <w:r>
        <w:rPr>
          <w:b/>
          <w:color w:val="auto"/>
          <w:highlight w:val="none"/>
        </w:rPr>
        <w:t xml:space="preserve">4. </w:t>
      </w:r>
      <w:r>
        <w:rPr>
          <w:rFonts w:hint="eastAsia"/>
          <w:b/>
          <w:color w:val="auto"/>
          <w:highlight w:val="none"/>
        </w:rPr>
        <w:t>投标文件的组成及编制</w:t>
      </w:r>
    </w:p>
    <w:p w14:paraId="6C47AE4B">
      <w:pPr>
        <w:spacing w:line="440" w:lineRule="exact"/>
        <w:ind w:firstLine="480" w:firstLineChars="200"/>
        <w:rPr>
          <w:color w:val="auto"/>
          <w:highlight w:val="none"/>
        </w:rPr>
      </w:pPr>
      <w:r>
        <w:rPr>
          <w:color w:val="auto"/>
          <w:highlight w:val="none"/>
        </w:rPr>
        <w:t>4.1</w:t>
      </w:r>
      <w:r>
        <w:rPr>
          <w:rFonts w:hint="eastAsia"/>
          <w:color w:val="auto"/>
          <w:highlight w:val="none"/>
        </w:rPr>
        <w:t>　投标人编写的投标文件应包括但不限于下列内容：</w:t>
      </w:r>
    </w:p>
    <w:p w14:paraId="431452FD">
      <w:pPr>
        <w:spacing w:line="440" w:lineRule="exact"/>
        <w:ind w:firstLine="480" w:firstLineChars="200"/>
        <w:rPr>
          <w:color w:val="auto"/>
          <w:highlight w:val="none"/>
        </w:rPr>
      </w:pPr>
      <w:r>
        <w:rPr>
          <w:rFonts w:hint="eastAsia"/>
          <w:color w:val="auto"/>
          <w:highlight w:val="none"/>
        </w:rPr>
        <w:t>4.1.1　报价要求响应文件：</w:t>
      </w:r>
    </w:p>
    <w:p w14:paraId="718DC012">
      <w:pPr>
        <w:spacing w:line="440" w:lineRule="exact"/>
        <w:ind w:firstLine="480" w:firstLineChars="200"/>
        <w:rPr>
          <w:color w:val="auto"/>
          <w:highlight w:val="none"/>
        </w:rPr>
      </w:pPr>
      <w:r>
        <w:rPr>
          <w:rFonts w:hint="eastAsia"/>
          <w:color w:val="auto"/>
          <w:highlight w:val="none"/>
        </w:rPr>
        <w:t>★(1)开标一览表</w:t>
      </w:r>
    </w:p>
    <w:p w14:paraId="0A4B6EBD">
      <w:pPr>
        <w:spacing w:line="440" w:lineRule="exact"/>
        <w:ind w:firstLine="480" w:firstLineChars="200"/>
        <w:rPr>
          <w:color w:val="auto"/>
          <w:highlight w:val="none"/>
        </w:rPr>
      </w:pPr>
      <w:r>
        <w:rPr>
          <w:rFonts w:hint="eastAsia"/>
          <w:color w:val="auto"/>
          <w:highlight w:val="none"/>
        </w:rPr>
        <w:t>(2)分项价格表</w:t>
      </w:r>
    </w:p>
    <w:p w14:paraId="0977D09B">
      <w:pPr>
        <w:spacing w:line="440" w:lineRule="exact"/>
        <w:ind w:firstLine="480" w:firstLineChars="200"/>
        <w:rPr>
          <w:color w:val="auto"/>
          <w:highlight w:val="none"/>
        </w:rPr>
      </w:pPr>
      <w:r>
        <w:rPr>
          <w:rFonts w:hint="eastAsia"/>
          <w:color w:val="auto"/>
          <w:highlight w:val="none"/>
        </w:rPr>
        <w:t>4.1.</w:t>
      </w:r>
      <w:r>
        <w:rPr>
          <w:color w:val="auto"/>
          <w:highlight w:val="none"/>
        </w:rPr>
        <w:t>2</w:t>
      </w:r>
      <w:r>
        <w:rPr>
          <w:rFonts w:hint="eastAsia"/>
          <w:color w:val="auto"/>
          <w:highlight w:val="none"/>
        </w:rPr>
        <w:t>　资格响应文件：</w:t>
      </w:r>
    </w:p>
    <w:p w14:paraId="16F69865">
      <w:pPr>
        <w:spacing w:line="440" w:lineRule="exact"/>
        <w:ind w:firstLine="480" w:firstLineChars="200"/>
        <w:rPr>
          <w:color w:val="auto"/>
          <w:highlight w:val="none"/>
        </w:rPr>
      </w:pPr>
      <w:r>
        <w:rPr>
          <w:rFonts w:hint="eastAsia"/>
          <w:color w:val="auto"/>
          <w:highlight w:val="none"/>
        </w:rPr>
        <w:t>★(1)</w:t>
      </w:r>
      <w:r>
        <w:rPr>
          <w:rFonts w:hint="eastAsia"/>
          <w:color w:val="auto"/>
          <w:highlight w:val="none"/>
          <w:lang w:eastAsia="zh-CN"/>
        </w:rPr>
        <w:t>投标人</w:t>
      </w:r>
      <w:r>
        <w:rPr>
          <w:rFonts w:hint="eastAsia"/>
          <w:color w:val="auto"/>
          <w:highlight w:val="none"/>
        </w:rPr>
        <w:t>符合投标人资格条件的证明文件</w:t>
      </w:r>
    </w:p>
    <w:p w14:paraId="29FA3542">
      <w:pPr>
        <w:spacing w:line="440" w:lineRule="exact"/>
        <w:ind w:firstLine="480" w:firstLineChars="200"/>
        <w:rPr>
          <w:color w:val="auto"/>
          <w:highlight w:val="none"/>
        </w:rPr>
      </w:pPr>
      <w:r>
        <w:rPr>
          <w:rFonts w:hint="eastAsia"/>
          <w:color w:val="auto"/>
          <w:highlight w:val="none"/>
        </w:rPr>
        <w:t>4.1.3　商务技术响应文件：</w:t>
      </w:r>
    </w:p>
    <w:p w14:paraId="31BF5602">
      <w:pPr>
        <w:spacing w:line="440" w:lineRule="exact"/>
        <w:ind w:firstLine="480" w:firstLineChars="200"/>
        <w:rPr>
          <w:color w:val="auto"/>
          <w:highlight w:val="none"/>
        </w:rPr>
      </w:pPr>
      <w:r>
        <w:rPr>
          <w:rFonts w:hint="eastAsia"/>
          <w:color w:val="auto"/>
          <w:highlight w:val="none"/>
        </w:rPr>
        <w:t>★(1)投标函(含法定代表人身份证明或授权委托书)</w:t>
      </w:r>
    </w:p>
    <w:p w14:paraId="5BD58BF5">
      <w:pPr>
        <w:spacing w:line="440" w:lineRule="exact"/>
        <w:ind w:firstLine="480" w:firstLineChars="200"/>
        <w:rPr>
          <w:color w:val="auto"/>
          <w:highlight w:val="none"/>
        </w:rPr>
      </w:pPr>
      <w:r>
        <w:rPr>
          <w:rFonts w:hint="eastAsia"/>
          <w:color w:val="auto"/>
          <w:highlight w:val="none"/>
        </w:rPr>
        <w:t>(2)商务条款偏离表</w:t>
      </w:r>
    </w:p>
    <w:p w14:paraId="02A8BB0E">
      <w:pPr>
        <w:spacing w:line="440" w:lineRule="exact"/>
        <w:ind w:firstLine="480" w:firstLineChars="200"/>
        <w:rPr>
          <w:color w:val="auto"/>
          <w:highlight w:val="none"/>
        </w:rPr>
      </w:pPr>
      <w:r>
        <w:rPr>
          <w:rFonts w:hint="eastAsia"/>
          <w:color w:val="auto"/>
          <w:highlight w:val="none"/>
        </w:rPr>
        <w:t>(3)符合政府采购政策的证明材料</w:t>
      </w:r>
    </w:p>
    <w:p w14:paraId="7E512744">
      <w:pPr>
        <w:spacing w:line="440" w:lineRule="exact"/>
        <w:ind w:firstLine="480" w:firstLineChars="200"/>
        <w:rPr>
          <w:color w:val="auto"/>
          <w:highlight w:val="none"/>
        </w:rPr>
      </w:pPr>
      <w:r>
        <w:rPr>
          <w:rFonts w:hint="eastAsia"/>
          <w:color w:val="auto"/>
          <w:highlight w:val="none"/>
        </w:rPr>
        <w:t>(4)投标人须知前附表要求投标人提交的其他资料</w:t>
      </w:r>
    </w:p>
    <w:p w14:paraId="474600FD">
      <w:pPr>
        <w:spacing w:line="440" w:lineRule="exact"/>
        <w:ind w:firstLine="480" w:firstLineChars="200"/>
        <w:rPr>
          <w:color w:val="auto"/>
          <w:highlight w:val="none"/>
        </w:rPr>
      </w:pPr>
      <w:r>
        <w:rPr>
          <w:rFonts w:hint="eastAsia"/>
          <w:color w:val="auto"/>
          <w:highlight w:val="none"/>
        </w:rPr>
        <w:t>(5)实施方案、技术方案或服务方案</w:t>
      </w:r>
    </w:p>
    <w:p w14:paraId="03559FCF">
      <w:pPr>
        <w:spacing w:line="440" w:lineRule="exact"/>
        <w:ind w:firstLine="480" w:firstLineChars="200"/>
        <w:rPr>
          <w:color w:val="auto"/>
          <w:highlight w:val="none"/>
        </w:rPr>
      </w:pPr>
      <w:r>
        <w:rPr>
          <w:rFonts w:hint="eastAsia"/>
          <w:color w:val="auto"/>
          <w:highlight w:val="none"/>
        </w:rPr>
        <w:t>(6)技术条款偏离表</w:t>
      </w:r>
    </w:p>
    <w:p w14:paraId="64F313A7">
      <w:pPr>
        <w:spacing w:line="440" w:lineRule="exact"/>
        <w:ind w:firstLine="480" w:firstLineChars="200"/>
        <w:rPr>
          <w:color w:val="auto"/>
          <w:highlight w:val="none"/>
        </w:rPr>
      </w:pPr>
      <w:r>
        <w:rPr>
          <w:rFonts w:hint="eastAsia"/>
          <w:color w:val="auto"/>
          <w:highlight w:val="none"/>
        </w:rPr>
        <w:t>(7)投标人售后服务承诺</w:t>
      </w:r>
    </w:p>
    <w:p w14:paraId="3DDDBFFB">
      <w:pPr>
        <w:spacing w:line="440" w:lineRule="exact"/>
        <w:ind w:firstLine="480" w:firstLineChars="200"/>
        <w:rPr>
          <w:color w:val="auto"/>
          <w:highlight w:val="none"/>
        </w:rPr>
      </w:pPr>
      <w:r>
        <w:rPr>
          <w:rFonts w:hint="eastAsia"/>
          <w:color w:val="auto"/>
          <w:highlight w:val="none"/>
        </w:rPr>
        <w:t>(8)用于本项目人员简历表</w:t>
      </w:r>
    </w:p>
    <w:p w14:paraId="757D5179">
      <w:pPr>
        <w:spacing w:line="440" w:lineRule="exact"/>
        <w:ind w:firstLine="480" w:firstLineChars="200"/>
        <w:rPr>
          <w:color w:val="auto"/>
          <w:highlight w:val="none"/>
        </w:rPr>
      </w:pPr>
      <w:r>
        <w:rPr>
          <w:rFonts w:hint="eastAsia"/>
          <w:color w:val="auto"/>
          <w:highlight w:val="none"/>
        </w:rPr>
        <w:t>(9)投标符合招标文件规定的其他证明材料</w:t>
      </w:r>
    </w:p>
    <w:p w14:paraId="21EC93E3">
      <w:pPr>
        <w:spacing w:line="440" w:lineRule="exact"/>
        <w:ind w:firstLine="480" w:firstLineChars="200"/>
        <w:rPr>
          <w:color w:val="auto"/>
          <w:highlight w:val="none"/>
        </w:rPr>
      </w:pPr>
      <w:r>
        <w:rPr>
          <w:rFonts w:hint="eastAsia"/>
          <w:color w:val="auto"/>
          <w:highlight w:val="none"/>
        </w:rPr>
        <w:t>(10)</w:t>
      </w:r>
      <w:r>
        <w:rPr>
          <w:rFonts w:hint="eastAsia"/>
          <w:color w:val="auto"/>
          <w:highlight w:val="none"/>
          <w:lang w:eastAsia="zh-CN"/>
        </w:rPr>
        <w:t>投标人</w:t>
      </w:r>
      <w:r>
        <w:rPr>
          <w:rFonts w:hint="eastAsia"/>
          <w:color w:val="auto"/>
          <w:highlight w:val="none"/>
        </w:rPr>
        <w:t>认为需提供的其他资料</w:t>
      </w:r>
    </w:p>
    <w:p w14:paraId="1AE06A0B">
      <w:pPr>
        <w:spacing w:line="440" w:lineRule="exact"/>
        <w:ind w:firstLine="480" w:firstLineChars="200"/>
        <w:rPr>
          <w:rFonts w:hint="eastAsia"/>
          <w:color w:val="auto"/>
          <w:highlight w:val="none"/>
        </w:rPr>
      </w:pPr>
      <w:r>
        <w:rPr>
          <w:rFonts w:hint="eastAsia"/>
          <w:color w:val="auto"/>
          <w:highlight w:val="none"/>
        </w:rPr>
        <w:t>4.2　电子投标文件的编制</w:t>
      </w:r>
    </w:p>
    <w:p w14:paraId="53081065">
      <w:pPr>
        <w:spacing w:line="440" w:lineRule="exact"/>
        <w:ind w:firstLine="480" w:firstLineChars="200"/>
        <w:rPr>
          <w:rFonts w:hint="eastAsia"/>
          <w:color w:val="auto"/>
          <w:highlight w:val="none"/>
        </w:rPr>
      </w:pPr>
      <w:r>
        <w:rPr>
          <w:rFonts w:hint="eastAsia"/>
          <w:color w:val="auto"/>
          <w:highlight w:val="none"/>
        </w:rPr>
        <w:t>4.2.1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2AE29217">
      <w:pPr>
        <w:spacing w:line="440" w:lineRule="exact"/>
        <w:ind w:firstLine="480" w:firstLineChars="200"/>
        <w:rPr>
          <w:rFonts w:hint="eastAsia"/>
          <w:color w:val="auto"/>
          <w:highlight w:val="none"/>
        </w:rPr>
      </w:pPr>
      <w:r>
        <w:rPr>
          <w:rFonts w:hint="eastAsia"/>
          <w:color w:val="auto"/>
          <w:highlight w:val="none"/>
        </w:rPr>
        <w:t>4.2.2电子投标文件须使用投标人公章的电子签章</w:t>
      </w:r>
      <w:r>
        <w:rPr>
          <w:rFonts w:hint="eastAsia"/>
          <w:color w:val="auto"/>
          <w:highlight w:val="none"/>
          <w:lang w:eastAsia="zh-CN"/>
        </w:rPr>
        <w:t>。</w:t>
      </w:r>
      <w:r>
        <w:rPr>
          <w:rFonts w:hint="eastAsia"/>
          <w:color w:val="auto"/>
          <w:highlight w:val="none"/>
        </w:rPr>
        <w:t>若无电子签章，则视为无效投标</w:t>
      </w:r>
      <w:r>
        <w:rPr>
          <w:rFonts w:hint="eastAsia"/>
          <w:color w:val="auto"/>
          <w:highlight w:val="none"/>
          <w:lang w:eastAsia="zh-CN"/>
        </w:rPr>
        <w:t>。</w:t>
      </w:r>
      <w:r>
        <w:rPr>
          <w:rFonts w:hint="eastAsia"/>
          <w:color w:val="auto"/>
          <w:highlight w:val="none"/>
        </w:rPr>
        <w:t>电子投标文件须使用法定代表人的电子签章</w:t>
      </w:r>
      <w:r>
        <w:rPr>
          <w:rFonts w:hint="eastAsia"/>
          <w:color w:val="auto"/>
          <w:highlight w:val="none"/>
          <w:lang w:val="en-US" w:eastAsia="zh-CN"/>
        </w:rPr>
        <w:t>或签字</w:t>
      </w:r>
      <w:r>
        <w:rPr>
          <w:rFonts w:hint="eastAsia"/>
          <w:color w:val="auto"/>
          <w:highlight w:val="none"/>
        </w:rPr>
        <w:t>。若无电子签章</w:t>
      </w:r>
      <w:r>
        <w:rPr>
          <w:rFonts w:hint="eastAsia"/>
          <w:color w:val="auto"/>
          <w:highlight w:val="none"/>
          <w:lang w:val="en-US" w:eastAsia="zh-CN"/>
        </w:rPr>
        <w:t>或签字</w:t>
      </w:r>
      <w:r>
        <w:rPr>
          <w:rFonts w:hint="eastAsia"/>
          <w:color w:val="auto"/>
          <w:highlight w:val="none"/>
        </w:rPr>
        <w:t>，则视为无效投标。</w:t>
      </w:r>
    </w:p>
    <w:p w14:paraId="31ED1D98">
      <w:pPr>
        <w:spacing w:line="440" w:lineRule="exact"/>
        <w:ind w:firstLine="480" w:firstLineChars="200"/>
        <w:rPr>
          <w:rFonts w:hint="eastAsia"/>
          <w:color w:val="auto"/>
          <w:highlight w:val="none"/>
        </w:rPr>
      </w:pPr>
      <w:r>
        <w:rPr>
          <w:rFonts w:hint="eastAsia"/>
          <w:color w:val="auto"/>
          <w:highlight w:val="none"/>
        </w:rPr>
        <w:t>4.2.3电子投标文件须</w:t>
      </w:r>
      <w:r>
        <w:rPr>
          <w:color w:val="auto"/>
          <w:highlight w:val="none"/>
        </w:rPr>
        <w:t>按招标文件要求制作报价响应文件、资格响应文件、商务技术响应文件，并制作在政采云平台投标文件相应模块。若投标人文件制作与相应模块不对应的，产生的后果由投标人自行承担。</w:t>
      </w:r>
    </w:p>
    <w:p w14:paraId="5D27A8F5">
      <w:pPr>
        <w:spacing w:line="440" w:lineRule="exact"/>
        <w:ind w:firstLine="480" w:firstLineChars="200"/>
        <w:rPr>
          <w:rFonts w:hint="eastAsia"/>
          <w:color w:val="auto"/>
          <w:highlight w:val="none"/>
        </w:rPr>
      </w:pPr>
      <w:r>
        <w:rPr>
          <w:rFonts w:hint="eastAsia"/>
          <w:color w:val="auto"/>
          <w:highlight w:val="none"/>
        </w:rPr>
        <w:t>4.2.4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127D163F">
      <w:pPr>
        <w:spacing w:line="440" w:lineRule="exact"/>
        <w:ind w:firstLine="480" w:firstLineChars="200"/>
        <w:rPr>
          <w:rFonts w:hint="eastAsia"/>
          <w:color w:val="auto"/>
          <w:highlight w:val="none"/>
        </w:rPr>
      </w:pPr>
      <w:r>
        <w:rPr>
          <w:rFonts w:hint="eastAsia"/>
          <w:color w:val="auto"/>
          <w:highlight w:val="none"/>
        </w:rPr>
        <w:t>4.2.5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568A59A">
      <w:pPr>
        <w:spacing w:line="440" w:lineRule="exact"/>
        <w:ind w:firstLine="480" w:firstLineChars="200"/>
        <w:rPr>
          <w:color w:val="auto"/>
          <w:highlight w:val="none"/>
        </w:rPr>
      </w:pPr>
      <w:r>
        <w:rPr>
          <w:rFonts w:hint="eastAsia"/>
          <w:color w:val="auto"/>
          <w:highlight w:val="none"/>
        </w:rPr>
        <w:t>★4.3　投标人须知前附表规定</w:t>
      </w:r>
      <w:r>
        <w:rPr>
          <w:rFonts w:hint="eastAsia"/>
          <w:color w:val="auto"/>
          <w:highlight w:val="none"/>
          <w:lang w:eastAsia="zh-CN"/>
        </w:rPr>
        <w:t>投标人</w:t>
      </w:r>
      <w:r>
        <w:rPr>
          <w:rFonts w:hint="eastAsia"/>
          <w:color w:val="auto"/>
          <w:highlight w:val="none"/>
        </w:rPr>
        <w:t>在投标时提供样品的，</w:t>
      </w:r>
      <w:r>
        <w:rPr>
          <w:rFonts w:hint="eastAsia"/>
          <w:color w:val="auto"/>
          <w:highlight w:val="none"/>
          <w:lang w:eastAsia="zh-CN"/>
        </w:rPr>
        <w:t>投标人</w:t>
      </w:r>
      <w:r>
        <w:rPr>
          <w:rFonts w:hint="eastAsia"/>
          <w:color w:val="auto"/>
          <w:highlight w:val="none"/>
        </w:rPr>
        <w:t>有以下情形之一的，在投标时将其样品视为无效样品。</w:t>
      </w:r>
    </w:p>
    <w:p w14:paraId="41B78C9A">
      <w:pPr>
        <w:spacing w:line="440" w:lineRule="exact"/>
        <w:ind w:firstLine="480" w:firstLineChars="200"/>
        <w:rPr>
          <w:rFonts w:hint="eastAsia"/>
          <w:color w:val="auto"/>
          <w:highlight w:val="none"/>
        </w:rPr>
      </w:pPr>
      <w:r>
        <w:rPr>
          <w:rFonts w:hint="eastAsia"/>
          <w:color w:val="auto"/>
          <w:highlight w:val="none"/>
        </w:rPr>
        <w:t>(1)未在投标人须知前附表规定的提交时间、地点提交的；</w:t>
      </w:r>
    </w:p>
    <w:p w14:paraId="736C03CE">
      <w:pPr>
        <w:spacing w:line="440" w:lineRule="exact"/>
        <w:ind w:firstLine="480" w:firstLineChars="200"/>
        <w:rPr>
          <w:color w:val="auto"/>
          <w:highlight w:val="none"/>
        </w:rPr>
      </w:pPr>
      <w:r>
        <w:rPr>
          <w:rFonts w:hint="eastAsia"/>
          <w:color w:val="auto"/>
          <w:highlight w:val="none"/>
        </w:rPr>
        <w:t>(2)</w:t>
      </w:r>
      <w:r>
        <w:rPr>
          <w:rFonts w:hint="eastAsia"/>
          <w:color w:val="auto"/>
          <w:highlight w:val="none"/>
          <w:lang w:eastAsia="zh-CN"/>
        </w:rPr>
        <w:t>投标人</w:t>
      </w:r>
      <w:r>
        <w:rPr>
          <w:rFonts w:hint="eastAsia"/>
          <w:color w:val="auto"/>
          <w:highlight w:val="none"/>
        </w:rPr>
        <w:t>提供的样品与投标文件中型号、规格不一致的。</w:t>
      </w:r>
    </w:p>
    <w:p w14:paraId="6C8B38B7">
      <w:pPr>
        <w:spacing w:line="440" w:lineRule="exact"/>
        <w:ind w:firstLine="480" w:firstLineChars="200"/>
        <w:rPr>
          <w:color w:val="auto"/>
          <w:highlight w:val="none"/>
        </w:rPr>
      </w:pPr>
      <w:r>
        <w:rPr>
          <w:rFonts w:hint="eastAsia"/>
          <w:color w:val="auto"/>
          <w:highlight w:val="none"/>
        </w:rPr>
        <w:t>4.4　在投标过程中，投标人根据评标委员会书面形式要求提供的澄清文件是投标文件的有效组成部分。</w:t>
      </w:r>
    </w:p>
    <w:p w14:paraId="61D27C7D">
      <w:pPr>
        <w:spacing w:line="440" w:lineRule="exact"/>
        <w:ind w:firstLine="480" w:firstLineChars="200"/>
        <w:rPr>
          <w:color w:val="auto"/>
          <w:highlight w:val="none"/>
        </w:rPr>
      </w:pPr>
      <w:r>
        <w:rPr>
          <w:rFonts w:hint="eastAsia"/>
          <w:color w:val="auto"/>
          <w:highlight w:val="none"/>
        </w:rPr>
        <w:t>4.5　</w:t>
      </w:r>
      <w:r>
        <w:rPr>
          <w:rFonts w:hint="eastAsia"/>
          <w:color w:val="auto"/>
          <w:highlight w:val="none"/>
          <w:lang w:eastAsia="zh-CN"/>
        </w:rPr>
        <w:t>投标人</w:t>
      </w:r>
      <w:r>
        <w:rPr>
          <w:rFonts w:hint="eastAsia"/>
          <w:color w:val="auto"/>
          <w:highlight w:val="none"/>
        </w:rPr>
        <w:t>无论中标与否，其投标文件不予退还。</w:t>
      </w:r>
    </w:p>
    <w:p w14:paraId="4D13AD8D">
      <w:pPr>
        <w:spacing w:line="440" w:lineRule="exact"/>
        <w:ind w:firstLine="482" w:firstLineChars="200"/>
        <w:rPr>
          <w:b/>
          <w:color w:val="auto"/>
          <w:highlight w:val="none"/>
        </w:rPr>
      </w:pPr>
      <w:r>
        <w:rPr>
          <w:b/>
          <w:color w:val="auto"/>
          <w:highlight w:val="none"/>
        </w:rPr>
        <w:t xml:space="preserve">5. </w:t>
      </w:r>
      <w:r>
        <w:rPr>
          <w:rFonts w:hint="eastAsia"/>
          <w:b/>
          <w:color w:val="auto"/>
          <w:highlight w:val="none"/>
        </w:rPr>
        <w:t>投标文件格式</w:t>
      </w:r>
    </w:p>
    <w:p w14:paraId="6607853F">
      <w:pPr>
        <w:spacing w:line="440" w:lineRule="exact"/>
        <w:ind w:firstLine="480" w:firstLineChars="200"/>
        <w:rPr>
          <w:rFonts w:hint="eastAsia"/>
          <w:bCs/>
          <w:color w:val="auto"/>
          <w:highlight w:val="none"/>
        </w:rPr>
      </w:pPr>
      <w:r>
        <w:rPr>
          <w:rFonts w:hint="eastAsia"/>
          <w:bCs/>
          <w:color w:val="auto"/>
          <w:highlight w:val="none"/>
        </w:rPr>
        <w:t>见投标须知前附表。</w:t>
      </w:r>
    </w:p>
    <w:p w14:paraId="52FA3486">
      <w:pPr>
        <w:spacing w:line="440" w:lineRule="exact"/>
        <w:ind w:firstLine="482" w:firstLineChars="200"/>
        <w:rPr>
          <w:b/>
          <w:color w:val="auto"/>
          <w:highlight w:val="none"/>
        </w:rPr>
      </w:pPr>
      <w:r>
        <w:rPr>
          <w:b/>
          <w:color w:val="auto"/>
          <w:highlight w:val="none"/>
        </w:rPr>
        <w:t xml:space="preserve">6. </w:t>
      </w:r>
      <w:r>
        <w:rPr>
          <w:rFonts w:hint="eastAsia"/>
          <w:b/>
          <w:color w:val="auto"/>
          <w:highlight w:val="none"/>
        </w:rPr>
        <w:t>投标报价</w:t>
      </w:r>
    </w:p>
    <w:p w14:paraId="5CFB8D7B">
      <w:pPr>
        <w:pStyle w:val="15"/>
        <w:spacing w:line="440" w:lineRule="exact"/>
        <w:ind w:firstLine="480" w:firstLineChars="200"/>
        <w:rPr>
          <w:rFonts w:hAnsi="宋体"/>
          <w:color w:val="auto"/>
          <w:sz w:val="24"/>
          <w:szCs w:val="24"/>
          <w:highlight w:val="none"/>
        </w:rPr>
      </w:pPr>
      <w:r>
        <w:rPr>
          <w:rFonts w:hAnsi="宋体"/>
          <w:color w:val="auto"/>
          <w:sz w:val="24"/>
          <w:szCs w:val="24"/>
          <w:highlight w:val="none"/>
        </w:rPr>
        <w:t>6</w:t>
      </w:r>
      <w:r>
        <w:rPr>
          <w:rFonts w:hint="eastAsia" w:hAnsi="宋体"/>
          <w:color w:val="auto"/>
          <w:sz w:val="24"/>
          <w:szCs w:val="24"/>
          <w:highlight w:val="none"/>
        </w:rPr>
        <w:t>.1 投标人应按招标文件规定的供货及服务要求、责任范围和合同条件以人民币形式进行报价。投标报价应为完税价。</w:t>
      </w:r>
    </w:p>
    <w:p w14:paraId="16C67134">
      <w:pPr>
        <w:spacing w:line="440" w:lineRule="exact"/>
        <w:ind w:firstLine="480" w:firstLineChars="200"/>
        <w:rPr>
          <w:color w:val="auto"/>
          <w:highlight w:val="none"/>
        </w:rPr>
      </w:pPr>
      <w:r>
        <w:rPr>
          <w:color w:val="auto"/>
          <w:highlight w:val="none"/>
        </w:rPr>
        <w:t>6</w:t>
      </w:r>
      <w:r>
        <w:rPr>
          <w:rFonts w:hint="eastAsia"/>
          <w:color w:val="auto"/>
          <w:highlight w:val="none"/>
        </w:rPr>
        <w:t>.2 开标一览表</w:t>
      </w:r>
    </w:p>
    <w:p w14:paraId="5C4C22DE">
      <w:pPr>
        <w:spacing w:line="360" w:lineRule="exact"/>
        <w:ind w:firstLine="480" w:firstLineChars="200"/>
        <w:rPr>
          <w:rFonts w:hint="eastAsia"/>
          <w:color w:val="auto"/>
          <w:highlight w:val="none"/>
        </w:rPr>
      </w:pPr>
      <w:r>
        <w:rPr>
          <w:rFonts w:hint="eastAsia"/>
          <w:color w:val="auto"/>
          <w:highlight w:val="none"/>
        </w:rPr>
        <w:t>提交开标一览表是为了便于开标时唱标，投标人必须按本招标文件所附的格式填写，签字并加盖公章。</w:t>
      </w:r>
      <w:r>
        <w:rPr>
          <w:color w:val="auto"/>
          <w:highlight w:val="none"/>
        </w:rPr>
        <w:t xml:space="preserve"> </w:t>
      </w:r>
    </w:p>
    <w:p w14:paraId="394A3AF4">
      <w:pPr>
        <w:pStyle w:val="15"/>
        <w:spacing w:line="440" w:lineRule="exact"/>
        <w:ind w:firstLine="480" w:firstLineChars="200"/>
        <w:rPr>
          <w:rFonts w:hAnsi="宋体"/>
          <w:color w:val="auto"/>
          <w:sz w:val="24"/>
          <w:szCs w:val="24"/>
          <w:highlight w:val="none"/>
        </w:rPr>
      </w:pPr>
      <w:r>
        <w:rPr>
          <w:rFonts w:hAnsi="宋体"/>
          <w:color w:val="auto"/>
          <w:sz w:val="24"/>
          <w:szCs w:val="24"/>
          <w:highlight w:val="none"/>
        </w:rPr>
        <w:t>6</w:t>
      </w:r>
      <w:r>
        <w:rPr>
          <w:rFonts w:hint="eastAsia" w:hAnsi="宋体"/>
          <w:color w:val="auto"/>
          <w:sz w:val="24"/>
          <w:szCs w:val="24"/>
          <w:highlight w:val="none"/>
        </w:rPr>
        <w:t>.</w:t>
      </w:r>
      <w:r>
        <w:rPr>
          <w:rFonts w:hAnsi="宋体"/>
          <w:color w:val="auto"/>
          <w:sz w:val="24"/>
          <w:szCs w:val="24"/>
          <w:highlight w:val="none"/>
        </w:rPr>
        <w:t>3</w:t>
      </w:r>
      <w:r>
        <w:rPr>
          <w:rFonts w:hint="eastAsia" w:hAnsi="宋体"/>
          <w:color w:val="auto"/>
          <w:sz w:val="24"/>
          <w:szCs w:val="24"/>
          <w:highlight w:val="none"/>
        </w:rPr>
        <w:t xml:space="preserve">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14:paraId="4DA296D8">
      <w:pPr>
        <w:spacing w:line="440" w:lineRule="exact"/>
        <w:ind w:firstLine="480" w:firstLineChars="200"/>
        <w:rPr>
          <w:bCs/>
          <w:color w:val="auto"/>
          <w:highlight w:val="none"/>
        </w:rPr>
      </w:pPr>
      <w:r>
        <w:rPr>
          <w:bCs/>
          <w:color w:val="auto"/>
          <w:highlight w:val="none"/>
        </w:rPr>
        <w:t xml:space="preserve">6.4 </w:t>
      </w:r>
      <w:r>
        <w:rPr>
          <w:rFonts w:hint="eastAsia"/>
          <w:bCs/>
          <w:color w:val="auto"/>
          <w:highlight w:val="none"/>
        </w:rPr>
        <w:t>投标人应在明细报价表上标明综合单价和总价。</w:t>
      </w:r>
    </w:p>
    <w:p w14:paraId="49719893">
      <w:pPr>
        <w:spacing w:line="440" w:lineRule="exact"/>
        <w:ind w:firstLine="480" w:firstLineChars="200"/>
        <w:rPr>
          <w:rFonts w:hint="eastAsia"/>
          <w:color w:val="auto"/>
          <w:highlight w:val="none"/>
        </w:rPr>
      </w:pPr>
      <w:r>
        <w:rPr>
          <w:color w:val="auto"/>
          <w:highlight w:val="none"/>
        </w:rPr>
        <w:t>（</w:t>
      </w:r>
      <w:r>
        <w:rPr>
          <w:rFonts w:hint="eastAsia"/>
          <w:color w:val="auto"/>
          <w:highlight w:val="none"/>
        </w:rPr>
        <w:t>1</w:t>
      </w:r>
      <w:r>
        <w:rPr>
          <w:color w:val="auto"/>
          <w:highlight w:val="none"/>
        </w:rPr>
        <w:t>）投标文件中开标一览表（报价表）内容与投标文件中相应内容不一致的，以开标一览表（报价表）为准；</w:t>
      </w:r>
    </w:p>
    <w:p w14:paraId="091E46F7">
      <w:pPr>
        <w:spacing w:line="440" w:lineRule="exact"/>
        <w:ind w:firstLine="480" w:firstLineChars="200"/>
        <w:rPr>
          <w:color w:val="auto"/>
          <w:highlight w:val="none"/>
        </w:rPr>
      </w:pPr>
      <w:r>
        <w:rPr>
          <w:color w:val="auto"/>
          <w:highlight w:val="none"/>
        </w:rPr>
        <w:t>（</w:t>
      </w:r>
      <w:r>
        <w:rPr>
          <w:rFonts w:hint="eastAsia"/>
          <w:color w:val="auto"/>
          <w:highlight w:val="none"/>
        </w:rPr>
        <w:t>2</w:t>
      </w:r>
      <w:r>
        <w:rPr>
          <w:color w:val="auto"/>
          <w:highlight w:val="none"/>
        </w:rPr>
        <w:t>）大写金额和小写金额不一致的，以大写金额为准；</w:t>
      </w:r>
    </w:p>
    <w:p w14:paraId="1E364BB9">
      <w:pPr>
        <w:spacing w:line="440" w:lineRule="exact"/>
        <w:ind w:firstLine="480" w:firstLineChars="200"/>
        <w:rPr>
          <w:color w:val="auto"/>
          <w:highlight w:val="none"/>
        </w:rPr>
      </w:pPr>
      <w:r>
        <w:rPr>
          <w:color w:val="auto"/>
          <w:highlight w:val="none"/>
        </w:rPr>
        <w:t>（</w:t>
      </w:r>
      <w:r>
        <w:rPr>
          <w:rFonts w:hint="eastAsia"/>
          <w:color w:val="auto"/>
          <w:highlight w:val="none"/>
        </w:rPr>
        <w:t>3</w:t>
      </w:r>
      <w:r>
        <w:rPr>
          <w:color w:val="auto"/>
          <w:highlight w:val="none"/>
        </w:rPr>
        <w:t>）单价金额小数点或者百分比有明显错位的，以开标一览表的总价为准，并修改单价；</w:t>
      </w:r>
    </w:p>
    <w:p w14:paraId="6C1B2381">
      <w:pPr>
        <w:spacing w:line="440" w:lineRule="exact"/>
        <w:ind w:firstLine="480" w:firstLineChars="200"/>
        <w:rPr>
          <w:rFonts w:hint="eastAsia"/>
          <w:color w:val="auto"/>
          <w:highlight w:val="none"/>
        </w:rPr>
      </w:pPr>
      <w:r>
        <w:rPr>
          <w:color w:val="auto"/>
          <w:highlight w:val="none"/>
        </w:rPr>
        <w:t>（</w:t>
      </w:r>
      <w:r>
        <w:rPr>
          <w:rFonts w:hint="eastAsia"/>
          <w:color w:val="auto"/>
          <w:highlight w:val="none"/>
        </w:rPr>
        <w:t>4</w:t>
      </w:r>
      <w:r>
        <w:rPr>
          <w:color w:val="auto"/>
          <w:highlight w:val="none"/>
        </w:rPr>
        <w:t>）总价金额与按单价汇总金额不一致的，以单价金额计算结果为准。</w:t>
      </w:r>
    </w:p>
    <w:p w14:paraId="3807B6E4">
      <w:pPr>
        <w:pStyle w:val="15"/>
        <w:spacing w:line="440" w:lineRule="exact"/>
        <w:ind w:firstLine="480" w:firstLineChars="200"/>
        <w:rPr>
          <w:rFonts w:hAnsi="宋体"/>
          <w:bCs/>
          <w:color w:val="auto"/>
          <w:sz w:val="24"/>
          <w:szCs w:val="24"/>
          <w:highlight w:val="none"/>
        </w:rPr>
      </w:pPr>
      <w:r>
        <w:rPr>
          <w:rFonts w:hint="eastAsia" w:hAnsi="宋体"/>
          <w:bCs/>
          <w:color w:val="auto"/>
          <w:sz w:val="24"/>
          <w:szCs w:val="24"/>
          <w:highlight w:val="none"/>
        </w:rPr>
        <w:t>同时出现两种以上不一致的，按照前款规定的顺序修正。修正后的报价经投标人确认后产生约束力，投标人不确认的，其投标无效。</w:t>
      </w:r>
    </w:p>
    <w:p w14:paraId="01154071">
      <w:pPr>
        <w:pStyle w:val="15"/>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w:t>
      </w:r>
      <w:r>
        <w:rPr>
          <w:rFonts w:hAnsi="宋体"/>
          <w:color w:val="auto"/>
          <w:sz w:val="24"/>
          <w:szCs w:val="24"/>
          <w:highlight w:val="none"/>
        </w:rPr>
        <w:t>6</w:t>
      </w:r>
      <w:r>
        <w:rPr>
          <w:rFonts w:hint="eastAsia" w:hAnsi="宋体"/>
          <w:color w:val="auto"/>
          <w:sz w:val="24"/>
          <w:szCs w:val="24"/>
          <w:highlight w:val="none"/>
        </w:rPr>
        <w:t>.</w:t>
      </w:r>
      <w:r>
        <w:rPr>
          <w:rFonts w:hAnsi="宋体"/>
          <w:color w:val="auto"/>
          <w:sz w:val="24"/>
          <w:szCs w:val="24"/>
          <w:highlight w:val="none"/>
        </w:rPr>
        <w:t>5</w:t>
      </w:r>
      <w:r>
        <w:rPr>
          <w:rFonts w:hint="eastAsia" w:hAnsi="宋体"/>
          <w:color w:val="auto"/>
          <w:sz w:val="24"/>
          <w:szCs w:val="24"/>
          <w:highlight w:val="none"/>
        </w:rPr>
        <w:t>　投标人对每种货物及服务只允许有一个报价，不接受可变动性报价、赠送，否则，在评标时将其视为无效投标。</w:t>
      </w:r>
    </w:p>
    <w:p w14:paraId="4C90806E">
      <w:pPr>
        <w:pStyle w:val="15"/>
        <w:spacing w:line="440" w:lineRule="exact"/>
        <w:ind w:firstLine="480" w:firstLineChars="200"/>
        <w:rPr>
          <w:rFonts w:hAnsi="宋体"/>
          <w:color w:val="auto"/>
          <w:sz w:val="24"/>
          <w:szCs w:val="24"/>
          <w:highlight w:val="none"/>
        </w:rPr>
      </w:pPr>
      <w:r>
        <w:rPr>
          <w:rFonts w:hAnsi="宋体" w:cs="宋体"/>
          <w:color w:val="auto"/>
          <w:sz w:val="24"/>
          <w:szCs w:val="24"/>
          <w:highlight w:val="none"/>
        </w:rPr>
        <w:t>本项目不接受选择性报价，对于出现的政采云平台开标唱标环节的投标报价与投标文件中开标一览表的报价不一致的现象，视作选择性报价，将被作为无效投标处理。</w:t>
      </w:r>
    </w:p>
    <w:p w14:paraId="1978A03B">
      <w:pPr>
        <w:spacing w:line="440" w:lineRule="exact"/>
        <w:ind w:firstLine="480" w:firstLineChars="200"/>
        <w:rPr>
          <w:rFonts w:hint="eastAsia"/>
          <w:color w:val="auto"/>
          <w:highlight w:val="none"/>
        </w:rPr>
      </w:pPr>
      <w:r>
        <w:rPr>
          <w:color w:val="auto"/>
          <w:highlight w:val="none"/>
        </w:rPr>
        <w:t xml:space="preserve">6.6  </w:t>
      </w:r>
      <w:r>
        <w:rPr>
          <w:rFonts w:hint="eastAsia"/>
          <w:color w:val="auto"/>
          <w:highlight w:val="none"/>
        </w:rPr>
        <w:t>投标报价不符合招标文件对投标报价要求的，为无效投标。</w:t>
      </w:r>
    </w:p>
    <w:p w14:paraId="2A298F63">
      <w:pPr>
        <w:spacing w:line="440" w:lineRule="exact"/>
        <w:ind w:firstLine="480" w:firstLineChars="200"/>
        <w:rPr>
          <w:color w:val="auto"/>
          <w:highlight w:val="none"/>
          <w:u w:val="single"/>
        </w:rPr>
      </w:pPr>
      <w:r>
        <w:rPr>
          <w:rFonts w:hint="eastAsia"/>
          <w:color w:val="auto"/>
          <w:highlight w:val="none"/>
        </w:rPr>
        <w:t>6.</w:t>
      </w:r>
      <w:r>
        <w:rPr>
          <w:color w:val="auto"/>
          <w:highlight w:val="none"/>
        </w:rPr>
        <w:t>7</w:t>
      </w:r>
      <w:r>
        <w:rPr>
          <w:rFonts w:hint="eastAsia"/>
          <w:color w:val="auto"/>
          <w:highlight w:val="none"/>
        </w:rPr>
        <w:t>投标报价超预算金额（最高限价）的，为无效投标。</w:t>
      </w:r>
    </w:p>
    <w:p w14:paraId="01DA96DA">
      <w:pPr>
        <w:spacing w:line="440" w:lineRule="exact"/>
        <w:ind w:firstLine="480" w:firstLineChars="200"/>
        <w:rPr>
          <w:bCs/>
          <w:color w:val="auto"/>
          <w:highlight w:val="none"/>
        </w:rPr>
      </w:pPr>
      <w:r>
        <w:rPr>
          <w:bCs/>
          <w:color w:val="auto"/>
          <w:highlight w:val="none"/>
        </w:rPr>
        <w:t>6.</w:t>
      </w:r>
      <w:r>
        <w:rPr>
          <w:rFonts w:hint="eastAsia"/>
          <w:bCs/>
          <w:color w:val="auto"/>
          <w:highlight w:val="none"/>
        </w:rPr>
        <w:t>8</w:t>
      </w:r>
      <w:r>
        <w:rPr>
          <w:bCs/>
          <w:color w:val="auto"/>
          <w:highlight w:val="none"/>
        </w:rPr>
        <w:t xml:space="preserve"> </w:t>
      </w:r>
      <w:r>
        <w:rPr>
          <w:rFonts w:hint="eastAsia"/>
          <w:bCs/>
          <w:color w:val="auto"/>
          <w:highlight w:val="none"/>
        </w:rPr>
        <w:t>投标报价是履行合同的最终价格，应包括下列几项费用：</w:t>
      </w:r>
    </w:p>
    <w:p w14:paraId="503D7723">
      <w:pPr>
        <w:spacing w:line="440" w:lineRule="exact"/>
        <w:ind w:firstLine="360" w:firstLineChars="150"/>
        <w:rPr>
          <w:bCs/>
          <w:color w:val="auto"/>
          <w:highlight w:val="none"/>
        </w:rPr>
      </w:pPr>
      <w:r>
        <w:rPr>
          <w:rFonts w:hint="eastAsia"/>
          <w:bCs/>
          <w:color w:val="auto"/>
          <w:highlight w:val="none"/>
        </w:rPr>
        <w:t>（</w:t>
      </w:r>
      <w:r>
        <w:rPr>
          <w:bCs/>
          <w:color w:val="auto"/>
          <w:highlight w:val="none"/>
        </w:rPr>
        <w:t>1</w:t>
      </w:r>
      <w:r>
        <w:rPr>
          <w:rFonts w:hint="eastAsia"/>
          <w:bCs/>
          <w:color w:val="auto"/>
          <w:highlight w:val="none"/>
        </w:rPr>
        <w:t>）招标文件中特别要求的备品备件、易损件和专用工具的费用；</w:t>
      </w:r>
    </w:p>
    <w:p w14:paraId="791994DC">
      <w:pPr>
        <w:spacing w:line="440" w:lineRule="exact"/>
        <w:ind w:firstLine="360" w:firstLineChars="150"/>
        <w:rPr>
          <w:bCs/>
          <w:color w:val="auto"/>
          <w:highlight w:val="none"/>
        </w:rPr>
      </w:pPr>
      <w:r>
        <w:rPr>
          <w:rFonts w:hint="eastAsia"/>
          <w:bCs/>
          <w:color w:val="auto"/>
          <w:highlight w:val="none"/>
        </w:rPr>
        <w:t>（</w:t>
      </w:r>
      <w:r>
        <w:rPr>
          <w:bCs/>
          <w:color w:val="auto"/>
          <w:highlight w:val="none"/>
        </w:rPr>
        <w:t>2</w:t>
      </w:r>
      <w:r>
        <w:rPr>
          <w:rFonts w:hint="eastAsia"/>
          <w:bCs/>
          <w:color w:val="auto"/>
          <w:highlight w:val="none"/>
        </w:rPr>
        <w:t>）招标文件中特别要求的安装、调试、培训、运输、保险及其它附带服务的全部费用；</w:t>
      </w:r>
    </w:p>
    <w:p w14:paraId="21757608">
      <w:pPr>
        <w:spacing w:line="440" w:lineRule="exact"/>
        <w:ind w:firstLine="360" w:firstLineChars="150"/>
        <w:rPr>
          <w:bCs/>
          <w:color w:val="auto"/>
          <w:highlight w:val="none"/>
        </w:rPr>
      </w:pPr>
      <w:r>
        <w:rPr>
          <w:rFonts w:hint="eastAsia"/>
          <w:bCs/>
          <w:color w:val="auto"/>
          <w:highlight w:val="none"/>
        </w:rPr>
        <w:t>（</w:t>
      </w:r>
      <w:r>
        <w:rPr>
          <w:bCs/>
          <w:color w:val="auto"/>
          <w:highlight w:val="none"/>
        </w:rPr>
        <w:t>3</w:t>
      </w:r>
      <w:r>
        <w:rPr>
          <w:rFonts w:hint="eastAsia"/>
          <w:bCs/>
          <w:color w:val="auto"/>
          <w:highlight w:val="none"/>
        </w:rPr>
        <w:t>）投标人提供的在中华人民共和国制造的货物，其货物的投标价即交货价中，包括制造、组装该货物所使用的零部件及原材料已付的全部关税、销售税和其他税。</w:t>
      </w:r>
    </w:p>
    <w:p w14:paraId="477FF6E3">
      <w:pPr>
        <w:spacing w:line="440" w:lineRule="exact"/>
        <w:ind w:firstLine="360" w:firstLineChars="150"/>
        <w:rPr>
          <w:bCs/>
          <w:color w:val="auto"/>
          <w:highlight w:val="none"/>
        </w:rPr>
      </w:pPr>
      <w:r>
        <w:rPr>
          <w:rFonts w:hint="eastAsia"/>
          <w:bCs/>
          <w:color w:val="auto"/>
          <w:highlight w:val="none"/>
        </w:rPr>
        <w:t>（</w:t>
      </w:r>
      <w:r>
        <w:rPr>
          <w:bCs/>
          <w:color w:val="auto"/>
          <w:highlight w:val="none"/>
        </w:rPr>
        <w:t>4</w:t>
      </w:r>
      <w:r>
        <w:rPr>
          <w:rFonts w:hint="eastAsia"/>
          <w:bCs/>
          <w:color w:val="auto"/>
          <w:highlight w:val="none"/>
        </w:rPr>
        <w:t>）综合单价必须包括货物、安装、调试、技术支持、运输保险、售后服务、培训及其它必需服务的报价。</w:t>
      </w:r>
    </w:p>
    <w:p w14:paraId="64AEDE07">
      <w:pPr>
        <w:spacing w:line="440" w:lineRule="exact"/>
        <w:ind w:left="480"/>
        <w:rPr>
          <w:b/>
          <w:color w:val="auto"/>
          <w:highlight w:val="none"/>
        </w:rPr>
      </w:pPr>
      <w:r>
        <w:rPr>
          <w:b/>
          <w:color w:val="auto"/>
          <w:highlight w:val="none"/>
        </w:rPr>
        <w:t xml:space="preserve">7. </w:t>
      </w:r>
      <w:r>
        <w:rPr>
          <w:rFonts w:hint="eastAsia"/>
          <w:b/>
          <w:color w:val="auto"/>
          <w:highlight w:val="none"/>
        </w:rPr>
        <w:t>证明货物的合格性和符合招标文件规定的文件</w:t>
      </w:r>
    </w:p>
    <w:p w14:paraId="03EA3ACC">
      <w:pPr>
        <w:adjustRightInd w:val="0"/>
        <w:snapToGrid w:val="0"/>
        <w:spacing w:line="440" w:lineRule="exact"/>
        <w:ind w:firstLine="424" w:firstLineChars="177"/>
        <w:rPr>
          <w:color w:val="auto"/>
          <w:highlight w:val="none"/>
        </w:rPr>
      </w:pPr>
      <w:r>
        <w:rPr>
          <w:color w:val="auto"/>
          <w:highlight w:val="none"/>
        </w:rPr>
        <w:t xml:space="preserve">7.1 </w:t>
      </w:r>
      <w:r>
        <w:rPr>
          <w:rFonts w:hint="eastAsia"/>
          <w:color w:val="auto"/>
          <w:highlight w:val="none"/>
        </w:rPr>
        <w:t>投标人应提交证明文件证明其拟投标的货物的合格性符合招标文件规定。该证明文件作为投标文件的一部分。</w:t>
      </w:r>
    </w:p>
    <w:p w14:paraId="78BD1736">
      <w:pPr>
        <w:spacing w:line="440" w:lineRule="exact"/>
        <w:ind w:firstLine="480" w:firstLineChars="200"/>
        <w:rPr>
          <w:color w:val="auto"/>
          <w:highlight w:val="none"/>
        </w:rPr>
      </w:pPr>
      <w:r>
        <w:rPr>
          <w:color w:val="auto"/>
          <w:highlight w:val="none"/>
        </w:rPr>
        <w:t>7.</w:t>
      </w:r>
      <w:r>
        <w:rPr>
          <w:rFonts w:hint="eastAsia"/>
          <w:color w:val="auto"/>
          <w:highlight w:val="none"/>
        </w:rPr>
        <w:t>2</w:t>
      </w:r>
      <w:r>
        <w:rPr>
          <w:color w:val="auto"/>
          <w:highlight w:val="none"/>
        </w:rPr>
        <w:t xml:space="preserve">  </w:t>
      </w:r>
      <w:r>
        <w:rPr>
          <w:rFonts w:hint="eastAsia"/>
          <w:color w:val="auto"/>
          <w:highlight w:val="none"/>
        </w:rPr>
        <w:t>投标人的服务承诺应按不低于招标文件中要求的服务标准做出响应。</w:t>
      </w:r>
    </w:p>
    <w:p w14:paraId="04B8CECA">
      <w:pPr>
        <w:spacing w:line="440" w:lineRule="exact"/>
        <w:ind w:firstLine="480" w:firstLineChars="200"/>
        <w:rPr>
          <w:color w:val="auto"/>
          <w:highlight w:val="none"/>
        </w:rPr>
      </w:pPr>
      <w:r>
        <w:rPr>
          <w:color w:val="auto"/>
          <w:highlight w:val="none"/>
        </w:rPr>
        <w:t>7.</w:t>
      </w:r>
      <w:r>
        <w:rPr>
          <w:rFonts w:hint="eastAsia"/>
          <w:color w:val="auto"/>
          <w:highlight w:val="none"/>
        </w:rPr>
        <w:t>3</w:t>
      </w:r>
      <w:r>
        <w:rPr>
          <w:color w:val="auto"/>
          <w:highlight w:val="none"/>
        </w:rPr>
        <w:t xml:space="preserve">  </w:t>
      </w:r>
      <w:r>
        <w:rPr>
          <w:rFonts w:hint="eastAsia"/>
          <w:color w:val="auto"/>
          <w:highlight w:val="none"/>
        </w:rPr>
        <w:t>上述文件可以是文字资料、图纸和数据等，并提供：</w:t>
      </w:r>
    </w:p>
    <w:p w14:paraId="14BF78AE">
      <w:pPr>
        <w:spacing w:line="440" w:lineRule="exact"/>
        <w:ind w:firstLine="48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）货物主要技术及性能特点的详细描述；</w:t>
      </w:r>
      <w:r>
        <w:rPr>
          <w:color w:val="auto"/>
          <w:highlight w:val="none"/>
        </w:rPr>
        <w:t xml:space="preserve"> </w:t>
      </w:r>
    </w:p>
    <w:p w14:paraId="2AFE77BC">
      <w:pPr>
        <w:spacing w:line="440" w:lineRule="exact"/>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）货物主要部件的详细资料，包括检验报告等；</w:t>
      </w:r>
    </w:p>
    <w:p w14:paraId="27D9385A">
      <w:pPr>
        <w:spacing w:line="440" w:lineRule="exact"/>
        <w:ind w:firstLine="48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）一份在技术规格中规定的保证服务正常和连续运转期间所需要的所有备件和专业工具的详细清单包括供货来源信息。</w:t>
      </w:r>
    </w:p>
    <w:p w14:paraId="23B34569">
      <w:pPr>
        <w:spacing w:line="440" w:lineRule="exact"/>
        <w:ind w:firstLine="480" w:firstLineChars="200"/>
        <w:rPr>
          <w:color w:val="auto"/>
          <w:highlight w:val="none"/>
        </w:rPr>
      </w:pPr>
      <w:r>
        <w:rPr>
          <w:color w:val="auto"/>
          <w:highlight w:val="none"/>
        </w:rPr>
        <w:t>7.</w:t>
      </w:r>
      <w:r>
        <w:rPr>
          <w:rFonts w:hint="eastAsia"/>
          <w:color w:val="auto"/>
          <w:highlight w:val="none"/>
        </w:rPr>
        <w:t>4没有按要求提供资料或提供资料不完全的或仅仅复制招标文件提供的技术参数并与实际提供设备参数不符，将被视为对招标文件没有做出实质性响应，其风险由投标人自行承担。</w:t>
      </w:r>
    </w:p>
    <w:p w14:paraId="67BB46AD">
      <w:pPr>
        <w:spacing w:line="440" w:lineRule="exact"/>
        <w:ind w:firstLine="360" w:firstLineChars="150"/>
        <w:rPr>
          <w:color w:val="auto"/>
          <w:highlight w:val="none"/>
        </w:rPr>
      </w:pPr>
      <w:r>
        <w:rPr>
          <w:color w:val="auto"/>
          <w:highlight w:val="none"/>
        </w:rPr>
        <w:t>7.5</w:t>
      </w:r>
      <w:r>
        <w:rPr>
          <w:rFonts w:hint="eastAsia"/>
          <w:color w:val="auto"/>
          <w:highlight w:val="none"/>
        </w:rPr>
        <w:t xml:space="preserve"> 投标人提供的设备必须是正规厂家生产的高质量产品，不能提供劣质三无产品（无厂址</w:t>
      </w:r>
      <w:r>
        <w:rPr>
          <w:color w:val="auto"/>
          <w:highlight w:val="none"/>
        </w:rPr>
        <w:t>,</w:t>
      </w:r>
      <w:r>
        <w:rPr>
          <w:rFonts w:hint="eastAsia"/>
          <w:color w:val="auto"/>
          <w:highlight w:val="none"/>
        </w:rPr>
        <w:t>无商标</w:t>
      </w:r>
      <w:r>
        <w:rPr>
          <w:color w:val="auto"/>
          <w:highlight w:val="none"/>
        </w:rPr>
        <w:t>,</w:t>
      </w:r>
      <w:r>
        <w:rPr>
          <w:rFonts w:hint="eastAsia"/>
          <w:color w:val="auto"/>
          <w:highlight w:val="none"/>
        </w:rPr>
        <w:t>无合格证）。</w:t>
      </w:r>
    </w:p>
    <w:p w14:paraId="7F3304D4">
      <w:pPr>
        <w:spacing w:line="440" w:lineRule="exact"/>
        <w:ind w:firstLine="360" w:firstLineChars="150"/>
        <w:rPr>
          <w:color w:val="auto"/>
          <w:highlight w:val="none"/>
        </w:rPr>
      </w:pPr>
      <w:r>
        <w:rPr>
          <w:color w:val="auto"/>
          <w:highlight w:val="none"/>
        </w:rPr>
        <w:t xml:space="preserve">7.6 </w:t>
      </w:r>
      <w:r>
        <w:rPr>
          <w:rFonts w:hint="eastAsia"/>
          <w:color w:val="auto"/>
          <w:highlight w:val="none"/>
        </w:rPr>
        <w:t>产品资料和检测报告所反映的技术参数和性能指标将作为验收产品实物的依据。</w:t>
      </w:r>
    </w:p>
    <w:p w14:paraId="75F827A6">
      <w:pPr>
        <w:spacing w:line="440" w:lineRule="exact"/>
        <w:ind w:firstLine="360" w:firstLineChars="150"/>
        <w:rPr>
          <w:color w:val="auto"/>
          <w:highlight w:val="none"/>
        </w:rPr>
      </w:pPr>
      <w:r>
        <w:rPr>
          <w:color w:val="auto"/>
          <w:highlight w:val="none"/>
        </w:rPr>
        <w:t xml:space="preserve">7.7 </w:t>
      </w:r>
      <w:r>
        <w:rPr>
          <w:rFonts w:hint="eastAsia"/>
          <w:color w:val="auto"/>
          <w:highlight w:val="none"/>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082214E0">
      <w:pPr>
        <w:spacing w:line="440" w:lineRule="exact"/>
        <w:ind w:firstLine="360" w:firstLineChars="150"/>
        <w:rPr>
          <w:color w:val="auto"/>
          <w:highlight w:val="none"/>
        </w:rPr>
      </w:pPr>
      <w:r>
        <w:rPr>
          <w:color w:val="auto"/>
          <w:highlight w:val="none"/>
        </w:rPr>
        <w:t xml:space="preserve">7.8 </w:t>
      </w:r>
      <w:r>
        <w:rPr>
          <w:rFonts w:hint="eastAsia"/>
          <w:color w:val="auto"/>
          <w:highlight w:val="none"/>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14:paraId="41C8EC95">
      <w:pPr>
        <w:spacing w:line="440" w:lineRule="exact"/>
        <w:ind w:firstLine="360" w:firstLineChars="150"/>
        <w:rPr>
          <w:rFonts w:hint="eastAsia"/>
          <w:color w:val="auto"/>
          <w:highlight w:val="none"/>
        </w:rPr>
      </w:pPr>
      <w:r>
        <w:rPr>
          <w:color w:val="auto"/>
          <w:highlight w:val="none"/>
        </w:rPr>
        <w:t xml:space="preserve">8. </w:t>
      </w:r>
      <w:r>
        <w:rPr>
          <w:rFonts w:hint="eastAsia"/>
          <w:color w:val="auto"/>
          <w:highlight w:val="none"/>
        </w:rPr>
        <w:t>投标有效期</w:t>
      </w:r>
    </w:p>
    <w:p w14:paraId="5CAEDB86">
      <w:pPr>
        <w:spacing w:line="440" w:lineRule="exact"/>
        <w:ind w:firstLine="360" w:firstLineChars="150"/>
        <w:rPr>
          <w:color w:val="auto"/>
          <w:highlight w:val="none"/>
        </w:rPr>
      </w:pPr>
      <w:r>
        <w:rPr>
          <w:color w:val="auto"/>
          <w:highlight w:val="none"/>
        </w:rPr>
        <w:t>8</w:t>
      </w:r>
      <w:r>
        <w:rPr>
          <w:rFonts w:hint="eastAsia"/>
          <w:color w:val="auto"/>
          <w:highlight w:val="none"/>
        </w:rPr>
        <w:t>.1　投标有效期见投标人须知前附表，在此期间投标文件对投标人具有法律约束力，以保证</w:t>
      </w:r>
      <w:r>
        <w:rPr>
          <w:rFonts w:hint="eastAsia"/>
          <w:color w:val="auto"/>
          <w:highlight w:val="none"/>
          <w:lang w:eastAsia="zh-CN"/>
        </w:rPr>
        <w:t>招标人</w:t>
      </w:r>
      <w:r>
        <w:rPr>
          <w:rFonts w:hint="eastAsia"/>
          <w:color w:val="auto"/>
          <w:highlight w:val="none"/>
        </w:rPr>
        <w:t>有足够的时间完成评标、定标以及签订合同。投标有效期从投标人须知前附表规定的投标截止之日起计算。投标有效期不足的，在评标时将其视为无效投标。</w:t>
      </w:r>
    </w:p>
    <w:p w14:paraId="1EBB259D">
      <w:pPr>
        <w:spacing w:line="440" w:lineRule="exact"/>
        <w:ind w:firstLine="360" w:firstLineChars="150"/>
        <w:rPr>
          <w:color w:val="auto"/>
          <w:highlight w:val="none"/>
        </w:rPr>
      </w:pPr>
      <w:r>
        <w:rPr>
          <w:rFonts w:hint="eastAsia"/>
          <w:color w:val="auto"/>
          <w:highlight w:val="none"/>
        </w:rPr>
        <w:t>8.2　特殊情况需延长投标有效期的，</w:t>
      </w:r>
      <w:r>
        <w:rPr>
          <w:rFonts w:hint="eastAsia"/>
          <w:color w:val="auto"/>
          <w:highlight w:val="none"/>
          <w:lang w:eastAsia="zh-CN"/>
        </w:rPr>
        <w:t>招标人</w:t>
      </w:r>
      <w:r>
        <w:rPr>
          <w:rFonts w:hint="eastAsia"/>
          <w:color w:val="auto"/>
          <w:highlight w:val="none"/>
        </w:rPr>
        <w:t>或</w:t>
      </w:r>
      <w:r>
        <w:rPr>
          <w:rFonts w:hint="eastAsia"/>
          <w:color w:val="auto"/>
          <w:highlight w:val="none"/>
          <w:lang w:eastAsia="zh-CN"/>
        </w:rPr>
        <w:t>招标代理机构</w:t>
      </w:r>
      <w:r>
        <w:rPr>
          <w:rFonts w:hint="eastAsia"/>
          <w:color w:val="auto"/>
          <w:highlight w:val="none"/>
        </w:rPr>
        <w:t>可于投标有效期届满之前，要求投标人同意延长有效期，</w:t>
      </w:r>
      <w:r>
        <w:rPr>
          <w:rFonts w:hint="eastAsia"/>
          <w:color w:val="auto"/>
          <w:highlight w:val="none"/>
          <w:lang w:eastAsia="zh-CN"/>
        </w:rPr>
        <w:t>招标人</w:t>
      </w:r>
      <w:r>
        <w:rPr>
          <w:rFonts w:hint="eastAsia"/>
          <w:color w:val="auto"/>
          <w:highlight w:val="none"/>
        </w:rPr>
        <w:t>或</w:t>
      </w:r>
      <w:r>
        <w:rPr>
          <w:rFonts w:hint="eastAsia"/>
          <w:color w:val="auto"/>
          <w:highlight w:val="none"/>
          <w:lang w:eastAsia="zh-CN"/>
        </w:rPr>
        <w:t>招标代理机构</w:t>
      </w:r>
      <w:r>
        <w:rPr>
          <w:rFonts w:hint="eastAsia"/>
          <w:color w:val="auto"/>
          <w:highlight w:val="none"/>
        </w:rPr>
        <w:t>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2B8640E1">
      <w:pPr>
        <w:spacing w:line="440" w:lineRule="exact"/>
        <w:ind w:firstLine="482" w:firstLineChars="200"/>
        <w:rPr>
          <w:rFonts w:hint="eastAsia"/>
          <w:b/>
          <w:color w:val="auto"/>
          <w:highlight w:val="none"/>
        </w:rPr>
      </w:pPr>
      <w:r>
        <w:rPr>
          <w:b/>
          <w:color w:val="auto"/>
          <w:highlight w:val="none"/>
        </w:rPr>
        <w:t xml:space="preserve">9. </w:t>
      </w:r>
      <w:r>
        <w:rPr>
          <w:rFonts w:hint="eastAsia"/>
          <w:b/>
          <w:color w:val="auto"/>
          <w:highlight w:val="none"/>
        </w:rPr>
        <w:t>投标文件的签署和规定</w:t>
      </w:r>
      <w:r>
        <w:rPr>
          <w:rFonts w:hint="eastAsia"/>
          <w:b/>
          <w:bCs/>
          <w:color w:val="auto"/>
          <w:highlight w:val="none"/>
        </w:rPr>
        <w:t>见前投标须知前附表</w:t>
      </w:r>
    </w:p>
    <w:p w14:paraId="53C7449B">
      <w:pPr>
        <w:pStyle w:val="15"/>
        <w:tabs>
          <w:tab w:val="left" w:pos="397"/>
        </w:tabs>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1</w:t>
      </w:r>
      <w:r>
        <w:rPr>
          <w:rFonts w:hAnsi="宋体"/>
          <w:b/>
          <w:bCs/>
          <w:color w:val="auto"/>
          <w:sz w:val="24"/>
          <w:szCs w:val="24"/>
          <w:highlight w:val="none"/>
        </w:rPr>
        <w:t>0</w:t>
      </w:r>
      <w:r>
        <w:rPr>
          <w:rFonts w:hint="eastAsia" w:hAnsi="宋体"/>
          <w:b/>
          <w:bCs/>
          <w:color w:val="auto"/>
          <w:sz w:val="24"/>
          <w:szCs w:val="24"/>
          <w:highlight w:val="none"/>
        </w:rPr>
        <w:t>.投标文件的密封和标记见前投标须知前附表。</w:t>
      </w:r>
    </w:p>
    <w:p w14:paraId="14626302">
      <w:pPr>
        <w:spacing w:line="440" w:lineRule="exact"/>
        <w:ind w:firstLine="482" w:firstLineChars="200"/>
        <w:rPr>
          <w:b/>
          <w:color w:val="auto"/>
          <w:highlight w:val="none"/>
        </w:rPr>
      </w:pPr>
      <w:r>
        <w:rPr>
          <w:b/>
          <w:color w:val="auto"/>
          <w:highlight w:val="none"/>
        </w:rPr>
        <w:t xml:space="preserve">11. </w:t>
      </w:r>
      <w:r>
        <w:rPr>
          <w:rFonts w:hint="eastAsia"/>
          <w:b/>
          <w:color w:val="auto"/>
          <w:highlight w:val="none"/>
        </w:rPr>
        <w:t>投标保证金</w:t>
      </w:r>
    </w:p>
    <w:p w14:paraId="2B532CB7">
      <w:pPr>
        <w:spacing w:line="440" w:lineRule="exact"/>
        <w:ind w:firstLine="480" w:firstLineChars="200"/>
        <w:rPr>
          <w:color w:val="auto"/>
          <w:highlight w:val="none"/>
        </w:rPr>
      </w:pPr>
      <w:r>
        <w:rPr>
          <w:color w:val="auto"/>
          <w:highlight w:val="none"/>
        </w:rPr>
        <w:t xml:space="preserve">11.1  </w:t>
      </w:r>
      <w:r>
        <w:rPr>
          <w:rFonts w:hint="eastAsia"/>
          <w:color w:val="auto"/>
          <w:highlight w:val="none"/>
        </w:rPr>
        <w:t>招标方因投标人的违规行为而受到损害时将不予退还投标人的投标保证金，将其作为所受损害的补偿。</w:t>
      </w:r>
    </w:p>
    <w:p w14:paraId="7E698CB1">
      <w:pPr>
        <w:pStyle w:val="15"/>
        <w:spacing w:line="440" w:lineRule="exact"/>
        <w:ind w:firstLine="480" w:firstLineChars="200"/>
        <w:rPr>
          <w:rFonts w:hAnsi="宋体"/>
          <w:color w:val="auto"/>
          <w:sz w:val="24"/>
          <w:highlight w:val="none"/>
        </w:rPr>
      </w:pPr>
      <w:r>
        <w:rPr>
          <w:rFonts w:hAnsi="宋体"/>
          <w:color w:val="auto"/>
          <w:sz w:val="24"/>
          <w:highlight w:val="none"/>
        </w:rPr>
        <w:t>11.2</w:t>
      </w:r>
      <w:r>
        <w:rPr>
          <w:rFonts w:hint="eastAsia" w:hAnsi="宋体"/>
          <w:color w:val="auto"/>
          <w:sz w:val="24"/>
          <w:highlight w:val="none"/>
        </w:rPr>
        <w:t>　投标人应当以支票、汇票、本票等非现金形式提交投标保证金，其有效期应不低于投标有效期。投标人未按照招标文件要求提交投标保证金的，投标无效。</w:t>
      </w:r>
    </w:p>
    <w:p w14:paraId="29C0979D">
      <w:pPr>
        <w:pStyle w:val="15"/>
        <w:spacing w:line="440" w:lineRule="exact"/>
        <w:ind w:firstLine="480" w:firstLineChars="200"/>
        <w:rPr>
          <w:rFonts w:hAnsi="宋体"/>
          <w:color w:val="auto"/>
          <w:sz w:val="24"/>
          <w:highlight w:val="none"/>
        </w:rPr>
      </w:pPr>
      <w:r>
        <w:rPr>
          <w:rFonts w:hAnsi="宋体"/>
          <w:color w:val="auto"/>
          <w:sz w:val="24"/>
          <w:highlight w:val="none"/>
        </w:rPr>
        <w:t xml:space="preserve">11.3  </w:t>
      </w:r>
      <w:r>
        <w:rPr>
          <w:rFonts w:hint="eastAsia" w:hAnsi="宋体"/>
          <w:color w:val="auto"/>
          <w:sz w:val="24"/>
          <w:highlight w:val="none"/>
        </w:rPr>
        <w:t>投标人以支票、汇票、本票形式提交投标保证金的，必须从投标人账户转出，须于投标保证金缴纳截止时间前到达</w:t>
      </w:r>
      <w:r>
        <w:rPr>
          <w:rFonts w:hint="eastAsia" w:hAnsi="宋体"/>
          <w:color w:val="auto"/>
          <w:sz w:val="24"/>
          <w:highlight w:val="none"/>
          <w:lang w:eastAsia="zh-CN"/>
        </w:rPr>
        <w:t>新疆弘伟工程项目管理有限公司</w:t>
      </w:r>
      <w:r>
        <w:rPr>
          <w:rFonts w:hint="eastAsia" w:hAnsi="宋体"/>
          <w:color w:val="auto"/>
          <w:sz w:val="24"/>
          <w:highlight w:val="none"/>
        </w:rPr>
        <w:t>指定账户（人民币）。如是本地转账支票需于投标保证金缴纳截止时间三个工作日前向</w:t>
      </w:r>
      <w:r>
        <w:rPr>
          <w:rFonts w:hint="eastAsia" w:hAnsi="宋体"/>
          <w:color w:val="auto"/>
          <w:sz w:val="24"/>
          <w:highlight w:val="none"/>
          <w:lang w:eastAsia="zh-CN"/>
        </w:rPr>
        <w:t>新疆弘伟工程项目管理有限公司</w:t>
      </w:r>
      <w:r>
        <w:rPr>
          <w:rFonts w:hint="eastAsia" w:hAnsi="宋体"/>
          <w:color w:val="auto"/>
          <w:sz w:val="24"/>
          <w:highlight w:val="none"/>
        </w:rPr>
        <w:t>送达，如投标保证金为汇款形式的，（汇款时汇款单填写内容须备注项目编号及标项号）。</w:t>
      </w:r>
    </w:p>
    <w:p w14:paraId="47830BD2">
      <w:pPr>
        <w:spacing w:line="440" w:lineRule="exact"/>
        <w:ind w:firstLine="480" w:firstLineChars="200"/>
        <w:rPr>
          <w:color w:val="auto"/>
          <w:highlight w:val="none"/>
        </w:rPr>
      </w:pPr>
      <w:r>
        <w:rPr>
          <w:color w:val="auto"/>
          <w:highlight w:val="none"/>
        </w:rPr>
        <w:t>11.4</w:t>
      </w:r>
      <w:r>
        <w:rPr>
          <w:rFonts w:hint="eastAsia"/>
          <w:color w:val="auto"/>
          <w:highlight w:val="none"/>
        </w:rPr>
        <w:t>　未中标的投标人的投标保证金，将在中标通知书发出后</w:t>
      </w:r>
      <w:r>
        <w:rPr>
          <w:color w:val="auto"/>
          <w:highlight w:val="none"/>
        </w:rPr>
        <w:t>5</w:t>
      </w:r>
      <w:r>
        <w:rPr>
          <w:rFonts w:hint="eastAsia"/>
          <w:color w:val="auto"/>
          <w:highlight w:val="none"/>
        </w:rPr>
        <w:t>个工作日内无息退还。</w:t>
      </w:r>
    </w:p>
    <w:p w14:paraId="1F535F78">
      <w:pPr>
        <w:spacing w:line="460" w:lineRule="atLeast"/>
        <w:ind w:firstLine="480" w:firstLineChars="200"/>
        <w:rPr>
          <w:color w:val="auto"/>
          <w:highlight w:val="none"/>
        </w:rPr>
      </w:pPr>
      <w:r>
        <w:rPr>
          <w:color w:val="auto"/>
          <w:highlight w:val="none"/>
        </w:rPr>
        <w:t xml:space="preserve">11.5  </w:t>
      </w:r>
      <w:r>
        <w:rPr>
          <w:rFonts w:hint="eastAsia"/>
          <w:color w:val="auto"/>
          <w:highlight w:val="none"/>
        </w:rPr>
        <w:t>中标方的投标保证金，将在领取中标通知书，缴纳履约保证金并签订合同后5个工作日内无息退还，中标企业退还保证金前，需将采购合同彩色扫描件电子版发送至本项目负责人邮箱（详见前附表），并提供采购合同彩色扫描件纸质版打印件。</w:t>
      </w:r>
    </w:p>
    <w:p w14:paraId="36FA8775">
      <w:pPr>
        <w:spacing w:line="440" w:lineRule="exact"/>
        <w:ind w:firstLine="480" w:firstLineChars="200"/>
        <w:rPr>
          <w:rFonts w:hint="eastAsia"/>
          <w:color w:val="auto"/>
          <w:highlight w:val="none"/>
        </w:rPr>
      </w:pPr>
      <w:r>
        <w:rPr>
          <w:rFonts w:hint="eastAsia"/>
          <w:color w:val="auto"/>
          <w:highlight w:val="none"/>
        </w:rPr>
        <w:t>11.6下列任何情况发生时，投标保证金将不予退还，转为违约金：</w:t>
      </w:r>
    </w:p>
    <w:p w14:paraId="25530C2B">
      <w:pPr>
        <w:spacing w:line="440" w:lineRule="exact"/>
        <w:ind w:firstLine="480" w:firstLineChars="200"/>
        <w:rPr>
          <w:rFonts w:hint="eastAsia"/>
          <w:color w:val="auto"/>
          <w:highlight w:val="none"/>
        </w:rPr>
      </w:pPr>
      <w:r>
        <w:rPr>
          <w:rFonts w:hint="eastAsia"/>
          <w:color w:val="auto"/>
          <w:highlight w:val="none"/>
        </w:rPr>
        <w:t>(1)  投标人在投标截止期后，投标有效期内撤回投标；</w:t>
      </w:r>
    </w:p>
    <w:p w14:paraId="69FB5177">
      <w:pPr>
        <w:spacing w:line="440" w:lineRule="exact"/>
        <w:ind w:firstLine="480" w:firstLineChars="200"/>
        <w:rPr>
          <w:rFonts w:hint="eastAsia"/>
          <w:color w:val="auto"/>
          <w:highlight w:val="none"/>
        </w:rPr>
      </w:pPr>
      <w:r>
        <w:rPr>
          <w:rFonts w:hint="eastAsia"/>
          <w:color w:val="auto"/>
          <w:highlight w:val="none"/>
        </w:rPr>
        <w:t>(2)  投标人在规定期限内未按规定向</w:t>
      </w:r>
      <w:r>
        <w:rPr>
          <w:rFonts w:hint="eastAsia"/>
          <w:color w:val="auto"/>
          <w:highlight w:val="none"/>
          <w:lang w:eastAsia="zh-CN"/>
        </w:rPr>
        <w:t>招标人</w:t>
      </w:r>
      <w:r>
        <w:rPr>
          <w:rFonts w:hint="eastAsia"/>
          <w:color w:val="auto"/>
          <w:highlight w:val="none"/>
        </w:rPr>
        <w:t>缴纳履约保证金；</w:t>
      </w:r>
    </w:p>
    <w:p w14:paraId="3198E696">
      <w:pPr>
        <w:spacing w:line="440" w:lineRule="exact"/>
        <w:ind w:firstLine="480" w:firstLineChars="200"/>
        <w:rPr>
          <w:rFonts w:hint="eastAsia"/>
          <w:color w:val="auto"/>
          <w:highlight w:val="none"/>
        </w:rPr>
      </w:pPr>
      <w:r>
        <w:rPr>
          <w:rFonts w:hint="eastAsia"/>
          <w:color w:val="auto"/>
          <w:highlight w:val="none"/>
        </w:rPr>
        <w:t>(3)  中标人未按投标人须知规定缴纳招标代理费；</w:t>
      </w:r>
    </w:p>
    <w:p w14:paraId="1F16C36D">
      <w:pPr>
        <w:spacing w:line="440" w:lineRule="exact"/>
        <w:ind w:firstLine="480" w:firstLineChars="200"/>
        <w:rPr>
          <w:rFonts w:hint="eastAsia"/>
          <w:color w:val="auto"/>
          <w:highlight w:val="none"/>
        </w:rPr>
      </w:pPr>
      <w:r>
        <w:rPr>
          <w:rFonts w:hint="eastAsia"/>
          <w:color w:val="auto"/>
          <w:highlight w:val="none"/>
        </w:rPr>
        <w:t>(4)  以他人名义投标或者以其他方式弄虚作假，骗取中标；</w:t>
      </w:r>
    </w:p>
    <w:p w14:paraId="5D4C0C78">
      <w:pPr>
        <w:spacing w:line="440" w:lineRule="exact"/>
        <w:ind w:firstLine="480" w:firstLineChars="200"/>
        <w:rPr>
          <w:rFonts w:hint="eastAsia"/>
          <w:color w:val="auto"/>
          <w:highlight w:val="none"/>
        </w:rPr>
      </w:pPr>
      <w:r>
        <w:rPr>
          <w:rFonts w:hint="eastAsia"/>
          <w:color w:val="auto"/>
          <w:highlight w:val="none"/>
        </w:rPr>
        <w:t>(5)  打架斗殴，扰乱标场秩序；</w:t>
      </w:r>
    </w:p>
    <w:p w14:paraId="3079BB0B">
      <w:pPr>
        <w:spacing w:line="440" w:lineRule="exact"/>
        <w:ind w:firstLine="480" w:firstLineChars="200"/>
        <w:rPr>
          <w:rFonts w:hint="eastAsia"/>
          <w:color w:val="auto"/>
          <w:highlight w:val="none"/>
        </w:rPr>
      </w:pPr>
      <w:r>
        <w:rPr>
          <w:rFonts w:hint="eastAsia"/>
          <w:color w:val="auto"/>
          <w:highlight w:val="none"/>
        </w:rPr>
        <w:t>(6)  中标人拒绝在规定期限内与</w:t>
      </w:r>
      <w:r>
        <w:rPr>
          <w:rFonts w:hint="eastAsia"/>
          <w:color w:val="auto"/>
          <w:highlight w:val="none"/>
          <w:lang w:eastAsia="zh-CN"/>
        </w:rPr>
        <w:t>招标人</w:t>
      </w:r>
      <w:r>
        <w:rPr>
          <w:rFonts w:hint="eastAsia"/>
          <w:color w:val="auto"/>
          <w:highlight w:val="none"/>
        </w:rPr>
        <w:t>签订合同。</w:t>
      </w:r>
    </w:p>
    <w:p w14:paraId="7F9F1C1A">
      <w:pPr>
        <w:spacing w:line="440" w:lineRule="exact"/>
        <w:ind w:firstLine="840" w:firstLineChars="350"/>
        <w:rPr>
          <w:color w:val="auto"/>
          <w:highlight w:val="none"/>
        </w:rPr>
      </w:pPr>
      <w:r>
        <w:rPr>
          <w:rFonts w:hint="eastAsia"/>
          <w:color w:val="auto"/>
          <w:highlight w:val="none"/>
        </w:rPr>
        <w:t>上述不予退还投标保证金的情况并给招标代理机构造成损失的，还要承担赔偿责任。</w:t>
      </w:r>
    </w:p>
    <w:p w14:paraId="65E322FD">
      <w:pPr>
        <w:spacing w:line="440" w:lineRule="exact"/>
        <w:rPr>
          <w:color w:val="auto"/>
          <w:highlight w:val="none"/>
        </w:rPr>
      </w:pPr>
    </w:p>
    <w:p w14:paraId="428F218C">
      <w:pPr>
        <w:rPr>
          <w:rFonts w:hint="eastAsia"/>
          <w:b/>
          <w:color w:val="auto"/>
          <w:sz w:val="32"/>
          <w:szCs w:val="32"/>
          <w:highlight w:val="none"/>
        </w:rPr>
      </w:pPr>
      <w:bookmarkStart w:id="14" w:name="_Toc824"/>
      <w:r>
        <w:rPr>
          <w:rFonts w:hint="eastAsia"/>
          <w:b/>
          <w:color w:val="auto"/>
          <w:sz w:val="32"/>
          <w:szCs w:val="32"/>
          <w:highlight w:val="none"/>
        </w:rPr>
        <w:br w:type="page"/>
      </w:r>
    </w:p>
    <w:p w14:paraId="4605B06D">
      <w:pPr>
        <w:spacing w:line="440" w:lineRule="exact"/>
        <w:ind w:firstLine="480"/>
        <w:jc w:val="center"/>
        <w:outlineLvl w:val="1"/>
        <w:rPr>
          <w:b/>
          <w:color w:val="auto"/>
          <w:sz w:val="32"/>
          <w:szCs w:val="32"/>
          <w:highlight w:val="none"/>
        </w:rPr>
      </w:pPr>
      <w:r>
        <w:rPr>
          <w:rFonts w:hint="eastAsia"/>
          <w:b/>
          <w:color w:val="auto"/>
          <w:sz w:val="32"/>
          <w:szCs w:val="32"/>
          <w:highlight w:val="none"/>
        </w:rPr>
        <w:t>第三章 投标文件的递交</w:t>
      </w:r>
      <w:bookmarkEnd w:id="14"/>
    </w:p>
    <w:p w14:paraId="6BE0FC16">
      <w:pPr>
        <w:spacing w:line="440" w:lineRule="exact"/>
        <w:ind w:firstLine="482" w:firstLineChars="200"/>
        <w:rPr>
          <w:b/>
          <w:color w:val="auto"/>
          <w:highlight w:val="none"/>
        </w:rPr>
      </w:pPr>
      <w:r>
        <w:rPr>
          <w:b/>
          <w:color w:val="auto"/>
          <w:highlight w:val="none"/>
        </w:rPr>
        <w:t xml:space="preserve">12. </w:t>
      </w:r>
      <w:r>
        <w:rPr>
          <w:rFonts w:hint="eastAsia"/>
          <w:b/>
          <w:color w:val="auto"/>
          <w:highlight w:val="none"/>
        </w:rPr>
        <w:t>投标文件的标记</w:t>
      </w:r>
    </w:p>
    <w:p w14:paraId="527D8171">
      <w:pPr>
        <w:spacing w:line="440" w:lineRule="exact"/>
        <w:ind w:firstLine="480" w:firstLineChars="200"/>
        <w:rPr>
          <w:color w:val="auto"/>
          <w:highlight w:val="none"/>
        </w:rPr>
      </w:pPr>
      <w:r>
        <w:rPr>
          <w:color w:val="auto"/>
          <w:highlight w:val="none"/>
        </w:rPr>
        <w:t>12.1</w:t>
      </w:r>
      <w:r>
        <w:rPr>
          <w:rFonts w:hint="eastAsia"/>
          <w:color w:val="auto"/>
          <w:highlight w:val="none"/>
        </w:rPr>
        <w:t>　任何不完整或不满足招标文件要求的投标文件将被拒绝。</w:t>
      </w:r>
    </w:p>
    <w:p w14:paraId="36639012">
      <w:pPr>
        <w:spacing w:line="440" w:lineRule="exact"/>
        <w:ind w:firstLine="480" w:firstLineChars="200"/>
        <w:rPr>
          <w:rFonts w:hint="eastAsia"/>
          <w:color w:val="auto"/>
          <w:highlight w:val="none"/>
        </w:rPr>
      </w:pPr>
      <w:r>
        <w:rPr>
          <w:color w:val="auto"/>
          <w:highlight w:val="none"/>
        </w:rPr>
        <w:t>12.2</w:t>
      </w:r>
      <w:r>
        <w:rPr>
          <w:rFonts w:hint="eastAsia"/>
          <w:color w:val="auto"/>
          <w:highlight w:val="none"/>
        </w:rPr>
        <w:t>　投标人应通过电子投标文件制作工具严格按招标文件要求制作投标文件，在投标截止时间前完成上传经过数字证书电子签章并加密的投标文件（加密和解密须用同一把数字证书）。</w:t>
      </w:r>
    </w:p>
    <w:p w14:paraId="551CEF67">
      <w:pPr>
        <w:spacing w:line="440" w:lineRule="exact"/>
        <w:ind w:firstLine="482" w:firstLineChars="200"/>
        <w:rPr>
          <w:b/>
          <w:color w:val="auto"/>
          <w:highlight w:val="none"/>
        </w:rPr>
      </w:pPr>
      <w:r>
        <w:rPr>
          <w:b/>
          <w:color w:val="auto"/>
          <w:highlight w:val="none"/>
        </w:rPr>
        <w:t xml:space="preserve">13. </w:t>
      </w:r>
      <w:r>
        <w:rPr>
          <w:rFonts w:hint="eastAsia"/>
          <w:b/>
          <w:color w:val="auto"/>
          <w:highlight w:val="none"/>
        </w:rPr>
        <w:t>投标截止时间</w:t>
      </w:r>
    </w:p>
    <w:p w14:paraId="743C53B8">
      <w:pPr>
        <w:spacing w:line="440" w:lineRule="exact"/>
        <w:ind w:firstLine="480" w:firstLineChars="200"/>
        <w:rPr>
          <w:color w:val="auto"/>
          <w:highlight w:val="none"/>
        </w:rPr>
      </w:pPr>
      <w:r>
        <w:rPr>
          <w:color w:val="auto"/>
          <w:highlight w:val="none"/>
        </w:rPr>
        <w:t xml:space="preserve">13.1  </w:t>
      </w:r>
      <w:r>
        <w:rPr>
          <w:rFonts w:hint="eastAsia"/>
          <w:color w:val="auto"/>
          <w:highlight w:val="none"/>
        </w:rPr>
        <w:t>投标文件应在投标人须知前附表规定的投标截止时间之前密封送到投标人须知前附表指定的地点。</w:t>
      </w:r>
    </w:p>
    <w:p w14:paraId="614DC223">
      <w:pPr>
        <w:spacing w:line="440" w:lineRule="exact"/>
        <w:ind w:firstLine="480" w:firstLineChars="200"/>
        <w:rPr>
          <w:rFonts w:ascii="等线" w:hAnsi="等线" w:eastAsia="等线"/>
          <w:color w:val="auto"/>
          <w:highlight w:val="none"/>
        </w:rPr>
      </w:pPr>
      <w:r>
        <w:rPr>
          <w:color w:val="auto"/>
          <w:highlight w:val="none"/>
        </w:rPr>
        <w:t>13.2</w:t>
      </w:r>
      <w:r>
        <w:rPr>
          <w:rFonts w:hint="eastAsia"/>
          <w:color w:val="auto"/>
          <w:highlight w:val="none"/>
        </w:rPr>
        <w:t>　投标截止时间以政采云中心政采云平台显示的时间为准，逾期系统将自动关闭，未完成上传的投标文件视为逾期送达，将被拒绝。</w:t>
      </w:r>
    </w:p>
    <w:p w14:paraId="3ABC6C6F">
      <w:pPr>
        <w:spacing w:line="440" w:lineRule="exact"/>
        <w:ind w:firstLine="482" w:firstLineChars="200"/>
        <w:rPr>
          <w:b/>
          <w:color w:val="auto"/>
          <w:sz w:val="22"/>
          <w:highlight w:val="none"/>
        </w:rPr>
      </w:pPr>
      <w:r>
        <w:rPr>
          <w:b/>
          <w:color w:val="auto"/>
          <w:highlight w:val="none"/>
        </w:rPr>
        <w:t xml:space="preserve">14. </w:t>
      </w:r>
      <w:r>
        <w:rPr>
          <w:rFonts w:hint="eastAsia"/>
          <w:b/>
          <w:color w:val="auto"/>
          <w:highlight w:val="none"/>
        </w:rPr>
        <w:t>投标文件的修改和撤销</w:t>
      </w:r>
    </w:p>
    <w:p w14:paraId="43280284">
      <w:pPr>
        <w:spacing w:line="440" w:lineRule="exact"/>
        <w:ind w:firstLine="480" w:firstLineChars="200"/>
        <w:rPr>
          <w:rFonts w:hint="eastAsia"/>
          <w:color w:val="auto"/>
          <w:highlight w:val="none"/>
        </w:rPr>
      </w:pPr>
      <w:r>
        <w:rPr>
          <w:color w:val="auto"/>
          <w:highlight w:val="none"/>
        </w:rPr>
        <w:t>14.1</w:t>
      </w:r>
      <w:r>
        <w:rPr>
          <w:rFonts w:hint="eastAsia"/>
          <w:color w:val="auto"/>
          <w:highlight w:val="none"/>
        </w:rPr>
        <w:t>　投标人在递交投标文件后，可在规定的投标截止时间之前，对其投标文件以书面通知的形式进行修改或撤消。</w:t>
      </w:r>
    </w:p>
    <w:p w14:paraId="534B6056">
      <w:pPr>
        <w:spacing w:line="440" w:lineRule="exact"/>
        <w:ind w:firstLine="480" w:firstLineChars="200"/>
        <w:rPr>
          <w:color w:val="auto"/>
          <w:highlight w:val="none"/>
        </w:rPr>
      </w:pPr>
      <w:r>
        <w:rPr>
          <w:color w:val="auto"/>
          <w:highlight w:val="none"/>
        </w:rPr>
        <w:t xml:space="preserve">14.2  </w:t>
      </w:r>
      <w:r>
        <w:rPr>
          <w:rFonts w:hint="eastAsia"/>
          <w:color w:val="auto"/>
          <w:highlight w:val="none"/>
        </w:rPr>
        <w:t>投标人在投标截止时间前，可以对其所递交的投标文件进行修改并重新上传，但以投标截止时间前最后一次上传的投标文件为有效投标文件。</w:t>
      </w:r>
    </w:p>
    <w:p w14:paraId="2D3D40EC">
      <w:pPr>
        <w:spacing w:line="440" w:lineRule="exact"/>
        <w:ind w:firstLine="482" w:firstLineChars="150"/>
        <w:jc w:val="center"/>
        <w:outlineLvl w:val="1"/>
        <w:rPr>
          <w:rFonts w:hint="eastAsia"/>
          <w:b/>
          <w:color w:val="auto"/>
          <w:sz w:val="32"/>
          <w:szCs w:val="32"/>
          <w:highlight w:val="none"/>
        </w:rPr>
      </w:pPr>
    </w:p>
    <w:p w14:paraId="473A0452">
      <w:pPr>
        <w:rPr>
          <w:rFonts w:hint="eastAsia"/>
          <w:b/>
          <w:color w:val="auto"/>
          <w:sz w:val="32"/>
          <w:szCs w:val="32"/>
          <w:highlight w:val="none"/>
        </w:rPr>
      </w:pPr>
      <w:bookmarkStart w:id="15" w:name="_Toc14807"/>
      <w:r>
        <w:rPr>
          <w:rFonts w:hint="eastAsia"/>
          <w:b/>
          <w:color w:val="auto"/>
          <w:sz w:val="32"/>
          <w:szCs w:val="32"/>
          <w:highlight w:val="none"/>
        </w:rPr>
        <w:br w:type="page"/>
      </w:r>
    </w:p>
    <w:p w14:paraId="2545A271">
      <w:pPr>
        <w:spacing w:line="440" w:lineRule="exact"/>
        <w:ind w:firstLine="482" w:firstLineChars="150"/>
        <w:jc w:val="center"/>
        <w:outlineLvl w:val="1"/>
        <w:rPr>
          <w:color w:val="auto"/>
          <w:highlight w:val="none"/>
        </w:rPr>
      </w:pPr>
      <w:r>
        <w:rPr>
          <w:rFonts w:hint="eastAsia"/>
          <w:b/>
          <w:color w:val="auto"/>
          <w:sz w:val="32"/>
          <w:szCs w:val="32"/>
          <w:highlight w:val="none"/>
        </w:rPr>
        <w:t>第四章</w:t>
      </w:r>
      <w:r>
        <w:rPr>
          <w:b/>
          <w:color w:val="auto"/>
          <w:sz w:val="32"/>
          <w:szCs w:val="32"/>
          <w:highlight w:val="none"/>
        </w:rPr>
        <w:t xml:space="preserve"> </w:t>
      </w:r>
      <w:r>
        <w:rPr>
          <w:rFonts w:hint="eastAsia"/>
          <w:b/>
          <w:color w:val="auto"/>
          <w:sz w:val="32"/>
          <w:szCs w:val="32"/>
          <w:highlight w:val="none"/>
        </w:rPr>
        <w:t>评标委员会</w:t>
      </w:r>
      <w:bookmarkEnd w:id="15"/>
    </w:p>
    <w:p w14:paraId="7D5753EE">
      <w:pPr>
        <w:spacing w:line="440" w:lineRule="exact"/>
        <w:ind w:left="550" w:leftChars="229"/>
        <w:rPr>
          <w:b/>
          <w:color w:val="auto"/>
          <w:highlight w:val="none"/>
        </w:rPr>
      </w:pPr>
      <w:r>
        <w:rPr>
          <w:b/>
          <w:color w:val="auto"/>
          <w:highlight w:val="none"/>
        </w:rPr>
        <w:t xml:space="preserve">15. </w:t>
      </w:r>
      <w:r>
        <w:rPr>
          <w:rFonts w:hint="eastAsia"/>
          <w:b/>
          <w:color w:val="auto"/>
          <w:highlight w:val="none"/>
        </w:rPr>
        <w:t>评标委员会</w:t>
      </w:r>
      <w:permStart w:id="0" w:edGrp="everyone"/>
      <w:permEnd w:id="0"/>
    </w:p>
    <w:p w14:paraId="4AEAF517">
      <w:pPr>
        <w:spacing w:line="440" w:lineRule="exact"/>
        <w:ind w:firstLine="472" w:firstLineChars="200"/>
        <w:rPr>
          <w:color w:val="auto"/>
          <w:spacing w:val="-2"/>
          <w:highlight w:val="none"/>
        </w:rPr>
      </w:pPr>
      <w:r>
        <w:rPr>
          <w:color w:val="auto"/>
          <w:spacing w:val="-2"/>
          <w:highlight w:val="none"/>
        </w:rPr>
        <w:t xml:space="preserve">15.1  </w:t>
      </w:r>
      <w:r>
        <w:rPr>
          <w:rFonts w:hint="eastAsia"/>
          <w:color w:val="auto"/>
          <w:spacing w:val="-2"/>
          <w:highlight w:val="none"/>
        </w:rPr>
        <w:t>招标方将根据《中华人民共和国政府采购法》和</w:t>
      </w:r>
      <w:r>
        <w:rPr>
          <w:rFonts w:hint="eastAsia"/>
          <w:color w:val="auto"/>
          <w:highlight w:val="none"/>
        </w:rPr>
        <w:t>相关法律法规</w:t>
      </w:r>
      <w:r>
        <w:rPr>
          <w:rFonts w:hint="eastAsia"/>
          <w:color w:val="auto"/>
          <w:spacing w:val="-2"/>
          <w:highlight w:val="none"/>
        </w:rPr>
        <w:t>，依法组建本次招标的评标委员会，负责本次招标的评标活动。评标委员会负责按招标文件规定的评标标准向招标方推荐中标候选人，并标明排列顺序。</w:t>
      </w:r>
    </w:p>
    <w:p w14:paraId="7DDD6ECF">
      <w:pPr>
        <w:spacing w:line="440" w:lineRule="exact"/>
        <w:ind w:firstLine="472" w:firstLineChars="200"/>
        <w:rPr>
          <w:color w:val="auto"/>
          <w:spacing w:val="-2"/>
          <w:highlight w:val="none"/>
        </w:rPr>
      </w:pPr>
      <w:r>
        <w:rPr>
          <w:color w:val="auto"/>
          <w:spacing w:val="-2"/>
          <w:highlight w:val="none"/>
        </w:rPr>
        <w:t>15.2</w:t>
      </w:r>
      <w:r>
        <w:rPr>
          <w:rFonts w:hint="eastAsia"/>
          <w:color w:val="auto"/>
          <w:spacing w:val="-2"/>
          <w:highlight w:val="none"/>
        </w:rPr>
        <w:t>　评标委员会人选于开标前确定。评标委员会成员名单在中标结果确定前保密。</w:t>
      </w:r>
    </w:p>
    <w:p w14:paraId="50DAC7D4">
      <w:pPr>
        <w:spacing w:line="440" w:lineRule="exact"/>
        <w:ind w:firstLine="472" w:firstLineChars="200"/>
        <w:rPr>
          <w:color w:val="auto"/>
          <w:spacing w:val="-2"/>
          <w:highlight w:val="none"/>
        </w:rPr>
      </w:pPr>
      <w:r>
        <w:rPr>
          <w:color w:val="auto"/>
          <w:spacing w:val="-2"/>
          <w:highlight w:val="none"/>
        </w:rPr>
        <w:t xml:space="preserve">15.3  </w:t>
      </w:r>
      <w:r>
        <w:rPr>
          <w:rFonts w:hint="eastAsia"/>
          <w:color w:val="auto"/>
          <w:spacing w:val="-2"/>
          <w:highlight w:val="none"/>
        </w:rPr>
        <w:t>评标委员会由</w:t>
      </w:r>
      <w:r>
        <w:rPr>
          <w:rFonts w:hint="eastAsia"/>
          <w:color w:val="auto"/>
          <w:spacing w:val="-2"/>
          <w:highlight w:val="none"/>
          <w:lang w:eastAsia="zh-CN"/>
        </w:rPr>
        <w:t>招标人</w:t>
      </w:r>
      <w:r>
        <w:rPr>
          <w:rFonts w:hint="eastAsia"/>
          <w:color w:val="auto"/>
          <w:spacing w:val="-2"/>
          <w:highlight w:val="none"/>
        </w:rPr>
        <w:t>代表和有关技术、经济等方面的专家共</w:t>
      </w:r>
      <w:r>
        <w:rPr>
          <w:rFonts w:hint="eastAsia"/>
          <w:color w:val="auto"/>
          <w:spacing w:val="-2"/>
          <w:highlight w:val="none"/>
          <w:u w:val="single"/>
        </w:rPr>
        <w:t>五名</w:t>
      </w:r>
      <w:r>
        <w:rPr>
          <w:rFonts w:hint="eastAsia"/>
          <w:color w:val="auto"/>
          <w:spacing w:val="-2"/>
          <w:highlight w:val="none"/>
        </w:rPr>
        <w:t>以上人员组成。</w:t>
      </w:r>
    </w:p>
    <w:p w14:paraId="07A4B862">
      <w:pPr>
        <w:spacing w:line="440" w:lineRule="exact"/>
        <w:ind w:firstLine="472" w:firstLineChars="200"/>
        <w:rPr>
          <w:color w:val="auto"/>
          <w:spacing w:val="-2"/>
          <w:highlight w:val="none"/>
        </w:rPr>
      </w:pPr>
      <w:r>
        <w:rPr>
          <w:color w:val="auto"/>
          <w:spacing w:val="-2"/>
          <w:highlight w:val="none"/>
        </w:rPr>
        <w:t xml:space="preserve">15.4  </w:t>
      </w:r>
      <w:r>
        <w:rPr>
          <w:rFonts w:hint="eastAsia"/>
          <w:color w:val="auto"/>
          <w:spacing w:val="-2"/>
          <w:highlight w:val="none"/>
        </w:rPr>
        <w:t>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14:paraId="089934E6">
      <w:pPr>
        <w:spacing w:line="440" w:lineRule="exact"/>
        <w:ind w:firstLine="480" w:firstLineChars="200"/>
        <w:rPr>
          <w:color w:val="auto"/>
          <w:spacing w:val="-2"/>
          <w:highlight w:val="none"/>
        </w:rPr>
      </w:pPr>
      <w:r>
        <w:rPr>
          <w:bCs/>
          <w:color w:val="auto"/>
          <w:highlight w:val="none"/>
        </w:rPr>
        <w:t>15.5</w:t>
      </w:r>
      <w:r>
        <w:rPr>
          <w:rFonts w:hint="eastAsia"/>
          <w:color w:val="auto"/>
          <w:spacing w:val="-2"/>
          <w:highlight w:val="none"/>
        </w:rPr>
        <w:t>评标委员会成员应当熟悉并认真研究招标文件，至少应了解和熟悉以下内容：</w:t>
      </w:r>
    </w:p>
    <w:p w14:paraId="17C3AF7C">
      <w:pPr>
        <w:spacing w:line="440" w:lineRule="exact"/>
        <w:ind w:firstLine="480" w:firstLineChars="200"/>
        <w:rPr>
          <w:color w:val="auto"/>
          <w:spacing w:val="-2"/>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spacing w:val="-2"/>
          <w:highlight w:val="none"/>
        </w:rPr>
        <w:t>招标目的；</w:t>
      </w:r>
    </w:p>
    <w:p w14:paraId="61FF91AD">
      <w:pPr>
        <w:spacing w:line="440" w:lineRule="exact"/>
        <w:ind w:firstLine="480" w:firstLineChars="200"/>
        <w:rPr>
          <w:color w:val="auto"/>
          <w:spacing w:val="-2"/>
          <w:highlight w:val="none"/>
        </w:rPr>
      </w:pPr>
      <w:r>
        <w:rPr>
          <w:rFonts w:hint="eastAsia"/>
          <w:color w:val="auto"/>
          <w:highlight w:val="none"/>
        </w:rPr>
        <w:t>（</w:t>
      </w:r>
      <w:r>
        <w:rPr>
          <w:color w:val="auto"/>
          <w:highlight w:val="none"/>
        </w:rPr>
        <w:t>2</w:t>
      </w:r>
      <w:r>
        <w:rPr>
          <w:rFonts w:hint="eastAsia"/>
          <w:color w:val="auto"/>
          <w:highlight w:val="none"/>
        </w:rPr>
        <w:t>）</w:t>
      </w:r>
      <w:r>
        <w:rPr>
          <w:rFonts w:hint="eastAsia"/>
          <w:color w:val="auto"/>
          <w:spacing w:val="-2"/>
          <w:highlight w:val="none"/>
        </w:rPr>
        <w:t>招标项目的范围、性质；</w:t>
      </w:r>
    </w:p>
    <w:p w14:paraId="1858EA6B">
      <w:pPr>
        <w:spacing w:line="440" w:lineRule="exact"/>
        <w:ind w:firstLine="480" w:firstLineChars="200"/>
        <w:rPr>
          <w:color w:val="auto"/>
          <w:spacing w:val="-2"/>
          <w:highlight w:val="none"/>
        </w:rPr>
      </w:pPr>
      <w:r>
        <w:rPr>
          <w:rFonts w:hint="eastAsia"/>
          <w:color w:val="auto"/>
          <w:highlight w:val="none"/>
        </w:rPr>
        <w:t>（</w:t>
      </w:r>
      <w:r>
        <w:rPr>
          <w:color w:val="auto"/>
          <w:highlight w:val="none"/>
        </w:rPr>
        <w:t>3</w:t>
      </w:r>
      <w:r>
        <w:rPr>
          <w:rFonts w:hint="eastAsia"/>
          <w:color w:val="auto"/>
          <w:highlight w:val="none"/>
        </w:rPr>
        <w:t>）</w:t>
      </w:r>
      <w:r>
        <w:rPr>
          <w:rFonts w:hint="eastAsia"/>
          <w:color w:val="auto"/>
          <w:spacing w:val="-2"/>
          <w:highlight w:val="none"/>
        </w:rPr>
        <w:t>招标文件中规定的主要技术要求、标准和商务条款；</w:t>
      </w:r>
    </w:p>
    <w:p w14:paraId="6D146EB2">
      <w:pPr>
        <w:spacing w:line="440" w:lineRule="exact"/>
        <w:ind w:firstLine="480" w:firstLineChars="200"/>
        <w:rPr>
          <w:color w:val="auto"/>
          <w:spacing w:val="-2"/>
          <w:highlight w:val="none"/>
        </w:rPr>
      </w:pPr>
      <w:r>
        <w:rPr>
          <w:rFonts w:hint="eastAsia"/>
          <w:color w:val="auto"/>
          <w:highlight w:val="none"/>
        </w:rPr>
        <w:t>（</w:t>
      </w:r>
      <w:r>
        <w:rPr>
          <w:color w:val="auto"/>
          <w:highlight w:val="none"/>
        </w:rPr>
        <w:t>4</w:t>
      </w:r>
      <w:r>
        <w:rPr>
          <w:rFonts w:hint="eastAsia"/>
          <w:color w:val="auto"/>
          <w:highlight w:val="none"/>
        </w:rPr>
        <w:t>）</w:t>
      </w:r>
      <w:r>
        <w:rPr>
          <w:rFonts w:hint="eastAsia"/>
          <w:color w:val="auto"/>
          <w:spacing w:val="-2"/>
          <w:highlight w:val="none"/>
        </w:rPr>
        <w:t>招标文件规定的评标标准、评标方法和在评标过程中应考虑的相关因素。</w:t>
      </w:r>
    </w:p>
    <w:p w14:paraId="7B37A856">
      <w:pPr>
        <w:spacing w:line="440" w:lineRule="exact"/>
        <w:ind w:firstLine="472" w:firstLineChars="200"/>
        <w:rPr>
          <w:color w:val="auto"/>
          <w:spacing w:val="-2"/>
          <w:highlight w:val="none"/>
        </w:rPr>
      </w:pPr>
      <w:r>
        <w:rPr>
          <w:color w:val="auto"/>
          <w:spacing w:val="-2"/>
          <w:highlight w:val="none"/>
        </w:rPr>
        <w:t xml:space="preserve">15.6  </w:t>
      </w:r>
      <w:r>
        <w:rPr>
          <w:rFonts w:hint="eastAsia"/>
          <w:color w:val="auto"/>
          <w:spacing w:val="-2"/>
          <w:highlight w:val="none"/>
        </w:rPr>
        <w:t>评标委员会应当根据招标文件规定的评标标准和方法，对投标文件进行系统地评审。</w:t>
      </w:r>
    </w:p>
    <w:p w14:paraId="7E1AE052">
      <w:pPr>
        <w:spacing w:line="440" w:lineRule="exact"/>
        <w:ind w:firstLine="472" w:firstLineChars="200"/>
        <w:rPr>
          <w:color w:val="auto"/>
          <w:spacing w:val="-2"/>
          <w:highlight w:val="none"/>
        </w:rPr>
      </w:pPr>
      <w:r>
        <w:rPr>
          <w:color w:val="auto"/>
          <w:spacing w:val="-2"/>
          <w:highlight w:val="none"/>
        </w:rPr>
        <w:t xml:space="preserve">15.7  </w:t>
      </w:r>
      <w:r>
        <w:rPr>
          <w:rFonts w:hint="eastAsia"/>
          <w:color w:val="auto"/>
          <w:spacing w:val="-2"/>
          <w:highlight w:val="none"/>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2A6C1765">
      <w:pPr>
        <w:spacing w:line="440" w:lineRule="exact"/>
        <w:ind w:firstLine="472" w:firstLineChars="200"/>
        <w:rPr>
          <w:color w:val="auto"/>
          <w:spacing w:val="-2"/>
          <w:highlight w:val="none"/>
        </w:rPr>
      </w:pPr>
      <w:r>
        <w:rPr>
          <w:color w:val="auto"/>
          <w:spacing w:val="-2"/>
          <w:highlight w:val="none"/>
        </w:rPr>
        <w:t xml:space="preserve">15.8  </w:t>
      </w:r>
      <w:r>
        <w:rPr>
          <w:rFonts w:hint="eastAsia"/>
          <w:color w:val="auto"/>
          <w:spacing w:val="-2"/>
          <w:highlight w:val="none"/>
        </w:rPr>
        <w:t>评标委员会成员和与本次评标活动有关的工作人员，不得透露对投标文件的评审和中标候选人的推荐情况以及与评标有关的其他情况。</w:t>
      </w:r>
    </w:p>
    <w:p w14:paraId="2F31A306">
      <w:pPr>
        <w:spacing w:line="440" w:lineRule="exact"/>
        <w:ind w:firstLine="472" w:firstLineChars="200"/>
        <w:rPr>
          <w:color w:val="auto"/>
          <w:spacing w:val="-2"/>
          <w:highlight w:val="none"/>
        </w:rPr>
      </w:pPr>
      <w:r>
        <w:rPr>
          <w:color w:val="auto"/>
          <w:spacing w:val="-2"/>
          <w:highlight w:val="none"/>
        </w:rPr>
        <w:t>15.9</w:t>
      </w:r>
      <w:r>
        <w:rPr>
          <w:rFonts w:hint="eastAsia"/>
          <w:color w:val="auto"/>
          <w:spacing w:val="-2"/>
          <w:highlight w:val="none"/>
        </w:rPr>
        <w:t>　与评标活动有关的工作人员，是指评标委员会成员以外的、因参与评标监督工作或者事务性工作而知悉有关评标情况的所有人员。</w:t>
      </w:r>
    </w:p>
    <w:p w14:paraId="2885E4D8">
      <w:pPr>
        <w:spacing w:line="440" w:lineRule="exact"/>
        <w:jc w:val="center"/>
        <w:outlineLvl w:val="1"/>
        <w:rPr>
          <w:rFonts w:hint="eastAsia"/>
          <w:b/>
          <w:color w:val="auto"/>
          <w:sz w:val="32"/>
          <w:szCs w:val="32"/>
          <w:highlight w:val="none"/>
        </w:rPr>
      </w:pPr>
    </w:p>
    <w:p w14:paraId="232532B7">
      <w:pPr>
        <w:rPr>
          <w:b/>
          <w:color w:val="auto"/>
          <w:sz w:val="32"/>
          <w:szCs w:val="32"/>
          <w:highlight w:val="none"/>
        </w:rPr>
      </w:pPr>
      <w:bookmarkStart w:id="16" w:name="_Toc23937"/>
      <w:r>
        <w:rPr>
          <w:rFonts w:hint="eastAsia"/>
          <w:b/>
          <w:color w:val="auto"/>
          <w:sz w:val="32"/>
          <w:szCs w:val="32"/>
          <w:highlight w:val="none"/>
        </w:rPr>
        <w:t>第五章</w:t>
      </w:r>
      <w:r>
        <w:rPr>
          <w:b/>
          <w:color w:val="auto"/>
          <w:sz w:val="32"/>
          <w:szCs w:val="32"/>
          <w:highlight w:val="none"/>
        </w:rPr>
        <w:t xml:space="preserve"> </w:t>
      </w:r>
      <w:r>
        <w:rPr>
          <w:rFonts w:hint="eastAsia"/>
          <w:b/>
          <w:color w:val="auto"/>
          <w:sz w:val="32"/>
          <w:szCs w:val="32"/>
          <w:highlight w:val="none"/>
        </w:rPr>
        <w:t>开　标</w:t>
      </w:r>
      <w:bookmarkEnd w:id="16"/>
    </w:p>
    <w:p w14:paraId="09FD58D1">
      <w:pPr>
        <w:spacing w:line="440" w:lineRule="exact"/>
        <w:ind w:firstLine="482" w:firstLineChars="200"/>
        <w:rPr>
          <w:b/>
          <w:color w:val="auto"/>
          <w:highlight w:val="none"/>
        </w:rPr>
      </w:pPr>
      <w:r>
        <w:rPr>
          <w:b/>
          <w:color w:val="auto"/>
          <w:highlight w:val="none"/>
        </w:rPr>
        <w:t xml:space="preserve">16. </w:t>
      </w:r>
      <w:r>
        <w:rPr>
          <w:rFonts w:hint="eastAsia"/>
          <w:b/>
          <w:color w:val="auto"/>
          <w:highlight w:val="none"/>
        </w:rPr>
        <w:t>开标</w:t>
      </w:r>
    </w:p>
    <w:p w14:paraId="5974CFD5">
      <w:pPr>
        <w:ind w:firstLine="472" w:firstLineChars="200"/>
        <w:rPr>
          <w:rFonts w:hint="eastAsia"/>
          <w:color w:val="auto"/>
          <w:highlight w:val="none"/>
        </w:rPr>
      </w:pPr>
      <w:r>
        <w:rPr>
          <w:color w:val="auto"/>
          <w:spacing w:val="-2"/>
          <w:highlight w:val="none"/>
        </w:rPr>
        <w:t>16</w:t>
      </w:r>
      <w:r>
        <w:rPr>
          <w:rFonts w:hint="eastAsia"/>
          <w:color w:val="auto"/>
          <w:spacing w:val="-2"/>
          <w:highlight w:val="none"/>
        </w:rPr>
        <w:t>.1　</w:t>
      </w:r>
      <w:r>
        <w:rPr>
          <w:rFonts w:hint="eastAsia"/>
          <w:color w:val="auto"/>
          <w:highlight w:val="none"/>
        </w:rPr>
        <w:t>本项目开标的时间、地点见投标人须知前附表。</w:t>
      </w:r>
    </w:p>
    <w:p w14:paraId="668A36D8">
      <w:pPr>
        <w:spacing w:line="440" w:lineRule="exact"/>
        <w:ind w:firstLine="472" w:firstLineChars="200"/>
        <w:rPr>
          <w:rFonts w:hint="eastAsia"/>
          <w:color w:val="auto"/>
          <w:spacing w:val="-2"/>
          <w:highlight w:val="none"/>
        </w:rPr>
      </w:pPr>
      <w:r>
        <w:rPr>
          <w:color w:val="auto"/>
          <w:spacing w:val="-2"/>
          <w:highlight w:val="none"/>
        </w:rPr>
        <w:t>16</w:t>
      </w:r>
      <w:r>
        <w:rPr>
          <w:rFonts w:hint="eastAsia"/>
          <w:color w:val="auto"/>
          <w:spacing w:val="-2"/>
          <w:highlight w:val="none"/>
        </w:rPr>
        <w:t>.</w:t>
      </w:r>
      <w:r>
        <w:rPr>
          <w:color w:val="auto"/>
          <w:spacing w:val="-2"/>
          <w:highlight w:val="none"/>
        </w:rPr>
        <w:t>2</w:t>
      </w:r>
      <w:r>
        <w:rPr>
          <w:rFonts w:hint="eastAsia"/>
          <w:color w:val="auto"/>
          <w:spacing w:val="-2"/>
          <w:highlight w:val="none"/>
        </w:rPr>
        <w:t>　本项目采用不见面开标方式</w:t>
      </w:r>
    </w:p>
    <w:p w14:paraId="673476C5">
      <w:pPr>
        <w:spacing w:line="440" w:lineRule="exact"/>
        <w:ind w:firstLine="472" w:firstLineChars="200"/>
        <w:rPr>
          <w:rFonts w:hint="eastAsia"/>
          <w:color w:val="auto"/>
          <w:spacing w:val="-2"/>
          <w:highlight w:val="none"/>
        </w:rPr>
      </w:pPr>
      <w:r>
        <w:rPr>
          <w:rFonts w:hint="eastAsia"/>
          <w:color w:val="auto"/>
          <w:spacing w:val="-2"/>
          <w:highlight w:val="none"/>
        </w:rPr>
        <w:t>招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14:paraId="26A32CB4">
      <w:pPr>
        <w:spacing w:line="440" w:lineRule="exact"/>
        <w:ind w:firstLine="472" w:firstLineChars="200"/>
        <w:rPr>
          <w:rFonts w:hint="eastAsia"/>
          <w:color w:val="auto"/>
          <w:spacing w:val="-2"/>
          <w:highlight w:val="none"/>
        </w:rPr>
      </w:pPr>
      <w:r>
        <w:rPr>
          <w:rFonts w:hint="eastAsia"/>
          <w:color w:val="auto"/>
          <w:spacing w:val="-2"/>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41FB50AA">
      <w:pPr>
        <w:spacing w:line="440" w:lineRule="exact"/>
        <w:ind w:firstLine="472" w:firstLineChars="200"/>
        <w:rPr>
          <w:rFonts w:hint="eastAsia"/>
          <w:color w:val="auto"/>
          <w:spacing w:val="-2"/>
          <w:highlight w:val="none"/>
        </w:rPr>
      </w:pPr>
      <w:r>
        <w:rPr>
          <w:color w:val="auto"/>
          <w:spacing w:val="-2"/>
          <w:highlight w:val="none"/>
        </w:rPr>
        <w:t>16</w:t>
      </w:r>
      <w:r>
        <w:rPr>
          <w:rFonts w:hint="eastAsia"/>
          <w:color w:val="auto"/>
          <w:spacing w:val="-2"/>
          <w:highlight w:val="none"/>
        </w:rPr>
        <w:t>.3电子招投标的应急措施</w:t>
      </w:r>
    </w:p>
    <w:p w14:paraId="4CB26CC2">
      <w:pPr>
        <w:spacing w:line="440" w:lineRule="exact"/>
        <w:ind w:firstLine="472" w:firstLineChars="200"/>
        <w:rPr>
          <w:rFonts w:hint="eastAsia"/>
          <w:color w:val="auto"/>
          <w:spacing w:val="-2"/>
          <w:highlight w:val="none"/>
        </w:rPr>
      </w:pPr>
      <w:r>
        <w:rPr>
          <w:color w:val="auto"/>
          <w:spacing w:val="-2"/>
          <w:highlight w:val="none"/>
        </w:rPr>
        <w:t>16</w:t>
      </w:r>
      <w:r>
        <w:rPr>
          <w:rFonts w:hint="eastAsia"/>
          <w:color w:val="auto"/>
          <w:spacing w:val="-2"/>
          <w:highlight w:val="none"/>
        </w:rPr>
        <w:t>.3.1电子开标、评标如出现下列原因，导致系统无法正常运行或无法正常评标时，应采取应急措施。</w:t>
      </w:r>
    </w:p>
    <w:p w14:paraId="3A802404">
      <w:pPr>
        <w:spacing w:line="440" w:lineRule="exact"/>
        <w:ind w:firstLine="472" w:firstLineChars="200"/>
        <w:rPr>
          <w:rFonts w:hint="eastAsia"/>
          <w:color w:val="auto"/>
          <w:spacing w:val="-2"/>
          <w:highlight w:val="none"/>
        </w:rPr>
      </w:pPr>
      <w:r>
        <w:rPr>
          <w:rFonts w:hint="eastAsia"/>
          <w:color w:val="auto"/>
          <w:spacing w:val="-2"/>
          <w:highlight w:val="none"/>
        </w:rPr>
        <w:t>（1）系统服务器发生故障，无法访问或无法使用系统；</w:t>
      </w:r>
    </w:p>
    <w:p w14:paraId="15D40C75">
      <w:pPr>
        <w:spacing w:line="440" w:lineRule="exact"/>
        <w:ind w:firstLine="472" w:firstLineChars="200"/>
        <w:rPr>
          <w:rFonts w:hint="eastAsia"/>
          <w:color w:val="auto"/>
          <w:spacing w:val="-2"/>
          <w:highlight w:val="none"/>
        </w:rPr>
      </w:pPr>
      <w:r>
        <w:rPr>
          <w:rFonts w:hint="eastAsia"/>
          <w:color w:val="auto"/>
          <w:spacing w:val="-2"/>
          <w:highlight w:val="none"/>
        </w:rPr>
        <w:t>（2）系统的软件或数据库出现错误，不能进行正常操作；</w:t>
      </w:r>
    </w:p>
    <w:p w14:paraId="0A9F4AB5">
      <w:pPr>
        <w:spacing w:line="440" w:lineRule="exact"/>
        <w:ind w:firstLine="472" w:firstLineChars="200"/>
        <w:rPr>
          <w:rFonts w:hint="eastAsia"/>
          <w:color w:val="auto"/>
          <w:spacing w:val="-2"/>
          <w:highlight w:val="none"/>
        </w:rPr>
      </w:pPr>
      <w:r>
        <w:rPr>
          <w:rFonts w:hint="eastAsia"/>
          <w:color w:val="auto"/>
          <w:spacing w:val="-2"/>
          <w:highlight w:val="none"/>
        </w:rPr>
        <w:t>（3）系统发现有安全漏洞，有潜在的泄密危险；</w:t>
      </w:r>
    </w:p>
    <w:p w14:paraId="5AADC98F">
      <w:pPr>
        <w:spacing w:line="440" w:lineRule="exact"/>
        <w:ind w:firstLine="472" w:firstLineChars="200"/>
        <w:rPr>
          <w:rFonts w:hint="eastAsia"/>
          <w:color w:val="auto"/>
          <w:spacing w:val="-2"/>
          <w:highlight w:val="none"/>
        </w:rPr>
      </w:pPr>
      <w:r>
        <w:rPr>
          <w:rFonts w:hint="eastAsia"/>
          <w:color w:val="auto"/>
          <w:spacing w:val="-2"/>
          <w:highlight w:val="none"/>
        </w:rPr>
        <w:t>（4）病毒发作或受到外来病毒的攻击；</w:t>
      </w:r>
    </w:p>
    <w:p w14:paraId="092ADC48">
      <w:pPr>
        <w:spacing w:line="440" w:lineRule="exact"/>
        <w:ind w:firstLine="472" w:firstLineChars="200"/>
        <w:rPr>
          <w:rFonts w:hint="eastAsia"/>
          <w:color w:val="auto"/>
          <w:spacing w:val="-2"/>
          <w:highlight w:val="none"/>
        </w:rPr>
      </w:pPr>
      <w:r>
        <w:rPr>
          <w:rFonts w:hint="eastAsia"/>
          <w:color w:val="auto"/>
          <w:spacing w:val="-2"/>
          <w:highlight w:val="none"/>
        </w:rPr>
        <w:t>（5）出现其他不可抗拒的客观原因造成开评标系统无法正常使用。</w:t>
      </w:r>
    </w:p>
    <w:p w14:paraId="1EE636A5">
      <w:pPr>
        <w:spacing w:line="440" w:lineRule="exact"/>
        <w:ind w:firstLine="472" w:firstLineChars="200"/>
        <w:rPr>
          <w:color w:val="auto"/>
          <w:highlight w:val="none"/>
        </w:rPr>
      </w:pPr>
      <w:r>
        <w:rPr>
          <w:rFonts w:hint="eastAsia"/>
          <w:color w:val="auto"/>
          <w:spacing w:val="-2"/>
          <w:highlight w:val="none"/>
        </w:rPr>
        <w:t>出现上述情况时，应对未开标的暂停开标。已在系统内开标、评标的立即停止。采取应急措施时，必须对原有资料及信息作出妥善保密处理。</w:t>
      </w:r>
    </w:p>
    <w:p w14:paraId="15F313D4">
      <w:pPr>
        <w:spacing w:line="440" w:lineRule="exact"/>
        <w:ind w:firstLine="472" w:firstLineChars="200"/>
        <w:rPr>
          <w:color w:val="auto"/>
          <w:spacing w:val="-2"/>
          <w:highlight w:val="none"/>
        </w:rPr>
      </w:pPr>
      <w:r>
        <w:rPr>
          <w:color w:val="auto"/>
          <w:spacing w:val="-2"/>
          <w:highlight w:val="none"/>
        </w:rPr>
        <w:t>16</w:t>
      </w:r>
      <w:r>
        <w:rPr>
          <w:rFonts w:hint="eastAsia"/>
          <w:color w:val="auto"/>
          <w:spacing w:val="-2"/>
          <w:highlight w:val="none"/>
        </w:rPr>
        <w:t>.3.2与加密标书同时生成的备份标书，在出现异常情况进行异常处理时，</w:t>
      </w:r>
      <w:r>
        <w:rPr>
          <w:rFonts w:hint="eastAsia"/>
          <w:color w:val="auto"/>
          <w:spacing w:val="-2"/>
          <w:highlight w:val="none"/>
          <w:lang w:eastAsia="zh-CN"/>
        </w:rPr>
        <w:t>招标人</w:t>
      </w:r>
      <w:r>
        <w:rPr>
          <w:rFonts w:hint="eastAsia"/>
          <w:color w:val="auto"/>
          <w:spacing w:val="-2"/>
          <w:highlight w:val="none"/>
        </w:rPr>
        <w:t>或</w:t>
      </w:r>
      <w:r>
        <w:rPr>
          <w:rFonts w:hint="eastAsia"/>
          <w:color w:val="auto"/>
          <w:spacing w:val="-2"/>
          <w:highlight w:val="none"/>
          <w:lang w:eastAsia="zh-CN"/>
        </w:rPr>
        <w:t>招标代理机构</w:t>
      </w:r>
      <w:r>
        <w:rPr>
          <w:rFonts w:hint="eastAsia"/>
          <w:color w:val="auto"/>
          <w:spacing w:val="-2"/>
          <w:highlight w:val="none"/>
        </w:rPr>
        <w:t>可要求投标人提供备份标书，异常处理好的备份文件与其他正常解密成功的</w:t>
      </w:r>
      <w:r>
        <w:rPr>
          <w:rFonts w:hint="eastAsia"/>
          <w:color w:val="auto"/>
          <w:spacing w:val="-2"/>
          <w:highlight w:val="none"/>
          <w:lang w:eastAsia="zh-CN"/>
        </w:rPr>
        <w:t>投标人</w:t>
      </w:r>
      <w:r>
        <w:rPr>
          <w:rFonts w:hint="eastAsia"/>
          <w:color w:val="auto"/>
          <w:spacing w:val="-2"/>
          <w:highlight w:val="none"/>
        </w:rPr>
        <w:t>一样有效。平台会校验标书一致性及标书身份识别，切勿手动修改标书。</w:t>
      </w:r>
      <w:r>
        <w:rPr>
          <w:rFonts w:hint="eastAsia"/>
          <w:color w:val="auto"/>
          <w:spacing w:val="-2"/>
          <w:highlight w:val="none"/>
          <w:lang w:eastAsia="zh-CN"/>
        </w:rPr>
        <w:t>投标人</w:t>
      </w:r>
      <w:r>
        <w:rPr>
          <w:rFonts w:hint="eastAsia"/>
          <w:color w:val="auto"/>
          <w:spacing w:val="-2"/>
          <w:highlight w:val="none"/>
        </w:rPr>
        <w:t>生成的后缀格式为.bfbs的备份标书无法查看，</w:t>
      </w:r>
      <w:r>
        <w:rPr>
          <w:rFonts w:hint="eastAsia"/>
          <w:color w:val="auto"/>
          <w:spacing w:val="-2"/>
          <w:highlight w:val="none"/>
          <w:lang w:eastAsia="zh-CN"/>
        </w:rPr>
        <w:t>招标人</w:t>
      </w:r>
      <w:r>
        <w:rPr>
          <w:rFonts w:hint="eastAsia"/>
          <w:color w:val="auto"/>
          <w:spacing w:val="-2"/>
          <w:highlight w:val="none"/>
        </w:rPr>
        <w:t>或</w:t>
      </w:r>
      <w:r>
        <w:rPr>
          <w:rFonts w:hint="eastAsia"/>
          <w:color w:val="auto"/>
          <w:spacing w:val="-2"/>
          <w:highlight w:val="none"/>
          <w:lang w:eastAsia="zh-CN"/>
        </w:rPr>
        <w:t>招标代理机构</w:t>
      </w:r>
      <w:r>
        <w:rPr>
          <w:rFonts w:hint="eastAsia"/>
          <w:color w:val="auto"/>
          <w:spacing w:val="-2"/>
          <w:highlight w:val="none"/>
        </w:rPr>
        <w:t>仅在开标解密时异常处理使用。</w:t>
      </w:r>
    </w:p>
    <w:p w14:paraId="0D66FE7A">
      <w:pPr>
        <w:spacing w:line="440" w:lineRule="exact"/>
        <w:ind w:firstLine="472" w:firstLineChars="200"/>
        <w:rPr>
          <w:color w:val="auto"/>
          <w:spacing w:val="-2"/>
          <w:highlight w:val="none"/>
        </w:rPr>
      </w:pPr>
      <w:r>
        <w:rPr>
          <w:color w:val="auto"/>
          <w:spacing w:val="-2"/>
          <w:highlight w:val="none"/>
        </w:rPr>
        <w:t>16</w:t>
      </w:r>
      <w:r>
        <w:rPr>
          <w:rFonts w:hint="eastAsia"/>
          <w:color w:val="auto"/>
          <w:spacing w:val="-2"/>
          <w:highlight w:val="none"/>
        </w:rPr>
        <w:t>.3　投标人代表及有关人员在开标记录上签字确认。所有投标人电子标书解密完成后开启签字时段，各投标人须在开启签字时段10分钟内完成签字确认，政采云签字时段逾期未签字的，视同认可开标结果。</w:t>
      </w:r>
    </w:p>
    <w:p w14:paraId="36B0D4C6">
      <w:pPr>
        <w:spacing w:line="440" w:lineRule="exact"/>
        <w:ind w:firstLine="472" w:firstLineChars="200"/>
        <w:rPr>
          <w:color w:val="auto"/>
          <w:spacing w:val="-2"/>
          <w:highlight w:val="none"/>
        </w:rPr>
      </w:pPr>
      <w:r>
        <w:rPr>
          <w:color w:val="auto"/>
          <w:spacing w:val="-2"/>
          <w:highlight w:val="none"/>
        </w:rPr>
        <w:t>16</w:t>
      </w:r>
      <w:r>
        <w:rPr>
          <w:rFonts w:hint="eastAsia"/>
          <w:color w:val="auto"/>
          <w:spacing w:val="-2"/>
          <w:highlight w:val="none"/>
        </w:rPr>
        <w:t>.4　投标人代表对开标过程和开标记录有疑义，以及认为</w:t>
      </w:r>
      <w:r>
        <w:rPr>
          <w:rFonts w:hint="eastAsia"/>
          <w:color w:val="auto"/>
          <w:spacing w:val="-2"/>
          <w:highlight w:val="none"/>
          <w:lang w:eastAsia="zh-CN"/>
        </w:rPr>
        <w:t>招标人</w:t>
      </w:r>
      <w:r>
        <w:rPr>
          <w:rFonts w:hint="eastAsia"/>
          <w:color w:val="auto"/>
          <w:spacing w:val="-2"/>
          <w:highlight w:val="none"/>
        </w:rPr>
        <w:t>、</w:t>
      </w:r>
      <w:r>
        <w:rPr>
          <w:rFonts w:hint="eastAsia"/>
          <w:color w:val="auto"/>
          <w:spacing w:val="-2"/>
          <w:highlight w:val="none"/>
          <w:lang w:eastAsia="zh-CN"/>
        </w:rPr>
        <w:t>招标代理机构</w:t>
      </w:r>
      <w:r>
        <w:rPr>
          <w:rFonts w:hint="eastAsia"/>
          <w:color w:val="auto"/>
          <w:spacing w:val="-2"/>
          <w:highlight w:val="none"/>
        </w:rPr>
        <w:t>相关工作人员有需要回避的情形的，应当场提出询问或者回避申请。</w:t>
      </w:r>
      <w:r>
        <w:rPr>
          <w:rFonts w:hint="eastAsia"/>
          <w:color w:val="auto"/>
          <w:spacing w:val="-2"/>
          <w:highlight w:val="none"/>
          <w:lang w:eastAsia="zh-CN"/>
        </w:rPr>
        <w:t>招标人</w:t>
      </w:r>
      <w:r>
        <w:rPr>
          <w:rFonts w:hint="eastAsia"/>
          <w:color w:val="auto"/>
          <w:spacing w:val="-2"/>
          <w:highlight w:val="none"/>
        </w:rPr>
        <w:t>、</w:t>
      </w:r>
      <w:r>
        <w:rPr>
          <w:rFonts w:hint="eastAsia"/>
          <w:color w:val="auto"/>
          <w:spacing w:val="-2"/>
          <w:highlight w:val="none"/>
          <w:lang w:eastAsia="zh-CN"/>
        </w:rPr>
        <w:t>招标代理机构</w:t>
      </w:r>
      <w:r>
        <w:rPr>
          <w:rFonts w:hint="eastAsia"/>
          <w:color w:val="auto"/>
          <w:spacing w:val="-2"/>
          <w:highlight w:val="none"/>
        </w:rPr>
        <w:t>对投标人代表提出的询问或者回避申请应当及时处理。</w:t>
      </w:r>
    </w:p>
    <w:p w14:paraId="3C56E0F9">
      <w:pPr>
        <w:spacing w:line="440" w:lineRule="exact"/>
        <w:ind w:firstLine="472" w:firstLineChars="200"/>
        <w:rPr>
          <w:color w:val="auto"/>
          <w:spacing w:val="-2"/>
          <w:highlight w:val="none"/>
        </w:rPr>
      </w:pPr>
      <w:r>
        <w:rPr>
          <w:rFonts w:hint="eastAsia"/>
          <w:color w:val="auto"/>
          <w:spacing w:val="-2"/>
          <w:highlight w:val="none"/>
        </w:rPr>
        <w:t>★1</w:t>
      </w:r>
      <w:r>
        <w:rPr>
          <w:color w:val="auto"/>
          <w:spacing w:val="-2"/>
          <w:highlight w:val="none"/>
        </w:rPr>
        <w:t xml:space="preserve">7. </w:t>
      </w:r>
      <w:r>
        <w:rPr>
          <w:rFonts w:hint="eastAsia"/>
          <w:color w:val="auto"/>
          <w:spacing w:val="-2"/>
          <w:highlight w:val="none"/>
        </w:rPr>
        <w:t>资格审查</w:t>
      </w:r>
    </w:p>
    <w:p w14:paraId="13DFE761">
      <w:pPr>
        <w:pStyle w:val="15"/>
        <w:spacing w:line="440" w:lineRule="exact"/>
        <w:ind w:firstLine="472" w:firstLineChars="200"/>
        <w:rPr>
          <w:rFonts w:hAnsi="宋体"/>
          <w:color w:val="auto"/>
          <w:spacing w:val="-2"/>
          <w:sz w:val="24"/>
          <w:szCs w:val="24"/>
          <w:highlight w:val="none"/>
        </w:rPr>
      </w:pPr>
      <w:r>
        <w:rPr>
          <w:rFonts w:hAnsi="宋体"/>
          <w:color w:val="auto"/>
          <w:spacing w:val="-2"/>
          <w:sz w:val="24"/>
          <w:szCs w:val="24"/>
          <w:highlight w:val="none"/>
        </w:rPr>
        <w:t>17.</w:t>
      </w:r>
      <w:r>
        <w:rPr>
          <w:rFonts w:hint="eastAsia" w:hAnsi="宋体"/>
          <w:color w:val="auto"/>
          <w:spacing w:val="-2"/>
          <w:sz w:val="24"/>
          <w:szCs w:val="24"/>
          <w:highlight w:val="none"/>
        </w:rPr>
        <w:t>1　公开招标采购项目开标结束后，</w:t>
      </w:r>
      <w:r>
        <w:rPr>
          <w:rFonts w:hint="eastAsia" w:hAnsi="宋体"/>
          <w:color w:val="auto"/>
          <w:spacing w:val="-2"/>
          <w:sz w:val="24"/>
          <w:szCs w:val="24"/>
          <w:highlight w:val="none"/>
          <w:lang w:eastAsia="zh-CN"/>
        </w:rPr>
        <w:t>招标人</w:t>
      </w:r>
      <w:r>
        <w:rPr>
          <w:rFonts w:hint="eastAsia" w:hAnsi="宋体"/>
          <w:color w:val="auto"/>
          <w:spacing w:val="-2"/>
          <w:sz w:val="24"/>
          <w:szCs w:val="24"/>
          <w:highlight w:val="none"/>
        </w:rPr>
        <w:t>或者</w:t>
      </w:r>
      <w:r>
        <w:rPr>
          <w:rFonts w:hint="eastAsia" w:hAnsi="宋体"/>
          <w:color w:val="auto"/>
          <w:spacing w:val="-2"/>
          <w:sz w:val="24"/>
          <w:szCs w:val="24"/>
          <w:highlight w:val="none"/>
          <w:lang w:eastAsia="zh-CN"/>
        </w:rPr>
        <w:t>招标代理机构</w:t>
      </w:r>
      <w:r>
        <w:rPr>
          <w:rFonts w:hint="eastAsia" w:hAnsi="宋体"/>
          <w:color w:val="auto"/>
          <w:spacing w:val="-2"/>
          <w:sz w:val="24"/>
          <w:szCs w:val="24"/>
          <w:highlight w:val="none"/>
        </w:rPr>
        <w:t>应当依法对投标人的资格进行审查。合格投标人不足3家的，不得评标。</w:t>
      </w:r>
    </w:p>
    <w:p w14:paraId="61DAD572">
      <w:pPr>
        <w:pStyle w:val="15"/>
        <w:spacing w:line="440" w:lineRule="exact"/>
        <w:ind w:firstLine="472" w:firstLineChars="200"/>
        <w:rPr>
          <w:rFonts w:hint="eastAsia" w:hAnsi="宋体"/>
          <w:color w:val="auto"/>
          <w:spacing w:val="-2"/>
          <w:sz w:val="24"/>
          <w:szCs w:val="24"/>
          <w:highlight w:val="none"/>
        </w:rPr>
      </w:pPr>
      <w:r>
        <w:rPr>
          <w:rFonts w:hint="eastAsia" w:hAnsi="宋体"/>
          <w:color w:val="auto"/>
          <w:spacing w:val="-2"/>
          <w:sz w:val="24"/>
          <w:szCs w:val="24"/>
          <w:highlight w:val="none"/>
        </w:rPr>
        <w:t>资格审查内容如下：</w:t>
      </w:r>
    </w:p>
    <w:p w14:paraId="110AD87A">
      <w:pPr>
        <w:pStyle w:val="15"/>
        <w:spacing w:line="440" w:lineRule="exact"/>
        <w:ind w:firstLine="420" w:firstLineChars="200"/>
        <w:rPr>
          <w:rFonts w:hint="eastAsia" w:hAnsi="宋体"/>
          <w:color w:val="auto"/>
          <w:spacing w:val="-2"/>
          <w:sz w:val="24"/>
          <w:szCs w:val="24"/>
          <w:highlight w:val="none"/>
        </w:rPr>
      </w:pPr>
      <w:r>
        <w:rPr>
          <w:rFonts w:hint="eastAsia"/>
          <w:color w:val="auto"/>
          <w:highlight w:val="none"/>
        </w:rPr>
        <w:t>17.1.1</w:t>
      </w:r>
      <w:r>
        <w:rPr>
          <w:rFonts w:hint="eastAsia" w:hAnsi="宋体"/>
          <w:color w:val="auto"/>
          <w:spacing w:val="-2"/>
          <w:sz w:val="24"/>
          <w:szCs w:val="24"/>
          <w:highlight w:val="none"/>
        </w:rPr>
        <w:t>信用记录审查：</w:t>
      </w:r>
    </w:p>
    <w:p w14:paraId="7D5A1565">
      <w:pPr>
        <w:pStyle w:val="15"/>
        <w:spacing w:line="440" w:lineRule="exact"/>
        <w:ind w:firstLine="472" w:firstLineChars="200"/>
        <w:rPr>
          <w:rFonts w:hint="eastAsia" w:hAnsi="宋体"/>
          <w:color w:val="auto"/>
          <w:spacing w:val="-2"/>
          <w:sz w:val="24"/>
          <w:szCs w:val="24"/>
          <w:highlight w:val="none"/>
        </w:rPr>
      </w:pPr>
      <w:r>
        <w:rPr>
          <w:rFonts w:hint="eastAsia" w:hAnsi="宋体"/>
          <w:color w:val="auto"/>
          <w:spacing w:val="-2"/>
          <w:sz w:val="24"/>
          <w:szCs w:val="24"/>
          <w:highlight w:val="none"/>
        </w:rPr>
        <w:t>根据《财政部关于在政府采购活动中查询及使用信用记录有关问题的通知》（财库〔2016〕125号）规定，投标截止时间后，</w:t>
      </w:r>
      <w:r>
        <w:rPr>
          <w:rFonts w:hint="eastAsia" w:hAnsi="宋体"/>
          <w:color w:val="auto"/>
          <w:spacing w:val="-2"/>
          <w:sz w:val="24"/>
          <w:szCs w:val="24"/>
          <w:highlight w:val="none"/>
          <w:lang w:eastAsia="zh-CN"/>
        </w:rPr>
        <w:t>招标人</w:t>
      </w:r>
      <w:r>
        <w:rPr>
          <w:rFonts w:hint="eastAsia" w:hAnsi="宋体"/>
          <w:color w:val="auto"/>
          <w:spacing w:val="-2"/>
          <w:sz w:val="24"/>
          <w:szCs w:val="24"/>
          <w:highlight w:val="none"/>
        </w:rPr>
        <w:t>或</w:t>
      </w:r>
      <w:r>
        <w:rPr>
          <w:rFonts w:hint="eastAsia" w:hAnsi="宋体"/>
          <w:color w:val="auto"/>
          <w:spacing w:val="-2"/>
          <w:sz w:val="24"/>
          <w:szCs w:val="24"/>
          <w:highlight w:val="none"/>
          <w:lang w:eastAsia="zh-CN"/>
        </w:rPr>
        <w:t>招标代理机构</w:t>
      </w:r>
      <w:r>
        <w:rPr>
          <w:rFonts w:hint="eastAsia" w:hAnsi="宋体"/>
          <w:color w:val="auto"/>
          <w:spacing w:val="-2"/>
          <w:sz w:val="24"/>
          <w:szCs w:val="24"/>
          <w:highlight w:val="none"/>
        </w:rPr>
        <w:t>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w:t>
      </w:r>
      <w:r>
        <w:rPr>
          <w:rFonts w:hint="eastAsia" w:hAnsi="宋体"/>
          <w:color w:val="auto"/>
          <w:spacing w:val="-2"/>
          <w:sz w:val="24"/>
          <w:szCs w:val="24"/>
          <w:highlight w:val="none"/>
          <w:lang w:eastAsia="zh-CN"/>
        </w:rPr>
        <w:t>投标人</w:t>
      </w:r>
      <w:r>
        <w:rPr>
          <w:rFonts w:hint="eastAsia" w:hAnsi="宋体"/>
          <w:color w:val="auto"/>
          <w:spacing w:val="-2"/>
          <w:sz w:val="24"/>
          <w:szCs w:val="24"/>
          <w:highlight w:val="none"/>
        </w:rPr>
        <w:t>，其投标将被拒绝。</w:t>
      </w:r>
    </w:p>
    <w:p w14:paraId="3EE04749">
      <w:pPr>
        <w:pStyle w:val="15"/>
        <w:spacing w:line="440" w:lineRule="exact"/>
        <w:ind w:firstLine="472" w:firstLineChars="200"/>
        <w:rPr>
          <w:rFonts w:hAnsi="宋体"/>
          <w:color w:val="auto"/>
          <w:spacing w:val="-2"/>
          <w:sz w:val="24"/>
          <w:szCs w:val="24"/>
          <w:highlight w:val="none"/>
        </w:rPr>
      </w:pPr>
      <w:r>
        <w:rPr>
          <w:rFonts w:hint="eastAsia" w:hAnsi="宋体"/>
          <w:color w:val="auto"/>
          <w:spacing w:val="-2"/>
          <w:sz w:val="24"/>
          <w:szCs w:val="24"/>
          <w:highlight w:val="none"/>
        </w:rPr>
        <w:t>17.1.2对投标人</w:t>
      </w:r>
      <w:r>
        <w:rPr>
          <w:rFonts w:hAnsi="宋体" w:cs="宋体"/>
          <w:color w:val="auto"/>
          <w:sz w:val="24"/>
          <w:szCs w:val="24"/>
          <w:highlight w:val="none"/>
        </w:rPr>
        <w:t>政采云资格响应文件模块</w:t>
      </w:r>
      <w:r>
        <w:rPr>
          <w:rFonts w:hint="eastAsia" w:hAnsi="宋体"/>
          <w:color w:val="auto"/>
          <w:spacing w:val="-2"/>
          <w:sz w:val="24"/>
          <w:szCs w:val="24"/>
          <w:highlight w:val="none"/>
        </w:rPr>
        <w:t>资格响应文件进行审查</w:t>
      </w:r>
    </w:p>
    <w:p w14:paraId="76A75B6C">
      <w:pPr>
        <w:pStyle w:val="15"/>
        <w:spacing w:line="440" w:lineRule="exact"/>
        <w:ind w:firstLine="3776" w:firstLineChars="1600"/>
        <w:rPr>
          <w:rFonts w:hint="eastAsia"/>
          <w:color w:val="auto"/>
          <w:highlight w:val="none"/>
        </w:rPr>
      </w:pPr>
      <w:r>
        <w:rPr>
          <w:rFonts w:hint="eastAsia" w:hAnsi="宋体"/>
          <w:color w:val="auto"/>
          <w:spacing w:val="-2"/>
          <w:sz w:val="24"/>
          <w:szCs w:val="24"/>
          <w:highlight w:val="none"/>
        </w:rPr>
        <w:t>资格审查表</w:t>
      </w:r>
    </w:p>
    <w:tbl>
      <w:tblPr>
        <w:tblStyle w:val="29"/>
        <w:tblW w:w="8887" w:type="dxa"/>
        <w:jc w:val="center"/>
        <w:tblLayout w:type="autofit"/>
        <w:tblCellMar>
          <w:top w:w="0" w:type="dxa"/>
          <w:left w:w="108" w:type="dxa"/>
          <w:bottom w:w="0" w:type="dxa"/>
          <w:right w:w="108" w:type="dxa"/>
        </w:tblCellMar>
      </w:tblPr>
      <w:tblGrid>
        <w:gridCol w:w="581"/>
        <w:gridCol w:w="1442"/>
        <w:gridCol w:w="4789"/>
        <w:gridCol w:w="696"/>
        <w:gridCol w:w="721"/>
        <w:gridCol w:w="658"/>
      </w:tblGrid>
      <w:tr w14:paraId="2E9AB209">
        <w:tblPrEx>
          <w:tblCellMar>
            <w:top w:w="0" w:type="dxa"/>
            <w:left w:w="108" w:type="dxa"/>
            <w:bottom w:w="0" w:type="dxa"/>
            <w:right w:w="108" w:type="dxa"/>
          </w:tblCellMar>
        </w:tblPrEx>
        <w:trPr>
          <w:jc w:val="center"/>
        </w:trPr>
        <w:tc>
          <w:tcPr>
            <w:tcW w:w="2023" w:type="dxa"/>
            <w:gridSpan w:val="2"/>
            <w:vMerge w:val="restart"/>
            <w:tcBorders>
              <w:top w:val="single" w:color="auto" w:sz="4" w:space="0"/>
              <w:left w:val="single" w:color="auto" w:sz="4" w:space="0"/>
              <w:right w:val="single" w:color="auto" w:sz="4" w:space="0"/>
            </w:tcBorders>
            <w:noWrap w:val="0"/>
            <w:vAlign w:val="center"/>
          </w:tcPr>
          <w:p w14:paraId="3A52E0C8">
            <w:pPr>
              <w:widowControl w:val="0"/>
              <w:jc w:val="center"/>
              <w:rPr>
                <w:rFonts w:hint="eastAsia"/>
                <w:color w:val="auto"/>
                <w:kern w:val="2"/>
                <w:sz w:val="21"/>
                <w:szCs w:val="21"/>
                <w:highlight w:val="none"/>
              </w:rPr>
            </w:pPr>
            <w:r>
              <w:rPr>
                <w:rFonts w:hint="eastAsia"/>
                <w:color w:val="auto"/>
                <w:spacing w:val="-2"/>
                <w:sz w:val="21"/>
                <w:szCs w:val="21"/>
                <w:highlight w:val="none"/>
              </w:rPr>
              <w:t>审查内容</w:t>
            </w:r>
          </w:p>
        </w:tc>
        <w:tc>
          <w:tcPr>
            <w:tcW w:w="4789" w:type="dxa"/>
            <w:vMerge w:val="restart"/>
            <w:tcBorders>
              <w:top w:val="single" w:color="auto" w:sz="4" w:space="0"/>
              <w:left w:val="single" w:color="auto" w:sz="4" w:space="0"/>
              <w:right w:val="single" w:color="auto" w:sz="4" w:space="0"/>
            </w:tcBorders>
            <w:noWrap w:val="0"/>
            <w:vAlign w:val="center"/>
          </w:tcPr>
          <w:p w14:paraId="1753BF77">
            <w:pPr>
              <w:widowControl w:val="0"/>
              <w:jc w:val="center"/>
              <w:rPr>
                <w:rFonts w:hint="eastAsia"/>
                <w:color w:val="auto"/>
                <w:kern w:val="2"/>
                <w:sz w:val="21"/>
                <w:szCs w:val="21"/>
                <w:highlight w:val="none"/>
              </w:rPr>
            </w:pPr>
            <w:r>
              <w:rPr>
                <w:rFonts w:hint="eastAsia"/>
                <w:color w:val="auto"/>
                <w:spacing w:val="-2"/>
                <w:sz w:val="21"/>
                <w:szCs w:val="21"/>
                <w:highlight w:val="none"/>
              </w:rPr>
              <w:t>审查标准</w:t>
            </w:r>
          </w:p>
        </w:tc>
        <w:tc>
          <w:tcPr>
            <w:tcW w:w="2075" w:type="dxa"/>
            <w:gridSpan w:val="3"/>
            <w:tcBorders>
              <w:top w:val="single" w:color="auto" w:sz="4" w:space="0"/>
              <w:left w:val="single" w:color="auto" w:sz="4" w:space="0"/>
              <w:bottom w:val="single" w:color="auto" w:sz="4" w:space="0"/>
              <w:right w:val="single" w:color="auto" w:sz="4" w:space="0"/>
            </w:tcBorders>
            <w:noWrap w:val="0"/>
            <w:vAlign w:val="center"/>
          </w:tcPr>
          <w:p w14:paraId="6059EA36">
            <w:pPr>
              <w:widowControl w:val="0"/>
              <w:jc w:val="center"/>
              <w:rPr>
                <w:rFonts w:hint="eastAsia"/>
                <w:color w:val="auto"/>
                <w:kern w:val="2"/>
                <w:sz w:val="21"/>
                <w:szCs w:val="21"/>
                <w:highlight w:val="none"/>
              </w:rPr>
            </w:pPr>
            <w:r>
              <w:rPr>
                <w:rFonts w:hint="eastAsia"/>
                <w:color w:val="auto"/>
                <w:sz w:val="21"/>
                <w:szCs w:val="21"/>
                <w:highlight w:val="none"/>
              </w:rPr>
              <w:t>投标企业名称</w:t>
            </w:r>
          </w:p>
        </w:tc>
      </w:tr>
      <w:tr w14:paraId="4006CF30">
        <w:tblPrEx>
          <w:tblCellMar>
            <w:top w:w="0" w:type="dxa"/>
            <w:left w:w="108" w:type="dxa"/>
            <w:bottom w:w="0" w:type="dxa"/>
            <w:right w:w="108" w:type="dxa"/>
          </w:tblCellMar>
        </w:tblPrEx>
        <w:trPr>
          <w:jc w:val="center"/>
        </w:trPr>
        <w:tc>
          <w:tcPr>
            <w:tcW w:w="2023" w:type="dxa"/>
            <w:gridSpan w:val="2"/>
            <w:vMerge w:val="continue"/>
            <w:tcBorders>
              <w:left w:val="single" w:color="auto" w:sz="4" w:space="0"/>
              <w:bottom w:val="single" w:color="auto" w:sz="4" w:space="0"/>
              <w:right w:val="single" w:color="auto" w:sz="4" w:space="0"/>
            </w:tcBorders>
            <w:noWrap w:val="0"/>
            <w:vAlign w:val="center"/>
          </w:tcPr>
          <w:p w14:paraId="4D9FAB58">
            <w:pPr>
              <w:widowControl w:val="0"/>
              <w:ind w:firstLine="420" w:firstLineChars="200"/>
              <w:jc w:val="center"/>
              <w:rPr>
                <w:rFonts w:hint="eastAsia"/>
                <w:color w:val="auto"/>
                <w:kern w:val="2"/>
                <w:sz w:val="21"/>
                <w:szCs w:val="21"/>
                <w:highlight w:val="none"/>
              </w:rPr>
            </w:pPr>
          </w:p>
        </w:tc>
        <w:tc>
          <w:tcPr>
            <w:tcW w:w="4789" w:type="dxa"/>
            <w:vMerge w:val="continue"/>
            <w:tcBorders>
              <w:left w:val="single" w:color="auto" w:sz="4" w:space="0"/>
              <w:bottom w:val="single" w:color="auto" w:sz="4" w:space="0"/>
              <w:right w:val="single" w:color="auto" w:sz="4" w:space="0"/>
            </w:tcBorders>
            <w:noWrap w:val="0"/>
            <w:vAlign w:val="center"/>
          </w:tcPr>
          <w:p w14:paraId="27263529">
            <w:pPr>
              <w:widowControl w:val="0"/>
              <w:ind w:firstLine="420" w:firstLineChars="200"/>
              <w:jc w:val="center"/>
              <w:rPr>
                <w:rFonts w:hint="eastAsia"/>
                <w:color w:val="auto"/>
                <w:kern w:val="2"/>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0B4CD778">
            <w:pPr>
              <w:widowControl w:val="0"/>
              <w:jc w:val="center"/>
              <w:rPr>
                <w:rFonts w:hint="eastAsia"/>
                <w:color w:val="auto"/>
                <w:kern w:val="2"/>
                <w:sz w:val="21"/>
                <w:szCs w:val="21"/>
                <w:highlight w:val="none"/>
              </w:rPr>
            </w:pPr>
            <w:r>
              <w:rPr>
                <w:rFonts w:hint="eastAsia"/>
                <w:color w:val="auto"/>
                <w:sz w:val="21"/>
                <w:szCs w:val="21"/>
                <w:highlight w:val="none"/>
              </w:rPr>
              <w:t>1</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55B3C79">
            <w:pPr>
              <w:widowControl w:val="0"/>
              <w:jc w:val="center"/>
              <w:rPr>
                <w:rFonts w:hint="eastAsia"/>
                <w:color w:val="auto"/>
                <w:sz w:val="21"/>
                <w:szCs w:val="21"/>
                <w:highlight w:val="none"/>
              </w:rPr>
            </w:pPr>
            <w:r>
              <w:rPr>
                <w:rFonts w:hint="eastAsia"/>
                <w:color w:val="auto"/>
                <w:sz w:val="21"/>
                <w:szCs w:val="21"/>
                <w:highlight w:val="none"/>
              </w:rPr>
              <w:t>2</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29BA204">
            <w:pPr>
              <w:widowControl w:val="0"/>
              <w:jc w:val="center"/>
              <w:rPr>
                <w:rFonts w:hint="eastAsia"/>
                <w:color w:val="auto"/>
                <w:sz w:val="21"/>
                <w:szCs w:val="21"/>
                <w:highlight w:val="none"/>
              </w:rPr>
            </w:pPr>
            <w:r>
              <w:rPr>
                <w:rFonts w:hint="eastAsia"/>
                <w:color w:val="auto"/>
                <w:sz w:val="21"/>
                <w:szCs w:val="21"/>
                <w:highlight w:val="none"/>
              </w:rPr>
              <w:t>…</w:t>
            </w:r>
          </w:p>
        </w:tc>
      </w:tr>
      <w:tr w14:paraId="778E8151">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05162384">
            <w:pPr>
              <w:widowControl w:val="0"/>
              <w:jc w:val="center"/>
              <w:rPr>
                <w:rFonts w:hint="eastAsia"/>
                <w:color w:val="auto"/>
                <w:kern w:val="2"/>
                <w:sz w:val="21"/>
                <w:szCs w:val="21"/>
                <w:highlight w:val="none"/>
              </w:rPr>
            </w:pPr>
            <w:r>
              <w:rPr>
                <w:rFonts w:hint="eastAsia"/>
                <w:color w:val="auto"/>
                <w:kern w:val="2"/>
                <w:sz w:val="21"/>
                <w:szCs w:val="21"/>
                <w:highlight w:val="none"/>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D605FAA">
            <w:pPr>
              <w:widowControl w:val="0"/>
              <w:jc w:val="center"/>
              <w:rPr>
                <w:rFonts w:hint="eastAsia"/>
                <w:color w:val="auto"/>
                <w:kern w:val="2"/>
                <w:sz w:val="21"/>
                <w:szCs w:val="21"/>
                <w:highlight w:val="none"/>
              </w:rPr>
            </w:pPr>
            <w:r>
              <w:rPr>
                <w:rFonts w:hint="eastAsia"/>
                <w:color w:val="auto"/>
                <w:spacing w:val="-2"/>
                <w:sz w:val="21"/>
                <w:szCs w:val="21"/>
                <w:highlight w:val="none"/>
              </w:rPr>
              <w:t>具有独立承担民事责任的能力</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11BD06D4">
            <w:pPr>
              <w:widowControl w:val="0"/>
              <w:spacing w:after="100" w:afterAutospacing="1"/>
              <w:jc w:val="both"/>
              <w:rPr>
                <w:rFonts w:hint="eastAsia"/>
                <w:color w:val="auto"/>
                <w:kern w:val="2"/>
                <w:sz w:val="21"/>
                <w:szCs w:val="21"/>
                <w:highlight w:val="none"/>
              </w:rPr>
            </w:pPr>
            <w:r>
              <w:rPr>
                <w:rFonts w:hint="eastAsia"/>
                <w:color w:val="auto"/>
                <w:kern w:val="2"/>
                <w:sz w:val="21"/>
                <w:szCs w:val="21"/>
                <w:highlight w:val="none"/>
              </w:rPr>
              <w:t>法人或者其他组织的营业执照等证明文件；自然人需提供身份证明；</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EDF64BF">
            <w:pPr>
              <w:widowControl w:val="0"/>
              <w:ind w:firstLine="420" w:firstLineChars="200"/>
              <w:jc w:val="both"/>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2FA72F">
            <w:pPr>
              <w:widowControl w:val="0"/>
              <w:ind w:firstLine="420" w:firstLineChars="200"/>
              <w:jc w:val="both"/>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28F3DA3D">
            <w:pPr>
              <w:widowControl w:val="0"/>
              <w:ind w:firstLine="420" w:firstLineChars="200"/>
              <w:jc w:val="both"/>
              <w:rPr>
                <w:rFonts w:hint="eastAsia"/>
                <w:color w:val="auto"/>
                <w:kern w:val="2"/>
                <w:sz w:val="21"/>
                <w:szCs w:val="21"/>
                <w:highlight w:val="none"/>
              </w:rPr>
            </w:pPr>
          </w:p>
        </w:tc>
      </w:tr>
      <w:tr w14:paraId="785AA55A">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6CC3FD93">
            <w:pPr>
              <w:widowControl w:val="0"/>
              <w:jc w:val="center"/>
              <w:rPr>
                <w:rFonts w:hint="eastAsia" w:ascii="宋体" w:hAnsi="宋体" w:cs="宋体"/>
                <w:color w:val="auto"/>
                <w:kern w:val="2"/>
                <w:sz w:val="21"/>
                <w:szCs w:val="21"/>
                <w:highlight w:val="none"/>
                <w:lang w:val="en-US" w:eastAsia="zh-CN" w:bidi="ar-SA"/>
              </w:rPr>
            </w:pPr>
            <w:r>
              <w:rPr>
                <w:rFonts w:hint="eastAsia"/>
                <w:color w:val="auto"/>
                <w:kern w:val="2"/>
                <w:sz w:val="21"/>
                <w:szCs w:val="21"/>
                <w:highlight w:val="none"/>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53A55E7">
            <w:pPr>
              <w:widowControl w:val="0"/>
              <w:jc w:val="center"/>
              <w:rPr>
                <w:rFonts w:hint="eastAsia"/>
                <w:color w:val="auto"/>
                <w:kern w:val="2"/>
                <w:sz w:val="21"/>
                <w:szCs w:val="21"/>
                <w:highlight w:val="none"/>
              </w:rPr>
            </w:pPr>
            <w:r>
              <w:rPr>
                <w:rFonts w:hint="eastAsia"/>
                <w:color w:val="auto"/>
                <w:spacing w:val="-2"/>
                <w:sz w:val="21"/>
                <w:szCs w:val="21"/>
                <w:highlight w:val="none"/>
              </w:rPr>
              <w:t>健全的财务会计制度</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38B639F8">
            <w:pPr>
              <w:widowControl w:val="0"/>
              <w:spacing w:after="100" w:afterAutospacing="1"/>
              <w:jc w:val="both"/>
              <w:rPr>
                <w:rFonts w:hint="eastAsia"/>
                <w:color w:val="auto"/>
                <w:kern w:val="2"/>
                <w:sz w:val="21"/>
                <w:szCs w:val="21"/>
                <w:highlight w:val="none"/>
              </w:rPr>
            </w:pPr>
            <w:r>
              <w:rPr>
                <w:rFonts w:hint="eastAsia"/>
                <w:color w:val="auto"/>
                <w:kern w:val="2"/>
                <w:sz w:val="21"/>
                <w:szCs w:val="21"/>
                <w:highlight w:val="none"/>
              </w:rPr>
              <w:t>提供</w:t>
            </w:r>
            <w:r>
              <w:rPr>
                <w:rFonts w:hint="eastAsia"/>
                <w:color w:val="auto"/>
                <w:kern w:val="2"/>
                <w:sz w:val="21"/>
                <w:szCs w:val="21"/>
                <w:highlight w:val="none"/>
                <w:lang w:eastAsia="zh-CN"/>
              </w:rPr>
              <w:t>一</w:t>
            </w:r>
            <w:r>
              <w:rPr>
                <w:rFonts w:hint="eastAsia"/>
                <w:color w:val="auto"/>
                <w:kern w:val="2"/>
                <w:sz w:val="21"/>
                <w:szCs w:val="21"/>
                <w:highlight w:val="none"/>
              </w:rPr>
              <w:t>年内任意一个月财务报表或上年度财务审计报告（财务报表应至少包括资产负债表、损益表、现金流量表或财务状况变动表，当月新成立公司不需提供）；</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260E82F5">
            <w:pPr>
              <w:widowControl w:val="0"/>
              <w:ind w:firstLine="420" w:firstLineChars="200"/>
              <w:jc w:val="both"/>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D9B2668">
            <w:pPr>
              <w:widowControl w:val="0"/>
              <w:ind w:firstLine="420" w:firstLineChars="200"/>
              <w:jc w:val="both"/>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23A9504B">
            <w:pPr>
              <w:widowControl w:val="0"/>
              <w:ind w:firstLine="420" w:firstLineChars="200"/>
              <w:jc w:val="both"/>
              <w:rPr>
                <w:rFonts w:hint="eastAsia"/>
                <w:color w:val="auto"/>
                <w:kern w:val="2"/>
                <w:sz w:val="21"/>
                <w:szCs w:val="21"/>
                <w:highlight w:val="none"/>
              </w:rPr>
            </w:pPr>
          </w:p>
        </w:tc>
      </w:tr>
      <w:tr w14:paraId="57D609AC">
        <w:tblPrEx>
          <w:tblCellMar>
            <w:top w:w="0" w:type="dxa"/>
            <w:left w:w="108" w:type="dxa"/>
            <w:bottom w:w="0" w:type="dxa"/>
            <w:right w:w="108" w:type="dxa"/>
          </w:tblCellMar>
        </w:tblPrEx>
        <w:trPr>
          <w:trHeight w:val="867" w:hRule="atLeast"/>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7FAD3B72">
            <w:pPr>
              <w:widowControl w:val="0"/>
              <w:jc w:val="center"/>
              <w:rPr>
                <w:rFonts w:hint="eastAsia" w:ascii="宋体" w:hAnsi="宋体" w:cs="宋体"/>
                <w:color w:val="auto"/>
                <w:kern w:val="2"/>
                <w:sz w:val="21"/>
                <w:szCs w:val="21"/>
                <w:highlight w:val="none"/>
                <w:lang w:val="en-US" w:eastAsia="zh-CN" w:bidi="ar-SA"/>
              </w:rPr>
            </w:pPr>
            <w:r>
              <w:rPr>
                <w:rFonts w:hint="eastAsia"/>
                <w:color w:val="auto"/>
                <w:kern w:val="2"/>
                <w:sz w:val="21"/>
                <w:szCs w:val="21"/>
                <w:highlight w:val="none"/>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1D027C5">
            <w:pPr>
              <w:widowControl w:val="0"/>
              <w:spacing w:after="100" w:afterAutospacing="1"/>
              <w:jc w:val="center"/>
              <w:rPr>
                <w:rFonts w:hint="eastAsia"/>
                <w:color w:val="auto"/>
                <w:kern w:val="2"/>
                <w:sz w:val="21"/>
                <w:szCs w:val="21"/>
                <w:highlight w:val="none"/>
              </w:rPr>
            </w:pPr>
            <w:r>
              <w:rPr>
                <w:rFonts w:hint="eastAsia"/>
                <w:color w:val="auto"/>
                <w:spacing w:val="-2"/>
                <w:kern w:val="2"/>
                <w:sz w:val="21"/>
                <w:szCs w:val="21"/>
                <w:highlight w:val="none"/>
              </w:rPr>
              <w:t>缴纳税收</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0EA0BC7C">
            <w:pPr>
              <w:widowControl w:val="0"/>
              <w:spacing w:after="100" w:afterAutospacing="1"/>
              <w:jc w:val="both"/>
              <w:rPr>
                <w:rFonts w:hint="eastAsia"/>
                <w:color w:val="auto"/>
                <w:kern w:val="2"/>
                <w:sz w:val="21"/>
                <w:szCs w:val="21"/>
                <w:highlight w:val="none"/>
              </w:rPr>
            </w:pPr>
            <w:r>
              <w:rPr>
                <w:rFonts w:hint="eastAsia"/>
                <w:color w:val="auto"/>
                <w:kern w:val="2"/>
                <w:sz w:val="21"/>
                <w:szCs w:val="21"/>
                <w:highlight w:val="none"/>
              </w:rPr>
              <w:t>提供的近半年内任意一月依法缴纳税收证明，当月新成立公司不需提供；无需纳税或免税的也需提供相应证明材料；</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73D9787">
            <w:pPr>
              <w:widowControl w:val="0"/>
              <w:ind w:firstLine="420" w:firstLineChars="200"/>
              <w:jc w:val="both"/>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F226626">
            <w:pPr>
              <w:widowControl w:val="0"/>
              <w:ind w:firstLine="420" w:firstLineChars="200"/>
              <w:jc w:val="both"/>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123C0A46">
            <w:pPr>
              <w:widowControl w:val="0"/>
              <w:ind w:firstLine="420" w:firstLineChars="200"/>
              <w:jc w:val="both"/>
              <w:rPr>
                <w:rFonts w:hint="eastAsia"/>
                <w:color w:val="auto"/>
                <w:kern w:val="2"/>
                <w:sz w:val="21"/>
                <w:szCs w:val="21"/>
                <w:highlight w:val="none"/>
              </w:rPr>
            </w:pPr>
          </w:p>
        </w:tc>
      </w:tr>
      <w:tr w14:paraId="22E2C33C">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59A18ABE">
            <w:pPr>
              <w:widowControl w:val="0"/>
              <w:jc w:val="center"/>
              <w:rPr>
                <w:rFonts w:hint="eastAsia" w:ascii="宋体" w:hAnsi="宋体" w:cs="宋体"/>
                <w:color w:val="auto"/>
                <w:kern w:val="2"/>
                <w:sz w:val="21"/>
                <w:szCs w:val="21"/>
                <w:highlight w:val="none"/>
                <w:lang w:val="en-US" w:eastAsia="zh-CN" w:bidi="ar-SA"/>
              </w:rPr>
            </w:pPr>
            <w:r>
              <w:rPr>
                <w:rFonts w:hint="eastAsia"/>
                <w:color w:val="auto"/>
                <w:kern w:val="2"/>
                <w:sz w:val="21"/>
                <w:szCs w:val="21"/>
                <w:highlight w:val="none"/>
              </w:rPr>
              <w:t>4</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7C9FB33">
            <w:pPr>
              <w:widowControl w:val="0"/>
              <w:spacing w:after="100" w:afterAutospacing="1"/>
              <w:jc w:val="center"/>
              <w:rPr>
                <w:rFonts w:hint="eastAsia"/>
                <w:color w:val="auto"/>
                <w:kern w:val="2"/>
                <w:sz w:val="21"/>
                <w:szCs w:val="21"/>
                <w:highlight w:val="none"/>
              </w:rPr>
            </w:pPr>
            <w:r>
              <w:rPr>
                <w:rFonts w:hint="eastAsia"/>
                <w:color w:val="auto"/>
                <w:spacing w:val="-2"/>
                <w:kern w:val="2"/>
                <w:sz w:val="21"/>
                <w:szCs w:val="21"/>
                <w:highlight w:val="none"/>
              </w:rPr>
              <w:t>缴纳社会保障资金</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26D3A7D0">
            <w:pPr>
              <w:widowControl w:val="0"/>
              <w:spacing w:after="100" w:afterAutospacing="1"/>
              <w:jc w:val="both"/>
              <w:rPr>
                <w:rFonts w:hint="eastAsia"/>
                <w:color w:val="auto"/>
                <w:kern w:val="2"/>
                <w:sz w:val="21"/>
                <w:szCs w:val="21"/>
                <w:highlight w:val="none"/>
              </w:rPr>
            </w:pPr>
            <w:r>
              <w:rPr>
                <w:rFonts w:hint="eastAsia"/>
                <w:color w:val="auto"/>
                <w:kern w:val="2"/>
                <w:sz w:val="21"/>
                <w:szCs w:val="21"/>
                <w:highlight w:val="none"/>
              </w:rPr>
              <w:t>提供社保缴纳证明（近半年内任意一月社保缴纳证明，当月新成立公司不需提供）；</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E6285CD">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63CD892">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242E17B5">
            <w:pPr>
              <w:widowControl w:val="0"/>
              <w:jc w:val="center"/>
              <w:rPr>
                <w:rFonts w:hint="eastAsia"/>
                <w:color w:val="auto"/>
                <w:kern w:val="2"/>
                <w:sz w:val="21"/>
                <w:szCs w:val="21"/>
                <w:highlight w:val="none"/>
              </w:rPr>
            </w:pPr>
          </w:p>
        </w:tc>
      </w:tr>
      <w:tr w14:paraId="29C25F75">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5F0C80A3">
            <w:pPr>
              <w:widowControl w:val="0"/>
              <w:jc w:val="center"/>
              <w:rPr>
                <w:rFonts w:hint="eastAsia" w:ascii="宋体" w:hAnsi="宋体" w:cs="宋体"/>
                <w:color w:val="auto"/>
                <w:kern w:val="2"/>
                <w:sz w:val="21"/>
                <w:szCs w:val="21"/>
                <w:highlight w:val="none"/>
                <w:lang w:val="en-US" w:eastAsia="zh-CN" w:bidi="ar-SA"/>
              </w:rPr>
            </w:pPr>
            <w:r>
              <w:rPr>
                <w:rFonts w:hint="eastAsia"/>
                <w:color w:val="auto"/>
                <w:kern w:val="2"/>
                <w:sz w:val="21"/>
                <w:szCs w:val="21"/>
                <w:highlight w:val="none"/>
              </w:rPr>
              <w:t>5</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E7BB0A1">
            <w:pPr>
              <w:widowControl w:val="0"/>
              <w:spacing w:after="100" w:afterAutospacing="1"/>
              <w:jc w:val="center"/>
              <w:rPr>
                <w:rFonts w:hint="eastAsia"/>
                <w:color w:val="auto"/>
                <w:kern w:val="2"/>
                <w:sz w:val="21"/>
                <w:szCs w:val="21"/>
                <w:highlight w:val="none"/>
              </w:rPr>
            </w:pPr>
            <w:r>
              <w:rPr>
                <w:rFonts w:hint="eastAsia"/>
                <w:color w:val="auto"/>
                <w:spacing w:val="-2"/>
                <w:kern w:val="2"/>
                <w:sz w:val="21"/>
                <w:szCs w:val="21"/>
                <w:highlight w:val="none"/>
              </w:rPr>
              <w:t>履行合同所必需的设备和能力</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3A0DFEB1">
            <w:pPr>
              <w:widowControl w:val="0"/>
              <w:spacing w:after="100" w:afterAutospacing="1"/>
              <w:jc w:val="both"/>
              <w:rPr>
                <w:rFonts w:hint="eastAsia"/>
                <w:color w:val="auto"/>
                <w:kern w:val="2"/>
                <w:sz w:val="21"/>
                <w:szCs w:val="21"/>
                <w:highlight w:val="none"/>
              </w:rPr>
            </w:pPr>
            <w:r>
              <w:rPr>
                <w:rFonts w:hint="eastAsia"/>
                <w:color w:val="auto"/>
                <w:spacing w:val="-2"/>
                <w:kern w:val="2"/>
                <w:sz w:val="21"/>
                <w:szCs w:val="21"/>
                <w:highlight w:val="none"/>
              </w:rPr>
              <w:t>提供具有履行合同所必需的设备和专业技术能力相关证明材料或声明；</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A4BB7D7">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512BBAA">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6BA8267D">
            <w:pPr>
              <w:widowControl w:val="0"/>
              <w:jc w:val="center"/>
              <w:rPr>
                <w:rFonts w:hint="eastAsia"/>
                <w:color w:val="auto"/>
                <w:kern w:val="2"/>
                <w:sz w:val="21"/>
                <w:szCs w:val="21"/>
                <w:highlight w:val="none"/>
              </w:rPr>
            </w:pPr>
          </w:p>
        </w:tc>
      </w:tr>
      <w:tr w14:paraId="6BEE087E">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20A15B95">
            <w:pPr>
              <w:widowControl w:val="0"/>
              <w:jc w:val="center"/>
              <w:rPr>
                <w:rFonts w:hint="eastAsia" w:ascii="宋体" w:hAnsi="宋体" w:cs="宋体"/>
                <w:color w:val="auto"/>
                <w:kern w:val="2"/>
                <w:sz w:val="21"/>
                <w:szCs w:val="21"/>
                <w:highlight w:val="none"/>
                <w:lang w:val="en-US" w:eastAsia="zh-CN" w:bidi="ar-SA"/>
              </w:rPr>
            </w:pPr>
            <w:r>
              <w:rPr>
                <w:rFonts w:hint="eastAsia"/>
                <w:color w:val="auto"/>
                <w:kern w:val="2"/>
                <w:sz w:val="21"/>
                <w:szCs w:val="21"/>
                <w:highlight w:val="none"/>
              </w:rPr>
              <w:t>6</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B980322">
            <w:pPr>
              <w:widowControl w:val="0"/>
              <w:spacing w:after="100" w:afterAutospacing="1"/>
              <w:jc w:val="center"/>
              <w:rPr>
                <w:rFonts w:hint="eastAsia"/>
                <w:color w:val="auto"/>
                <w:kern w:val="2"/>
                <w:sz w:val="21"/>
                <w:szCs w:val="21"/>
                <w:highlight w:val="none"/>
              </w:rPr>
            </w:pPr>
            <w:r>
              <w:rPr>
                <w:rFonts w:hint="eastAsia"/>
                <w:color w:val="auto"/>
                <w:spacing w:val="-2"/>
                <w:kern w:val="2"/>
                <w:sz w:val="21"/>
                <w:szCs w:val="21"/>
                <w:highlight w:val="none"/>
              </w:rPr>
              <w:t>提供无重大违法记录声明书</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0E903F32">
            <w:pPr>
              <w:widowControl w:val="0"/>
              <w:spacing w:after="100" w:afterAutospacing="1"/>
              <w:jc w:val="both"/>
              <w:rPr>
                <w:rFonts w:hint="eastAsia"/>
                <w:color w:val="auto"/>
                <w:kern w:val="2"/>
                <w:sz w:val="21"/>
                <w:szCs w:val="21"/>
                <w:highlight w:val="none"/>
              </w:rPr>
            </w:pPr>
            <w:r>
              <w:rPr>
                <w:rFonts w:hint="eastAsia"/>
                <w:color w:val="auto"/>
                <w:spacing w:val="-2"/>
                <w:kern w:val="2"/>
                <w:sz w:val="21"/>
                <w:szCs w:val="21"/>
                <w:highlight w:val="none"/>
              </w:rPr>
              <w:t>提供无重大违法记录声明书；</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342B802">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2C637B6">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43C6BF81">
            <w:pPr>
              <w:widowControl w:val="0"/>
              <w:jc w:val="center"/>
              <w:rPr>
                <w:rFonts w:hint="eastAsia"/>
                <w:color w:val="auto"/>
                <w:kern w:val="2"/>
                <w:sz w:val="21"/>
                <w:szCs w:val="21"/>
                <w:highlight w:val="none"/>
              </w:rPr>
            </w:pPr>
          </w:p>
        </w:tc>
      </w:tr>
      <w:tr w14:paraId="2E8A301F">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5BE8C71D">
            <w:pPr>
              <w:widowControl w:val="0"/>
              <w:jc w:val="center"/>
              <w:rPr>
                <w:rFonts w:hint="eastAsia" w:ascii="宋体" w:hAnsi="宋体" w:cs="宋体"/>
                <w:color w:val="auto"/>
                <w:kern w:val="2"/>
                <w:sz w:val="21"/>
                <w:szCs w:val="21"/>
                <w:highlight w:val="none"/>
                <w:lang w:val="en-US" w:eastAsia="zh-CN" w:bidi="ar-SA"/>
              </w:rPr>
            </w:pPr>
            <w:r>
              <w:rPr>
                <w:rFonts w:hint="eastAsia"/>
                <w:color w:val="auto"/>
                <w:kern w:val="2"/>
                <w:sz w:val="21"/>
                <w:szCs w:val="21"/>
                <w:highlight w:val="none"/>
              </w:rPr>
              <w:t>7</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CFE9F65">
            <w:pPr>
              <w:widowControl w:val="0"/>
              <w:spacing w:after="100" w:afterAutospacing="1"/>
              <w:jc w:val="center"/>
              <w:rPr>
                <w:rFonts w:hint="eastAsia" w:ascii="宋体" w:hAnsi="宋体" w:cs="宋体"/>
                <w:color w:val="auto"/>
                <w:kern w:val="2"/>
                <w:sz w:val="21"/>
                <w:szCs w:val="21"/>
                <w:highlight w:val="none"/>
                <w:lang w:val="en-US" w:eastAsia="zh-CN" w:bidi="ar-SA"/>
              </w:rPr>
            </w:pPr>
            <w:r>
              <w:rPr>
                <w:rFonts w:hint="eastAsia"/>
                <w:color w:val="auto"/>
                <w:kern w:val="2"/>
                <w:sz w:val="21"/>
                <w:szCs w:val="21"/>
                <w:highlight w:val="none"/>
              </w:rPr>
              <w:t>投标保证金</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00FFABED">
            <w:pPr>
              <w:widowControl w:val="0"/>
              <w:spacing w:after="100" w:afterAutospacing="1"/>
              <w:jc w:val="both"/>
              <w:rPr>
                <w:rFonts w:hint="eastAsia" w:ascii="宋体" w:hAnsi="宋体" w:eastAsia="宋体" w:cs="宋体"/>
                <w:color w:val="auto"/>
                <w:kern w:val="2"/>
                <w:sz w:val="21"/>
                <w:szCs w:val="21"/>
                <w:highlight w:val="none"/>
                <w:lang w:val="en-US" w:eastAsia="zh-CN" w:bidi="ar-SA"/>
              </w:rPr>
            </w:pPr>
            <w:r>
              <w:rPr>
                <w:rFonts w:hint="eastAsia"/>
                <w:color w:val="auto"/>
                <w:kern w:val="2"/>
                <w:sz w:val="21"/>
                <w:szCs w:val="21"/>
                <w:highlight w:val="none"/>
              </w:rPr>
              <w:t>是否按照投标须知要求金额提交了投标保证金，并提供了投标保证金凭证</w:t>
            </w:r>
            <w:r>
              <w:rPr>
                <w:rFonts w:hint="eastAsia"/>
                <w:color w:val="auto"/>
                <w:kern w:val="2"/>
                <w:sz w:val="21"/>
                <w:szCs w:val="21"/>
                <w:highlight w:val="none"/>
                <w:lang w:eastAsia="zh-CN"/>
              </w:rPr>
              <w:t>；</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4F5B5EE">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21CA0C8">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562CD03F">
            <w:pPr>
              <w:widowControl w:val="0"/>
              <w:jc w:val="center"/>
              <w:rPr>
                <w:rFonts w:hint="eastAsia"/>
                <w:color w:val="auto"/>
                <w:kern w:val="2"/>
                <w:sz w:val="21"/>
                <w:szCs w:val="21"/>
                <w:highlight w:val="none"/>
              </w:rPr>
            </w:pPr>
          </w:p>
        </w:tc>
      </w:tr>
      <w:tr w14:paraId="62300811">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2F68791A">
            <w:pPr>
              <w:widowControl w:val="0"/>
              <w:jc w:val="center"/>
              <w:rPr>
                <w:rFonts w:hint="default"/>
                <w:color w:val="auto"/>
                <w:kern w:val="2"/>
                <w:sz w:val="21"/>
                <w:szCs w:val="21"/>
                <w:highlight w:val="none"/>
                <w:lang w:val="en-US" w:eastAsia="zh-CN"/>
              </w:rPr>
            </w:pPr>
            <w:r>
              <w:rPr>
                <w:rFonts w:hint="eastAsia"/>
                <w:color w:val="auto"/>
                <w:kern w:val="2"/>
                <w:sz w:val="21"/>
                <w:szCs w:val="21"/>
                <w:highlight w:val="none"/>
                <w:lang w:val="en-US" w:eastAsia="zh-CN"/>
              </w:rPr>
              <w:t>8</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A4E7868">
            <w:pPr>
              <w:widowControl w:val="0"/>
              <w:jc w:val="center"/>
              <w:rPr>
                <w:rFonts w:hint="eastAsia"/>
                <w:color w:val="auto"/>
                <w:kern w:val="2"/>
                <w:sz w:val="21"/>
                <w:szCs w:val="21"/>
                <w:highlight w:val="none"/>
              </w:rPr>
            </w:pPr>
            <w:r>
              <w:rPr>
                <w:rFonts w:hint="eastAsia"/>
                <w:color w:val="auto"/>
                <w:kern w:val="2"/>
                <w:sz w:val="21"/>
                <w:szCs w:val="21"/>
                <w:highlight w:val="none"/>
              </w:rPr>
              <w:t>投标人信用记录</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40C3AE31">
            <w:pPr>
              <w:widowControl w:val="0"/>
              <w:rPr>
                <w:rFonts w:hint="eastAsia"/>
                <w:color w:val="auto"/>
                <w:kern w:val="2"/>
                <w:sz w:val="21"/>
                <w:szCs w:val="21"/>
                <w:highlight w:val="none"/>
              </w:rPr>
            </w:pPr>
            <w:r>
              <w:rPr>
                <w:rFonts w:hint="eastAsia"/>
                <w:color w:val="auto"/>
                <w:kern w:val="2"/>
                <w:sz w:val="21"/>
                <w:szCs w:val="21"/>
                <w:highlight w:val="none"/>
              </w:rPr>
              <w:t xml:space="preserve">投标人在“信用中国”网站 WWW.creditchina.gov.cn、 中国政府采购网 www.ccgp.gov.cn </w:t>
            </w:r>
            <w:r>
              <w:rPr>
                <w:rFonts w:hint="eastAsia"/>
                <w:color w:val="auto"/>
                <w:kern w:val="2"/>
                <w:sz w:val="21"/>
                <w:szCs w:val="21"/>
                <w:highlight w:val="none"/>
                <w:lang w:eastAsia="zh-CN"/>
              </w:rPr>
              <w:t>未</w:t>
            </w:r>
            <w:r>
              <w:rPr>
                <w:rFonts w:hint="eastAsia"/>
                <w:color w:val="auto"/>
                <w:kern w:val="2"/>
                <w:sz w:val="21"/>
                <w:szCs w:val="21"/>
                <w:highlight w:val="none"/>
              </w:rPr>
              <w:t>被列入失信被执行人、重大税收违法案件当事人名 单、政府采购严重违法失信行为记录名单的（尚在处罚期内的） 、经营异常名录的</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2D27099">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B4D6C63">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0F8F445B">
            <w:pPr>
              <w:widowControl w:val="0"/>
              <w:jc w:val="center"/>
              <w:rPr>
                <w:rFonts w:hint="eastAsia"/>
                <w:color w:val="auto"/>
                <w:kern w:val="2"/>
                <w:sz w:val="21"/>
                <w:szCs w:val="21"/>
                <w:highlight w:val="none"/>
              </w:rPr>
            </w:pPr>
          </w:p>
        </w:tc>
      </w:tr>
      <w:tr w14:paraId="5457BEF3">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1C5D0084">
            <w:pPr>
              <w:widowControl w:val="0"/>
              <w:jc w:val="center"/>
              <w:rPr>
                <w:rFonts w:hint="default"/>
                <w:color w:val="auto"/>
                <w:kern w:val="2"/>
                <w:sz w:val="21"/>
                <w:szCs w:val="21"/>
                <w:highlight w:val="none"/>
                <w:lang w:val="en-US" w:eastAsia="zh-CN"/>
              </w:rPr>
            </w:pPr>
            <w:r>
              <w:rPr>
                <w:rFonts w:hint="eastAsia"/>
                <w:color w:val="auto"/>
                <w:kern w:val="2"/>
                <w:sz w:val="21"/>
                <w:szCs w:val="21"/>
                <w:highlight w:val="none"/>
                <w:lang w:val="en-US" w:eastAsia="zh-CN"/>
              </w:rPr>
              <w:t>9</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956645E">
            <w:pPr>
              <w:widowControl w:val="0"/>
              <w:rPr>
                <w:rFonts w:hint="eastAsia"/>
                <w:color w:val="auto"/>
                <w:kern w:val="2"/>
                <w:sz w:val="21"/>
                <w:szCs w:val="21"/>
                <w:highlight w:val="none"/>
              </w:rPr>
            </w:pPr>
            <w:r>
              <w:rPr>
                <w:rFonts w:hint="eastAsia"/>
                <w:color w:val="auto"/>
                <w:kern w:val="2"/>
                <w:sz w:val="21"/>
                <w:szCs w:val="21"/>
                <w:highlight w:val="none"/>
              </w:rPr>
              <w:t>本项目特定资格要求</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22B5121C">
            <w:pPr>
              <w:widowControl w:val="0"/>
              <w:rPr>
                <w:rFonts w:hint="eastAsia"/>
                <w:color w:val="auto"/>
                <w:kern w:val="2"/>
                <w:sz w:val="21"/>
                <w:szCs w:val="21"/>
                <w:highlight w:val="none"/>
              </w:rPr>
            </w:pPr>
            <w:r>
              <w:rPr>
                <w:rFonts w:hint="eastAsia"/>
                <w:color w:val="auto"/>
                <w:kern w:val="2"/>
                <w:sz w:val="21"/>
                <w:szCs w:val="21"/>
                <w:highlight w:val="none"/>
              </w:rPr>
              <w:t>供应商须具</w:t>
            </w:r>
            <w:r>
              <w:rPr>
                <w:rFonts w:hint="eastAsia"/>
                <w:color w:val="auto"/>
                <w:kern w:val="2"/>
                <w:sz w:val="21"/>
                <w:szCs w:val="21"/>
                <w:highlight w:val="none"/>
                <w:lang w:eastAsia="zh-CN"/>
              </w:rPr>
              <w:t>有有效的</w:t>
            </w:r>
            <w:r>
              <w:rPr>
                <w:rFonts w:hint="eastAsia"/>
                <w:color w:val="auto"/>
                <w:kern w:val="2"/>
                <w:sz w:val="21"/>
                <w:szCs w:val="21"/>
                <w:highlight w:val="none"/>
              </w:rPr>
              <w:t>会计师事务所执业证</w:t>
            </w:r>
            <w:r>
              <w:rPr>
                <w:rFonts w:hint="eastAsia"/>
                <w:color w:val="auto"/>
                <w:kern w:val="2"/>
                <w:sz w:val="21"/>
                <w:szCs w:val="21"/>
                <w:highlight w:val="none"/>
                <w:lang w:eastAsia="zh-CN"/>
              </w:rPr>
              <w:t>书。</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FD647DB">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3FFF148">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39C13C16">
            <w:pPr>
              <w:widowControl w:val="0"/>
              <w:jc w:val="center"/>
              <w:rPr>
                <w:rFonts w:hint="eastAsia"/>
                <w:color w:val="auto"/>
                <w:kern w:val="2"/>
                <w:sz w:val="21"/>
                <w:szCs w:val="21"/>
                <w:highlight w:val="none"/>
              </w:rPr>
            </w:pPr>
          </w:p>
        </w:tc>
      </w:tr>
      <w:tr w14:paraId="55D62ABF">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475A5D83">
            <w:pPr>
              <w:widowControl w:val="0"/>
              <w:jc w:val="center"/>
              <w:rPr>
                <w:rFonts w:hint="default"/>
                <w:color w:val="auto"/>
                <w:kern w:val="2"/>
                <w:sz w:val="21"/>
                <w:szCs w:val="21"/>
                <w:highlight w:val="none"/>
                <w:lang w:val="en-US" w:eastAsia="zh-CN"/>
              </w:rPr>
            </w:pPr>
            <w:r>
              <w:rPr>
                <w:rFonts w:hint="eastAsia"/>
                <w:color w:val="auto"/>
                <w:kern w:val="2"/>
                <w:sz w:val="21"/>
                <w:szCs w:val="21"/>
                <w:highlight w:val="none"/>
                <w:lang w:val="en-US" w:eastAsia="zh-CN"/>
              </w:rPr>
              <w:t>10</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4F5FC27">
            <w:pPr>
              <w:widowControl w:val="0"/>
              <w:jc w:val="center"/>
              <w:rPr>
                <w:rFonts w:hint="eastAsia"/>
                <w:color w:val="auto"/>
                <w:kern w:val="2"/>
                <w:sz w:val="21"/>
                <w:szCs w:val="21"/>
                <w:highlight w:val="none"/>
              </w:rPr>
            </w:pPr>
            <w:r>
              <w:rPr>
                <w:rFonts w:hint="eastAsia"/>
                <w:color w:val="auto"/>
                <w:kern w:val="2"/>
                <w:sz w:val="21"/>
                <w:szCs w:val="21"/>
                <w:highlight w:val="none"/>
              </w:rPr>
              <w:t>联合体投标授权书</w:t>
            </w:r>
          </w:p>
        </w:tc>
        <w:tc>
          <w:tcPr>
            <w:tcW w:w="4789" w:type="dxa"/>
            <w:tcBorders>
              <w:top w:val="single" w:color="auto" w:sz="4" w:space="0"/>
              <w:left w:val="single" w:color="auto" w:sz="4" w:space="0"/>
              <w:bottom w:val="single" w:color="auto" w:sz="4" w:space="0"/>
              <w:right w:val="single" w:color="auto" w:sz="4" w:space="0"/>
            </w:tcBorders>
            <w:noWrap w:val="0"/>
            <w:vAlign w:val="center"/>
          </w:tcPr>
          <w:p w14:paraId="4674D575">
            <w:pPr>
              <w:widowControl w:val="0"/>
              <w:rPr>
                <w:rFonts w:hint="eastAsia"/>
                <w:color w:val="auto"/>
                <w:kern w:val="2"/>
                <w:sz w:val="21"/>
                <w:szCs w:val="21"/>
                <w:highlight w:val="none"/>
              </w:rPr>
            </w:pPr>
            <w:r>
              <w:rPr>
                <w:rFonts w:hint="eastAsia"/>
                <w:color w:val="auto"/>
                <w:kern w:val="2"/>
                <w:sz w:val="21"/>
                <w:szCs w:val="21"/>
                <w:highlight w:val="none"/>
              </w:rPr>
              <w:t>授权委托书，格式以采购文件为准</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672BD28">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EC76B48">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3C68C526">
            <w:pPr>
              <w:widowControl w:val="0"/>
              <w:jc w:val="center"/>
              <w:rPr>
                <w:rFonts w:hint="eastAsia"/>
                <w:color w:val="auto"/>
                <w:kern w:val="2"/>
                <w:sz w:val="21"/>
                <w:szCs w:val="21"/>
                <w:highlight w:val="none"/>
              </w:rPr>
            </w:pPr>
          </w:p>
        </w:tc>
      </w:tr>
      <w:tr w14:paraId="4B83C221">
        <w:trPr>
          <w:jc w:val="center"/>
        </w:trPr>
        <w:tc>
          <w:tcPr>
            <w:tcW w:w="6812" w:type="dxa"/>
            <w:gridSpan w:val="3"/>
            <w:tcBorders>
              <w:top w:val="single" w:color="auto" w:sz="4" w:space="0"/>
              <w:left w:val="single" w:color="auto" w:sz="4" w:space="0"/>
              <w:bottom w:val="single" w:color="auto" w:sz="4" w:space="0"/>
              <w:right w:val="single" w:color="auto" w:sz="4" w:space="0"/>
            </w:tcBorders>
            <w:noWrap w:val="0"/>
            <w:vAlign w:val="center"/>
          </w:tcPr>
          <w:p w14:paraId="374942BA">
            <w:pPr>
              <w:widowControl w:val="0"/>
              <w:spacing w:after="100" w:afterAutospacing="1"/>
              <w:ind w:firstLine="1260" w:firstLineChars="600"/>
              <w:jc w:val="both"/>
              <w:rPr>
                <w:rFonts w:hint="eastAsia"/>
                <w:color w:val="auto"/>
                <w:kern w:val="2"/>
                <w:sz w:val="21"/>
                <w:szCs w:val="21"/>
                <w:highlight w:val="none"/>
              </w:rPr>
            </w:pPr>
            <w:r>
              <w:rPr>
                <w:rFonts w:hint="eastAsia"/>
                <w:color w:val="auto"/>
                <w:kern w:val="2"/>
                <w:sz w:val="21"/>
                <w:szCs w:val="21"/>
                <w:highlight w:val="none"/>
              </w:rPr>
              <w:t>资格审查结果</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D25D725">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9AD2E2F">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2FD077C3">
            <w:pPr>
              <w:widowControl w:val="0"/>
              <w:jc w:val="center"/>
              <w:rPr>
                <w:rFonts w:hint="eastAsia"/>
                <w:color w:val="auto"/>
                <w:kern w:val="2"/>
                <w:sz w:val="21"/>
                <w:szCs w:val="21"/>
                <w:highlight w:val="none"/>
              </w:rPr>
            </w:pPr>
          </w:p>
        </w:tc>
      </w:tr>
      <w:tr w14:paraId="3D0520EB">
        <w:tblPrEx>
          <w:tblCellMar>
            <w:top w:w="0" w:type="dxa"/>
            <w:left w:w="108" w:type="dxa"/>
            <w:bottom w:w="0" w:type="dxa"/>
            <w:right w:w="108" w:type="dxa"/>
          </w:tblCellMar>
        </w:tblPrEx>
        <w:trPr>
          <w:jc w:val="center"/>
        </w:trPr>
        <w:tc>
          <w:tcPr>
            <w:tcW w:w="6812" w:type="dxa"/>
            <w:gridSpan w:val="3"/>
            <w:tcBorders>
              <w:top w:val="single" w:color="auto" w:sz="4" w:space="0"/>
              <w:left w:val="single" w:color="auto" w:sz="4" w:space="0"/>
              <w:bottom w:val="single" w:color="auto" w:sz="4" w:space="0"/>
              <w:right w:val="single" w:color="auto" w:sz="4" w:space="0"/>
            </w:tcBorders>
            <w:noWrap w:val="0"/>
            <w:vAlign w:val="center"/>
          </w:tcPr>
          <w:p w14:paraId="0B81B8A7">
            <w:pPr>
              <w:widowControl w:val="0"/>
              <w:spacing w:after="100" w:afterAutospacing="1"/>
              <w:ind w:firstLine="1260" w:firstLineChars="600"/>
              <w:jc w:val="both"/>
              <w:rPr>
                <w:rFonts w:hint="eastAsia"/>
                <w:color w:val="auto"/>
                <w:kern w:val="2"/>
                <w:sz w:val="21"/>
                <w:szCs w:val="21"/>
                <w:highlight w:val="none"/>
              </w:rPr>
            </w:pPr>
            <w:r>
              <w:rPr>
                <w:rFonts w:hint="eastAsia"/>
                <w:color w:val="auto"/>
                <w:kern w:val="2"/>
                <w:sz w:val="21"/>
                <w:szCs w:val="21"/>
                <w:highlight w:val="none"/>
              </w:rPr>
              <w:t>不通过理由说明</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F71EBC5">
            <w:pPr>
              <w:widowControl w:val="0"/>
              <w:jc w:val="center"/>
              <w:rPr>
                <w:rFonts w:hint="eastAsia"/>
                <w:color w:val="auto"/>
                <w:kern w:val="2"/>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016EDAD">
            <w:pPr>
              <w:widowControl w:val="0"/>
              <w:jc w:val="center"/>
              <w:rPr>
                <w:rFonts w:hint="eastAsia"/>
                <w:color w:val="auto"/>
                <w:kern w:val="2"/>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14:paraId="1B33FA29">
            <w:pPr>
              <w:widowControl w:val="0"/>
              <w:jc w:val="center"/>
              <w:rPr>
                <w:rFonts w:hint="eastAsia"/>
                <w:color w:val="auto"/>
                <w:kern w:val="2"/>
                <w:sz w:val="21"/>
                <w:szCs w:val="21"/>
                <w:highlight w:val="none"/>
              </w:rPr>
            </w:pPr>
          </w:p>
        </w:tc>
      </w:tr>
    </w:tbl>
    <w:p w14:paraId="21ECB853">
      <w:pPr>
        <w:spacing w:line="220" w:lineRule="atLeast"/>
        <w:ind w:firstLine="420" w:firstLineChars="200"/>
        <w:rPr>
          <w:rFonts w:hint="eastAsia"/>
          <w:color w:val="auto"/>
          <w:highlight w:val="none"/>
        </w:rPr>
      </w:pPr>
      <w:r>
        <w:rPr>
          <w:rFonts w:hint="eastAsia" w:cs="Times New Roman"/>
          <w:color w:val="auto"/>
          <w:kern w:val="2"/>
          <w:sz w:val="21"/>
          <w:szCs w:val="21"/>
          <w:highlight w:val="none"/>
        </w:rPr>
        <w:t>审查项目有一项不满足则结论为不合格。</w:t>
      </w:r>
    </w:p>
    <w:p w14:paraId="183E51AE">
      <w:pPr>
        <w:ind w:firstLine="480" w:firstLineChars="200"/>
        <w:rPr>
          <w:b/>
          <w:color w:val="auto"/>
          <w:highlight w:val="none"/>
        </w:rPr>
      </w:pPr>
      <w:r>
        <w:rPr>
          <w:color w:val="auto"/>
          <w:highlight w:val="none"/>
        </w:rPr>
        <w:t>17.</w:t>
      </w:r>
      <w:r>
        <w:rPr>
          <w:rFonts w:hint="eastAsia"/>
          <w:color w:val="auto"/>
          <w:highlight w:val="none"/>
        </w:rPr>
        <w:t>3　已经进行资格预审的，可以不再对</w:t>
      </w:r>
      <w:r>
        <w:rPr>
          <w:rFonts w:hint="eastAsia"/>
          <w:color w:val="auto"/>
          <w:highlight w:val="none"/>
          <w:lang w:eastAsia="zh-CN"/>
        </w:rPr>
        <w:t>投标人</w:t>
      </w:r>
      <w:r>
        <w:rPr>
          <w:rFonts w:hint="eastAsia"/>
          <w:color w:val="auto"/>
          <w:highlight w:val="none"/>
        </w:rPr>
        <w:t>资格进行审查，资格预审合格的</w:t>
      </w:r>
      <w:r>
        <w:rPr>
          <w:rFonts w:hint="eastAsia"/>
          <w:color w:val="auto"/>
          <w:highlight w:val="none"/>
          <w:lang w:eastAsia="zh-CN"/>
        </w:rPr>
        <w:t>投标人</w:t>
      </w:r>
      <w:r>
        <w:rPr>
          <w:rFonts w:hint="eastAsia"/>
          <w:color w:val="auto"/>
          <w:highlight w:val="none"/>
        </w:rPr>
        <w:t>在评审阶段资格发生变化的，应当通知</w:t>
      </w:r>
      <w:r>
        <w:rPr>
          <w:rFonts w:hint="eastAsia"/>
          <w:color w:val="auto"/>
          <w:highlight w:val="none"/>
          <w:lang w:eastAsia="zh-CN"/>
        </w:rPr>
        <w:t>招标人</w:t>
      </w:r>
      <w:r>
        <w:rPr>
          <w:rFonts w:hint="eastAsia"/>
          <w:color w:val="auto"/>
          <w:highlight w:val="none"/>
        </w:rPr>
        <w:t>和</w:t>
      </w:r>
      <w:r>
        <w:rPr>
          <w:rFonts w:hint="eastAsia"/>
          <w:color w:val="auto"/>
          <w:highlight w:val="none"/>
          <w:lang w:eastAsia="zh-CN"/>
        </w:rPr>
        <w:t>招标代理机构</w:t>
      </w:r>
      <w:r>
        <w:rPr>
          <w:rFonts w:hint="eastAsia"/>
          <w:color w:val="auto"/>
          <w:highlight w:val="none"/>
        </w:rPr>
        <w:t>。</w:t>
      </w:r>
    </w:p>
    <w:p w14:paraId="718B76FD">
      <w:pPr>
        <w:rPr>
          <w:rFonts w:hint="eastAsia"/>
          <w:color w:val="auto"/>
          <w:highlight w:val="none"/>
        </w:rPr>
      </w:pPr>
    </w:p>
    <w:p w14:paraId="3EFB765D">
      <w:pPr>
        <w:rPr>
          <w:rFonts w:hint="eastAsia"/>
          <w:b/>
          <w:bCs/>
          <w:color w:val="auto"/>
          <w:sz w:val="32"/>
          <w:highlight w:val="none"/>
        </w:rPr>
      </w:pPr>
      <w:bookmarkStart w:id="17" w:name="_Toc11296"/>
      <w:r>
        <w:rPr>
          <w:rFonts w:hint="eastAsia"/>
          <w:b/>
          <w:bCs/>
          <w:color w:val="auto"/>
          <w:sz w:val="32"/>
          <w:highlight w:val="none"/>
        </w:rPr>
        <w:br w:type="page"/>
      </w:r>
    </w:p>
    <w:p w14:paraId="2C56EE05">
      <w:pPr>
        <w:spacing w:line="440" w:lineRule="exact"/>
        <w:ind w:firstLine="643" w:firstLineChars="200"/>
        <w:jc w:val="center"/>
        <w:outlineLvl w:val="1"/>
        <w:rPr>
          <w:b/>
          <w:bCs/>
          <w:color w:val="auto"/>
          <w:sz w:val="32"/>
          <w:highlight w:val="none"/>
        </w:rPr>
      </w:pPr>
      <w:r>
        <w:rPr>
          <w:rFonts w:hint="eastAsia"/>
          <w:b/>
          <w:bCs/>
          <w:color w:val="auto"/>
          <w:sz w:val="32"/>
          <w:highlight w:val="none"/>
        </w:rPr>
        <w:t>第六章</w:t>
      </w:r>
      <w:r>
        <w:rPr>
          <w:b/>
          <w:bCs/>
          <w:color w:val="auto"/>
          <w:sz w:val="32"/>
          <w:highlight w:val="none"/>
        </w:rPr>
        <w:t xml:space="preserve"> </w:t>
      </w:r>
      <w:r>
        <w:rPr>
          <w:rFonts w:hint="eastAsia"/>
          <w:b/>
          <w:bCs/>
          <w:color w:val="auto"/>
          <w:sz w:val="32"/>
          <w:highlight w:val="none"/>
        </w:rPr>
        <w:t>评　标</w:t>
      </w:r>
      <w:bookmarkEnd w:id="17"/>
    </w:p>
    <w:p w14:paraId="1B4A31DD">
      <w:pPr>
        <w:spacing w:line="440" w:lineRule="exact"/>
        <w:ind w:firstLine="482" w:firstLineChars="200"/>
        <w:rPr>
          <w:b/>
          <w:color w:val="auto"/>
          <w:highlight w:val="none"/>
        </w:rPr>
      </w:pPr>
      <w:r>
        <w:rPr>
          <w:b/>
          <w:color w:val="auto"/>
          <w:highlight w:val="none"/>
        </w:rPr>
        <w:t>1</w:t>
      </w:r>
      <w:r>
        <w:rPr>
          <w:rFonts w:hint="eastAsia"/>
          <w:b/>
          <w:color w:val="auto"/>
          <w:highlight w:val="none"/>
        </w:rPr>
        <w:t>8</w:t>
      </w:r>
      <w:r>
        <w:rPr>
          <w:b/>
          <w:color w:val="auto"/>
          <w:highlight w:val="none"/>
        </w:rPr>
        <w:t xml:space="preserve">. </w:t>
      </w:r>
      <w:r>
        <w:rPr>
          <w:rFonts w:hint="eastAsia"/>
          <w:b/>
          <w:color w:val="auto"/>
          <w:highlight w:val="none"/>
        </w:rPr>
        <w:t>评标依据</w:t>
      </w:r>
    </w:p>
    <w:p w14:paraId="47D9574A">
      <w:pPr>
        <w:spacing w:line="440" w:lineRule="exact"/>
        <w:ind w:firstLine="480" w:firstLineChars="200"/>
        <w:rPr>
          <w:color w:val="auto"/>
          <w:highlight w:val="none"/>
        </w:rPr>
      </w:pPr>
      <w:r>
        <w:rPr>
          <w:color w:val="auto"/>
          <w:highlight w:val="none"/>
        </w:rPr>
        <w:t>1</w:t>
      </w:r>
      <w:r>
        <w:rPr>
          <w:rFonts w:hint="eastAsia"/>
          <w:color w:val="auto"/>
          <w:highlight w:val="none"/>
        </w:rPr>
        <w:t>8</w:t>
      </w:r>
      <w:r>
        <w:rPr>
          <w:color w:val="auto"/>
          <w:highlight w:val="none"/>
        </w:rPr>
        <w:t>.1</w:t>
      </w:r>
      <w:r>
        <w:rPr>
          <w:rFonts w:hint="eastAsia"/>
          <w:color w:val="auto"/>
          <w:highlight w:val="none"/>
        </w:rPr>
        <w:t>　评标的依据为招标文件。</w:t>
      </w:r>
    </w:p>
    <w:p w14:paraId="602E74C6">
      <w:pPr>
        <w:spacing w:line="440" w:lineRule="exact"/>
        <w:ind w:firstLine="482" w:firstLineChars="200"/>
        <w:rPr>
          <w:b/>
          <w:color w:val="auto"/>
          <w:highlight w:val="none"/>
        </w:rPr>
      </w:pPr>
      <w:r>
        <w:rPr>
          <w:b/>
          <w:color w:val="auto"/>
          <w:highlight w:val="none"/>
        </w:rPr>
        <w:t>1</w:t>
      </w:r>
      <w:r>
        <w:rPr>
          <w:rFonts w:hint="eastAsia"/>
          <w:b/>
          <w:color w:val="auto"/>
          <w:highlight w:val="none"/>
        </w:rPr>
        <w:t>9</w:t>
      </w:r>
      <w:r>
        <w:rPr>
          <w:b/>
          <w:color w:val="auto"/>
          <w:highlight w:val="none"/>
        </w:rPr>
        <w:t xml:space="preserve">. </w:t>
      </w:r>
      <w:r>
        <w:rPr>
          <w:rFonts w:hint="eastAsia"/>
          <w:b/>
          <w:color w:val="auto"/>
          <w:highlight w:val="none"/>
        </w:rPr>
        <w:t>投标文件的澄清</w:t>
      </w:r>
    </w:p>
    <w:p w14:paraId="431969B9">
      <w:pPr>
        <w:spacing w:line="440" w:lineRule="exact"/>
        <w:ind w:firstLine="472" w:firstLineChars="200"/>
        <w:rPr>
          <w:color w:val="auto"/>
          <w:spacing w:val="-2"/>
          <w:highlight w:val="none"/>
        </w:rPr>
      </w:pPr>
      <w:r>
        <w:rPr>
          <w:color w:val="auto"/>
          <w:spacing w:val="-2"/>
          <w:highlight w:val="none"/>
        </w:rPr>
        <w:t>1</w:t>
      </w:r>
      <w:r>
        <w:rPr>
          <w:rFonts w:hint="eastAsia"/>
          <w:color w:val="auto"/>
          <w:spacing w:val="-2"/>
          <w:highlight w:val="none"/>
        </w:rPr>
        <w:t>9</w:t>
      </w:r>
      <w:r>
        <w:rPr>
          <w:color w:val="auto"/>
          <w:spacing w:val="-2"/>
          <w:highlight w:val="none"/>
        </w:rPr>
        <w:t>.1</w:t>
      </w:r>
      <w:r>
        <w:rPr>
          <w:rFonts w:hint="eastAsia"/>
          <w:color w:val="auto"/>
          <w:spacing w:val="-2"/>
          <w:highlight w:val="none"/>
        </w:rPr>
        <w:t>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14:paraId="6A4ADF02">
      <w:pPr>
        <w:spacing w:line="440" w:lineRule="exact"/>
        <w:ind w:firstLine="472" w:firstLineChars="200"/>
        <w:rPr>
          <w:color w:val="auto"/>
          <w:spacing w:val="-2"/>
          <w:highlight w:val="none"/>
        </w:rPr>
      </w:pPr>
      <w:r>
        <w:rPr>
          <w:color w:val="auto"/>
          <w:spacing w:val="-2"/>
          <w:highlight w:val="none"/>
        </w:rPr>
        <w:t>1</w:t>
      </w:r>
      <w:r>
        <w:rPr>
          <w:rFonts w:hint="eastAsia"/>
          <w:color w:val="auto"/>
          <w:spacing w:val="-2"/>
          <w:highlight w:val="none"/>
        </w:rPr>
        <w:t>9</w:t>
      </w:r>
      <w:r>
        <w:rPr>
          <w:color w:val="auto"/>
          <w:spacing w:val="-2"/>
          <w:highlight w:val="none"/>
        </w:rPr>
        <w:t>.2</w:t>
      </w:r>
      <w:r>
        <w:rPr>
          <w:rFonts w:hint="eastAsia"/>
          <w:color w:val="auto"/>
          <w:spacing w:val="-2"/>
          <w:highlight w:val="none"/>
        </w:rPr>
        <w:t>　答疑和澄清的内容应是书面的，但不得对投标的价格、技术指标和参数等内容进行实质性修改。澄清文件须由投标人法定代表人或其授权代表签字或加盖投标人公章，并作为投标文件的组成部分。</w:t>
      </w:r>
    </w:p>
    <w:p w14:paraId="17DEA6D8">
      <w:pPr>
        <w:spacing w:line="440" w:lineRule="exact"/>
        <w:ind w:firstLine="482" w:firstLineChars="200"/>
        <w:rPr>
          <w:b/>
          <w:color w:val="auto"/>
          <w:highlight w:val="none"/>
        </w:rPr>
      </w:pPr>
      <w:r>
        <w:rPr>
          <w:b/>
          <w:color w:val="auto"/>
          <w:highlight w:val="none"/>
        </w:rPr>
        <w:t xml:space="preserve">20. </w:t>
      </w:r>
      <w:r>
        <w:rPr>
          <w:rFonts w:hint="eastAsia"/>
          <w:b/>
          <w:color w:val="auto"/>
          <w:highlight w:val="none"/>
        </w:rPr>
        <w:t>评标过程的保密</w:t>
      </w:r>
    </w:p>
    <w:p w14:paraId="38DA9D3B">
      <w:pPr>
        <w:spacing w:line="440" w:lineRule="exact"/>
        <w:ind w:firstLine="480" w:firstLineChars="200"/>
        <w:rPr>
          <w:color w:val="auto"/>
          <w:spacing w:val="-2"/>
          <w:highlight w:val="none"/>
        </w:rPr>
      </w:pPr>
      <w:r>
        <w:rPr>
          <w:color w:val="auto"/>
          <w:highlight w:val="none"/>
        </w:rPr>
        <w:t xml:space="preserve">20.1  </w:t>
      </w:r>
      <w:r>
        <w:rPr>
          <w:rFonts w:hint="eastAsia"/>
          <w:color w:val="auto"/>
          <w:spacing w:val="-2"/>
          <w:highlight w:val="none"/>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14:paraId="6C4B1576">
      <w:pPr>
        <w:spacing w:line="440" w:lineRule="exact"/>
        <w:ind w:firstLine="480" w:firstLineChars="200"/>
        <w:rPr>
          <w:color w:val="auto"/>
          <w:spacing w:val="-2"/>
          <w:highlight w:val="none"/>
        </w:rPr>
      </w:pPr>
      <w:r>
        <w:rPr>
          <w:color w:val="auto"/>
          <w:highlight w:val="none"/>
        </w:rPr>
        <w:t xml:space="preserve">20.2 </w:t>
      </w:r>
      <w:r>
        <w:rPr>
          <w:rFonts w:hint="eastAsia"/>
          <w:color w:val="auto"/>
          <w:spacing w:val="-2"/>
          <w:highlight w:val="none"/>
        </w:rPr>
        <w:t>投标人在评标过程中，所进行的试图影响评标结果的不符合《中华人民共和国政府采购法》</w:t>
      </w:r>
      <w:r>
        <w:rPr>
          <w:rFonts w:hint="eastAsia"/>
          <w:color w:val="auto"/>
          <w:highlight w:val="none"/>
        </w:rPr>
        <w:t>和相关法律法规</w:t>
      </w:r>
      <w:r>
        <w:rPr>
          <w:rFonts w:hint="eastAsia"/>
          <w:color w:val="auto"/>
          <w:spacing w:val="-2"/>
          <w:highlight w:val="none"/>
        </w:rPr>
        <w:t>及本次招标有关规定的活动，将被取消中标资格。</w:t>
      </w:r>
    </w:p>
    <w:p w14:paraId="76B7D70C">
      <w:pPr>
        <w:spacing w:line="440" w:lineRule="exact"/>
        <w:ind w:firstLine="482" w:firstLineChars="200"/>
        <w:rPr>
          <w:b/>
          <w:color w:val="auto"/>
          <w:highlight w:val="none"/>
        </w:rPr>
      </w:pPr>
      <w:r>
        <w:rPr>
          <w:b/>
          <w:color w:val="auto"/>
          <w:highlight w:val="none"/>
        </w:rPr>
        <w:t xml:space="preserve">21. </w:t>
      </w:r>
      <w:r>
        <w:rPr>
          <w:rFonts w:hint="eastAsia"/>
          <w:b/>
          <w:color w:val="auto"/>
          <w:highlight w:val="none"/>
        </w:rPr>
        <w:t>初步评审</w:t>
      </w:r>
    </w:p>
    <w:p w14:paraId="336F84BD">
      <w:pPr>
        <w:spacing w:line="440" w:lineRule="exact"/>
        <w:ind w:firstLine="472" w:firstLineChars="200"/>
        <w:rPr>
          <w:rFonts w:hint="eastAsia"/>
          <w:color w:val="auto"/>
          <w:spacing w:val="-2"/>
          <w:highlight w:val="none"/>
        </w:rPr>
      </w:pPr>
      <w:r>
        <w:rPr>
          <w:color w:val="auto"/>
          <w:spacing w:val="-2"/>
          <w:highlight w:val="none"/>
        </w:rPr>
        <w:t xml:space="preserve">21.1  </w:t>
      </w:r>
      <w:r>
        <w:rPr>
          <w:rFonts w:hint="eastAsia"/>
          <w:color w:val="auto"/>
          <w:spacing w:val="-2"/>
          <w:highlight w:val="none"/>
        </w:rPr>
        <w:t>评标委员会可以以书面方式要求投标人对投标文件中含义不明确、对同类问题表述不一致或者有明显文字和计算错误的内容作必要的澄清、说明或补正。澄清、说明或补正应以书面方式进行</w:t>
      </w:r>
      <w:r>
        <w:rPr>
          <w:color w:val="auto"/>
          <w:spacing w:val="-2"/>
          <w:highlight w:val="none"/>
        </w:rPr>
        <w:t>,</w:t>
      </w:r>
      <w:r>
        <w:rPr>
          <w:rFonts w:hint="eastAsia"/>
          <w:color w:val="auto"/>
          <w:spacing w:val="-2"/>
          <w:highlight w:val="none"/>
        </w:rPr>
        <w:t>且不得超出投标文件的范围或者改变投标文件的实质性内容。</w:t>
      </w:r>
    </w:p>
    <w:p w14:paraId="78F945F2">
      <w:pPr>
        <w:spacing w:line="440" w:lineRule="exact"/>
        <w:ind w:firstLine="472" w:firstLineChars="200"/>
        <w:rPr>
          <w:color w:val="auto"/>
          <w:spacing w:val="-2"/>
          <w:highlight w:val="none"/>
        </w:rPr>
      </w:pPr>
      <w:r>
        <w:rPr>
          <w:color w:val="auto"/>
          <w:spacing w:val="-2"/>
          <w:highlight w:val="none"/>
        </w:rPr>
        <w:t>21.</w:t>
      </w:r>
      <w:r>
        <w:rPr>
          <w:rFonts w:hint="eastAsia"/>
          <w:color w:val="auto"/>
          <w:spacing w:val="-2"/>
          <w:highlight w:val="none"/>
        </w:rPr>
        <w:t>2　招标方不接受不符合国家有关部门相关规定的投标报价或优惠方案。</w:t>
      </w:r>
    </w:p>
    <w:p w14:paraId="33BB40C5">
      <w:pPr>
        <w:spacing w:line="440" w:lineRule="exact"/>
        <w:ind w:firstLine="472" w:firstLineChars="200"/>
        <w:rPr>
          <w:color w:val="auto"/>
          <w:spacing w:val="-2"/>
          <w:highlight w:val="none"/>
        </w:rPr>
      </w:pPr>
      <w:r>
        <w:rPr>
          <w:color w:val="auto"/>
          <w:spacing w:val="-2"/>
          <w:highlight w:val="none"/>
        </w:rPr>
        <w:t>21.</w:t>
      </w:r>
      <w:r>
        <w:rPr>
          <w:rFonts w:hint="eastAsia"/>
          <w:color w:val="auto"/>
          <w:spacing w:val="-2"/>
          <w:highlight w:val="none"/>
        </w:rPr>
        <w:t>3　在评标过程中，评标委员会发现投标人以他人名义投标、串通投标、以行贿手段谋取中标或者以其他弄虚作假方式投标的，该投标人的投标应作无效标处理。</w:t>
      </w:r>
    </w:p>
    <w:p w14:paraId="7F0494D9">
      <w:pPr>
        <w:spacing w:line="440" w:lineRule="exact"/>
        <w:ind w:firstLine="472" w:firstLineChars="200"/>
        <w:rPr>
          <w:color w:val="auto"/>
          <w:spacing w:val="-2"/>
          <w:highlight w:val="none"/>
        </w:rPr>
      </w:pPr>
      <w:r>
        <w:rPr>
          <w:color w:val="auto"/>
          <w:spacing w:val="-2"/>
          <w:highlight w:val="none"/>
        </w:rPr>
        <w:t>21.</w:t>
      </w:r>
      <w:r>
        <w:rPr>
          <w:rFonts w:hint="eastAsia"/>
          <w:color w:val="auto"/>
          <w:spacing w:val="-2"/>
          <w:highlight w:val="none"/>
        </w:rPr>
        <w:t>4</w:t>
      </w:r>
      <w:r>
        <w:rPr>
          <w:color w:val="auto"/>
          <w:spacing w:val="-2"/>
          <w:highlight w:val="none"/>
        </w:rPr>
        <w:t xml:space="preserve">  </w:t>
      </w:r>
      <w:r>
        <w:rPr>
          <w:rFonts w:hint="eastAsia"/>
          <w:color w:val="auto"/>
          <w:spacing w:val="-2"/>
          <w:highlight w:val="none"/>
        </w:rPr>
        <w:t>投标人拒不按照要求对投标文件进行澄清、说明或补正的，评标委员会可以否决其投标。</w:t>
      </w:r>
    </w:p>
    <w:p w14:paraId="65B36112">
      <w:pPr>
        <w:spacing w:line="440" w:lineRule="exact"/>
        <w:ind w:firstLine="472" w:firstLineChars="200"/>
        <w:rPr>
          <w:color w:val="auto"/>
          <w:spacing w:val="-2"/>
          <w:highlight w:val="none"/>
        </w:rPr>
      </w:pPr>
      <w:r>
        <w:rPr>
          <w:color w:val="auto"/>
          <w:spacing w:val="-2"/>
          <w:highlight w:val="none"/>
        </w:rPr>
        <w:t>21.</w:t>
      </w:r>
      <w:r>
        <w:rPr>
          <w:rFonts w:hint="eastAsia"/>
          <w:color w:val="auto"/>
          <w:spacing w:val="-2"/>
          <w:highlight w:val="none"/>
        </w:rPr>
        <w:t>5</w:t>
      </w:r>
      <w:r>
        <w:rPr>
          <w:color w:val="auto"/>
          <w:spacing w:val="-2"/>
          <w:highlight w:val="none"/>
        </w:rPr>
        <w:t xml:space="preserve">  </w:t>
      </w:r>
      <w:r>
        <w:rPr>
          <w:rFonts w:hint="eastAsia"/>
          <w:color w:val="auto"/>
          <w:spacing w:val="-2"/>
          <w:highlight w:val="none"/>
        </w:rPr>
        <w:t>评标委员会应当审查每一投标文件是否对招标文件提出的所有实质性要求和条件做出满足。未能在实质上满足的投标，应作无效标处理。</w:t>
      </w:r>
    </w:p>
    <w:p w14:paraId="085F035B">
      <w:pPr>
        <w:spacing w:line="440" w:lineRule="exact"/>
        <w:ind w:firstLine="472" w:firstLineChars="200"/>
        <w:rPr>
          <w:rFonts w:hint="eastAsia"/>
          <w:color w:val="auto"/>
          <w:spacing w:val="-2"/>
          <w:highlight w:val="none"/>
        </w:rPr>
      </w:pPr>
      <w:r>
        <w:rPr>
          <w:color w:val="auto"/>
          <w:spacing w:val="-2"/>
          <w:highlight w:val="none"/>
        </w:rPr>
        <w:t>21.</w:t>
      </w:r>
      <w:r>
        <w:rPr>
          <w:rFonts w:hint="eastAsia"/>
          <w:color w:val="auto"/>
          <w:spacing w:val="-2"/>
          <w:highlight w:val="none"/>
        </w:rPr>
        <w:t>6　投标人不得误导、干扰招标方的评标活动，否则将废除其投标。</w:t>
      </w:r>
    </w:p>
    <w:p w14:paraId="2E33A828">
      <w:pPr>
        <w:spacing w:line="440" w:lineRule="exact"/>
        <w:ind w:firstLine="472" w:firstLineChars="200"/>
        <w:rPr>
          <w:color w:val="auto"/>
          <w:spacing w:val="-2"/>
          <w:highlight w:val="none"/>
        </w:rPr>
      </w:pPr>
      <w:r>
        <w:rPr>
          <w:color w:val="auto"/>
          <w:spacing w:val="-2"/>
          <w:highlight w:val="none"/>
        </w:rPr>
        <w:t xml:space="preserve">21.7  </w:t>
      </w:r>
      <w:r>
        <w:rPr>
          <w:rFonts w:hint="eastAsia"/>
          <w:color w:val="auto"/>
          <w:spacing w:val="-2"/>
          <w:highlight w:val="none"/>
        </w:rPr>
        <w:t>对投标文件满足招标文件条款的审查：</w:t>
      </w:r>
    </w:p>
    <w:p w14:paraId="6DA6779C">
      <w:pPr>
        <w:spacing w:line="440" w:lineRule="exact"/>
        <w:ind w:firstLine="472" w:firstLineChars="200"/>
        <w:rPr>
          <w:color w:val="auto"/>
          <w:spacing w:val="-2"/>
          <w:highlight w:val="none"/>
        </w:rPr>
      </w:pPr>
      <w:r>
        <w:rPr>
          <w:rFonts w:hint="eastAsia"/>
          <w:color w:val="auto"/>
          <w:spacing w:val="-2"/>
          <w:highlight w:val="none"/>
        </w:rPr>
        <w:t>（</w:t>
      </w:r>
      <w:r>
        <w:rPr>
          <w:color w:val="auto"/>
          <w:spacing w:val="-2"/>
          <w:highlight w:val="none"/>
        </w:rPr>
        <w:t>1</w:t>
      </w:r>
      <w:r>
        <w:rPr>
          <w:rFonts w:hint="eastAsia"/>
          <w:color w:val="auto"/>
          <w:spacing w:val="-2"/>
          <w:highlight w:val="none"/>
        </w:rPr>
        <w:t>）开标后，评标委员会将组织对投标文件进行审查，检查投标文件是否完整，是否出现计算性错误，投标文件是否满足招标文件的格式要求；</w:t>
      </w:r>
    </w:p>
    <w:p w14:paraId="58343AE3">
      <w:pPr>
        <w:spacing w:line="440" w:lineRule="exact"/>
        <w:ind w:firstLine="472" w:firstLineChars="200"/>
        <w:rPr>
          <w:color w:val="auto"/>
          <w:spacing w:val="-2"/>
          <w:highlight w:val="none"/>
        </w:rPr>
      </w:pPr>
      <w:r>
        <w:rPr>
          <w:rFonts w:hint="eastAsia"/>
          <w:color w:val="auto"/>
          <w:spacing w:val="-2"/>
          <w:highlight w:val="none"/>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14:paraId="30B26FB5">
      <w:pPr>
        <w:spacing w:line="440" w:lineRule="exact"/>
        <w:ind w:firstLine="472" w:firstLineChars="200"/>
        <w:rPr>
          <w:color w:val="auto"/>
          <w:spacing w:val="-2"/>
          <w:highlight w:val="none"/>
        </w:rPr>
      </w:pPr>
      <w:r>
        <w:rPr>
          <w:rFonts w:hint="eastAsia"/>
          <w:color w:val="auto"/>
          <w:spacing w:val="-2"/>
          <w:highlight w:val="none"/>
        </w:rPr>
        <w:t>（3）评标委员会判断投标文件的满足性仅基于投标文件本身而不靠外部证据；</w:t>
      </w:r>
    </w:p>
    <w:p w14:paraId="1E529FA2">
      <w:pPr>
        <w:spacing w:line="440" w:lineRule="exact"/>
        <w:ind w:firstLine="472" w:firstLineChars="200"/>
        <w:rPr>
          <w:rFonts w:hint="eastAsia"/>
          <w:color w:val="auto"/>
          <w:spacing w:val="-2"/>
          <w:highlight w:val="none"/>
        </w:rPr>
      </w:pPr>
      <w:r>
        <w:rPr>
          <w:rFonts w:hint="eastAsia"/>
          <w:color w:val="auto"/>
          <w:spacing w:val="-2"/>
          <w:highlight w:val="none"/>
        </w:rPr>
        <w:t>（4）评标委员会将拒绝被确定为非实质性满足的投标。投标人不能通过修正或撤消不符合之处而使其投标成为实质性满足的投标。</w:t>
      </w:r>
    </w:p>
    <w:p w14:paraId="2623723D">
      <w:pPr>
        <w:spacing w:line="440" w:lineRule="exact"/>
        <w:jc w:val="center"/>
        <w:rPr>
          <w:color w:val="auto"/>
          <w:spacing w:val="-2"/>
          <w:highlight w:val="none"/>
        </w:rPr>
      </w:pPr>
      <w:r>
        <w:rPr>
          <w:rFonts w:hint="eastAsia"/>
          <w:color w:val="auto"/>
          <w:spacing w:val="-2"/>
          <w:highlight w:val="none"/>
        </w:rPr>
        <w:t>符合性审查</w:t>
      </w:r>
    </w:p>
    <w:tbl>
      <w:tblPr>
        <w:tblStyle w:val="29"/>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DA84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14:paraId="6951C230">
            <w:pPr>
              <w:jc w:val="center"/>
              <w:rPr>
                <w:color w:val="auto"/>
                <w:highlight w:val="none"/>
              </w:rPr>
            </w:pPr>
            <w:r>
              <w:rPr>
                <w:rFonts w:hint="eastAsia"/>
                <w:color w:val="auto"/>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14:paraId="6CBA3AAC">
            <w:pPr>
              <w:jc w:val="center"/>
              <w:rPr>
                <w:b/>
                <w:color w:val="auto"/>
                <w:highlight w:val="none"/>
              </w:rPr>
            </w:pPr>
            <w:r>
              <w:rPr>
                <w:rFonts w:hint="eastAsia"/>
                <w:b/>
                <w:color w:val="auto"/>
                <w:highlight w:val="none"/>
              </w:rPr>
              <w:t>投标企业名称</w:t>
            </w:r>
          </w:p>
        </w:tc>
      </w:tr>
      <w:tr w14:paraId="37952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14:paraId="70E0FFF6">
            <w:pPr>
              <w:jc w:val="center"/>
              <w:rPr>
                <w:color w:val="auto"/>
                <w:highlight w:val="none"/>
              </w:rPr>
            </w:pPr>
          </w:p>
        </w:tc>
        <w:tc>
          <w:tcPr>
            <w:tcW w:w="646" w:type="dxa"/>
            <w:tcBorders>
              <w:top w:val="single" w:color="auto" w:sz="4" w:space="0"/>
              <w:left w:val="single" w:color="auto" w:sz="4" w:space="0"/>
              <w:right w:val="single" w:color="auto" w:sz="4" w:space="0"/>
            </w:tcBorders>
            <w:noWrap w:val="0"/>
            <w:vAlign w:val="center"/>
          </w:tcPr>
          <w:p w14:paraId="3E10BE4A">
            <w:pPr>
              <w:jc w:val="center"/>
              <w:rPr>
                <w:b/>
                <w:color w:val="auto"/>
                <w:szCs w:val="21"/>
                <w:highlight w:val="none"/>
              </w:rPr>
            </w:pPr>
            <w:r>
              <w:rPr>
                <w:b/>
                <w:color w:val="auto"/>
                <w:szCs w:val="21"/>
                <w:highlight w:val="none"/>
              </w:rPr>
              <w:t>1</w:t>
            </w:r>
          </w:p>
        </w:tc>
        <w:tc>
          <w:tcPr>
            <w:tcW w:w="646" w:type="dxa"/>
            <w:tcBorders>
              <w:top w:val="single" w:color="auto" w:sz="4" w:space="0"/>
              <w:left w:val="single" w:color="auto" w:sz="4" w:space="0"/>
            </w:tcBorders>
            <w:noWrap w:val="0"/>
            <w:vAlign w:val="center"/>
          </w:tcPr>
          <w:p w14:paraId="27284B00">
            <w:pPr>
              <w:jc w:val="center"/>
              <w:rPr>
                <w:b/>
                <w:color w:val="auto"/>
                <w:szCs w:val="21"/>
                <w:highlight w:val="none"/>
              </w:rPr>
            </w:pPr>
            <w:r>
              <w:rPr>
                <w:b/>
                <w:color w:val="auto"/>
                <w:szCs w:val="21"/>
                <w:highlight w:val="none"/>
              </w:rPr>
              <w:t>2</w:t>
            </w:r>
          </w:p>
        </w:tc>
        <w:tc>
          <w:tcPr>
            <w:tcW w:w="646" w:type="dxa"/>
            <w:noWrap w:val="0"/>
            <w:vAlign w:val="center"/>
          </w:tcPr>
          <w:p w14:paraId="3ED82CD8">
            <w:pPr>
              <w:jc w:val="center"/>
              <w:rPr>
                <w:b/>
                <w:color w:val="auto"/>
                <w:szCs w:val="21"/>
                <w:highlight w:val="none"/>
              </w:rPr>
            </w:pPr>
            <w:r>
              <w:rPr>
                <w:b/>
                <w:color w:val="auto"/>
                <w:szCs w:val="21"/>
                <w:highlight w:val="none"/>
              </w:rPr>
              <w:t>3</w:t>
            </w:r>
          </w:p>
        </w:tc>
        <w:tc>
          <w:tcPr>
            <w:tcW w:w="597" w:type="dxa"/>
            <w:noWrap w:val="0"/>
            <w:vAlign w:val="center"/>
          </w:tcPr>
          <w:p w14:paraId="4ED17159">
            <w:pPr>
              <w:jc w:val="center"/>
              <w:rPr>
                <w:b/>
                <w:color w:val="auto"/>
                <w:szCs w:val="21"/>
                <w:highlight w:val="none"/>
              </w:rPr>
            </w:pPr>
            <w:r>
              <w:rPr>
                <w:rFonts w:hint="eastAsia"/>
                <w:b/>
                <w:color w:val="auto"/>
                <w:szCs w:val="21"/>
                <w:highlight w:val="none"/>
              </w:rPr>
              <w:t>…</w:t>
            </w:r>
          </w:p>
        </w:tc>
      </w:tr>
      <w:tr w14:paraId="688D1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2ECD8DF7">
            <w:pPr>
              <w:jc w:val="center"/>
              <w:textAlignment w:val="center"/>
              <w:rPr>
                <w:color w:val="auto"/>
                <w:highlight w:val="none"/>
              </w:rPr>
            </w:pPr>
            <w:r>
              <w:rPr>
                <w:rFonts w:hint="eastAsia"/>
                <w:color w:val="auto"/>
                <w:highlight w:val="none"/>
              </w:rPr>
              <w:t>1</w:t>
            </w:r>
          </w:p>
        </w:tc>
        <w:tc>
          <w:tcPr>
            <w:tcW w:w="6674" w:type="dxa"/>
            <w:tcBorders>
              <w:right w:val="single" w:color="auto" w:sz="4" w:space="0"/>
            </w:tcBorders>
            <w:noWrap w:val="0"/>
            <w:vAlign w:val="center"/>
          </w:tcPr>
          <w:p w14:paraId="494A8AB9">
            <w:pPr>
              <w:rPr>
                <w:color w:val="auto"/>
                <w:highlight w:val="none"/>
              </w:rPr>
            </w:pPr>
            <w:r>
              <w:rPr>
                <w:rFonts w:hint="eastAsia"/>
                <w:color w:val="auto"/>
                <w:highlight w:val="none"/>
              </w:rPr>
              <w:t>投标函有单位盖章及法定代表人或法定代表人授权的代理人签字或盖章；</w:t>
            </w:r>
          </w:p>
        </w:tc>
        <w:tc>
          <w:tcPr>
            <w:tcW w:w="646" w:type="dxa"/>
            <w:tcBorders>
              <w:left w:val="single" w:color="auto" w:sz="4" w:space="0"/>
              <w:right w:val="single" w:color="auto" w:sz="4" w:space="0"/>
            </w:tcBorders>
            <w:noWrap w:val="0"/>
            <w:vAlign w:val="center"/>
          </w:tcPr>
          <w:p w14:paraId="5C4A1EBF">
            <w:pPr>
              <w:jc w:val="center"/>
              <w:rPr>
                <w:color w:val="auto"/>
                <w:szCs w:val="21"/>
                <w:highlight w:val="none"/>
              </w:rPr>
            </w:pPr>
          </w:p>
        </w:tc>
        <w:tc>
          <w:tcPr>
            <w:tcW w:w="646" w:type="dxa"/>
            <w:tcBorders>
              <w:left w:val="single" w:color="auto" w:sz="4" w:space="0"/>
            </w:tcBorders>
            <w:noWrap w:val="0"/>
            <w:vAlign w:val="center"/>
          </w:tcPr>
          <w:p w14:paraId="4CF42B22">
            <w:pPr>
              <w:jc w:val="center"/>
              <w:rPr>
                <w:color w:val="auto"/>
                <w:szCs w:val="21"/>
                <w:highlight w:val="none"/>
              </w:rPr>
            </w:pPr>
          </w:p>
        </w:tc>
        <w:tc>
          <w:tcPr>
            <w:tcW w:w="646" w:type="dxa"/>
            <w:tcBorders>
              <w:right w:val="single" w:color="auto" w:sz="4" w:space="0"/>
            </w:tcBorders>
            <w:noWrap w:val="0"/>
            <w:vAlign w:val="center"/>
          </w:tcPr>
          <w:p w14:paraId="7399727B">
            <w:pPr>
              <w:jc w:val="center"/>
              <w:rPr>
                <w:color w:val="auto"/>
                <w:szCs w:val="21"/>
                <w:highlight w:val="none"/>
              </w:rPr>
            </w:pPr>
          </w:p>
        </w:tc>
        <w:tc>
          <w:tcPr>
            <w:tcW w:w="597" w:type="dxa"/>
            <w:tcBorders>
              <w:left w:val="single" w:color="auto" w:sz="4" w:space="0"/>
            </w:tcBorders>
            <w:noWrap w:val="0"/>
            <w:vAlign w:val="center"/>
          </w:tcPr>
          <w:p w14:paraId="0287823C">
            <w:pPr>
              <w:jc w:val="center"/>
              <w:rPr>
                <w:color w:val="auto"/>
                <w:szCs w:val="21"/>
                <w:highlight w:val="none"/>
              </w:rPr>
            </w:pPr>
          </w:p>
        </w:tc>
      </w:tr>
      <w:tr w14:paraId="2DEDA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4272CC12">
            <w:pPr>
              <w:jc w:val="center"/>
              <w:textAlignment w:val="center"/>
              <w:rPr>
                <w:rFonts w:hint="eastAsia" w:eastAsia="宋体"/>
                <w:color w:val="auto"/>
                <w:highlight w:val="none"/>
                <w:lang w:val="en-US" w:eastAsia="zh-CN"/>
              </w:rPr>
            </w:pPr>
            <w:r>
              <w:rPr>
                <w:rFonts w:hint="eastAsia"/>
                <w:color w:val="auto"/>
                <w:highlight w:val="none"/>
                <w:lang w:val="en-US" w:eastAsia="zh-CN"/>
              </w:rPr>
              <w:t>2</w:t>
            </w:r>
          </w:p>
        </w:tc>
        <w:tc>
          <w:tcPr>
            <w:tcW w:w="6674" w:type="dxa"/>
            <w:tcBorders>
              <w:right w:val="single" w:color="auto" w:sz="4" w:space="0"/>
            </w:tcBorders>
            <w:noWrap w:val="0"/>
            <w:vAlign w:val="center"/>
          </w:tcPr>
          <w:p w14:paraId="7C564A3D">
            <w:pPr>
              <w:rPr>
                <w:rFonts w:hint="eastAsia"/>
                <w:color w:val="auto"/>
                <w:highlight w:val="none"/>
              </w:rPr>
            </w:pPr>
            <w:r>
              <w:rPr>
                <w:rFonts w:hint="eastAsia"/>
                <w:color w:val="auto"/>
                <w:highlight w:val="none"/>
              </w:rPr>
              <w:t>提供有效的《法定代表人资格证明书》或《法定代表人授权委托书》；</w:t>
            </w:r>
          </w:p>
        </w:tc>
        <w:tc>
          <w:tcPr>
            <w:tcW w:w="646" w:type="dxa"/>
            <w:tcBorders>
              <w:left w:val="single" w:color="auto" w:sz="4" w:space="0"/>
              <w:right w:val="single" w:color="auto" w:sz="4" w:space="0"/>
            </w:tcBorders>
            <w:noWrap w:val="0"/>
            <w:vAlign w:val="center"/>
          </w:tcPr>
          <w:p w14:paraId="796CC13B">
            <w:pPr>
              <w:jc w:val="center"/>
              <w:rPr>
                <w:color w:val="auto"/>
                <w:szCs w:val="21"/>
                <w:highlight w:val="none"/>
              </w:rPr>
            </w:pPr>
          </w:p>
        </w:tc>
        <w:tc>
          <w:tcPr>
            <w:tcW w:w="646" w:type="dxa"/>
            <w:tcBorders>
              <w:left w:val="single" w:color="auto" w:sz="4" w:space="0"/>
            </w:tcBorders>
            <w:noWrap w:val="0"/>
            <w:vAlign w:val="center"/>
          </w:tcPr>
          <w:p w14:paraId="09917BFF">
            <w:pPr>
              <w:jc w:val="center"/>
              <w:rPr>
                <w:color w:val="auto"/>
                <w:szCs w:val="21"/>
                <w:highlight w:val="none"/>
              </w:rPr>
            </w:pPr>
          </w:p>
        </w:tc>
        <w:tc>
          <w:tcPr>
            <w:tcW w:w="646" w:type="dxa"/>
            <w:tcBorders>
              <w:right w:val="single" w:color="auto" w:sz="4" w:space="0"/>
            </w:tcBorders>
            <w:noWrap w:val="0"/>
            <w:vAlign w:val="center"/>
          </w:tcPr>
          <w:p w14:paraId="39529EE8">
            <w:pPr>
              <w:jc w:val="center"/>
              <w:rPr>
                <w:color w:val="auto"/>
                <w:szCs w:val="21"/>
                <w:highlight w:val="none"/>
              </w:rPr>
            </w:pPr>
          </w:p>
        </w:tc>
        <w:tc>
          <w:tcPr>
            <w:tcW w:w="597" w:type="dxa"/>
            <w:tcBorders>
              <w:left w:val="single" w:color="auto" w:sz="4" w:space="0"/>
            </w:tcBorders>
            <w:noWrap w:val="0"/>
            <w:vAlign w:val="center"/>
          </w:tcPr>
          <w:p w14:paraId="2E433044">
            <w:pPr>
              <w:jc w:val="center"/>
              <w:rPr>
                <w:color w:val="auto"/>
                <w:szCs w:val="21"/>
                <w:highlight w:val="none"/>
              </w:rPr>
            </w:pPr>
          </w:p>
        </w:tc>
      </w:tr>
      <w:tr w14:paraId="5445A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2CBA4820">
            <w:pPr>
              <w:jc w:val="center"/>
              <w:textAlignment w:val="center"/>
              <w:rPr>
                <w:rFonts w:hint="eastAsia" w:eastAsia="宋体"/>
                <w:color w:val="auto"/>
                <w:highlight w:val="none"/>
                <w:lang w:eastAsia="zh-CN"/>
              </w:rPr>
            </w:pPr>
            <w:r>
              <w:rPr>
                <w:rFonts w:hint="eastAsia"/>
                <w:color w:val="auto"/>
                <w:highlight w:val="none"/>
                <w:lang w:val="en-US" w:eastAsia="zh-CN"/>
              </w:rPr>
              <w:t>3</w:t>
            </w:r>
          </w:p>
        </w:tc>
        <w:tc>
          <w:tcPr>
            <w:tcW w:w="6674" w:type="dxa"/>
            <w:tcBorders>
              <w:right w:val="single" w:color="auto" w:sz="4" w:space="0"/>
            </w:tcBorders>
            <w:noWrap w:val="0"/>
            <w:vAlign w:val="center"/>
          </w:tcPr>
          <w:p w14:paraId="612843B2">
            <w:pPr>
              <w:rPr>
                <w:color w:val="auto"/>
                <w:highlight w:val="none"/>
              </w:rPr>
            </w:pPr>
            <w:r>
              <w:rPr>
                <w:rFonts w:hint="eastAsia"/>
                <w:color w:val="auto"/>
                <w:highlight w:val="none"/>
              </w:rPr>
              <w:t>投标有效期满足招标文件要求；</w:t>
            </w:r>
          </w:p>
        </w:tc>
        <w:tc>
          <w:tcPr>
            <w:tcW w:w="646" w:type="dxa"/>
            <w:tcBorders>
              <w:left w:val="single" w:color="auto" w:sz="4" w:space="0"/>
              <w:right w:val="single" w:color="auto" w:sz="4" w:space="0"/>
            </w:tcBorders>
            <w:noWrap w:val="0"/>
            <w:vAlign w:val="center"/>
          </w:tcPr>
          <w:p w14:paraId="5F48DF0D">
            <w:pPr>
              <w:jc w:val="center"/>
              <w:rPr>
                <w:color w:val="auto"/>
                <w:szCs w:val="21"/>
                <w:highlight w:val="none"/>
              </w:rPr>
            </w:pPr>
          </w:p>
        </w:tc>
        <w:tc>
          <w:tcPr>
            <w:tcW w:w="646" w:type="dxa"/>
            <w:tcBorders>
              <w:left w:val="single" w:color="auto" w:sz="4" w:space="0"/>
            </w:tcBorders>
            <w:noWrap w:val="0"/>
            <w:vAlign w:val="center"/>
          </w:tcPr>
          <w:p w14:paraId="14A65B0B">
            <w:pPr>
              <w:jc w:val="center"/>
              <w:rPr>
                <w:color w:val="auto"/>
                <w:szCs w:val="21"/>
                <w:highlight w:val="none"/>
              </w:rPr>
            </w:pPr>
          </w:p>
        </w:tc>
        <w:tc>
          <w:tcPr>
            <w:tcW w:w="646" w:type="dxa"/>
            <w:tcBorders>
              <w:right w:val="single" w:color="auto" w:sz="4" w:space="0"/>
            </w:tcBorders>
            <w:noWrap w:val="0"/>
            <w:vAlign w:val="center"/>
          </w:tcPr>
          <w:p w14:paraId="328E6A93">
            <w:pPr>
              <w:jc w:val="center"/>
              <w:rPr>
                <w:color w:val="auto"/>
                <w:szCs w:val="21"/>
                <w:highlight w:val="none"/>
              </w:rPr>
            </w:pPr>
          </w:p>
        </w:tc>
        <w:tc>
          <w:tcPr>
            <w:tcW w:w="597" w:type="dxa"/>
            <w:tcBorders>
              <w:left w:val="single" w:color="auto" w:sz="4" w:space="0"/>
            </w:tcBorders>
            <w:noWrap w:val="0"/>
            <w:vAlign w:val="center"/>
          </w:tcPr>
          <w:p w14:paraId="0DFAD442">
            <w:pPr>
              <w:jc w:val="center"/>
              <w:rPr>
                <w:color w:val="auto"/>
                <w:szCs w:val="21"/>
                <w:highlight w:val="none"/>
              </w:rPr>
            </w:pPr>
          </w:p>
        </w:tc>
      </w:tr>
      <w:tr w14:paraId="349C3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712008CF">
            <w:pPr>
              <w:jc w:val="center"/>
              <w:textAlignment w:val="center"/>
              <w:rPr>
                <w:rFonts w:ascii="宋体" w:hAnsi="宋体" w:cs="宋体"/>
                <w:color w:val="auto"/>
                <w:sz w:val="24"/>
                <w:szCs w:val="24"/>
                <w:highlight w:val="none"/>
                <w:lang w:val="en-US" w:eastAsia="zh-CN" w:bidi="ar-SA"/>
              </w:rPr>
            </w:pPr>
            <w:r>
              <w:rPr>
                <w:rFonts w:hint="eastAsia"/>
                <w:color w:val="auto"/>
                <w:highlight w:val="none"/>
              </w:rPr>
              <w:t>4</w:t>
            </w:r>
          </w:p>
        </w:tc>
        <w:tc>
          <w:tcPr>
            <w:tcW w:w="6674" w:type="dxa"/>
            <w:tcBorders>
              <w:right w:val="single" w:color="auto" w:sz="4" w:space="0"/>
            </w:tcBorders>
            <w:noWrap w:val="0"/>
            <w:vAlign w:val="center"/>
          </w:tcPr>
          <w:p w14:paraId="68780DB5">
            <w:pPr>
              <w:textAlignment w:val="center"/>
              <w:rPr>
                <w:rFonts w:hint="eastAsia"/>
                <w:color w:val="auto"/>
                <w:highlight w:val="none"/>
              </w:rPr>
            </w:pPr>
            <w:r>
              <w:rPr>
                <w:rFonts w:hint="eastAsia"/>
                <w:color w:val="auto"/>
                <w:highlight w:val="none"/>
              </w:rPr>
              <w:t>提供不参与围标串标承诺书；</w:t>
            </w:r>
          </w:p>
        </w:tc>
        <w:tc>
          <w:tcPr>
            <w:tcW w:w="646" w:type="dxa"/>
            <w:tcBorders>
              <w:left w:val="single" w:color="auto" w:sz="4" w:space="0"/>
              <w:right w:val="single" w:color="auto" w:sz="4" w:space="0"/>
            </w:tcBorders>
            <w:noWrap w:val="0"/>
            <w:vAlign w:val="center"/>
          </w:tcPr>
          <w:p w14:paraId="65599631">
            <w:pPr>
              <w:jc w:val="center"/>
              <w:rPr>
                <w:color w:val="auto"/>
                <w:szCs w:val="21"/>
                <w:highlight w:val="none"/>
              </w:rPr>
            </w:pPr>
          </w:p>
        </w:tc>
        <w:tc>
          <w:tcPr>
            <w:tcW w:w="646" w:type="dxa"/>
            <w:tcBorders>
              <w:left w:val="single" w:color="auto" w:sz="4" w:space="0"/>
            </w:tcBorders>
            <w:noWrap w:val="0"/>
            <w:vAlign w:val="center"/>
          </w:tcPr>
          <w:p w14:paraId="58A7CB3F">
            <w:pPr>
              <w:jc w:val="center"/>
              <w:rPr>
                <w:color w:val="auto"/>
                <w:szCs w:val="21"/>
                <w:highlight w:val="none"/>
              </w:rPr>
            </w:pPr>
          </w:p>
        </w:tc>
        <w:tc>
          <w:tcPr>
            <w:tcW w:w="646" w:type="dxa"/>
            <w:tcBorders>
              <w:right w:val="single" w:color="auto" w:sz="4" w:space="0"/>
            </w:tcBorders>
            <w:noWrap w:val="0"/>
            <w:vAlign w:val="center"/>
          </w:tcPr>
          <w:p w14:paraId="6A519100">
            <w:pPr>
              <w:jc w:val="center"/>
              <w:rPr>
                <w:color w:val="auto"/>
                <w:szCs w:val="21"/>
                <w:highlight w:val="none"/>
              </w:rPr>
            </w:pPr>
          </w:p>
        </w:tc>
        <w:tc>
          <w:tcPr>
            <w:tcW w:w="597" w:type="dxa"/>
            <w:tcBorders>
              <w:left w:val="single" w:color="auto" w:sz="4" w:space="0"/>
            </w:tcBorders>
            <w:noWrap w:val="0"/>
            <w:vAlign w:val="center"/>
          </w:tcPr>
          <w:p w14:paraId="05092D08">
            <w:pPr>
              <w:jc w:val="center"/>
              <w:rPr>
                <w:color w:val="auto"/>
                <w:szCs w:val="21"/>
                <w:highlight w:val="none"/>
              </w:rPr>
            </w:pPr>
          </w:p>
        </w:tc>
      </w:tr>
      <w:tr w14:paraId="0978E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4E3D2C60">
            <w:pPr>
              <w:jc w:val="center"/>
              <w:textAlignment w:val="center"/>
              <w:rPr>
                <w:rFonts w:ascii="宋体" w:hAnsi="宋体" w:cs="宋体"/>
                <w:color w:val="auto"/>
                <w:sz w:val="24"/>
                <w:szCs w:val="24"/>
                <w:highlight w:val="none"/>
                <w:lang w:val="en-US" w:eastAsia="zh-CN" w:bidi="ar-SA"/>
              </w:rPr>
            </w:pPr>
            <w:r>
              <w:rPr>
                <w:rFonts w:hint="eastAsia"/>
                <w:color w:val="auto"/>
                <w:highlight w:val="none"/>
              </w:rPr>
              <w:t>5</w:t>
            </w:r>
          </w:p>
        </w:tc>
        <w:tc>
          <w:tcPr>
            <w:tcW w:w="6674" w:type="dxa"/>
            <w:tcBorders>
              <w:right w:val="single" w:color="auto" w:sz="4" w:space="0"/>
            </w:tcBorders>
            <w:noWrap w:val="0"/>
            <w:vAlign w:val="center"/>
          </w:tcPr>
          <w:p w14:paraId="1B96F822">
            <w:pPr>
              <w:textAlignment w:val="center"/>
              <w:rPr>
                <w:rFonts w:hint="eastAsia"/>
                <w:color w:val="auto"/>
                <w:highlight w:val="none"/>
              </w:rPr>
            </w:pPr>
            <w:r>
              <w:rPr>
                <w:rFonts w:hint="eastAsia"/>
                <w:color w:val="auto"/>
                <w:highlight w:val="none"/>
              </w:rPr>
              <w:t>投标文件按照要求签署、盖章；</w:t>
            </w:r>
          </w:p>
        </w:tc>
        <w:tc>
          <w:tcPr>
            <w:tcW w:w="646" w:type="dxa"/>
            <w:tcBorders>
              <w:left w:val="single" w:color="auto" w:sz="4" w:space="0"/>
              <w:right w:val="single" w:color="auto" w:sz="4" w:space="0"/>
            </w:tcBorders>
            <w:noWrap w:val="0"/>
            <w:vAlign w:val="center"/>
          </w:tcPr>
          <w:p w14:paraId="242AB7D5">
            <w:pPr>
              <w:jc w:val="center"/>
              <w:rPr>
                <w:color w:val="auto"/>
                <w:szCs w:val="21"/>
                <w:highlight w:val="none"/>
              </w:rPr>
            </w:pPr>
          </w:p>
        </w:tc>
        <w:tc>
          <w:tcPr>
            <w:tcW w:w="646" w:type="dxa"/>
            <w:tcBorders>
              <w:left w:val="single" w:color="auto" w:sz="4" w:space="0"/>
            </w:tcBorders>
            <w:noWrap w:val="0"/>
            <w:vAlign w:val="center"/>
          </w:tcPr>
          <w:p w14:paraId="09163EB8">
            <w:pPr>
              <w:jc w:val="center"/>
              <w:rPr>
                <w:color w:val="auto"/>
                <w:szCs w:val="21"/>
                <w:highlight w:val="none"/>
              </w:rPr>
            </w:pPr>
          </w:p>
        </w:tc>
        <w:tc>
          <w:tcPr>
            <w:tcW w:w="646" w:type="dxa"/>
            <w:tcBorders>
              <w:right w:val="single" w:color="auto" w:sz="4" w:space="0"/>
            </w:tcBorders>
            <w:noWrap w:val="0"/>
            <w:vAlign w:val="center"/>
          </w:tcPr>
          <w:p w14:paraId="1A797DF7">
            <w:pPr>
              <w:jc w:val="center"/>
              <w:rPr>
                <w:color w:val="auto"/>
                <w:szCs w:val="21"/>
                <w:highlight w:val="none"/>
              </w:rPr>
            </w:pPr>
          </w:p>
        </w:tc>
        <w:tc>
          <w:tcPr>
            <w:tcW w:w="597" w:type="dxa"/>
            <w:tcBorders>
              <w:left w:val="single" w:color="auto" w:sz="4" w:space="0"/>
            </w:tcBorders>
            <w:noWrap w:val="0"/>
            <w:vAlign w:val="center"/>
          </w:tcPr>
          <w:p w14:paraId="3AD24D96">
            <w:pPr>
              <w:jc w:val="center"/>
              <w:rPr>
                <w:color w:val="auto"/>
                <w:szCs w:val="21"/>
                <w:highlight w:val="none"/>
              </w:rPr>
            </w:pPr>
          </w:p>
        </w:tc>
      </w:tr>
      <w:tr w14:paraId="356BA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03817B84">
            <w:pPr>
              <w:jc w:val="center"/>
              <w:textAlignment w:val="center"/>
              <w:rPr>
                <w:rFonts w:ascii="宋体" w:hAnsi="宋体" w:cs="宋体"/>
                <w:color w:val="auto"/>
                <w:sz w:val="24"/>
                <w:szCs w:val="24"/>
                <w:highlight w:val="none"/>
                <w:lang w:val="en-US" w:eastAsia="zh-CN" w:bidi="ar-SA"/>
              </w:rPr>
            </w:pPr>
            <w:r>
              <w:rPr>
                <w:rFonts w:hint="eastAsia"/>
                <w:color w:val="auto"/>
                <w:highlight w:val="none"/>
              </w:rPr>
              <w:t>6</w:t>
            </w:r>
          </w:p>
        </w:tc>
        <w:tc>
          <w:tcPr>
            <w:tcW w:w="6674" w:type="dxa"/>
            <w:tcBorders>
              <w:right w:val="single" w:color="auto" w:sz="4" w:space="0"/>
            </w:tcBorders>
            <w:noWrap w:val="0"/>
            <w:vAlign w:val="center"/>
          </w:tcPr>
          <w:p w14:paraId="22D0E42F">
            <w:pPr>
              <w:rPr>
                <w:rFonts w:hint="eastAsia"/>
                <w:color w:val="auto"/>
                <w:highlight w:val="none"/>
              </w:rPr>
            </w:pPr>
            <w:r>
              <w:rPr>
                <w:rFonts w:hint="eastAsia"/>
                <w:color w:val="auto"/>
                <w:highlight w:val="none"/>
              </w:rPr>
              <w:t>投标报价在采购预算或最高限价以内；</w:t>
            </w:r>
          </w:p>
        </w:tc>
        <w:tc>
          <w:tcPr>
            <w:tcW w:w="646" w:type="dxa"/>
            <w:tcBorders>
              <w:left w:val="single" w:color="auto" w:sz="4" w:space="0"/>
              <w:right w:val="single" w:color="auto" w:sz="4" w:space="0"/>
            </w:tcBorders>
            <w:noWrap w:val="0"/>
            <w:vAlign w:val="center"/>
          </w:tcPr>
          <w:p w14:paraId="1BF1FB92">
            <w:pPr>
              <w:jc w:val="center"/>
              <w:rPr>
                <w:color w:val="auto"/>
                <w:szCs w:val="21"/>
                <w:highlight w:val="none"/>
              </w:rPr>
            </w:pPr>
          </w:p>
        </w:tc>
        <w:tc>
          <w:tcPr>
            <w:tcW w:w="646" w:type="dxa"/>
            <w:tcBorders>
              <w:left w:val="single" w:color="auto" w:sz="4" w:space="0"/>
            </w:tcBorders>
            <w:noWrap w:val="0"/>
            <w:vAlign w:val="center"/>
          </w:tcPr>
          <w:p w14:paraId="6341BF63">
            <w:pPr>
              <w:jc w:val="center"/>
              <w:rPr>
                <w:color w:val="auto"/>
                <w:szCs w:val="21"/>
                <w:highlight w:val="none"/>
              </w:rPr>
            </w:pPr>
          </w:p>
        </w:tc>
        <w:tc>
          <w:tcPr>
            <w:tcW w:w="646" w:type="dxa"/>
            <w:tcBorders>
              <w:right w:val="single" w:color="auto" w:sz="4" w:space="0"/>
            </w:tcBorders>
            <w:noWrap w:val="0"/>
            <w:vAlign w:val="center"/>
          </w:tcPr>
          <w:p w14:paraId="48E1E0B4">
            <w:pPr>
              <w:jc w:val="center"/>
              <w:rPr>
                <w:color w:val="auto"/>
                <w:szCs w:val="21"/>
                <w:highlight w:val="none"/>
              </w:rPr>
            </w:pPr>
          </w:p>
        </w:tc>
        <w:tc>
          <w:tcPr>
            <w:tcW w:w="597" w:type="dxa"/>
            <w:tcBorders>
              <w:left w:val="single" w:color="auto" w:sz="4" w:space="0"/>
            </w:tcBorders>
            <w:noWrap w:val="0"/>
            <w:vAlign w:val="center"/>
          </w:tcPr>
          <w:p w14:paraId="34E4C170">
            <w:pPr>
              <w:jc w:val="center"/>
              <w:rPr>
                <w:color w:val="auto"/>
                <w:szCs w:val="21"/>
                <w:highlight w:val="none"/>
              </w:rPr>
            </w:pPr>
          </w:p>
        </w:tc>
      </w:tr>
      <w:tr w14:paraId="745BD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134219D8">
            <w:pPr>
              <w:jc w:val="center"/>
              <w:textAlignment w:val="center"/>
              <w:rPr>
                <w:rFonts w:ascii="宋体" w:hAnsi="宋体" w:cs="宋体"/>
                <w:color w:val="auto"/>
                <w:sz w:val="24"/>
                <w:szCs w:val="24"/>
                <w:highlight w:val="none"/>
                <w:lang w:val="en-US" w:eastAsia="zh-CN" w:bidi="ar-SA"/>
              </w:rPr>
            </w:pPr>
            <w:r>
              <w:rPr>
                <w:rFonts w:hint="eastAsia"/>
                <w:color w:val="auto"/>
                <w:highlight w:val="none"/>
              </w:rPr>
              <w:t>7</w:t>
            </w:r>
          </w:p>
        </w:tc>
        <w:tc>
          <w:tcPr>
            <w:tcW w:w="6674" w:type="dxa"/>
            <w:tcBorders>
              <w:right w:val="single" w:color="auto" w:sz="4" w:space="0"/>
            </w:tcBorders>
            <w:noWrap w:val="0"/>
            <w:vAlign w:val="center"/>
          </w:tcPr>
          <w:p w14:paraId="600BFF58">
            <w:pPr>
              <w:rPr>
                <w:rFonts w:hint="eastAsia"/>
                <w:color w:val="auto"/>
                <w:highlight w:val="none"/>
              </w:rPr>
            </w:pPr>
            <w:r>
              <w:rPr>
                <w:rFonts w:hint="eastAsia"/>
                <w:color w:val="auto"/>
                <w:highlight w:val="none"/>
              </w:rPr>
              <w:t>投标人所报</w:t>
            </w:r>
            <w:r>
              <w:rPr>
                <w:rFonts w:hint="eastAsia"/>
                <w:color w:val="auto"/>
                <w:highlight w:val="none"/>
                <w:lang w:eastAsia="zh-CN"/>
              </w:rPr>
              <w:t>服务</w:t>
            </w:r>
            <w:r>
              <w:rPr>
                <w:rFonts w:hint="eastAsia"/>
                <w:color w:val="auto"/>
                <w:highlight w:val="none"/>
              </w:rPr>
              <w:t>期限未超过招标文件规定期限；</w:t>
            </w:r>
          </w:p>
        </w:tc>
        <w:tc>
          <w:tcPr>
            <w:tcW w:w="646" w:type="dxa"/>
            <w:tcBorders>
              <w:left w:val="single" w:color="auto" w:sz="4" w:space="0"/>
              <w:right w:val="single" w:color="auto" w:sz="4" w:space="0"/>
            </w:tcBorders>
            <w:noWrap w:val="0"/>
            <w:vAlign w:val="center"/>
          </w:tcPr>
          <w:p w14:paraId="1F7FC410">
            <w:pPr>
              <w:jc w:val="center"/>
              <w:rPr>
                <w:color w:val="auto"/>
                <w:szCs w:val="21"/>
                <w:highlight w:val="none"/>
              </w:rPr>
            </w:pPr>
          </w:p>
        </w:tc>
        <w:tc>
          <w:tcPr>
            <w:tcW w:w="646" w:type="dxa"/>
            <w:tcBorders>
              <w:left w:val="single" w:color="auto" w:sz="4" w:space="0"/>
            </w:tcBorders>
            <w:noWrap w:val="0"/>
            <w:vAlign w:val="center"/>
          </w:tcPr>
          <w:p w14:paraId="22ABB1EA">
            <w:pPr>
              <w:jc w:val="center"/>
              <w:rPr>
                <w:color w:val="auto"/>
                <w:szCs w:val="21"/>
                <w:highlight w:val="none"/>
              </w:rPr>
            </w:pPr>
          </w:p>
        </w:tc>
        <w:tc>
          <w:tcPr>
            <w:tcW w:w="646" w:type="dxa"/>
            <w:tcBorders>
              <w:right w:val="single" w:color="auto" w:sz="4" w:space="0"/>
            </w:tcBorders>
            <w:noWrap w:val="0"/>
            <w:vAlign w:val="center"/>
          </w:tcPr>
          <w:p w14:paraId="1CED57A9">
            <w:pPr>
              <w:jc w:val="center"/>
              <w:rPr>
                <w:color w:val="auto"/>
                <w:szCs w:val="21"/>
                <w:highlight w:val="none"/>
              </w:rPr>
            </w:pPr>
          </w:p>
        </w:tc>
        <w:tc>
          <w:tcPr>
            <w:tcW w:w="597" w:type="dxa"/>
            <w:tcBorders>
              <w:left w:val="single" w:color="auto" w:sz="4" w:space="0"/>
            </w:tcBorders>
            <w:noWrap w:val="0"/>
            <w:vAlign w:val="center"/>
          </w:tcPr>
          <w:p w14:paraId="01252971">
            <w:pPr>
              <w:jc w:val="center"/>
              <w:rPr>
                <w:color w:val="auto"/>
                <w:szCs w:val="21"/>
                <w:highlight w:val="none"/>
              </w:rPr>
            </w:pPr>
          </w:p>
        </w:tc>
      </w:tr>
      <w:tr w14:paraId="73F05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14:paraId="578306A8">
            <w:pPr>
              <w:jc w:val="center"/>
              <w:rPr>
                <w:color w:val="auto"/>
                <w:highlight w:val="none"/>
              </w:rPr>
            </w:pPr>
            <w:r>
              <w:rPr>
                <w:rFonts w:hint="eastAsia"/>
                <w:color w:val="auto"/>
                <w:highlight w:val="none"/>
              </w:rPr>
              <w:t>审查结果</w:t>
            </w:r>
          </w:p>
        </w:tc>
        <w:tc>
          <w:tcPr>
            <w:tcW w:w="646" w:type="dxa"/>
            <w:tcBorders>
              <w:left w:val="single" w:color="auto" w:sz="4" w:space="0"/>
              <w:right w:val="single" w:color="auto" w:sz="4" w:space="0"/>
            </w:tcBorders>
            <w:noWrap w:val="0"/>
            <w:vAlign w:val="center"/>
          </w:tcPr>
          <w:p w14:paraId="1BFC5060">
            <w:pPr>
              <w:jc w:val="center"/>
              <w:rPr>
                <w:color w:val="auto"/>
                <w:szCs w:val="21"/>
                <w:highlight w:val="none"/>
              </w:rPr>
            </w:pPr>
          </w:p>
        </w:tc>
        <w:tc>
          <w:tcPr>
            <w:tcW w:w="646" w:type="dxa"/>
            <w:tcBorders>
              <w:left w:val="single" w:color="auto" w:sz="4" w:space="0"/>
            </w:tcBorders>
            <w:noWrap w:val="0"/>
            <w:vAlign w:val="center"/>
          </w:tcPr>
          <w:p w14:paraId="7136F6D4">
            <w:pPr>
              <w:jc w:val="center"/>
              <w:rPr>
                <w:color w:val="auto"/>
                <w:szCs w:val="21"/>
                <w:highlight w:val="none"/>
              </w:rPr>
            </w:pPr>
          </w:p>
        </w:tc>
        <w:tc>
          <w:tcPr>
            <w:tcW w:w="646" w:type="dxa"/>
            <w:noWrap w:val="0"/>
            <w:vAlign w:val="center"/>
          </w:tcPr>
          <w:p w14:paraId="2839DCA7">
            <w:pPr>
              <w:jc w:val="center"/>
              <w:rPr>
                <w:color w:val="auto"/>
                <w:szCs w:val="21"/>
                <w:highlight w:val="none"/>
              </w:rPr>
            </w:pPr>
          </w:p>
        </w:tc>
        <w:tc>
          <w:tcPr>
            <w:tcW w:w="597" w:type="dxa"/>
            <w:noWrap w:val="0"/>
            <w:vAlign w:val="center"/>
          </w:tcPr>
          <w:p w14:paraId="1840E186">
            <w:pPr>
              <w:jc w:val="center"/>
              <w:rPr>
                <w:color w:val="auto"/>
                <w:szCs w:val="21"/>
                <w:highlight w:val="none"/>
              </w:rPr>
            </w:pPr>
          </w:p>
        </w:tc>
      </w:tr>
      <w:tr w14:paraId="3378C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14:paraId="2EDCCA1C">
            <w:pPr>
              <w:jc w:val="center"/>
              <w:rPr>
                <w:rFonts w:hint="eastAsia"/>
                <w:color w:val="auto"/>
                <w:highlight w:val="none"/>
              </w:rPr>
            </w:pPr>
            <w:r>
              <w:rPr>
                <w:rFonts w:hint="eastAsia"/>
                <w:color w:val="auto"/>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14:paraId="306E5957">
            <w:pPr>
              <w:jc w:val="center"/>
              <w:rPr>
                <w:color w:val="auto"/>
                <w:szCs w:val="21"/>
                <w:highlight w:val="none"/>
              </w:rPr>
            </w:pPr>
          </w:p>
        </w:tc>
        <w:tc>
          <w:tcPr>
            <w:tcW w:w="646" w:type="dxa"/>
            <w:tcBorders>
              <w:left w:val="single" w:color="auto" w:sz="4" w:space="0"/>
              <w:bottom w:val="single" w:color="auto" w:sz="12" w:space="0"/>
            </w:tcBorders>
            <w:noWrap w:val="0"/>
            <w:vAlign w:val="center"/>
          </w:tcPr>
          <w:p w14:paraId="7079E3CB">
            <w:pPr>
              <w:jc w:val="center"/>
              <w:rPr>
                <w:color w:val="auto"/>
                <w:szCs w:val="21"/>
                <w:highlight w:val="none"/>
              </w:rPr>
            </w:pPr>
          </w:p>
        </w:tc>
        <w:tc>
          <w:tcPr>
            <w:tcW w:w="646" w:type="dxa"/>
            <w:tcBorders>
              <w:bottom w:val="single" w:color="auto" w:sz="12" w:space="0"/>
            </w:tcBorders>
            <w:noWrap w:val="0"/>
            <w:vAlign w:val="center"/>
          </w:tcPr>
          <w:p w14:paraId="3460CE99">
            <w:pPr>
              <w:jc w:val="center"/>
              <w:rPr>
                <w:color w:val="auto"/>
                <w:szCs w:val="21"/>
                <w:highlight w:val="none"/>
              </w:rPr>
            </w:pPr>
          </w:p>
        </w:tc>
        <w:tc>
          <w:tcPr>
            <w:tcW w:w="597" w:type="dxa"/>
            <w:tcBorders>
              <w:bottom w:val="single" w:color="auto" w:sz="12" w:space="0"/>
            </w:tcBorders>
            <w:noWrap w:val="0"/>
            <w:vAlign w:val="center"/>
          </w:tcPr>
          <w:p w14:paraId="748FBE8B">
            <w:pPr>
              <w:jc w:val="center"/>
              <w:rPr>
                <w:color w:val="auto"/>
                <w:szCs w:val="21"/>
                <w:highlight w:val="none"/>
              </w:rPr>
            </w:pPr>
          </w:p>
        </w:tc>
      </w:tr>
    </w:tbl>
    <w:p w14:paraId="2DF6EBE9">
      <w:pPr>
        <w:rPr>
          <w:color w:val="auto"/>
          <w:highlight w:val="none"/>
        </w:rPr>
      </w:pPr>
      <w:r>
        <w:rPr>
          <w:rFonts w:hint="eastAsia"/>
          <w:color w:val="auto"/>
          <w:highlight w:val="none"/>
        </w:rPr>
        <w:t>1. 符合性审查审查合格的打“√”，不合格的打“×”。</w:t>
      </w:r>
    </w:p>
    <w:p w14:paraId="66AC3946">
      <w:pPr>
        <w:rPr>
          <w:color w:val="auto"/>
          <w:highlight w:val="none"/>
        </w:rPr>
      </w:pPr>
      <w:r>
        <w:rPr>
          <w:rFonts w:hint="eastAsia"/>
          <w:color w:val="auto"/>
          <w:highlight w:val="none"/>
        </w:rPr>
        <w:t>2. 符合性审查审查结果，通过打“√”，不通过的打“×”。</w:t>
      </w:r>
    </w:p>
    <w:p w14:paraId="5AFEFC00">
      <w:pPr>
        <w:rPr>
          <w:color w:val="auto"/>
          <w:highlight w:val="none"/>
        </w:rPr>
      </w:pPr>
      <w:r>
        <w:rPr>
          <w:rFonts w:hint="eastAsia"/>
          <w:color w:val="auto"/>
          <w:highlight w:val="none"/>
        </w:rPr>
        <w:t>3.请填写不通过符合性审查审查的</w:t>
      </w:r>
      <w:r>
        <w:rPr>
          <w:rFonts w:hint="eastAsia"/>
          <w:color w:val="auto"/>
          <w:highlight w:val="none"/>
          <w:lang w:eastAsia="zh-CN"/>
        </w:rPr>
        <w:t>投标人</w:t>
      </w:r>
      <w:r>
        <w:rPr>
          <w:rFonts w:hint="eastAsia"/>
          <w:color w:val="auto"/>
          <w:highlight w:val="none"/>
        </w:rPr>
        <w:t>的原因。</w:t>
      </w:r>
    </w:p>
    <w:p w14:paraId="4D1350FD">
      <w:pPr>
        <w:spacing w:line="440" w:lineRule="exact"/>
        <w:ind w:firstLine="480" w:firstLineChars="200"/>
        <w:rPr>
          <w:rFonts w:hint="eastAsia"/>
          <w:color w:val="auto"/>
          <w:spacing w:val="-2"/>
          <w:highlight w:val="none"/>
        </w:rPr>
      </w:pPr>
      <w:r>
        <w:rPr>
          <w:rFonts w:hint="eastAsia"/>
          <w:color w:val="auto"/>
          <w:highlight w:val="none"/>
        </w:rPr>
        <w:t>投标文件响应程度初步审查通过的投标企业，进入下一步详细评审阶段，未通过投标文件响应程度初步审查的企业，其投标作为无效标，不进入后期评审阶段。</w:t>
      </w:r>
    </w:p>
    <w:p w14:paraId="76A658B8">
      <w:pPr>
        <w:rPr>
          <w:color w:val="auto"/>
          <w:highlight w:val="none"/>
        </w:rPr>
      </w:pPr>
      <w:r>
        <w:rPr>
          <w:color w:val="auto"/>
          <w:highlight w:val="none"/>
        </w:rPr>
        <w:br w:type="page"/>
      </w:r>
    </w:p>
    <w:p w14:paraId="4355B4FE">
      <w:pPr>
        <w:tabs>
          <w:tab w:val="left" w:pos="0"/>
        </w:tabs>
        <w:adjustRightInd w:val="0"/>
        <w:snapToGrid w:val="0"/>
        <w:spacing w:line="440" w:lineRule="exact"/>
        <w:ind w:firstLine="480" w:firstLineChars="200"/>
        <w:rPr>
          <w:color w:val="auto"/>
          <w:highlight w:val="none"/>
        </w:rPr>
      </w:pPr>
      <w:r>
        <w:rPr>
          <w:color w:val="auto"/>
          <w:highlight w:val="none"/>
        </w:rPr>
        <w:t>21.8</w:t>
      </w:r>
      <w:r>
        <w:rPr>
          <w:rFonts w:hint="eastAsia"/>
          <w:color w:val="auto"/>
          <w:highlight w:val="none"/>
        </w:rPr>
        <w:t>评标委员会将根据政府采购政策支持</w:t>
      </w:r>
      <w:r>
        <w:rPr>
          <w:rFonts w:hint="eastAsia"/>
          <w:color w:val="auto"/>
          <w:highlight w:val="none"/>
          <w:lang w:eastAsia="zh-CN"/>
        </w:rPr>
        <w:t>小微</w:t>
      </w:r>
      <w:r>
        <w:rPr>
          <w:rFonts w:hint="eastAsia"/>
          <w:color w:val="auto"/>
          <w:highlight w:val="none"/>
        </w:rPr>
        <w:t>企业政策对最后报价进行价格折扣，折扣的价格将作为评审价格。</w:t>
      </w:r>
    </w:p>
    <w:p w14:paraId="4197B97F">
      <w:pPr>
        <w:tabs>
          <w:tab w:val="left" w:pos="0"/>
        </w:tabs>
        <w:adjustRightInd w:val="0"/>
        <w:snapToGrid w:val="0"/>
        <w:spacing w:line="440" w:lineRule="exact"/>
        <w:ind w:firstLine="480" w:firstLineChars="200"/>
        <w:rPr>
          <w:color w:val="auto"/>
          <w:highlight w:val="none"/>
        </w:rPr>
      </w:pPr>
      <w:r>
        <w:rPr>
          <w:rFonts w:hint="eastAsia"/>
          <w:color w:val="auto"/>
          <w:highlight w:val="none"/>
          <w:lang w:eastAsia="zh-CN"/>
        </w:rPr>
        <w:t>小微</w:t>
      </w:r>
      <w:r>
        <w:rPr>
          <w:rFonts w:hint="eastAsia"/>
          <w:color w:val="auto"/>
          <w:highlight w:val="none"/>
        </w:rPr>
        <w:t>企业价格折扣比例及方法</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14:paraId="44AD2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noWrap w:val="0"/>
            <w:vAlign w:val="center"/>
          </w:tcPr>
          <w:p w14:paraId="7AD7D445">
            <w:pPr>
              <w:snapToGrid w:val="0"/>
              <w:spacing w:line="440" w:lineRule="exact"/>
              <w:ind w:firstLine="360" w:firstLineChars="150"/>
              <w:rPr>
                <w:color w:val="auto"/>
                <w:highlight w:val="none"/>
              </w:rPr>
            </w:pPr>
            <w:r>
              <w:rPr>
                <w:rFonts w:hint="eastAsia"/>
                <w:color w:val="auto"/>
                <w:highlight w:val="none"/>
              </w:rPr>
              <w:t>根据中华人民共和国财政部、中华人民共和国工业和信息化部《政府采购促进中小企业发展管理办法》（财库〔2020〕46号）文件的规定，</w:t>
            </w:r>
            <w:r>
              <w:rPr>
                <w:rFonts w:hint="eastAsia"/>
                <w:bCs/>
                <w:color w:val="auto"/>
                <w:highlight w:val="none"/>
              </w:rPr>
              <w:t>属于</w:t>
            </w:r>
            <w:r>
              <w:rPr>
                <w:rFonts w:hint="eastAsia"/>
                <w:color w:val="auto"/>
                <w:highlight w:val="none"/>
                <w:lang w:eastAsia="zh-CN"/>
              </w:rPr>
              <w:t>小微</w:t>
            </w:r>
            <w:r>
              <w:rPr>
                <w:rFonts w:hint="eastAsia"/>
                <w:bCs/>
                <w:color w:val="auto"/>
                <w:highlight w:val="none"/>
              </w:rPr>
              <w:t>企业</w:t>
            </w:r>
            <w:r>
              <w:rPr>
                <w:rFonts w:hint="eastAsia"/>
                <w:color w:val="auto"/>
                <w:highlight w:val="none"/>
              </w:rPr>
              <w:t>评审优惠内容及幅度如下：</w:t>
            </w:r>
          </w:p>
          <w:p w14:paraId="326A03C4">
            <w:pPr>
              <w:snapToGrid w:val="0"/>
              <w:spacing w:line="440" w:lineRule="exact"/>
              <w:ind w:firstLine="241" w:firstLineChars="100"/>
              <w:rPr>
                <w:color w:val="auto"/>
                <w:highlight w:val="none"/>
              </w:rPr>
            </w:pPr>
            <w:r>
              <w:rPr>
                <w:rFonts w:hint="eastAsia"/>
                <w:b/>
                <w:color w:val="auto"/>
                <w:highlight w:val="none"/>
              </w:rPr>
              <w:t>（一）</w:t>
            </w:r>
            <w:r>
              <w:rPr>
                <w:rFonts w:hint="eastAsia"/>
                <w:color w:val="auto"/>
                <w:highlight w:val="none"/>
                <w:lang w:eastAsia="zh-CN"/>
              </w:rPr>
              <w:t>小微</w:t>
            </w:r>
            <w:r>
              <w:rPr>
                <w:rFonts w:hint="eastAsia"/>
                <w:color w:val="auto"/>
                <w:highlight w:val="none"/>
              </w:rPr>
              <w:t>企业（小型、微型企业）应当</w:t>
            </w:r>
            <w:r>
              <w:rPr>
                <w:rFonts w:hint="eastAsia"/>
                <w:b/>
                <w:color w:val="auto"/>
                <w:highlight w:val="none"/>
              </w:rPr>
              <w:t>同时符合</w:t>
            </w:r>
            <w:r>
              <w:rPr>
                <w:rFonts w:hint="eastAsia"/>
                <w:color w:val="auto"/>
                <w:highlight w:val="none"/>
              </w:rPr>
              <w:t>以下条件：</w:t>
            </w:r>
          </w:p>
          <w:p w14:paraId="077B27CD">
            <w:pPr>
              <w:pStyle w:val="88"/>
              <w:spacing w:line="440" w:lineRule="exact"/>
              <w:ind w:left="967" w:leftChars="403"/>
              <w:rPr>
                <w:rFonts w:ascii="宋体" w:hAnsi="宋体"/>
                <w:color w:val="auto"/>
                <w:sz w:val="24"/>
                <w:highlight w:val="none"/>
              </w:rPr>
            </w:pPr>
            <w:r>
              <w:rPr>
                <w:rFonts w:hint="eastAsia" w:ascii="宋体" w:hAnsi="宋体"/>
                <w:color w:val="auto"/>
                <w:sz w:val="24"/>
                <w:highlight w:val="none"/>
              </w:rPr>
              <w:t>①符合中小企业划分标准（按《关于印发中小企业划型标准规定的通知》（工信部联企业〔</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300</w:t>
            </w:r>
            <w:r>
              <w:rPr>
                <w:rFonts w:hint="eastAsia" w:ascii="宋体" w:hAnsi="宋体"/>
                <w:color w:val="auto"/>
                <w:sz w:val="24"/>
                <w:highlight w:val="none"/>
              </w:rPr>
              <w:t>号）执行）；</w:t>
            </w:r>
          </w:p>
          <w:p w14:paraId="221E4718">
            <w:pPr>
              <w:pStyle w:val="88"/>
              <w:spacing w:line="440" w:lineRule="exact"/>
              <w:ind w:left="967" w:leftChars="403"/>
              <w:rPr>
                <w:rFonts w:hint="eastAsia" w:ascii="宋体" w:hAnsi="宋体"/>
                <w:color w:val="auto"/>
                <w:sz w:val="24"/>
                <w:highlight w:val="none"/>
              </w:rPr>
            </w:pPr>
            <w:r>
              <w:rPr>
                <w:rFonts w:hint="eastAsia" w:ascii="宋体" w:hAnsi="宋体"/>
                <w:color w:val="auto"/>
                <w:sz w:val="24"/>
                <w:highlight w:val="none"/>
              </w:rPr>
              <w:t>②提供本企业制造的货物、承担的项目或者服务，或者提供其他中小企业制造的货物。本项所称货物不包括使用大型企业注册商标的货物；</w:t>
            </w:r>
          </w:p>
          <w:p w14:paraId="2ED32564">
            <w:pPr>
              <w:pStyle w:val="88"/>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在货物采购项目中，</w:t>
            </w:r>
            <w:r>
              <w:rPr>
                <w:rFonts w:hint="eastAsia" w:ascii="宋体" w:hAnsi="宋体"/>
                <w:color w:val="auto"/>
                <w:sz w:val="24"/>
                <w:highlight w:val="none"/>
                <w:lang w:eastAsia="zh-CN"/>
              </w:rPr>
              <w:t>投标人</w:t>
            </w:r>
            <w:r>
              <w:rPr>
                <w:rFonts w:hint="eastAsia" w:ascii="宋体" w:hAnsi="宋体"/>
                <w:color w:val="auto"/>
                <w:sz w:val="24"/>
                <w:highlight w:val="none"/>
              </w:rPr>
              <w:t>提供的货物既有中小企业制造货物，也有大型企业制造货物的，不享受本办法规定的中小企业扶持政策。</w:t>
            </w:r>
          </w:p>
          <w:p w14:paraId="0A2DC5BB">
            <w:pPr>
              <w:snapToGrid w:val="0"/>
              <w:spacing w:line="440" w:lineRule="exact"/>
              <w:ind w:firstLine="361" w:firstLineChars="150"/>
              <w:rPr>
                <w:color w:val="auto"/>
                <w:highlight w:val="none"/>
              </w:rPr>
            </w:pPr>
            <w:r>
              <w:rPr>
                <w:rFonts w:hint="eastAsia"/>
                <w:b/>
                <w:color w:val="auto"/>
                <w:highlight w:val="none"/>
              </w:rPr>
              <w:t>（二）</w:t>
            </w:r>
            <w:r>
              <w:rPr>
                <w:rFonts w:hint="eastAsia"/>
                <w:color w:val="auto"/>
                <w:highlight w:val="none"/>
              </w:rPr>
              <w:t>价格扣除办法：</w:t>
            </w:r>
          </w:p>
          <w:p w14:paraId="66593DBE">
            <w:pPr>
              <w:pStyle w:val="88"/>
              <w:spacing w:line="440" w:lineRule="exact"/>
              <w:ind w:left="751" w:leftChars="313" w:firstLine="240" w:firstLineChars="100"/>
              <w:rPr>
                <w:rFonts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hint="eastAsia" w:ascii="宋体" w:hAnsi="宋体"/>
                <w:color w:val="auto"/>
                <w:sz w:val="24"/>
                <w:highlight w:val="none"/>
              </w:rPr>
              <w:t>对于非专门面向中小企业的项目，对小型和微型企业（或联合体各方均为小型、</w:t>
            </w:r>
          </w:p>
          <w:p w14:paraId="5717FEDB">
            <w:pPr>
              <w:pStyle w:val="88"/>
              <w:spacing w:line="440" w:lineRule="exact"/>
              <w:rPr>
                <w:rFonts w:hint="eastAsia" w:ascii="宋体" w:hAnsi="宋体"/>
                <w:color w:val="auto"/>
                <w:sz w:val="24"/>
                <w:highlight w:val="none"/>
              </w:rPr>
            </w:pPr>
            <w:r>
              <w:rPr>
                <w:rFonts w:hint="eastAsia" w:ascii="宋体" w:hAnsi="宋体"/>
                <w:color w:val="auto"/>
                <w:sz w:val="24"/>
                <w:highlight w:val="none"/>
              </w:rPr>
              <w:t>微型企业的，残疾人福利性单位、监狱企业视为小微企业）产品的价格给予</w:t>
            </w:r>
            <w:r>
              <w:rPr>
                <w:rFonts w:ascii="宋体" w:hAnsi="宋体"/>
                <w:color w:val="auto"/>
                <w:sz w:val="24"/>
                <w:highlight w:val="none"/>
              </w:rPr>
              <w:t>10%</w:t>
            </w:r>
            <w:r>
              <w:rPr>
                <w:rFonts w:hint="eastAsia" w:ascii="宋体" w:hAnsi="宋体"/>
                <w:color w:val="auto"/>
                <w:sz w:val="24"/>
                <w:highlight w:val="none"/>
              </w:rPr>
              <w:t>的扣除，用扣除后的价格参与价格的评审。</w:t>
            </w:r>
          </w:p>
          <w:p w14:paraId="4962C112">
            <w:pPr>
              <w:snapToGrid w:val="0"/>
              <w:spacing w:line="440" w:lineRule="exact"/>
              <w:ind w:firstLine="361" w:firstLineChars="150"/>
              <w:rPr>
                <w:color w:val="auto"/>
                <w:highlight w:val="none"/>
              </w:rPr>
            </w:pPr>
            <w:r>
              <w:rPr>
                <w:rFonts w:hint="eastAsia"/>
                <w:b/>
                <w:color w:val="auto"/>
                <w:highlight w:val="none"/>
              </w:rPr>
              <w:t>（三）</w:t>
            </w:r>
            <w:r>
              <w:rPr>
                <w:rFonts w:hint="eastAsia"/>
                <w:color w:val="auto"/>
                <w:highlight w:val="none"/>
              </w:rPr>
              <w:t>小型和微型企业适用价格扣除办法时应提供的相关资料：</w:t>
            </w:r>
          </w:p>
          <w:p w14:paraId="6B5513A1">
            <w:pPr>
              <w:pStyle w:val="88"/>
              <w:spacing w:line="440" w:lineRule="exact"/>
              <w:ind w:left="840"/>
              <w:rPr>
                <w:rFonts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hint="eastAsia" w:ascii="宋体" w:hAnsi="宋体"/>
                <w:color w:val="auto"/>
                <w:sz w:val="24"/>
                <w:highlight w:val="none"/>
              </w:rPr>
              <w:t>、</w:t>
            </w:r>
            <w:r>
              <w:rPr>
                <w:rFonts w:hint="eastAsia" w:ascii="宋体" w:hAnsi="宋体"/>
                <w:color w:val="auto"/>
                <w:sz w:val="24"/>
                <w:highlight w:val="none"/>
                <w:lang w:eastAsia="zh-CN"/>
              </w:rPr>
              <w:t>投标人</w:t>
            </w:r>
            <w:r>
              <w:rPr>
                <w:rFonts w:hint="eastAsia" w:ascii="宋体" w:hAnsi="宋体"/>
                <w:color w:val="auto"/>
                <w:sz w:val="24"/>
                <w:highlight w:val="none"/>
              </w:rPr>
              <w:t>《中小企业声明函》或残疾人福利性单位声明函或监狱企业证明文件；</w:t>
            </w:r>
          </w:p>
          <w:p w14:paraId="5DD8F5D7">
            <w:pPr>
              <w:pStyle w:val="88"/>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投标人</w:t>
            </w:r>
            <w:r>
              <w:rPr>
                <w:rFonts w:hint="eastAsia" w:ascii="宋体" w:hAnsi="宋体"/>
                <w:color w:val="auto"/>
                <w:sz w:val="24"/>
                <w:highlight w:val="none"/>
              </w:rPr>
              <w:t>应同时提供以上材料，否则将不给予价格扣除。若所供应产品为进口产品的，不适用《政府采购促进中小企业发展管理办法》。中标单位符合小微企业投标时享受中小企业扶持政策的，将随中标结果公开中标</w:t>
            </w:r>
            <w:r>
              <w:rPr>
                <w:rFonts w:hint="eastAsia" w:ascii="宋体" w:hAnsi="宋体"/>
                <w:color w:val="auto"/>
                <w:sz w:val="24"/>
                <w:highlight w:val="none"/>
                <w:lang w:eastAsia="zh-CN"/>
              </w:rPr>
              <w:t>投标人</w:t>
            </w:r>
            <w:r>
              <w:rPr>
                <w:rFonts w:hint="eastAsia" w:ascii="宋体" w:hAnsi="宋体"/>
                <w:color w:val="auto"/>
                <w:sz w:val="24"/>
                <w:highlight w:val="none"/>
              </w:rPr>
              <w:t>的企业类型声明函。</w:t>
            </w:r>
          </w:p>
          <w:p w14:paraId="424B1CE0">
            <w:pPr>
              <w:pStyle w:val="88"/>
              <w:spacing w:line="440" w:lineRule="exact"/>
              <w:ind w:firstLine="482" w:firstLineChars="200"/>
              <w:rPr>
                <w:rFonts w:hint="eastAsia" w:ascii="宋体" w:hAnsi="宋体"/>
                <w:color w:val="auto"/>
                <w:sz w:val="24"/>
                <w:highlight w:val="none"/>
              </w:rPr>
            </w:pPr>
            <w:r>
              <w:rPr>
                <w:rFonts w:hint="eastAsia" w:ascii="宋体" w:hAnsi="宋体" w:eastAsia="宋体" w:cs="宋体"/>
                <w:b/>
                <w:color w:val="auto"/>
                <w:kern w:val="0"/>
                <w:sz w:val="24"/>
                <w:szCs w:val="24"/>
                <w:highlight w:val="none"/>
                <w:lang w:val="en-US" w:eastAsia="zh-CN" w:bidi="ar-SA"/>
              </w:rPr>
              <w:t>（四）</w:t>
            </w:r>
            <w:r>
              <w:rPr>
                <w:rFonts w:hint="eastAsia" w:ascii="宋体" w:hAnsi="宋体" w:cs="宋体"/>
                <w:color w:val="auto"/>
                <w:sz w:val="24"/>
                <w:szCs w:val="24"/>
                <w:highlight w:val="none"/>
                <w:lang w:eastAsia="zh-CN"/>
              </w:rPr>
              <w:t>投标人</w:t>
            </w:r>
            <w:r>
              <w:rPr>
                <w:rFonts w:ascii="宋体" w:hAnsi="宋体" w:eastAsia="宋体" w:cs="宋体"/>
                <w:color w:val="auto"/>
                <w:sz w:val="24"/>
                <w:szCs w:val="24"/>
                <w:highlight w:val="none"/>
              </w:rPr>
              <w:t>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tc>
      </w:tr>
    </w:tbl>
    <w:p w14:paraId="7BF9918B">
      <w:pPr>
        <w:tabs>
          <w:tab w:val="left" w:pos="0"/>
        </w:tabs>
        <w:adjustRightInd w:val="0"/>
        <w:snapToGrid w:val="0"/>
        <w:spacing w:line="440" w:lineRule="exact"/>
        <w:ind w:firstLine="480" w:firstLineChars="200"/>
        <w:rPr>
          <w:rFonts w:hint="eastAsia"/>
          <w:color w:val="auto"/>
          <w:highlight w:val="none"/>
        </w:rPr>
      </w:pPr>
      <w:r>
        <w:rPr>
          <w:color w:val="auto"/>
          <w:highlight w:val="none"/>
        </w:rPr>
        <w:t>21.</w:t>
      </w:r>
      <w:r>
        <w:rPr>
          <w:rFonts w:hint="eastAsia"/>
          <w:color w:val="auto"/>
          <w:highlight w:val="none"/>
        </w:rPr>
        <w:t>9在前款基础上，评标委员会将根据政府采购政策支持节能、环保产品优先采购政策等对最后报价进行价格折扣，折扣的价格将作为评审价格。</w:t>
      </w:r>
    </w:p>
    <w:p w14:paraId="143F785C">
      <w:pPr>
        <w:tabs>
          <w:tab w:val="left" w:pos="0"/>
        </w:tabs>
        <w:adjustRightInd w:val="0"/>
        <w:snapToGrid w:val="0"/>
        <w:spacing w:line="440" w:lineRule="exact"/>
        <w:rPr>
          <w:color w:val="auto"/>
          <w:highlight w:val="none"/>
        </w:rPr>
      </w:pPr>
      <w:r>
        <w:rPr>
          <w:rFonts w:hint="eastAsia"/>
          <w:color w:val="auto"/>
          <w:highlight w:val="none"/>
        </w:rPr>
        <w:t xml:space="preserve">   节能产品及环保产品价格折扣比例及方法</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14:paraId="3E3F706C">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14:paraId="3DD4C724">
            <w:pPr>
              <w:adjustRightInd w:val="0"/>
              <w:snapToGrid w:val="0"/>
              <w:spacing w:line="440" w:lineRule="exact"/>
              <w:jc w:val="center"/>
              <w:rPr>
                <w:b/>
                <w:color w:val="auto"/>
                <w:highlight w:val="none"/>
              </w:rPr>
            </w:pPr>
            <w:r>
              <w:rPr>
                <w:rFonts w:hint="eastAsia"/>
                <w:b/>
                <w:color w:val="auto"/>
                <w:highlight w:val="none"/>
              </w:rPr>
              <w:t>序号</w:t>
            </w:r>
          </w:p>
        </w:tc>
        <w:tc>
          <w:tcPr>
            <w:tcW w:w="1807" w:type="dxa"/>
            <w:tcBorders>
              <w:top w:val="single" w:color="auto" w:sz="4" w:space="0"/>
            </w:tcBorders>
            <w:noWrap w:val="0"/>
            <w:vAlign w:val="center"/>
          </w:tcPr>
          <w:p w14:paraId="71D7E030">
            <w:pPr>
              <w:adjustRightInd w:val="0"/>
              <w:snapToGrid w:val="0"/>
              <w:spacing w:line="440" w:lineRule="exact"/>
              <w:jc w:val="center"/>
              <w:rPr>
                <w:b/>
                <w:color w:val="auto"/>
                <w:highlight w:val="none"/>
              </w:rPr>
            </w:pPr>
            <w:r>
              <w:rPr>
                <w:rFonts w:hint="eastAsia"/>
                <w:b/>
                <w:color w:val="auto"/>
                <w:highlight w:val="none"/>
              </w:rPr>
              <w:t>项目</w:t>
            </w:r>
          </w:p>
        </w:tc>
        <w:tc>
          <w:tcPr>
            <w:tcW w:w="7203" w:type="dxa"/>
            <w:tcBorders>
              <w:top w:val="single" w:color="auto" w:sz="4" w:space="0"/>
            </w:tcBorders>
            <w:noWrap w:val="0"/>
            <w:vAlign w:val="center"/>
          </w:tcPr>
          <w:p w14:paraId="444E89F5">
            <w:pPr>
              <w:adjustRightInd w:val="0"/>
              <w:snapToGrid w:val="0"/>
              <w:spacing w:line="440" w:lineRule="exact"/>
              <w:jc w:val="center"/>
              <w:rPr>
                <w:b/>
                <w:color w:val="auto"/>
                <w:highlight w:val="none"/>
              </w:rPr>
            </w:pPr>
            <w:r>
              <w:rPr>
                <w:rFonts w:hint="eastAsia"/>
                <w:b/>
                <w:color w:val="auto"/>
                <w:highlight w:val="none"/>
              </w:rPr>
              <w:t>折扣比例及方法</w:t>
            </w:r>
          </w:p>
        </w:tc>
      </w:tr>
      <w:tr w14:paraId="79E8696A">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14:paraId="63E5C5CB">
            <w:pPr>
              <w:adjustRightInd w:val="0"/>
              <w:snapToGrid w:val="0"/>
              <w:spacing w:line="440" w:lineRule="exact"/>
              <w:jc w:val="center"/>
              <w:rPr>
                <w:color w:val="auto"/>
                <w:highlight w:val="none"/>
              </w:rPr>
            </w:pPr>
            <w:r>
              <w:rPr>
                <w:color w:val="auto"/>
                <w:highlight w:val="none"/>
              </w:rPr>
              <w:t>1</w:t>
            </w:r>
          </w:p>
        </w:tc>
        <w:tc>
          <w:tcPr>
            <w:tcW w:w="1807" w:type="dxa"/>
            <w:noWrap w:val="0"/>
            <w:vAlign w:val="center"/>
          </w:tcPr>
          <w:p w14:paraId="19C2BE84">
            <w:pPr>
              <w:adjustRightInd w:val="0"/>
              <w:snapToGrid w:val="0"/>
              <w:spacing w:line="440" w:lineRule="exact"/>
              <w:jc w:val="center"/>
              <w:rPr>
                <w:color w:val="auto"/>
                <w:highlight w:val="none"/>
              </w:rPr>
            </w:pPr>
            <w:r>
              <w:rPr>
                <w:rFonts w:hint="eastAsia"/>
                <w:color w:val="auto"/>
                <w:highlight w:val="none"/>
              </w:rPr>
              <w:t>节能产品</w:t>
            </w:r>
          </w:p>
        </w:tc>
        <w:tc>
          <w:tcPr>
            <w:tcW w:w="7203" w:type="dxa"/>
            <w:noWrap w:val="0"/>
            <w:vAlign w:val="center"/>
          </w:tcPr>
          <w:p w14:paraId="4EB5A24F">
            <w:pPr>
              <w:spacing w:line="440" w:lineRule="exact"/>
              <w:rPr>
                <w:color w:val="auto"/>
                <w:highlight w:val="none"/>
              </w:rPr>
            </w:pPr>
            <w:r>
              <w:rPr>
                <w:rFonts w:hint="eastAsia"/>
                <w:color w:val="auto"/>
                <w:highlight w:val="none"/>
              </w:rPr>
              <w:t>折扣金额</w:t>
            </w:r>
            <w:r>
              <w:rPr>
                <w:color w:val="auto"/>
                <w:highlight w:val="none"/>
              </w:rPr>
              <w:t>=</w:t>
            </w:r>
            <w:r>
              <w:rPr>
                <w:rFonts w:hint="eastAsia"/>
                <w:color w:val="auto"/>
                <w:highlight w:val="none"/>
              </w:rPr>
              <w:t>（节能清单部分产品的价格</w:t>
            </w:r>
            <w:r>
              <w:rPr>
                <w:color w:val="auto"/>
                <w:highlight w:val="none"/>
              </w:rPr>
              <w:t>/</w:t>
            </w:r>
            <w:r>
              <w:rPr>
                <w:rFonts w:hint="eastAsia"/>
                <w:color w:val="auto"/>
                <w:highlight w:val="none"/>
              </w:rPr>
              <w:t>首次报价）×</w:t>
            </w:r>
            <w:r>
              <w:rPr>
                <w:color w:val="auto"/>
                <w:highlight w:val="none"/>
              </w:rPr>
              <w:t>3%</w:t>
            </w:r>
            <w:r>
              <w:rPr>
                <w:rFonts w:hint="eastAsia"/>
                <w:color w:val="auto"/>
                <w:highlight w:val="none"/>
              </w:rPr>
              <w:t>×最后报价</w:t>
            </w:r>
          </w:p>
        </w:tc>
      </w:tr>
      <w:tr w14:paraId="594A09F2">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14:paraId="4BA01F98">
            <w:pPr>
              <w:adjustRightInd w:val="0"/>
              <w:snapToGrid w:val="0"/>
              <w:spacing w:line="440" w:lineRule="exact"/>
              <w:jc w:val="center"/>
              <w:rPr>
                <w:color w:val="auto"/>
                <w:highlight w:val="none"/>
              </w:rPr>
            </w:pPr>
            <w:r>
              <w:rPr>
                <w:color w:val="auto"/>
                <w:highlight w:val="none"/>
              </w:rPr>
              <w:t>2</w:t>
            </w:r>
          </w:p>
        </w:tc>
        <w:tc>
          <w:tcPr>
            <w:tcW w:w="1807" w:type="dxa"/>
            <w:noWrap w:val="0"/>
            <w:vAlign w:val="center"/>
          </w:tcPr>
          <w:p w14:paraId="438B10C9">
            <w:pPr>
              <w:adjustRightInd w:val="0"/>
              <w:snapToGrid w:val="0"/>
              <w:spacing w:line="440" w:lineRule="exact"/>
              <w:jc w:val="center"/>
              <w:rPr>
                <w:color w:val="auto"/>
                <w:highlight w:val="none"/>
              </w:rPr>
            </w:pPr>
            <w:r>
              <w:rPr>
                <w:rFonts w:hint="eastAsia"/>
                <w:color w:val="auto"/>
                <w:highlight w:val="none"/>
              </w:rPr>
              <w:t>环保产品</w:t>
            </w:r>
          </w:p>
        </w:tc>
        <w:tc>
          <w:tcPr>
            <w:tcW w:w="7203" w:type="dxa"/>
            <w:noWrap w:val="0"/>
            <w:vAlign w:val="center"/>
          </w:tcPr>
          <w:p w14:paraId="4BBF7782">
            <w:pPr>
              <w:spacing w:line="440" w:lineRule="exact"/>
              <w:rPr>
                <w:color w:val="auto"/>
                <w:highlight w:val="none"/>
              </w:rPr>
            </w:pPr>
            <w:r>
              <w:rPr>
                <w:rFonts w:hint="eastAsia"/>
                <w:color w:val="auto"/>
                <w:highlight w:val="none"/>
              </w:rPr>
              <w:t>折扣金额</w:t>
            </w:r>
            <w:r>
              <w:rPr>
                <w:color w:val="auto"/>
                <w:highlight w:val="none"/>
              </w:rPr>
              <w:t>=</w:t>
            </w:r>
            <w:r>
              <w:rPr>
                <w:rFonts w:hint="eastAsia"/>
                <w:color w:val="auto"/>
                <w:highlight w:val="none"/>
              </w:rPr>
              <w:t>（环境清单部分产品的价格</w:t>
            </w:r>
            <w:r>
              <w:rPr>
                <w:color w:val="auto"/>
                <w:highlight w:val="none"/>
              </w:rPr>
              <w:t>/</w:t>
            </w:r>
            <w:r>
              <w:rPr>
                <w:rFonts w:hint="eastAsia"/>
                <w:color w:val="auto"/>
                <w:highlight w:val="none"/>
              </w:rPr>
              <w:t>首次报价）×</w:t>
            </w:r>
            <w:r>
              <w:rPr>
                <w:color w:val="auto"/>
                <w:highlight w:val="none"/>
              </w:rPr>
              <w:t>3%</w:t>
            </w:r>
            <w:r>
              <w:rPr>
                <w:rFonts w:hint="eastAsia"/>
                <w:color w:val="auto"/>
                <w:highlight w:val="none"/>
              </w:rPr>
              <w:t>×最后报价</w:t>
            </w:r>
          </w:p>
        </w:tc>
      </w:tr>
      <w:tr w14:paraId="0775AD3C">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14:paraId="77ECE270">
            <w:pPr>
              <w:adjustRightInd w:val="0"/>
              <w:snapToGrid w:val="0"/>
              <w:spacing w:line="440" w:lineRule="exact"/>
              <w:jc w:val="center"/>
              <w:rPr>
                <w:color w:val="auto"/>
                <w:highlight w:val="none"/>
              </w:rPr>
            </w:pPr>
            <w:r>
              <w:rPr>
                <w:color w:val="auto"/>
                <w:highlight w:val="none"/>
              </w:rPr>
              <w:t>3</w:t>
            </w:r>
          </w:p>
        </w:tc>
        <w:tc>
          <w:tcPr>
            <w:tcW w:w="1807" w:type="dxa"/>
            <w:tcBorders>
              <w:bottom w:val="single" w:color="auto" w:sz="4" w:space="0"/>
            </w:tcBorders>
            <w:noWrap w:val="0"/>
            <w:vAlign w:val="center"/>
          </w:tcPr>
          <w:p w14:paraId="39C9CEA7">
            <w:pPr>
              <w:adjustRightInd w:val="0"/>
              <w:snapToGrid w:val="0"/>
              <w:spacing w:line="440" w:lineRule="exact"/>
              <w:jc w:val="center"/>
              <w:rPr>
                <w:color w:val="auto"/>
                <w:highlight w:val="none"/>
              </w:rPr>
            </w:pPr>
            <w:r>
              <w:rPr>
                <w:rFonts w:hint="eastAsia"/>
                <w:color w:val="auto"/>
                <w:highlight w:val="none"/>
              </w:rPr>
              <w:t>证明材料说明</w:t>
            </w:r>
          </w:p>
        </w:tc>
        <w:tc>
          <w:tcPr>
            <w:tcW w:w="7203" w:type="dxa"/>
            <w:tcBorders>
              <w:bottom w:val="single" w:color="auto" w:sz="4" w:space="0"/>
            </w:tcBorders>
            <w:noWrap w:val="0"/>
            <w:vAlign w:val="center"/>
          </w:tcPr>
          <w:p w14:paraId="091C7743">
            <w:pPr>
              <w:spacing w:line="440" w:lineRule="exact"/>
              <w:rPr>
                <w:color w:val="auto"/>
                <w:highlight w:val="none"/>
              </w:rPr>
            </w:pPr>
            <w:r>
              <w:rPr>
                <w:color w:val="auto"/>
                <w:highlight w:val="none"/>
              </w:rPr>
              <w:t>1</w:t>
            </w:r>
            <w:r>
              <w:rPr>
                <w:rFonts w:hint="eastAsia"/>
                <w:color w:val="auto"/>
                <w:highlight w:val="none"/>
              </w:rPr>
              <w:t>、须提供中国政府采购网节能环保查询结果</w:t>
            </w:r>
          </w:p>
        </w:tc>
      </w:tr>
    </w:tbl>
    <w:p w14:paraId="3BAF443A">
      <w:pPr>
        <w:tabs>
          <w:tab w:val="left" w:pos="0"/>
        </w:tabs>
        <w:adjustRightInd w:val="0"/>
        <w:snapToGrid w:val="0"/>
        <w:spacing w:line="440" w:lineRule="exact"/>
        <w:rPr>
          <w:rFonts w:hint="eastAsia"/>
          <w:color w:val="auto"/>
          <w:highlight w:val="none"/>
        </w:rPr>
      </w:pPr>
      <w:r>
        <w:rPr>
          <w:rFonts w:hint="eastAsia"/>
          <w:color w:val="auto"/>
          <w:highlight w:val="none"/>
        </w:rPr>
        <w:t>说明：1.如有多种产品符合此项政策时，折扣价格为每种产品的折扣金额汇总。</w:t>
      </w:r>
    </w:p>
    <w:p w14:paraId="72CE5FFF">
      <w:pPr>
        <w:tabs>
          <w:tab w:val="left" w:pos="0"/>
        </w:tabs>
        <w:adjustRightInd w:val="0"/>
        <w:snapToGrid w:val="0"/>
        <w:spacing w:line="440" w:lineRule="exact"/>
        <w:rPr>
          <w:color w:val="auto"/>
          <w:highlight w:val="none"/>
        </w:rPr>
      </w:pPr>
      <w:r>
        <w:rPr>
          <w:rFonts w:hint="eastAsia"/>
          <w:color w:val="auto"/>
          <w:highlight w:val="none"/>
        </w:rPr>
        <w:t xml:space="preserve">      2.若所投产品同时属于节能产品及环保产品，只进行一次价格折扣认定。</w:t>
      </w:r>
    </w:p>
    <w:p w14:paraId="1D4B9DAB">
      <w:pPr>
        <w:tabs>
          <w:tab w:val="left" w:pos="240"/>
        </w:tabs>
        <w:adjustRightInd w:val="0"/>
        <w:snapToGrid w:val="0"/>
        <w:spacing w:line="440" w:lineRule="exact"/>
        <w:ind w:left="240" w:hanging="240" w:hangingChars="100"/>
        <w:rPr>
          <w:color w:val="auto"/>
          <w:highlight w:val="none"/>
        </w:rPr>
      </w:pPr>
      <w:r>
        <w:rPr>
          <w:rFonts w:hint="eastAsia"/>
          <w:color w:val="auto"/>
          <w:highlight w:val="none"/>
        </w:rPr>
        <w:t xml:space="preserve">      3.若节能、环境标志清单内的产品仅是构成投标产品的部件、组件或零件的，该产品不进行价格折扣认定。</w:t>
      </w:r>
    </w:p>
    <w:p w14:paraId="32E851F3">
      <w:pPr>
        <w:spacing w:line="440" w:lineRule="exact"/>
        <w:ind w:firstLine="482" w:firstLineChars="200"/>
        <w:rPr>
          <w:b/>
          <w:color w:val="auto"/>
          <w:highlight w:val="none"/>
        </w:rPr>
      </w:pPr>
      <w:r>
        <w:rPr>
          <w:b/>
          <w:color w:val="auto"/>
          <w:highlight w:val="none"/>
        </w:rPr>
        <w:t xml:space="preserve">22. </w:t>
      </w:r>
      <w:r>
        <w:rPr>
          <w:rFonts w:hint="eastAsia"/>
          <w:b/>
          <w:color w:val="auto"/>
          <w:highlight w:val="none"/>
        </w:rPr>
        <w:t>详细评审</w:t>
      </w:r>
    </w:p>
    <w:p w14:paraId="7CBE4327">
      <w:pPr>
        <w:spacing w:line="440" w:lineRule="exact"/>
        <w:ind w:firstLine="472" w:firstLineChars="200"/>
        <w:rPr>
          <w:rFonts w:hint="eastAsia"/>
          <w:color w:val="auto"/>
          <w:highlight w:val="none"/>
        </w:rPr>
      </w:pPr>
      <w:r>
        <w:rPr>
          <w:color w:val="auto"/>
          <w:spacing w:val="-2"/>
          <w:highlight w:val="none"/>
        </w:rPr>
        <w:t xml:space="preserve">22.1  </w:t>
      </w:r>
      <w:r>
        <w:rPr>
          <w:rFonts w:hint="eastAsia"/>
          <w:color w:val="auto"/>
          <w:spacing w:val="-2"/>
          <w:highlight w:val="none"/>
        </w:rPr>
        <w:t>经初步评审合格的投标文件，评标委员会应当根据招标文件确定的评标标准和方法，对</w:t>
      </w:r>
      <w:r>
        <w:rPr>
          <w:rFonts w:hint="eastAsia"/>
          <w:color w:val="auto"/>
          <w:highlight w:val="none"/>
        </w:rPr>
        <w:t>投标人所有投标产品的</w:t>
      </w:r>
      <w:r>
        <w:rPr>
          <w:rFonts w:hint="eastAsia"/>
          <w:color w:val="auto"/>
          <w:spacing w:val="-2"/>
          <w:highlight w:val="none"/>
        </w:rPr>
        <w:t>技术和商务部分进行详细评审</w:t>
      </w:r>
      <w:r>
        <w:rPr>
          <w:rFonts w:hint="eastAsia"/>
          <w:color w:val="auto"/>
          <w:highlight w:val="none"/>
        </w:rPr>
        <w:t>。</w:t>
      </w:r>
    </w:p>
    <w:p w14:paraId="09D9F6C7">
      <w:pPr>
        <w:spacing w:line="440" w:lineRule="exact"/>
        <w:ind w:firstLine="472" w:firstLineChars="200"/>
        <w:rPr>
          <w:color w:val="auto"/>
          <w:spacing w:val="-2"/>
          <w:highlight w:val="none"/>
        </w:rPr>
      </w:pPr>
      <w:r>
        <w:rPr>
          <w:color w:val="auto"/>
          <w:spacing w:val="-2"/>
          <w:highlight w:val="none"/>
        </w:rPr>
        <w:t>22.</w:t>
      </w:r>
      <w:r>
        <w:rPr>
          <w:rFonts w:hint="eastAsia"/>
          <w:color w:val="auto"/>
          <w:spacing w:val="-2"/>
          <w:highlight w:val="none"/>
        </w:rPr>
        <w:t>2</w:t>
      </w:r>
      <w:r>
        <w:rPr>
          <w:color w:val="auto"/>
          <w:spacing w:val="-2"/>
          <w:highlight w:val="none"/>
        </w:rPr>
        <w:t xml:space="preserve">  </w:t>
      </w:r>
      <w:r>
        <w:rPr>
          <w:rFonts w:hint="eastAsia"/>
          <w:color w:val="auto"/>
          <w:spacing w:val="-2"/>
          <w:highlight w:val="none"/>
        </w:rPr>
        <w:t>在评审过程中，为了有助于对投标文件进行审查、评估，投标人有责任按照招标方通知的时间、地点指派专人进行答疑和澄清。评标委员会可能要求投标人就投标文件中的内容进行答辩，投标人应按要求进行答辩。</w:t>
      </w:r>
    </w:p>
    <w:p w14:paraId="17E484CD">
      <w:pPr>
        <w:spacing w:line="440" w:lineRule="exact"/>
        <w:ind w:firstLine="472" w:firstLineChars="200"/>
        <w:rPr>
          <w:rFonts w:hint="eastAsia"/>
          <w:color w:val="auto"/>
          <w:spacing w:val="-2"/>
          <w:highlight w:val="none"/>
        </w:rPr>
      </w:pPr>
      <w:r>
        <w:rPr>
          <w:color w:val="auto"/>
          <w:spacing w:val="-2"/>
          <w:highlight w:val="none"/>
        </w:rPr>
        <w:t>22.</w:t>
      </w:r>
      <w:r>
        <w:rPr>
          <w:rFonts w:hint="eastAsia"/>
          <w:color w:val="auto"/>
          <w:spacing w:val="-2"/>
          <w:highlight w:val="none"/>
        </w:rPr>
        <w:t>3采用综合评分法衡量投标文件在是否最大限度地满足招标文件实质性要求前提下，按照招标文件中规定的各项因素进行综合评审后，依据得分高低，依次确定为中标候选人。</w:t>
      </w:r>
    </w:p>
    <w:p w14:paraId="0D620E6A">
      <w:pPr>
        <w:spacing w:line="440" w:lineRule="exact"/>
        <w:ind w:firstLine="472" w:firstLineChars="200"/>
        <w:rPr>
          <w:rFonts w:hint="eastAsia"/>
          <w:color w:val="auto"/>
          <w:spacing w:val="-2"/>
          <w:highlight w:val="none"/>
        </w:rPr>
      </w:pPr>
      <w:r>
        <w:rPr>
          <w:rFonts w:hint="eastAsia"/>
          <w:color w:val="auto"/>
          <w:spacing w:val="-2"/>
          <w:highlight w:val="none"/>
        </w:rPr>
        <w:t>提供相同品牌产品且通过资格审查、符合性审查的不同投标人参加同一合同项下投标的，按一家投标人计算，评审后得分最高的同品牌投标人获得中标人推荐资格；评审得分相同的，由</w:t>
      </w:r>
      <w:r>
        <w:rPr>
          <w:rFonts w:hint="eastAsia"/>
          <w:color w:val="auto"/>
          <w:spacing w:val="-2"/>
          <w:highlight w:val="none"/>
          <w:lang w:eastAsia="zh-CN"/>
        </w:rPr>
        <w:t>招标人</w:t>
      </w:r>
      <w:r>
        <w:rPr>
          <w:rFonts w:hint="eastAsia"/>
          <w:color w:val="auto"/>
          <w:spacing w:val="-2"/>
          <w:highlight w:val="none"/>
        </w:rPr>
        <w:t>或者</w:t>
      </w:r>
      <w:r>
        <w:rPr>
          <w:rFonts w:hint="eastAsia"/>
          <w:color w:val="auto"/>
          <w:spacing w:val="-2"/>
          <w:highlight w:val="none"/>
          <w:lang w:eastAsia="zh-CN"/>
        </w:rPr>
        <w:t>招标人</w:t>
      </w:r>
      <w:r>
        <w:rPr>
          <w:rFonts w:hint="eastAsia"/>
          <w:color w:val="auto"/>
          <w:spacing w:val="-2"/>
          <w:highlight w:val="none"/>
        </w:rPr>
        <w:t>委托评标委员会按照招标文件规定的方式确定一个投标人获得中标人推荐资格，招标文件未规定的采取随机抽取方式确定，其他同品牌投标人不作为中标候选人。</w:t>
      </w:r>
    </w:p>
    <w:p w14:paraId="6A32F0DC">
      <w:pPr>
        <w:spacing w:line="440" w:lineRule="exact"/>
        <w:ind w:firstLine="472" w:firstLineChars="200"/>
        <w:rPr>
          <w:rFonts w:hint="eastAsia"/>
          <w:color w:val="auto"/>
          <w:spacing w:val="-2"/>
          <w:highlight w:val="none"/>
        </w:rPr>
      </w:pPr>
      <w:r>
        <w:rPr>
          <w:rFonts w:hint="eastAsia"/>
          <w:color w:val="auto"/>
          <w:spacing w:val="-2"/>
          <w:highlight w:val="none"/>
        </w:rPr>
        <w:t>非单一产品采购项目，</w:t>
      </w:r>
      <w:r>
        <w:rPr>
          <w:rFonts w:hint="eastAsia"/>
          <w:color w:val="auto"/>
          <w:spacing w:val="-2"/>
          <w:highlight w:val="none"/>
          <w:lang w:eastAsia="zh-CN"/>
        </w:rPr>
        <w:t>招标人</w:t>
      </w:r>
      <w:r>
        <w:rPr>
          <w:rFonts w:hint="eastAsia"/>
          <w:color w:val="auto"/>
          <w:spacing w:val="-2"/>
          <w:highlight w:val="none"/>
        </w:rPr>
        <w:t>应当根据采购项目技术构成、产品价格比重等合理确定核心产品，并在招标文件中载明。多家投标人提供的核心产品品牌相同的，按前款规定处理。</w:t>
      </w:r>
    </w:p>
    <w:p w14:paraId="54987B2C">
      <w:pPr>
        <w:spacing w:line="440" w:lineRule="exact"/>
        <w:ind w:firstLine="472" w:firstLineChars="200"/>
        <w:rPr>
          <w:color w:val="auto"/>
          <w:spacing w:val="-2"/>
          <w:highlight w:val="none"/>
        </w:rPr>
      </w:pPr>
      <w:r>
        <w:rPr>
          <w:rFonts w:hint="eastAsia"/>
          <w:color w:val="auto"/>
          <w:spacing w:val="-2"/>
          <w:highlight w:val="none"/>
        </w:rPr>
        <w:t>2</w:t>
      </w:r>
      <w:r>
        <w:rPr>
          <w:color w:val="auto"/>
          <w:spacing w:val="-2"/>
          <w:highlight w:val="none"/>
        </w:rPr>
        <w:t>2</w:t>
      </w:r>
      <w:r>
        <w:rPr>
          <w:rFonts w:hint="eastAsia"/>
          <w:color w:val="auto"/>
          <w:spacing w:val="-2"/>
          <w:highlight w:val="none"/>
        </w:rPr>
        <w:t>.3.1当投标人总得分相同时，以投标价格低者排位在前。</w:t>
      </w:r>
    </w:p>
    <w:p w14:paraId="137F43B6">
      <w:pPr>
        <w:spacing w:line="440" w:lineRule="exact"/>
        <w:ind w:firstLine="472" w:firstLineChars="200"/>
        <w:rPr>
          <w:rFonts w:hint="eastAsia"/>
          <w:color w:val="auto"/>
          <w:spacing w:val="-2"/>
          <w:highlight w:val="none"/>
        </w:rPr>
      </w:pPr>
      <w:r>
        <w:rPr>
          <w:color w:val="auto"/>
          <w:spacing w:val="-2"/>
          <w:highlight w:val="none"/>
        </w:rPr>
        <w:t>22.</w:t>
      </w:r>
      <w:r>
        <w:rPr>
          <w:rFonts w:hint="eastAsia"/>
          <w:color w:val="auto"/>
          <w:spacing w:val="-2"/>
          <w:highlight w:val="none"/>
        </w:rPr>
        <w:t>4根据综合评分法完成评标后，评标委员会应当拟定一份书面评标报告提交招标方。</w:t>
      </w:r>
    </w:p>
    <w:p w14:paraId="4AF68F14">
      <w:pPr>
        <w:spacing w:line="440" w:lineRule="exact"/>
        <w:ind w:firstLine="472" w:firstLineChars="200"/>
        <w:rPr>
          <w:rFonts w:hint="eastAsia"/>
          <w:color w:val="auto"/>
          <w:spacing w:val="-2"/>
          <w:highlight w:val="none"/>
        </w:rPr>
      </w:pPr>
      <w:r>
        <w:rPr>
          <w:color w:val="auto"/>
          <w:spacing w:val="-2"/>
          <w:highlight w:val="none"/>
        </w:rPr>
        <w:t>22.5</w:t>
      </w:r>
      <w:r>
        <w:rPr>
          <w:rFonts w:hint="eastAsia"/>
          <w:color w:val="auto"/>
          <w:spacing w:val="-2"/>
          <w:highlight w:val="none"/>
        </w:rPr>
        <w:t>评标和定标一般应当在开标后</w:t>
      </w:r>
      <w:r>
        <w:rPr>
          <w:color w:val="auto"/>
          <w:spacing w:val="-2"/>
          <w:highlight w:val="none"/>
        </w:rPr>
        <w:t>7</w:t>
      </w:r>
      <w:r>
        <w:rPr>
          <w:rFonts w:hint="eastAsia"/>
          <w:color w:val="auto"/>
          <w:spacing w:val="-2"/>
          <w:highlight w:val="none"/>
        </w:rPr>
        <w:t>个工作日内完成，项目金额较大、技术较为复杂等特殊项目的评标工作应当在</w:t>
      </w:r>
      <w:r>
        <w:rPr>
          <w:color w:val="auto"/>
          <w:spacing w:val="-2"/>
          <w:highlight w:val="none"/>
        </w:rPr>
        <w:t>30</w:t>
      </w:r>
      <w:r>
        <w:rPr>
          <w:rFonts w:hint="eastAsia"/>
          <w:color w:val="auto"/>
          <w:spacing w:val="-2"/>
          <w:highlight w:val="none"/>
        </w:rPr>
        <w:t>个工作日内完成。不能在开标后</w:t>
      </w:r>
      <w:r>
        <w:rPr>
          <w:color w:val="auto"/>
          <w:spacing w:val="-2"/>
          <w:highlight w:val="none"/>
        </w:rPr>
        <w:t>30</w:t>
      </w:r>
      <w:r>
        <w:rPr>
          <w:rFonts w:hint="eastAsia"/>
          <w:color w:val="auto"/>
          <w:spacing w:val="-2"/>
          <w:highlight w:val="none"/>
        </w:rPr>
        <w:t>个工作日内完成评标和定标的，招标人应当提前</w:t>
      </w:r>
      <w:r>
        <w:rPr>
          <w:color w:val="auto"/>
          <w:spacing w:val="-2"/>
          <w:highlight w:val="none"/>
        </w:rPr>
        <w:t>3</w:t>
      </w:r>
      <w:r>
        <w:rPr>
          <w:rFonts w:hint="eastAsia"/>
          <w:color w:val="auto"/>
          <w:spacing w:val="-2"/>
          <w:highlight w:val="none"/>
        </w:rPr>
        <w:t>天通知所有投标人延长投标有效期。同意延长投标有效期的投标人应当相应延长投标保证金的有效期，但不得修改投标文件的实质性内容。</w:t>
      </w:r>
    </w:p>
    <w:p w14:paraId="6A7C0D8A">
      <w:pPr>
        <w:spacing w:line="440" w:lineRule="exact"/>
        <w:ind w:firstLine="472" w:firstLineChars="200"/>
        <w:rPr>
          <w:rFonts w:hint="eastAsia" w:eastAsia="宋体"/>
          <w:color w:val="auto"/>
          <w:spacing w:val="-2"/>
          <w:highlight w:val="none"/>
          <w:lang w:eastAsia="zh-CN"/>
        </w:rPr>
      </w:pPr>
      <w:r>
        <w:rPr>
          <w:rFonts w:hint="eastAsia"/>
          <w:color w:val="auto"/>
          <w:spacing w:val="-2"/>
          <w:highlight w:val="none"/>
          <w:lang w:eastAsia="zh-CN"/>
        </w:rPr>
        <w:t>详细评审：</w:t>
      </w:r>
    </w:p>
    <w:tbl>
      <w:tblPr>
        <w:tblStyle w:val="29"/>
        <w:tblW w:w="10910" w:type="dxa"/>
        <w:jc w:val="center"/>
        <w:tblLayout w:type="autofit"/>
        <w:tblCellMar>
          <w:top w:w="0" w:type="dxa"/>
          <w:left w:w="108" w:type="dxa"/>
          <w:bottom w:w="0" w:type="dxa"/>
          <w:right w:w="108" w:type="dxa"/>
        </w:tblCellMar>
      </w:tblPr>
      <w:tblGrid>
        <w:gridCol w:w="1262"/>
        <w:gridCol w:w="1236"/>
        <w:gridCol w:w="7562"/>
        <w:gridCol w:w="850"/>
      </w:tblGrid>
      <w:tr w14:paraId="65491239">
        <w:tblPrEx>
          <w:tblCellMar>
            <w:top w:w="0" w:type="dxa"/>
            <w:left w:w="108" w:type="dxa"/>
            <w:bottom w:w="0" w:type="dxa"/>
            <w:right w:w="108" w:type="dxa"/>
          </w:tblCellMar>
        </w:tblPrEx>
        <w:trPr>
          <w:trHeight w:val="483" w:hRule="atLeast"/>
          <w:tblHeader/>
          <w:jc w:val="center"/>
        </w:trPr>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14:paraId="4CECDC12">
            <w:pPr>
              <w:widowControl/>
              <w:jc w:val="center"/>
              <w:rPr>
                <w:rFonts w:ascii="Times New Roman" w:hAnsi="Times New Roman" w:eastAsia="等线"/>
                <w:b/>
                <w:bCs/>
                <w:color w:val="auto"/>
                <w:kern w:val="0"/>
                <w:sz w:val="24"/>
                <w:szCs w:val="24"/>
                <w:highlight w:val="none"/>
              </w:rPr>
            </w:pPr>
            <w:r>
              <w:rPr>
                <w:rFonts w:ascii="Times New Roman" w:hAnsi="Times New Roman" w:eastAsia="仿宋_GB2312"/>
                <w:b/>
                <w:bCs/>
                <w:color w:val="auto"/>
                <w:kern w:val="0"/>
                <w:sz w:val="24"/>
                <w:szCs w:val="24"/>
                <w:highlight w:val="none"/>
              </w:rPr>
              <w:t>评分因素</w:t>
            </w:r>
          </w:p>
        </w:tc>
        <w:tc>
          <w:tcPr>
            <w:tcW w:w="1236" w:type="dxa"/>
            <w:tcBorders>
              <w:top w:val="single" w:color="auto" w:sz="4" w:space="0"/>
              <w:left w:val="nil"/>
              <w:bottom w:val="single" w:color="auto" w:sz="4" w:space="0"/>
              <w:right w:val="single" w:color="auto" w:sz="4" w:space="0"/>
            </w:tcBorders>
            <w:shd w:val="clear" w:color="auto" w:fill="auto"/>
            <w:vAlign w:val="center"/>
          </w:tcPr>
          <w:p w14:paraId="64B22584">
            <w:pPr>
              <w:widowControl/>
              <w:jc w:val="center"/>
              <w:rPr>
                <w:rFonts w:ascii="Times New Roman" w:hAnsi="Times New Roman" w:eastAsia="等线"/>
                <w:b/>
                <w:bCs/>
                <w:color w:val="auto"/>
                <w:kern w:val="0"/>
                <w:sz w:val="24"/>
                <w:szCs w:val="24"/>
                <w:highlight w:val="none"/>
              </w:rPr>
            </w:pPr>
            <w:r>
              <w:rPr>
                <w:rFonts w:ascii="Times New Roman" w:hAnsi="Times New Roman" w:eastAsia="仿宋_GB2312"/>
                <w:b/>
                <w:bCs/>
                <w:color w:val="auto"/>
                <w:kern w:val="0"/>
                <w:sz w:val="24"/>
                <w:szCs w:val="24"/>
                <w:highlight w:val="none"/>
              </w:rPr>
              <w:t>评分点</w:t>
            </w:r>
          </w:p>
        </w:tc>
        <w:tc>
          <w:tcPr>
            <w:tcW w:w="7562" w:type="dxa"/>
            <w:tcBorders>
              <w:top w:val="single" w:color="auto" w:sz="4" w:space="0"/>
              <w:left w:val="nil"/>
              <w:bottom w:val="single" w:color="auto" w:sz="4" w:space="0"/>
              <w:right w:val="single" w:color="auto" w:sz="4" w:space="0"/>
            </w:tcBorders>
            <w:shd w:val="clear" w:color="auto" w:fill="auto"/>
            <w:vAlign w:val="center"/>
          </w:tcPr>
          <w:p w14:paraId="51BD509D">
            <w:pPr>
              <w:widowControl/>
              <w:jc w:val="center"/>
              <w:rPr>
                <w:rFonts w:ascii="Times New Roman" w:hAnsi="Times New Roman" w:eastAsia="等线"/>
                <w:b/>
                <w:bCs/>
                <w:color w:val="auto"/>
                <w:kern w:val="0"/>
                <w:sz w:val="24"/>
                <w:szCs w:val="24"/>
                <w:highlight w:val="none"/>
              </w:rPr>
            </w:pPr>
            <w:r>
              <w:rPr>
                <w:rFonts w:ascii="Times New Roman" w:hAnsi="Times New Roman" w:eastAsia="仿宋_GB2312"/>
                <w:b/>
                <w:bCs/>
                <w:color w:val="auto"/>
                <w:kern w:val="0"/>
                <w:sz w:val="24"/>
                <w:szCs w:val="24"/>
                <w:highlight w:val="none"/>
              </w:rPr>
              <w:t>评分标准</w:t>
            </w:r>
          </w:p>
        </w:tc>
        <w:tc>
          <w:tcPr>
            <w:tcW w:w="850" w:type="dxa"/>
            <w:tcBorders>
              <w:top w:val="single" w:color="auto" w:sz="4" w:space="0"/>
              <w:left w:val="nil"/>
              <w:bottom w:val="single" w:color="auto" w:sz="4" w:space="0"/>
              <w:right w:val="single" w:color="auto" w:sz="4" w:space="0"/>
            </w:tcBorders>
            <w:shd w:val="clear" w:color="auto" w:fill="auto"/>
            <w:vAlign w:val="center"/>
          </w:tcPr>
          <w:p w14:paraId="2B42CE96">
            <w:pPr>
              <w:widowControl/>
              <w:jc w:val="center"/>
              <w:rPr>
                <w:rFonts w:ascii="Times New Roman" w:hAnsi="Times New Roman" w:eastAsia="等线"/>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r>
      <w:tr w14:paraId="7E732368">
        <w:tblPrEx>
          <w:tblCellMar>
            <w:top w:w="0" w:type="dxa"/>
            <w:left w:w="108" w:type="dxa"/>
            <w:bottom w:w="0" w:type="dxa"/>
            <w:right w:w="108" w:type="dxa"/>
          </w:tblCellMar>
        </w:tblPrEx>
        <w:trPr>
          <w:trHeight w:val="1074" w:hRule="atLeast"/>
          <w:jc w:val="center"/>
        </w:trPr>
        <w:tc>
          <w:tcPr>
            <w:tcW w:w="1262" w:type="dxa"/>
            <w:tcBorders>
              <w:top w:val="nil"/>
              <w:left w:val="single" w:color="auto" w:sz="4" w:space="0"/>
              <w:bottom w:val="single" w:color="auto" w:sz="4" w:space="0"/>
              <w:right w:val="single" w:color="auto" w:sz="4" w:space="0"/>
            </w:tcBorders>
            <w:shd w:val="clear" w:color="auto" w:fill="auto"/>
            <w:vAlign w:val="center"/>
          </w:tcPr>
          <w:p w14:paraId="6BB01B93">
            <w:pPr>
              <w:widowControl/>
              <w:jc w:val="cente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价格部分（</w:t>
            </w:r>
            <w:r>
              <w:rPr>
                <w:rFonts w:ascii="Times New Roman" w:hAnsi="Times New Roman" w:eastAsia="等线"/>
                <w:color w:val="auto"/>
                <w:kern w:val="0"/>
                <w:sz w:val="24"/>
                <w:szCs w:val="24"/>
                <w:highlight w:val="none"/>
              </w:rPr>
              <w:t>10</w:t>
            </w:r>
            <w:r>
              <w:rPr>
                <w:rFonts w:ascii="Times New Roman" w:hAnsi="Times New Roman" w:eastAsia="仿宋_GB2312"/>
                <w:color w:val="auto"/>
                <w:kern w:val="0"/>
                <w:sz w:val="24"/>
                <w:szCs w:val="24"/>
                <w:highlight w:val="none"/>
              </w:rPr>
              <w:t>分）</w:t>
            </w:r>
          </w:p>
        </w:tc>
        <w:tc>
          <w:tcPr>
            <w:tcW w:w="1236" w:type="dxa"/>
            <w:tcBorders>
              <w:top w:val="nil"/>
              <w:left w:val="nil"/>
              <w:bottom w:val="single" w:color="auto" w:sz="4" w:space="0"/>
              <w:right w:val="single" w:color="auto" w:sz="4" w:space="0"/>
            </w:tcBorders>
            <w:shd w:val="clear" w:color="auto" w:fill="auto"/>
            <w:vAlign w:val="center"/>
          </w:tcPr>
          <w:p w14:paraId="44544FDE">
            <w:pPr>
              <w:widowControl/>
              <w:jc w:val="cente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投标报价（</w:t>
            </w:r>
            <w:r>
              <w:rPr>
                <w:rFonts w:ascii="Times New Roman" w:hAnsi="Times New Roman" w:eastAsia="等线"/>
                <w:color w:val="auto"/>
                <w:kern w:val="0"/>
                <w:sz w:val="24"/>
                <w:szCs w:val="24"/>
                <w:highlight w:val="none"/>
              </w:rPr>
              <w:t>10</w:t>
            </w:r>
            <w:r>
              <w:rPr>
                <w:rFonts w:ascii="Times New Roman" w:hAnsi="Times New Roman" w:eastAsia="仿宋_GB2312"/>
                <w:color w:val="auto"/>
                <w:kern w:val="0"/>
                <w:sz w:val="24"/>
                <w:szCs w:val="24"/>
                <w:highlight w:val="none"/>
              </w:rPr>
              <w:t>分）</w:t>
            </w:r>
          </w:p>
        </w:tc>
        <w:tc>
          <w:tcPr>
            <w:tcW w:w="7562" w:type="dxa"/>
            <w:tcBorders>
              <w:top w:val="nil"/>
              <w:left w:val="nil"/>
              <w:bottom w:val="single" w:color="auto" w:sz="4" w:space="0"/>
              <w:right w:val="single" w:color="auto" w:sz="4" w:space="0"/>
            </w:tcBorders>
            <w:shd w:val="clear" w:color="auto" w:fill="auto"/>
            <w:vAlign w:val="center"/>
          </w:tcPr>
          <w:p w14:paraId="314915EB">
            <w:pPr>
              <w:widowControl/>
              <w:rPr>
                <w:rFonts w:ascii="Times New Roman" w:hAnsi="Times New Roman" w:eastAsia="等线"/>
                <w:color w:val="auto"/>
                <w:kern w:val="0"/>
                <w:sz w:val="24"/>
                <w:szCs w:val="24"/>
                <w:highlight w:val="none"/>
              </w:rPr>
            </w:pPr>
            <w:r>
              <w:rPr>
                <w:rFonts w:hint="eastAsia" w:ascii="Times New Roman" w:hAnsi="Times New Roman" w:eastAsia="仿宋_GB2312"/>
                <w:color w:val="auto"/>
                <w:kern w:val="0"/>
                <w:sz w:val="24"/>
                <w:szCs w:val="24"/>
                <w:highlight w:val="none"/>
              </w:rPr>
              <w:t xml:space="preserve">价格分采用低价优先法计算，即满足采购文件要求且投标价格最低的 投标报价（或政策扣除后最低的评审价）为评标基准价，其价格分为 满分。其他投标人的价格分统一按照下列公式计算：投标报价得分=（评标基准价/投标报价）×价格权值×100 本项目的价格权重为10%。 </w:t>
            </w:r>
          </w:p>
        </w:tc>
        <w:tc>
          <w:tcPr>
            <w:tcW w:w="850" w:type="dxa"/>
            <w:tcBorders>
              <w:top w:val="nil"/>
              <w:left w:val="nil"/>
              <w:bottom w:val="single" w:color="auto" w:sz="4" w:space="0"/>
              <w:right w:val="single" w:color="auto" w:sz="4" w:space="0"/>
            </w:tcBorders>
            <w:shd w:val="clear" w:color="auto" w:fill="auto"/>
            <w:vAlign w:val="center"/>
          </w:tcPr>
          <w:p w14:paraId="06D9C47E">
            <w:pPr>
              <w:widowControl/>
              <w:jc w:val="center"/>
              <w:rPr>
                <w:rFonts w:ascii="Times New Roman" w:hAnsi="Times New Roman" w:eastAsia="等线"/>
                <w:color w:val="auto"/>
                <w:kern w:val="0"/>
                <w:sz w:val="24"/>
                <w:szCs w:val="24"/>
                <w:highlight w:val="none"/>
              </w:rPr>
            </w:pPr>
            <w:r>
              <w:rPr>
                <w:rFonts w:ascii="Times New Roman" w:hAnsi="Times New Roman" w:eastAsia="等线"/>
                <w:color w:val="auto"/>
                <w:kern w:val="0"/>
                <w:sz w:val="24"/>
                <w:szCs w:val="24"/>
                <w:highlight w:val="none"/>
              </w:rPr>
              <w:t>10</w:t>
            </w:r>
          </w:p>
        </w:tc>
      </w:tr>
      <w:tr w14:paraId="70CD67CE">
        <w:tblPrEx>
          <w:tblCellMar>
            <w:top w:w="0" w:type="dxa"/>
            <w:left w:w="108" w:type="dxa"/>
            <w:bottom w:w="0" w:type="dxa"/>
            <w:right w:w="108" w:type="dxa"/>
          </w:tblCellMar>
        </w:tblPrEx>
        <w:trPr>
          <w:trHeight w:val="1087" w:hRule="atLeast"/>
          <w:jc w:val="center"/>
        </w:trPr>
        <w:tc>
          <w:tcPr>
            <w:tcW w:w="1262" w:type="dxa"/>
            <w:vMerge w:val="restart"/>
            <w:tcBorders>
              <w:top w:val="nil"/>
              <w:left w:val="single" w:color="auto" w:sz="4" w:space="0"/>
              <w:bottom w:val="single" w:color="auto" w:sz="4" w:space="0"/>
              <w:right w:val="single" w:color="auto" w:sz="4" w:space="0"/>
            </w:tcBorders>
            <w:shd w:val="clear" w:color="auto" w:fill="auto"/>
            <w:vAlign w:val="center"/>
          </w:tcPr>
          <w:p w14:paraId="352BEC61">
            <w:pPr>
              <w:widowControl/>
              <w:jc w:val="cente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商务部分（</w:t>
            </w:r>
            <w:r>
              <w:rPr>
                <w:rFonts w:hint="eastAsia" w:ascii="Times New Roman" w:hAnsi="Times New Roman" w:eastAsia="等线"/>
                <w:color w:val="auto"/>
                <w:kern w:val="0"/>
                <w:sz w:val="24"/>
                <w:szCs w:val="24"/>
                <w:highlight w:val="none"/>
                <w:lang w:val="en-US" w:eastAsia="zh-CN"/>
              </w:rPr>
              <w:t>35</w:t>
            </w:r>
            <w:r>
              <w:rPr>
                <w:rFonts w:ascii="Times New Roman" w:hAnsi="Times New Roman" w:eastAsia="仿宋_GB2312"/>
                <w:color w:val="auto"/>
                <w:kern w:val="0"/>
                <w:sz w:val="24"/>
                <w:szCs w:val="24"/>
                <w:highlight w:val="none"/>
              </w:rPr>
              <w:t>分）</w:t>
            </w:r>
          </w:p>
        </w:tc>
        <w:tc>
          <w:tcPr>
            <w:tcW w:w="1236" w:type="dxa"/>
            <w:tcBorders>
              <w:top w:val="nil"/>
              <w:left w:val="nil"/>
              <w:bottom w:val="single" w:color="auto" w:sz="4" w:space="0"/>
              <w:right w:val="single" w:color="auto" w:sz="4" w:space="0"/>
            </w:tcBorders>
            <w:shd w:val="clear" w:color="auto" w:fill="auto"/>
            <w:vAlign w:val="center"/>
          </w:tcPr>
          <w:p w14:paraId="42E6B5B9">
            <w:pPr>
              <w:widowControl/>
              <w:jc w:val="cente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项目团队业绩（</w:t>
            </w:r>
            <w:r>
              <w:rPr>
                <w:rFonts w:hint="eastAsia" w:ascii="Times New Roman" w:hAnsi="Times New Roman" w:eastAsia="等线"/>
                <w:color w:val="auto"/>
                <w:kern w:val="0"/>
                <w:sz w:val="24"/>
                <w:szCs w:val="24"/>
                <w:highlight w:val="none"/>
                <w:lang w:val="en-US" w:eastAsia="zh-CN"/>
              </w:rPr>
              <w:t>10</w:t>
            </w:r>
            <w:r>
              <w:rPr>
                <w:rFonts w:ascii="Times New Roman" w:hAnsi="Times New Roman" w:eastAsia="仿宋_GB2312"/>
                <w:color w:val="auto"/>
                <w:kern w:val="0"/>
                <w:sz w:val="24"/>
                <w:szCs w:val="24"/>
                <w:highlight w:val="none"/>
              </w:rPr>
              <w:t>分）</w:t>
            </w:r>
          </w:p>
        </w:tc>
        <w:tc>
          <w:tcPr>
            <w:tcW w:w="7562" w:type="dxa"/>
            <w:tcBorders>
              <w:top w:val="nil"/>
              <w:left w:val="nil"/>
              <w:bottom w:val="single" w:color="auto" w:sz="4" w:space="0"/>
              <w:right w:val="single" w:color="auto" w:sz="4" w:space="0"/>
            </w:tcBorders>
            <w:shd w:val="clear" w:color="auto" w:fill="auto"/>
            <w:vAlign w:val="center"/>
          </w:tcPr>
          <w:p w14:paraId="541D1BF9">
            <w:pPr>
              <w:widowControl/>
              <w:rPr>
                <w:rFonts w:ascii="Times New Roman" w:hAnsi="Times New Roman" w:eastAsia="等线"/>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团队成员自2020年1月1日至响应截止时间，</w:t>
            </w:r>
            <w:r>
              <w:rPr>
                <w:rFonts w:ascii="Times New Roman" w:hAnsi="Times New Roman" w:eastAsia="仿宋_GB2312"/>
                <w:color w:val="auto"/>
                <w:kern w:val="0"/>
                <w:sz w:val="24"/>
                <w:szCs w:val="24"/>
                <w:highlight w:val="none"/>
              </w:rPr>
              <w:t>具有</w:t>
            </w:r>
            <w:r>
              <w:rPr>
                <w:rFonts w:hint="eastAsia" w:ascii="Times New Roman" w:hAnsi="Times New Roman" w:eastAsia="仿宋_GB2312"/>
                <w:color w:val="auto"/>
                <w:kern w:val="0"/>
                <w:sz w:val="24"/>
                <w:szCs w:val="24"/>
                <w:highlight w:val="none"/>
                <w:lang w:val="en-US" w:eastAsia="zh-CN"/>
              </w:rPr>
              <w:t>与本项目业绩（清洁取暖研究或生态环境类中央资金管理、支撑、审计）</w:t>
            </w:r>
            <w:r>
              <w:rPr>
                <w:rFonts w:ascii="Times New Roman" w:hAnsi="Times New Roman" w:eastAsia="仿宋_GB2312"/>
                <w:color w:val="auto"/>
                <w:kern w:val="0"/>
                <w:sz w:val="24"/>
                <w:szCs w:val="24"/>
                <w:highlight w:val="none"/>
              </w:rPr>
              <w:t>，每具备一项得</w:t>
            </w:r>
            <w:r>
              <w:rPr>
                <w:rFonts w:hint="eastAsia" w:ascii="Times New Roman" w:hAnsi="Times New Roman" w:eastAsia="仿宋_GB2312"/>
                <w:color w:val="auto"/>
                <w:kern w:val="0"/>
                <w:sz w:val="24"/>
                <w:szCs w:val="24"/>
                <w:highlight w:val="none"/>
                <w:lang w:val="en-US" w:eastAsia="zh-CN"/>
              </w:rPr>
              <w:t>2</w:t>
            </w:r>
            <w:r>
              <w:rPr>
                <w:rFonts w:ascii="Times New Roman" w:hAnsi="Times New Roman" w:eastAsia="仿宋_GB2312"/>
                <w:color w:val="auto"/>
                <w:kern w:val="0"/>
                <w:sz w:val="24"/>
                <w:szCs w:val="24"/>
                <w:highlight w:val="none"/>
              </w:rPr>
              <w:t>分，最高为</w:t>
            </w:r>
            <w:r>
              <w:rPr>
                <w:rFonts w:hint="eastAsia" w:ascii="Times New Roman" w:hAnsi="Times New Roman" w:eastAsia="等线"/>
                <w:color w:val="auto"/>
                <w:kern w:val="0"/>
                <w:sz w:val="24"/>
                <w:szCs w:val="24"/>
                <w:highlight w:val="none"/>
                <w:lang w:val="en-US" w:eastAsia="zh-CN"/>
              </w:rPr>
              <w:t>10</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仿宋_GB2312"/>
                <w:color w:val="auto"/>
                <w:kern w:val="0"/>
                <w:sz w:val="24"/>
                <w:szCs w:val="24"/>
                <w:highlight w:val="none"/>
              </w:rPr>
              <w:t>提供</w:t>
            </w:r>
            <w:r>
              <w:rPr>
                <w:rFonts w:hint="eastAsia" w:ascii="Times New Roman" w:hAnsi="Times New Roman" w:eastAsia="仿宋_GB2312"/>
                <w:color w:val="auto"/>
                <w:kern w:val="0"/>
                <w:sz w:val="24"/>
                <w:szCs w:val="24"/>
                <w:highlight w:val="none"/>
                <w:lang w:val="en-US" w:eastAsia="zh-CN"/>
              </w:rPr>
              <w:t>合同、中标通知书、项目计划书或其他证明材料（关键页清晰可见并</w:t>
            </w:r>
            <w:r>
              <w:rPr>
                <w:rFonts w:ascii="Times New Roman" w:hAnsi="Times New Roman" w:eastAsia="仿宋_GB2312"/>
                <w:color w:val="auto"/>
                <w:kern w:val="0"/>
                <w:sz w:val="24"/>
                <w:szCs w:val="24"/>
                <w:highlight w:val="none"/>
              </w:rPr>
              <w:t>加盖公章</w:t>
            </w:r>
            <w:r>
              <w:rPr>
                <w:rFonts w:hint="eastAsia" w:ascii="Times New Roman" w:hAnsi="Times New Roman" w:eastAsia="仿宋_GB2312"/>
                <w:color w:val="auto"/>
                <w:kern w:val="0"/>
                <w:sz w:val="24"/>
                <w:szCs w:val="24"/>
                <w:highlight w:val="none"/>
                <w:lang w:eastAsia="zh-CN"/>
              </w:rPr>
              <w:t>）</w:t>
            </w:r>
            <w:r>
              <w:rPr>
                <w:rFonts w:ascii="Times New Roman" w:hAnsi="Times New Roman" w:eastAsia="仿宋_GB2312"/>
                <w:color w:val="auto"/>
                <w:kern w:val="0"/>
                <w:sz w:val="24"/>
                <w:szCs w:val="24"/>
                <w:highlight w:val="none"/>
              </w:rPr>
              <w:t>，资料未提供或所提供资料无法证明对应评分内容的对应项不得分。</w:t>
            </w:r>
          </w:p>
        </w:tc>
        <w:tc>
          <w:tcPr>
            <w:tcW w:w="850" w:type="dxa"/>
            <w:tcBorders>
              <w:top w:val="nil"/>
              <w:left w:val="nil"/>
              <w:bottom w:val="single" w:color="auto" w:sz="4" w:space="0"/>
              <w:right w:val="single" w:color="auto" w:sz="4" w:space="0"/>
            </w:tcBorders>
            <w:shd w:val="clear" w:color="auto" w:fill="auto"/>
            <w:vAlign w:val="center"/>
          </w:tcPr>
          <w:p w14:paraId="53BC2837">
            <w:pPr>
              <w:widowControl/>
              <w:jc w:val="center"/>
              <w:rPr>
                <w:rFonts w:hint="eastAsia" w:ascii="Times New Roman" w:hAnsi="Times New Roman" w:eastAsia="等线"/>
                <w:color w:val="auto"/>
                <w:kern w:val="0"/>
                <w:sz w:val="24"/>
                <w:szCs w:val="24"/>
                <w:highlight w:val="none"/>
                <w:lang w:eastAsia="zh-CN"/>
              </w:rPr>
            </w:pPr>
            <w:r>
              <w:rPr>
                <w:rFonts w:ascii="Times New Roman" w:hAnsi="Times New Roman" w:eastAsia="等线"/>
                <w:color w:val="auto"/>
                <w:kern w:val="0"/>
                <w:sz w:val="24"/>
                <w:szCs w:val="24"/>
                <w:highlight w:val="none"/>
              </w:rPr>
              <w:t>1</w:t>
            </w:r>
            <w:r>
              <w:rPr>
                <w:rFonts w:hint="eastAsia" w:ascii="Times New Roman" w:hAnsi="Times New Roman" w:eastAsia="等线"/>
                <w:color w:val="auto"/>
                <w:kern w:val="0"/>
                <w:sz w:val="24"/>
                <w:szCs w:val="24"/>
                <w:highlight w:val="none"/>
                <w:lang w:val="en-US" w:eastAsia="zh-CN"/>
              </w:rPr>
              <w:t>0</w:t>
            </w:r>
          </w:p>
        </w:tc>
      </w:tr>
      <w:tr w14:paraId="54D9B26A">
        <w:tblPrEx>
          <w:tblCellMar>
            <w:top w:w="0" w:type="dxa"/>
            <w:left w:w="108" w:type="dxa"/>
            <w:bottom w:w="0" w:type="dxa"/>
            <w:right w:w="108" w:type="dxa"/>
          </w:tblCellMar>
        </w:tblPrEx>
        <w:trPr>
          <w:trHeight w:val="1454" w:hRule="atLeast"/>
          <w:jc w:val="center"/>
        </w:trPr>
        <w:tc>
          <w:tcPr>
            <w:tcW w:w="1262" w:type="dxa"/>
            <w:vMerge w:val="continue"/>
            <w:tcBorders>
              <w:top w:val="nil"/>
              <w:left w:val="single" w:color="auto" w:sz="4" w:space="0"/>
              <w:bottom w:val="single" w:color="auto" w:sz="4" w:space="0"/>
              <w:right w:val="single" w:color="auto" w:sz="4" w:space="0"/>
            </w:tcBorders>
            <w:vAlign w:val="center"/>
          </w:tcPr>
          <w:p w14:paraId="0CBCA644">
            <w:pPr>
              <w:widowControl/>
              <w:jc w:val="left"/>
              <w:rPr>
                <w:rFonts w:ascii="Times New Roman" w:hAnsi="Times New Roman" w:eastAsia="等线"/>
                <w:color w:val="auto"/>
                <w:kern w:val="0"/>
                <w:sz w:val="24"/>
                <w:szCs w:val="24"/>
                <w:highlight w:val="none"/>
              </w:rPr>
            </w:pPr>
          </w:p>
        </w:tc>
        <w:tc>
          <w:tcPr>
            <w:tcW w:w="1236" w:type="dxa"/>
            <w:tcBorders>
              <w:top w:val="nil"/>
              <w:left w:val="nil"/>
              <w:bottom w:val="single" w:color="auto" w:sz="4" w:space="0"/>
              <w:right w:val="single" w:color="auto" w:sz="4" w:space="0"/>
            </w:tcBorders>
            <w:shd w:val="clear" w:color="auto" w:fill="auto"/>
            <w:vAlign w:val="center"/>
          </w:tcPr>
          <w:p w14:paraId="52739D11">
            <w:pPr>
              <w:widowControl/>
              <w:jc w:val="center"/>
              <w:rPr>
                <w:rFonts w:ascii="Times New Roman" w:hAnsi="Times New Roman" w:eastAsia="等线"/>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综合实力</w:t>
            </w:r>
            <w:r>
              <w:rPr>
                <w:rFonts w:ascii="Times New Roman" w:hAnsi="Times New Roman" w:eastAsia="仿宋_GB2312"/>
                <w:color w:val="auto"/>
                <w:kern w:val="0"/>
                <w:sz w:val="24"/>
                <w:szCs w:val="24"/>
                <w:highlight w:val="none"/>
              </w:rPr>
              <w:t>（</w:t>
            </w:r>
            <w:r>
              <w:rPr>
                <w:rFonts w:hint="eastAsia" w:ascii="Times New Roman" w:hAnsi="Times New Roman" w:eastAsia="等线"/>
                <w:color w:val="auto"/>
                <w:kern w:val="0"/>
                <w:sz w:val="24"/>
                <w:szCs w:val="24"/>
                <w:highlight w:val="none"/>
                <w:lang w:val="en-US" w:eastAsia="zh-CN"/>
              </w:rPr>
              <w:t>10</w:t>
            </w:r>
            <w:r>
              <w:rPr>
                <w:rFonts w:ascii="Times New Roman" w:hAnsi="Times New Roman" w:eastAsia="仿宋_GB2312"/>
                <w:color w:val="auto"/>
                <w:kern w:val="0"/>
                <w:sz w:val="24"/>
                <w:szCs w:val="24"/>
                <w:highlight w:val="none"/>
              </w:rPr>
              <w:t>分）</w:t>
            </w:r>
          </w:p>
        </w:tc>
        <w:tc>
          <w:tcPr>
            <w:tcW w:w="7562" w:type="dxa"/>
            <w:tcBorders>
              <w:top w:val="nil"/>
              <w:left w:val="nil"/>
              <w:bottom w:val="single" w:color="auto" w:sz="4" w:space="0"/>
              <w:right w:val="single" w:color="auto" w:sz="4" w:space="0"/>
            </w:tcBorders>
            <w:shd w:val="clear" w:color="auto" w:fill="auto"/>
            <w:vAlign w:val="center"/>
          </w:tcPr>
          <w:p w14:paraId="5B4A710B">
            <w:pPr>
              <w:widowControl/>
              <w:numPr>
                <w:ilvl w:val="0"/>
                <w:numId w:val="7"/>
              </w:numP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投标人具有在有效期内的质量管理体系认证证书、环境管理体系认证证书等ISO证书的，每提供1个证书得2分，最高得4分。</w:t>
            </w:r>
          </w:p>
          <w:p w14:paraId="00D2DE0A">
            <w:pPr>
              <w:widowControl/>
              <w:numPr>
                <w:ilvl w:val="0"/>
                <w:numId w:val="7"/>
              </w:numP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投标人获得过生态环境类奖项的，每项荣誉得2分，最高得6分。</w:t>
            </w:r>
          </w:p>
          <w:p w14:paraId="75B1624A">
            <w:pPr>
              <w:widowControl/>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本项最高得10分。</w:t>
            </w:r>
          </w:p>
          <w:p w14:paraId="5BD467C4">
            <w:pPr>
              <w:widowControl/>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（须提供证书照片或扫描件，未提供不得分）</w:t>
            </w:r>
          </w:p>
        </w:tc>
        <w:tc>
          <w:tcPr>
            <w:tcW w:w="850" w:type="dxa"/>
            <w:tcBorders>
              <w:top w:val="nil"/>
              <w:left w:val="nil"/>
              <w:bottom w:val="single" w:color="auto" w:sz="4" w:space="0"/>
              <w:right w:val="single" w:color="auto" w:sz="4" w:space="0"/>
            </w:tcBorders>
            <w:shd w:val="clear" w:color="auto" w:fill="auto"/>
            <w:vAlign w:val="center"/>
          </w:tcPr>
          <w:p w14:paraId="760C43ED">
            <w:pPr>
              <w:widowControl/>
              <w:jc w:val="center"/>
              <w:rPr>
                <w:rFonts w:hint="default" w:ascii="Times New Roman" w:hAnsi="Times New Roman" w:eastAsia="等线"/>
                <w:color w:val="auto"/>
                <w:kern w:val="0"/>
                <w:sz w:val="24"/>
                <w:szCs w:val="24"/>
                <w:highlight w:val="none"/>
                <w:lang w:val="en-US" w:eastAsia="zh-CN"/>
              </w:rPr>
            </w:pPr>
            <w:r>
              <w:rPr>
                <w:rFonts w:hint="eastAsia" w:ascii="Times New Roman" w:hAnsi="Times New Roman" w:eastAsia="等线"/>
                <w:color w:val="auto"/>
                <w:kern w:val="0"/>
                <w:sz w:val="24"/>
                <w:szCs w:val="24"/>
                <w:highlight w:val="none"/>
                <w:lang w:val="en-US" w:eastAsia="zh-CN"/>
              </w:rPr>
              <w:t>10</w:t>
            </w:r>
          </w:p>
        </w:tc>
      </w:tr>
      <w:tr w14:paraId="640EDA66">
        <w:tblPrEx>
          <w:tblCellMar>
            <w:top w:w="0" w:type="dxa"/>
            <w:left w:w="108" w:type="dxa"/>
            <w:bottom w:w="0" w:type="dxa"/>
            <w:right w:w="108" w:type="dxa"/>
          </w:tblCellMar>
        </w:tblPrEx>
        <w:trPr>
          <w:trHeight w:val="1454" w:hRule="atLeast"/>
          <w:jc w:val="center"/>
        </w:trPr>
        <w:tc>
          <w:tcPr>
            <w:tcW w:w="1262" w:type="dxa"/>
            <w:vMerge w:val="continue"/>
            <w:tcBorders>
              <w:top w:val="nil"/>
              <w:left w:val="single" w:color="auto" w:sz="4" w:space="0"/>
              <w:bottom w:val="single" w:color="auto" w:sz="4" w:space="0"/>
              <w:right w:val="single" w:color="auto" w:sz="4" w:space="0"/>
            </w:tcBorders>
            <w:vAlign w:val="center"/>
          </w:tcPr>
          <w:p w14:paraId="0B2B6834">
            <w:pPr>
              <w:widowControl/>
              <w:jc w:val="left"/>
              <w:rPr>
                <w:rFonts w:ascii="Times New Roman" w:hAnsi="Times New Roman" w:eastAsia="等线"/>
                <w:color w:val="auto"/>
                <w:kern w:val="0"/>
                <w:sz w:val="24"/>
                <w:szCs w:val="24"/>
                <w:highlight w:val="none"/>
              </w:rPr>
            </w:pPr>
          </w:p>
        </w:tc>
        <w:tc>
          <w:tcPr>
            <w:tcW w:w="1236" w:type="dxa"/>
            <w:tcBorders>
              <w:top w:val="nil"/>
              <w:left w:val="nil"/>
              <w:bottom w:val="single" w:color="auto" w:sz="4" w:space="0"/>
              <w:right w:val="single" w:color="auto" w:sz="4" w:space="0"/>
            </w:tcBorders>
            <w:shd w:val="clear" w:color="auto" w:fill="auto"/>
            <w:vAlign w:val="center"/>
          </w:tcPr>
          <w:p w14:paraId="6396CE5C">
            <w:pPr>
              <w:widowControl/>
              <w:jc w:val="cente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项目团队人员（</w:t>
            </w:r>
            <w:r>
              <w:rPr>
                <w:rFonts w:ascii="Times New Roman" w:hAnsi="Times New Roman" w:eastAsia="等线"/>
                <w:color w:val="auto"/>
                <w:kern w:val="0"/>
                <w:sz w:val="24"/>
                <w:szCs w:val="24"/>
                <w:highlight w:val="none"/>
              </w:rPr>
              <w:t>1</w:t>
            </w:r>
            <w:r>
              <w:rPr>
                <w:rFonts w:hint="eastAsia" w:ascii="Times New Roman" w:hAnsi="Times New Roman" w:eastAsia="等线"/>
                <w:color w:val="auto"/>
                <w:kern w:val="0"/>
                <w:sz w:val="24"/>
                <w:szCs w:val="24"/>
                <w:highlight w:val="none"/>
                <w:lang w:val="en-US" w:eastAsia="zh-CN"/>
              </w:rPr>
              <w:t>5</w:t>
            </w:r>
            <w:r>
              <w:rPr>
                <w:rFonts w:ascii="Times New Roman" w:hAnsi="Times New Roman" w:eastAsia="仿宋_GB2312"/>
                <w:color w:val="auto"/>
                <w:kern w:val="0"/>
                <w:sz w:val="24"/>
                <w:szCs w:val="24"/>
                <w:highlight w:val="none"/>
              </w:rPr>
              <w:t>分）</w:t>
            </w:r>
          </w:p>
        </w:tc>
        <w:tc>
          <w:tcPr>
            <w:tcW w:w="7562" w:type="dxa"/>
            <w:tcBorders>
              <w:top w:val="nil"/>
              <w:left w:val="nil"/>
              <w:bottom w:val="single" w:color="auto" w:sz="4" w:space="0"/>
              <w:right w:val="single" w:color="auto" w:sz="4" w:space="0"/>
            </w:tcBorders>
            <w:shd w:val="clear" w:color="auto" w:fill="auto"/>
            <w:vAlign w:val="center"/>
          </w:tcPr>
          <w:p w14:paraId="66A38B27">
            <w:pPr>
              <w:widowControl/>
              <w:numPr>
                <w:ilvl w:val="-1"/>
                <w:numId w:val="0"/>
              </w:numPr>
              <w:rPr>
                <w:rFonts w:hint="eastAsia" w:ascii="Times New Roman" w:hAnsi="Times New Roman" w:eastAsia="仿宋_GB2312"/>
                <w:color w:val="auto"/>
                <w:kern w:val="0"/>
                <w:sz w:val="24"/>
                <w:szCs w:val="24"/>
                <w:highlight w:val="none"/>
                <w:lang w:eastAsia="zh-CN"/>
              </w:rPr>
            </w:pPr>
            <w:r>
              <w:rPr>
                <w:rFonts w:hint="eastAsia" w:ascii="Times New Roman" w:hAnsi="Times New Roman" w:eastAsia="仿宋_GB2312"/>
                <w:color w:val="auto"/>
                <w:kern w:val="0"/>
                <w:sz w:val="24"/>
                <w:szCs w:val="24"/>
                <w:highlight w:val="none"/>
                <w:lang w:val="en-US" w:eastAsia="zh-CN"/>
              </w:rPr>
              <w:t>1、</w:t>
            </w:r>
            <w:r>
              <w:rPr>
                <w:rFonts w:ascii="Times New Roman" w:hAnsi="Times New Roman" w:eastAsia="仿宋_GB2312"/>
                <w:color w:val="auto"/>
                <w:kern w:val="0"/>
                <w:sz w:val="24"/>
                <w:szCs w:val="24"/>
                <w:highlight w:val="none"/>
              </w:rPr>
              <w:t>拟派项目负责人（</w:t>
            </w:r>
            <w:r>
              <w:rPr>
                <w:rFonts w:ascii="Times New Roman" w:hAnsi="Times New Roman" w:eastAsia="等线"/>
                <w:color w:val="auto"/>
                <w:kern w:val="0"/>
                <w:sz w:val="24"/>
                <w:szCs w:val="24"/>
                <w:highlight w:val="none"/>
              </w:rPr>
              <w:t>1</w:t>
            </w:r>
            <w:r>
              <w:rPr>
                <w:rFonts w:ascii="Times New Roman" w:hAnsi="Times New Roman" w:eastAsia="仿宋_GB2312"/>
                <w:color w:val="auto"/>
                <w:kern w:val="0"/>
                <w:sz w:val="24"/>
                <w:szCs w:val="24"/>
                <w:highlight w:val="none"/>
              </w:rPr>
              <w:t>人），具有环境相关专业高级职称的得</w:t>
            </w:r>
            <w:r>
              <w:rPr>
                <w:rFonts w:hint="eastAsia" w:ascii="Times New Roman" w:hAnsi="Times New Roman" w:eastAsia="等线"/>
                <w:color w:val="auto"/>
                <w:kern w:val="0"/>
                <w:sz w:val="24"/>
                <w:szCs w:val="24"/>
                <w:highlight w:val="none"/>
                <w:lang w:val="en-US" w:eastAsia="zh-CN"/>
              </w:rPr>
              <w:t>3</w:t>
            </w:r>
            <w:r>
              <w:rPr>
                <w:rFonts w:ascii="Times New Roman" w:hAnsi="Times New Roman" w:eastAsia="仿宋_GB2312"/>
                <w:color w:val="auto"/>
                <w:kern w:val="0"/>
                <w:sz w:val="24"/>
                <w:szCs w:val="24"/>
                <w:highlight w:val="none"/>
              </w:rPr>
              <w:t>分，具有环境相关专业中级职称的得</w:t>
            </w:r>
            <w:r>
              <w:rPr>
                <w:rFonts w:hint="eastAsia" w:ascii="Times New Roman" w:hAnsi="Times New Roman" w:eastAsia="等线"/>
                <w:color w:val="auto"/>
                <w:kern w:val="0"/>
                <w:sz w:val="24"/>
                <w:szCs w:val="24"/>
                <w:highlight w:val="none"/>
                <w:lang w:val="en-US" w:eastAsia="zh-CN"/>
              </w:rPr>
              <w:t>1</w:t>
            </w:r>
            <w:r>
              <w:rPr>
                <w:rFonts w:ascii="Times New Roman" w:hAnsi="Times New Roman" w:eastAsia="仿宋_GB2312"/>
                <w:color w:val="auto"/>
                <w:kern w:val="0"/>
                <w:sz w:val="24"/>
                <w:szCs w:val="24"/>
                <w:highlight w:val="none"/>
              </w:rPr>
              <w:t>分，最高为</w:t>
            </w:r>
            <w:r>
              <w:rPr>
                <w:rFonts w:hint="eastAsia" w:ascii="Times New Roman" w:hAnsi="Times New Roman" w:eastAsia="等线"/>
                <w:color w:val="auto"/>
                <w:kern w:val="0"/>
                <w:sz w:val="24"/>
                <w:szCs w:val="24"/>
                <w:highlight w:val="none"/>
                <w:lang w:val="en-US" w:eastAsia="zh-CN"/>
              </w:rPr>
              <w:t>3</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hint="eastAsia" w:ascii="Times New Roman" w:hAnsi="Times New Roman" w:eastAsia="仿宋_GB2312"/>
                <w:color w:val="auto"/>
                <w:kern w:val="0"/>
                <w:sz w:val="24"/>
                <w:szCs w:val="24"/>
                <w:highlight w:val="none"/>
                <w:lang w:val="en-US" w:eastAsia="zh-CN"/>
              </w:rPr>
              <w:t>2、</w:t>
            </w:r>
            <w:r>
              <w:rPr>
                <w:rFonts w:ascii="Times New Roman" w:hAnsi="Times New Roman" w:eastAsia="仿宋_GB2312"/>
                <w:color w:val="auto"/>
                <w:kern w:val="0"/>
                <w:sz w:val="24"/>
                <w:szCs w:val="24"/>
                <w:highlight w:val="none"/>
              </w:rPr>
              <w:t>拟派项目组专业技术人员（不包括项目负责人）具有环境</w:t>
            </w:r>
            <w:r>
              <w:rPr>
                <w:rFonts w:hint="eastAsia" w:ascii="Times New Roman" w:hAnsi="Times New Roman" w:eastAsia="仿宋_GB2312"/>
                <w:color w:val="auto"/>
                <w:kern w:val="0"/>
                <w:sz w:val="24"/>
                <w:szCs w:val="24"/>
                <w:highlight w:val="none"/>
                <w:lang w:eastAsia="zh-CN"/>
              </w:rPr>
              <w:t>、</w:t>
            </w:r>
            <w:r>
              <w:rPr>
                <w:rFonts w:hint="eastAsia" w:ascii="Times New Roman" w:hAnsi="Times New Roman" w:eastAsia="仿宋_GB2312"/>
                <w:color w:val="auto"/>
                <w:kern w:val="0"/>
                <w:sz w:val="24"/>
                <w:szCs w:val="24"/>
                <w:highlight w:val="none"/>
                <w:lang w:val="en-US" w:eastAsia="zh-CN"/>
              </w:rPr>
              <w:t>财会</w:t>
            </w:r>
            <w:r>
              <w:rPr>
                <w:rFonts w:ascii="Times New Roman" w:hAnsi="Times New Roman" w:eastAsia="仿宋_GB2312"/>
                <w:color w:val="auto"/>
                <w:kern w:val="0"/>
                <w:sz w:val="24"/>
                <w:szCs w:val="24"/>
                <w:highlight w:val="none"/>
              </w:rPr>
              <w:t>相关专业高级职称</w:t>
            </w:r>
            <w:r>
              <w:rPr>
                <w:rFonts w:hint="eastAsia" w:ascii="Times New Roman" w:hAnsi="Times New Roman" w:eastAsia="仿宋_GB2312"/>
                <w:color w:val="auto"/>
                <w:kern w:val="0"/>
                <w:sz w:val="24"/>
                <w:szCs w:val="24"/>
                <w:highlight w:val="none"/>
                <w:lang w:eastAsia="zh-CN"/>
              </w:rPr>
              <w:t>（</w:t>
            </w:r>
            <w:r>
              <w:rPr>
                <w:rFonts w:hint="eastAsia" w:ascii="Times New Roman" w:hAnsi="Times New Roman" w:eastAsia="仿宋_GB2312"/>
                <w:color w:val="auto"/>
                <w:kern w:val="0"/>
                <w:sz w:val="24"/>
                <w:szCs w:val="24"/>
                <w:highlight w:val="none"/>
                <w:lang w:val="en-US" w:eastAsia="zh-CN"/>
              </w:rPr>
              <w:t>或注册会计师）</w:t>
            </w:r>
            <w:r>
              <w:rPr>
                <w:rFonts w:ascii="Times New Roman" w:hAnsi="Times New Roman" w:eastAsia="仿宋_GB2312"/>
                <w:color w:val="auto"/>
                <w:kern w:val="0"/>
                <w:sz w:val="24"/>
                <w:szCs w:val="24"/>
                <w:highlight w:val="none"/>
              </w:rPr>
              <w:t>的每具备一人得</w:t>
            </w:r>
            <w:r>
              <w:rPr>
                <w:rFonts w:hint="eastAsia" w:ascii="Times New Roman" w:hAnsi="Times New Roman" w:eastAsia="仿宋_GB2312"/>
                <w:color w:val="auto"/>
                <w:kern w:val="0"/>
                <w:sz w:val="24"/>
                <w:szCs w:val="24"/>
                <w:highlight w:val="none"/>
                <w:lang w:val="en-US" w:eastAsia="zh-CN"/>
              </w:rPr>
              <w:t>3</w:t>
            </w:r>
            <w:r>
              <w:rPr>
                <w:rFonts w:ascii="Times New Roman" w:hAnsi="Times New Roman" w:eastAsia="仿宋_GB2312"/>
                <w:color w:val="auto"/>
                <w:kern w:val="0"/>
                <w:sz w:val="24"/>
                <w:szCs w:val="24"/>
                <w:highlight w:val="none"/>
              </w:rPr>
              <w:t>分，中级职称的每具备一人得</w:t>
            </w:r>
            <w:r>
              <w:rPr>
                <w:rFonts w:hint="eastAsia" w:ascii="Times New Roman" w:hAnsi="Times New Roman" w:eastAsia="仿宋_GB2312"/>
                <w:color w:val="auto"/>
                <w:kern w:val="0"/>
                <w:sz w:val="24"/>
                <w:szCs w:val="24"/>
                <w:highlight w:val="none"/>
                <w:lang w:val="en-US" w:eastAsia="zh-CN"/>
              </w:rPr>
              <w:t>1</w:t>
            </w:r>
            <w:r>
              <w:rPr>
                <w:rFonts w:ascii="Times New Roman" w:hAnsi="Times New Roman" w:eastAsia="仿宋_GB2312"/>
                <w:color w:val="auto"/>
                <w:kern w:val="0"/>
                <w:sz w:val="24"/>
                <w:szCs w:val="24"/>
                <w:highlight w:val="none"/>
              </w:rPr>
              <w:t>分，初级或无职称的</w:t>
            </w:r>
            <w:r>
              <w:rPr>
                <w:rFonts w:hint="eastAsia" w:ascii="Times New Roman" w:hAnsi="Times New Roman" w:eastAsia="仿宋_GB2312"/>
                <w:color w:val="auto"/>
                <w:kern w:val="0"/>
                <w:sz w:val="24"/>
                <w:szCs w:val="24"/>
                <w:highlight w:val="none"/>
                <w:lang w:val="en-US" w:eastAsia="zh-CN"/>
              </w:rPr>
              <w:t>不得分</w:t>
            </w:r>
            <w:r>
              <w:rPr>
                <w:rFonts w:hint="eastAsia" w:ascii="Times New Roman" w:hAnsi="Times New Roman" w:eastAsia="仿宋_GB2312"/>
                <w:color w:val="auto"/>
                <w:kern w:val="0"/>
                <w:sz w:val="24"/>
                <w:szCs w:val="24"/>
                <w:highlight w:val="none"/>
                <w:lang w:eastAsia="zh-CN"/>
              </w:rPr>
              <w:t>。</w:t>
            </w:r>
            <w:r>
              <w:rPr>
                <w:rFonts w:hint="eastAsia" w:ascii="Times New Roman" w:hAnsi="Times New Roman" w:eastAsia="仿宋_GB2312"/>
                <w:color w:val="auto"/>
                <w:kern w:val="0"/>
                <w:sz w:val="24"/>
                <w:szCs w:val="24"/>
                <w:highlight w:val="none"/>
                <w:lang w:val="en-US" w:eastAsia="zh-CN"/>
              </w:rPr>
              <w:t>最高为12分。</w:t>
            </w:r>
          </w:p>
          <w:p w14:paraId="6B0D5B2B">
            <w:pPr>
              <w:widowControl/>
              <w:numPr>
                <w:ilvl w:val="-1"/>
                <w:numId w:val="0"/>
              </w:numPr>
              <w:rPr>
                <w:rFonts w:hint="eastAsia" w:ascii="Times New Roman" w:hAnsi="Times New Roman" w:eastAsia="仿宋_GB2312"/>
                <w:color w:val="auto"/>
                <w:kern w:val="0"/>
                <w:sz w:val="24"/>
                <w:szCs w:val="24"/>
                <w:highlight w:val="none"/>
                <w:lang w:eastAsia="zh-CN"/>
              </w:rPr>
            </w:pPr>
            <w:r>
              <w:rPr>
                <w:rFonts w:hint="eastAsia" w:ascii="Times New Roman" w:hAnsi="Times New Roman" w:eastAsia="仿宋_GB2312"/>
                <w:color w:val="auto"/>
                <w:kern w:val="0"/>
                <w:sz w:val="24"/>
                <w:szCs w:val="24"/>
                <w:highlight w:val="none"/>
                <w:lang w:val="en-US" w:eastAsia="zh-CN"/>
              </w:rPr>
              <w:t>本项</w:t>
            </w:r>
            <w:r>
              <w:rPr>
                <w:rFonts w:ascii="Times New Roman" w:hAnsi="Times New Roman" w:eastAsia="仿宋_GB2312"/>
                <w:color w:val="auto"/>
                <w:kern w:val="0"/>
                <w:sz w:val="24"/>
                <w:szCs w:val="24"/>
                <w:highlight w:val="none"/>
              </w:rPr>
              <w:t>最高得1</w:t>
            </w:r>
            <w:r>
              <w:rPr>
                <w:rFonts w:hint="eastAsia" w:ascii="Times New Roman" w:hAnsi="Times New Roman" w:eastAsia="仿宋_GB2312"/>
                <w:color w:val="auto"/>
                <w:kern w:val="0"/>
                <w:sz w:val="24"/>
                <w:szCs w:val="24"/>
                <w:highlight w:val="none"/>
                <w:lang w:val="en-US" w:eastAsia="zh-CN"/>
              </w:rPr>
              <w:t>5</w:t>
            </w:r>
            <w:r>
              <w:rPr>
                <w:rFonts w:ascii="Times New Roman" w:hAnsi="Times New Roman" w:eastAsia="仿宋_GB2312"/>
                <w:color w:val="auto"/>
                <w:kern w:val="0"/>
                <w:sz w:val="24"/>
                <w:szCs w:val="24"/>
                <w:highlight w:val="none"/>
              </w:rPr>
              <w:t>分。</w:t>
            </w:r>
          </w:p>
          <w:p w14:paraId="52623397">
            <w:pPr>
              <w:widowControl/>
              <w:numPr>
                <w:ilvl w:val="-1"/>
                <w:numId w:val="0"/>
              </w:numPr>
              <w:rPr>
                <w:rFonts w:hint="eastAsia" w:ascii="Times New Roman" w:hAnsi="Times New Roman" w:eastAsia="仿宋_GB2312"/>
                <w:color w:val="auto"/>
                <w:kern w:val="0"/>
                <w:sz w:val="24"/>
                <w:szCs w:val="24"/>
                <w:highlight w:val="none"/>
                <w:lang w:eastAsia="zh-CN"/>
              </w:rPr>
            </w:pPr>
            <w:r>
              <w:rPr>
                <w:rFonts w:hint="eastAsia" w:ascii="Times New Roman" w:hAnsi="Times New Roman" w:eastAsia="仿宋_GB2312"/>
                <w:color w:val="auto"/>
                <w:kern w:val="0"/>
                <w:sz w:val="24"/>
                <w:szCs w:val="24"/>
                <w:highlight w:val="none"/>
                <w:lang w:val="en-US" w:eastAsia="zh-CN"/>
              </w:rPr>
              <w:t>拟派项目组必须同时包含环境及财会专业技术人员。</w:t>
            </w:r>
          </w:p>
          <w:p w14:paraId="372D3D6F">
            <w:pPr>
              <w:widowControl/>
              <w:numPr>
                <w:ilvl w:val="-1"/>
                <w:numId w:val="0"/>
              </w:numP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提供人员对应评分内容的证书证明文件复印件及对应人员在投标单位近半年（</w:t>
            </w:r>
            <w:r>
              <w:rPr>
                <w:rFonts w:ascii="Times New Roman" w:hAnsi="Times New Roman" w:eastAsia="等线"/>
                <w:color w:val="auto"/>
                <w:kern w:val="0"/>
                <w:sz w:val="24"/>
                <w:szCs w:val="24"/>
                <w:highlight w:val="none"/>
              </w:rPr>
              <w:t>2025</w:t>
            </w:r>
            <w:r>
              <w:rPr>
                <w:rFonts w:ascii="Times New Roman" w:hAnsi="Times New Roman" w:eastAsia="仿宋_GB2312"/>
                <w:color w:val="auto"/>
                <w:kern w:val="0"/>
                <w:sz w:val="24"/>
                <w:szCs w:val="24"/>
                <w:highlight w:val="none"/>
              </w:rPr>
              <w:t>年</w:t>
            </w:r>
            <w:r>
              <w:rPr>
                <w:rFonts w:hint="eastAsia" w:ascii="Times New Roman" w:hAnsi="Times New Roman" w:eastAsia="等线"/>
                <w:color w:val="auto"/>
                <w:kern w:val="0"/>
                <w:sz w:val="24"/>
                <w:szCs w:val="24"/>
                <w:highlight w:val="none"/>
                <w:lang w:val="en-US" w:eastAsia="zh-CN"/>
              </w:rPr>
              <w:t>11</w:t>
            </w:r>
            <w:r>
              <w:rPr>
                <w:rFonts w:ascii="Times New Roman" w:hAnsi="Times New Roman" w:eastAsia="仿宋_GB2312"/>
                <w:color w:val="auto"/>
                <w:kern w:val="0"/>
                <w:sz w:val="24"/>
                <w:szCs w:val="24"/>
                <w:highlight w:val="none"/>
              </w:rPr>
              <w:t>月至</w:t>
            </w:r>
            <w:r>
              <w:rPr>
                <w:rFonts w:ascii="Times New Roman" w:hAnsi="Times New Roman" w:eastAsia="等线"/>
                <w:color w:val="auto"/>
                <w:kern w:val="0"/>
                <w:sz w:val="24"/>
                <w:szCs w:val="24"/>
                <w:highlight w:val="none"/>
              </w:rPr>
              <w:t>2026</w:t>
            </w:r>
            <w:r>
              <w:rPr>
                <w:rFonts w:ascii="Times New Roman" w:hAnsi="Times New Roman" w:eastAsia="仿宋_GB2312"/>
                <w:color w:val="auto"/>
                <w:kern w:val="0"/>
                <w:sz w:val="24"/>
                <w:szCs w:val="24"/>
                <w:highlight w:val="none"/>
              </w:rPr>
              <w:t>年</w:t>
            </w:r>
            <w:r>
              <w:rPr>
                <w:rFonts w:hint="eastAsia" w:ascii="Times New Roman" w:hAnsi="Times New Roman" w:eastAsia="等线"/>
                <w:color w:val="auto"/>
                <w:kern w:val="0"/>
                <w:sz w:val="24"/>
                <w:szCs w:val="24"/>
                <w:highlight w:val="none"/>
                <w:lang w:val="en-US" w:eastAsia="zh-CN"/>
              </w:rPr>
              <w:t>4</w:t>
            </w:r>
            <w:r>
              <w:rPr>
                <w:rFonts w:ascii="Times New Roman" w:hAnsi="Times New Roman" w:eastAsia="仿宋_GB2312"/>
                <w:color w:val="auto"/>
                <w:kern w:val="0"/>
                <w:sz w:val="24"/>
                <w:szCs w:val="24"/>
                <w:highlight w:val="none"/>
              </w:rPr>
              <w:t>月）的社保缴纳证明加盖投标单位公章，资料未提供或所提供资料无法证明对应评分内容的对应项不得分。</w:t>
            </w:r>
          </w:p>
        </w:tc>
        <w:tc>
          <w:tcPr>
            <w:tcW w:w="850" w:type="dxa"/>
            <w:tcBorders>
              <w:top w:val="nil"/>
              <w:left w:val="nil"/>
              <w:bottom w:val="single" w:color="auto" w:sz="4" w:space="0"/>
              <w:right w:val="single" w:color="auto" w:sz="4" w:space="0"/>
            </w:tcBorders>
            <w:shd w:val="clear" w:color="auto" w:fill="auto"/>
            <w:vAlign w:val="center"/>
          </w:tcPr>
          <w:p w14:paraId="6FFAED12">
            <w:pPr>
              <w:widowControl/>
              <w:jc w:val="center"/>
              <w:rPr>
                <w:rFonts w:hint="eastAsia" w:ascii="Times New Roman" w:hAnsi="Times New Roman" w:eastAsia="等线"/>
                <w:color w:val="auto"/>
                <w:kern w:val="0"/>
                <w:sz w:val="24"/>
                <w:szCs w:val="24"/>
                <w:highlight w:val="none"/>
                <w:lang w:eastAsia="zh-CN"/>
              </w:rPr>
            </w:pPr>
            <w:r>
              <w:rPr>
                <w:rFonts w:ascii="Times New Roman" w:hAnsi="Times New Roman" w:eastAsia="等线"/>
                <w:color w:val="auto"/>
                <w:kern w:val="0"/>
                <w:sz w:val="24"/>
                <w:szCs w:val="24"/>
                <w:highlight w:val="none"/>
              </w:rPr>
              <w:t>1</w:t>
            </w:r>
            <w:r>
              <w:rPr>
                <w:rFonts w:hint="eastAsia" w:ascii="Times New Roman" w:hAnsi="Times New Roman" w:eastAsia="等线"/>
                <w:color w:val="auto"/>
                <w:kern w:val="0"/>
                <w:sz w:val="24"/>
                <w:szCs w:val="24"/>
                <w:highlight w:val="none"/>
                <w:lang w:val="en-US" w:eastAsia="zh-CN"/>
              </w:rPr>
              <w:t>5</w:t>
            </w:r>
          </w:p>
        </w:tc>
      </w:tr>
      <w:tr w14:paraId="3BF4FDF8">
        <w:tblPrEx>
          <w:tblCellMar>
            <w:top w:w="0" w:type="dxa"/>
            <w:left w:w="108" w:type="dxa"/>
            <w:bottom w:w="0" w:type="dxa"/>
            <w:right w:w="108" w:type="dxa"/>
          </w:tblCellMar>
        </w:tblPrEx>
        <w:trPr>
          <w:trHeight w:val="423" w:hRule="atLeast"/>
          <w:jc w:val="center"/>
        </w:trPr>
        <w:tc>
          <w:tcPr>
            <w:tcW w:w="1262" w:type="dxa"/>
            <w:vMerge w:val="restart"/>
            <w:tcBorders>
              <w:top w:val="nil"/>
              <w:left w:val="single" w:color="auto" w:sz="4" w:space="0"/>
              <w:right w:val="single" w:color="auto" w:sz="4" w:space="0"/>
            </w:tcBorders>
            <w:shd w:val="clear" w:color="auto" w:fill="auto"/>
            <w:vAlign w:val="center"/>
          </w:tcPr>
          <w:p w14:paraId="23900C35">
            <w:pPr>
              <w:widowControl/>
              <w:jc w:val="cente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技术部分（</w:t>
            </w:r>
            <w:r>
              <w:rPr>
                <w:rFonts w:ascii="Times New Roman" w:hAnsi="Times New Roman" w:eastAsia="等线"/>
                <w:color w:val="auto"/>
                <w:kern w:val="0"/>
                <w:sz w:val="24"/>
                <w:szCs w:val="24"/>
                <w:highlight w:val="none"/>
              </w:rPr>
              <w:t>5</w:t>
            </w:r>
            <w:r>
              <w:rPr>
                <w:rFonts w:hint="eastAsia" w:ascii="Times New Roman" w:hAnsi="Times New Roman" w:eastAsia="等线"/>
                <w:color w:val="auto"/>
                <w:kern w:val="0"/>
                <w:sz w:val="24"/>
                <w:szCs w:val="24"/>
                <w:highlight w:val="none"/>
                <w:lang w:val="en-US" w:eastAsia="zh-CN"/>
              </w:rPr>
              <w:t>5</w:t>
            </w:r>
            <w:r>
              <w:rPr>
                <w:rFonts w:ascii="Times New Roman" w:hAnsi="Times New Roman" w:eastAsia="仿宋_GB2312"/>
                <w:color w:val="auto"/>
                <w:kern w:val="0"/>
                <w:sz w:val="24"/>
                <w:szCs w:val="24"/>
                <w:highlight w:val="none"/>
              </w:rPr>
              <w:t>分）</w:t>
            </w:r>
          </w:p>
        </w:tc>
        <w:tc>
          <w:tcPr>
            <w:tcW w:w="1236" w:type="dxa"/>
            <w:tcBorders>
              <w:top w:val="nil"/>
              <w:left w:val="nil"/>
              <w:bottom w:val="single" w:color="auto" w:sz="4" w:space="0"/>
              <w:right w:val="single" w:color="auto" w:sz="4" w:space="0"/>
            </w:tcBorders>
            <w:shd w:val="clear" w:color="auto" w:fill="auto"/>
            <w:vAlign w:val="center"/>
          </w:tcPr>
          <w:p w14:paraId="7520ED7E">
            <w:pPr>
              <w:widowControl/>
              <w:jc w:val="center"/>
              <w:rPr>
                <w:rFonts w:hint="default" w:ascii="Times New Roman" w:hAnsi="Times New Roman" w:eastAsia="仿宋_GB2312"/>
                <w:color w:val="auto"/>
                <w:kern w:val="0"/>
                <w:sz w:val="24"/>
                <w:szCs w:val="24"/>
                <w:highlight w:val="none"/>
                <w:lang w:val="en-US" w:eastAsia="zh-CN"/>
              </w:rPr>
            </w:pPr>
            <w:r>
              <w:rPr>
                <w:rFonts w:hint="eastAsia" w:ascii="Times New Roman" w:hAnsi="Times New Roman" w:eastAsia="仿宋_GB2312"/>
                <w:color w:val="auto"/>
                <w:kern w:val="0"/>
                <w:sz w:val="24"/>
                <w:szCs w:val="24"/>
                <w:highlight w:val="none"/>
                <w:lang w:val="en-US" w:eastAsia="zh-CN"/>
              </w:rPr>
              <w:t>项目认知（10分）</w:t>
            </w:r>
          </w:p>
        </w:tc>
        <w:tc>
          <w:tcPr>
            <w:tcW w:w="7562" w:type="dxa"/>
            <w:tcBorders>
              <w:top w:val="nil"/>
              <w:left w:val="nil"/>
              <w:bottom w:val="single" w:color="auto" w:sz="4" w:space="0"/>
              <w:right w:val="single" w:color="auto" w:sz="4" w:space="0"/>
            </w:tcBorders>
            <w:shd w:val="clear" w:color="auto" w:fill="auto"/>
            <w:vAlign w:val="center"/>
          </w:tcPr>
          <w:p w14:paraId="0B442681">
            <w:pPr>
              <w:widowControl/>
              <w:rPr>
                <w:rFonts w:hint="eastAsia" w:ascii="Times New Roman" w:hAnsi="Times New Roman" w:eastAsia="仿宋_GB2312"/>
                <w:color w:val="auto"/>
                <w:kern w:val="0"/>
                <w:sz w:val="24"/>
                <w:szCs w:val="24"/>
                <w:highlight w:val="none"/>
                <w:lang w:val="en-US" w:eastAsia="zh-CN"/>
              </w:rPr>
            </w:pPr>
            <w:r>
              <w:rPr>
                <w:rFonts w:hint="eastAsia" w:ascii="Times New Roman" w:hAnsi="Times New Roman" w:eastAsia="仿宋_GB2312"/>
                <w:color w:val="auto"/>
                <w:kern w:val="0"/>
                <w:sz w:val="24"/>
                <w:szCs w:val="24"/>
                <w:highlight w:val="none"/>
                <w:lang w:val="en-US" w:eastAsia="zh-CN"/>
              </w:rPr>
              <w:t>针对项目认知情况进行综合分析与评审：包括但不限于（1）对中央大气污染防治资金历史背景、沿革和对大气污染防治工作起到的作用等方面的认知程度。（2）对北方地区冬季清洁取暖的背景、试点申报流程、实施周期、绩效评估等的认知程度。（3）对资金项目申报、评审、实施、验收相关的组织、管理、实施效果等的认知程度。</w:t>
            </w:r>
          </w:p>
          <w:p w14:paraId="5BDBF955">
            <w:pPr>
              <w:widowControl/>
              <w:rPr>
                <w:rFonts w:hint="default" w:ascii="Times New Roman" w:hAnsi="Times New Roman" w:eastAsia="仿宋_GB2312"/>
                <w:color w:val="auto"/>
                <w:kern w:val="0"/>
                <w:sz w:val="24"/>
                <w:szCs w:val="24"/>
                <w:highlight w:val="none"/>
                <w:lang w:val="en-US" w:eastAsia="zh-CN"/>
              </w:rPr>
            </w:pPr>
            <w:r>
              <w:rPr>
                <w:rFonts w:hint="eastAsia" w:ascii="Times New Roman" w:hAnsi="Times New Roman" w:eastAsia="仿宋_GB2312"/>
                <w:color w:val="auto"/>
                <w:kern w:val="0"/>
                <w:sz w:val="24"/>
                <w:szCs w:val="24"/>
                <w:highlight w:val="none"/>
                <w:lang w:val="en-US" w:eastAsia="zh-CN"/>
              </w:rPr>
              <w:t>对本项目理解深刻，上述内容完整、全面、合理的计10分；有缺漏项的每处扣5分；内容不全面、欠合理、缺乏针对性或套用已有材料模版的每处扣2.5分，扣完为止。</w:t>
            </w:r>
          </w:p>
        </w:tc>
        <w:tc>
          <w:tcPr>
            <w:tcW w:w="850" w:type="dxa"/>
            <w:tcBorders>
              <w:top w:val="nil"/>
              <w:left w:val="nil"/>
              <w:bottom w:val="single" w:color="auto" w:sz="4" w:space="0"/>
              <w:right w:val="single" w:color="auto" w:sz="4" w:space="0"/>
            </w:tcBorders>
            <w:shd w:val="clear" w:color="auto" w:fill="auto"/>
            <w:vAlign w:val="center"/>
          </w:tcPr>
          <w:p w14:paraId="11C54D02">
            <w:pPr>
              <w:widowControl/>
              <w:jc w:val="center"/>
              <w:rPr>
                <w:rFonts w:hint="default" w:ascii="Times New Roman" w:hAnsi="Times New Roman" w:eastAsia="等线"/>
                <w:color w:val="auto"/>
                <w:kern w:val="0"/>
                <w:sz w:val="24"/>
                <w:szCs w:val="24"/>
                <w:highlight w:val="none"/>
                <w:lang w:val="en-US" w:eastAsia="zh-CN"/>
              </w:rPr>
            </w:pPr>
            <w:r>
              <w:rPr>
                <w:rFonts w:hint="eastAsia" w:ascii="Times New Roman" w:hAnsi="Times New Roman" w:eastAsia="等线"/>
                <w:color w:val="auto"/>
                <w:kern w:val="0"/>
                <w:sz w:val="24"/>
                <w:szCs w:val="24"/>
                <w:highlight w:val="none"/>
                <w:lang w:val="en-US" w:eastAsia="zh-CN"/>
              </w:rPr>
              <w:t>10</w:t>
            </w:r>
          </w:p>
        </w:tc>
      </w:tr>
      <w:tr w14:paraId="5C591563">
        <w:tblPrEx>
          <w:tblCellMar>
            <w:top w:w="0" w:type="dxa"/>
            <w:left w:w="108" w:type="dxa"/>
            <w:bottom w:w="0" w:type="dxa"/>
            <w:right w:w="108" w:type="dxa"/>
          </w:tblCellMar>
        </w:tblPrEx>
        <w:trPr>
          <w:trHeight w:val="423" w:hRule="atLeast"/>
          <w:jc w:val="center"/>
        </w:trPr>
        <w:tc>
          <w:tcPr>
            <w:tcW w:w="1262" w:type="dxa"/>
            <w:vMerge w:val="continue"/>
            <w:tcBorders>
              <w:left w:val="single" w:color="auto" w:sz="4" w:space="0"/>
              <w:right w:val="single" w:color="auto" w:sz="4" w:space="0"/>
            </w:tcBorders>
            <w:shd w:val="clear" w:color="auto" w:fill="auto"/>
            <w:vAlign w:val="center"/>
          </w:tcPr>
          <w:p w14:paraId="4D0B8292">
            <w:pPr>
              <w:widowControl/>
              <w:jc w:val="center"/>
              <w:rPr>
                <w:rFonts w:ascii="Times New Roman" w:hAnsi="Times New Roman" w:eastAsia="等线"/>
                <w:color w:val="auto"/>
                <w:kern w:val="0"/>
                <w:sz w:val="24"/>
                <w:szCs w:val="24"/>
                <w:highlight w:val="none"/>
              </w:rPr>
            </w:pPr>
          </w:p>
        </w:tc>
        <w:tc>
          <w:tcPr>
            <w:tcW w:w="1236" w:type="dxa"/>
            <w:tcBorders>
              <w:top w:val="nil"/>
              <w:left w:val="nil"/>
              <w:bottom w:val="single" w:color="auto" w:sz="4" w:space="0"/>
              <w:right w:val="single" w:color="auto" w:sz="4" w:space="0"/>
            </w:tcBorders>
            <w:shd w:val="clear" w:color="auto" w:fill="auto"/>
            <w:vAlign w:val="center"/>
          </w:tcPr>
          <w:p w14:paraId="48D67BC0">
            <w:pPr>
              <w:widowControl/>
              <w:jc w:val="cente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总体</w:t>
            </w:r>
            <w:r>
              <w:rPr>
                <w:rFonts w:hint="eastAsia" w:ascii="Times New Roman" w:hAnsi="Times New Roman" w:eastAsia="仿宋_GB2312"/>
                <w:color w:val="auto"/>
                <w:kern w:val="0"/>
                <w:sz w:val="24"/>
                <w:szCs w:val="24"/>
                <w:highlight w:val="none"/>
                <w:lang w:val="en-US" w:eastAsia="zh-CN"/>
              </w:rPr>
              <w:t>服务</w:t>
            </w:r>
            <w:r>
              <w:rPr>
                <w:rFonts w:ascii="Times New Roman" w:hAnsi="Times New Roman" w:eastAsia="仿宋_GB2312"/>
                <w:color w:val="auto"/>
                <w:kern w:val="0"/>
                <w:sz w:val="24"/>
                <w:szCs w:val="24"/>
                <w:highlight w:val="none"/>
              </w:rPr>
              <w:t>方案（</w:t>
            </w:r>
            <w:r>
              <w:rPr>
                <w:rFonts w:hint="eastAsia" w:ascii="Times New Roman" w:hAnsi="Times New Roman" w:eastAsia="等线"/>
                <w:color w:val="auto"/>
                <w:kern w:val="0"/>
                <w:sz w:val="24"/>
                <w:szCs w:val="24"/>
                <w:highlight w:val="none"/>
                <w:lang w:val="en-US" w:eastAsia="zh-CN"/>
              </w:rPr>
              <w:t>2</w:t>
            </w:r>
            <w:r>
              <w:rPr>
                <w:rFonts w:ascii="Times New Roman" w:hAnsi="Times New Roman" w:eastAsia="等线"/>
                <w:color w:val="auto"/>
                <w:kern w:val="0"/>
                <w:sz w:val="24"/>
                <w:szCs w:val="24"/>
                <w:highlight w:val="none"/>
              </w:rPr>
              <w:t>0</w:t>
            </w:r>
            <w:r>
              <w:rPr>
                <w:rFonts w:ascii="Times New Roman" w:hAnsi="Times New Roman" w:eastAsia="仿宋_GB2312"/>
                <w:color w:val="auto"/>
                <w:kern w:val="0"/>
                <w:sz w:val="24"/>
                <w:szCs w:val="24"/>
                <w:highlight w:val="none"/>
              </w:rPr>
              <w:t>分）</w:t>
            </w:r>
          </w:p>
        </w:tc>
        <w:tc>
          <w:tcPr>
            <w:tcW w:w="7562" w:type="dxa"/>
            <w:tcBorders>
              <w:top w:val="nil"/>
              <w:left w:val="nil"/>
              <w:bottom w:val="single" w:color="auto" w:sz="4" w:space="0"/>
              <w:right w:val="single" w:color="auto" w:sz="4" w:space="0"/>
            </w:tcBorders>
            <w:shd w:val="clear" w:color="auto" w:fill="auto"/>
            <w:vAlign w:val="center"/>
          </w:tcPr>
          <w:p w14:paraId="551A7B94">
            <w:pPr>
              <w:widowControl/>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针对本项目提供总体设计方案，设计方案至少包括需求分析、总体设计、安全体系、项目实施等内容，从设计方案的完整性、系统性、可行性、合理性和规范性多维度评分：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1.</w:t>
            </w:r>
            <w:r>
              <w:rPr>
                <w:rFonts w:ascii="Times New Roman" w:hAnsi="Times New Roman" w:eastAsia="仿宋_GB2312"/>
                <w:color w:val="auto"/>
                <w:kern w:val="0"/>
                <w:sz w:val="24"/>
                <w:szCs w:val="24"/>
                <w:highlight w:val="none"/>
              </w:rPr>
              <w:t>方案完整、科学、架构合理、思路清晰，技术可靠，团队人员组织完善、角色分工安排合理、责任分工清晰明确，技术方案满足或优于采购需求，得</w:t>
            </w:r>
            <w:r>
              <w:rPr>
                <w:rFonts w:hint="eastAsia" w:ascii="Times New Roman" w:hAnsi="Times New Roman" w:eastAsia="等线"/>
                <w:color w:val="auto"/>
                <w:kern w:val="0"/>
                <w:sz w:val="24"/>
                <w:szCs w:val="24"/>
                <w:highlight w:val="none"/>
                <w:lang w:val="en-US" w:eastAsia="zh-CN"/>
              </w:rPr>
              <w:t>2</w:t>
            </w:r>
            <w:r>
              <w:rPr>
                <w:rFonts w:ascii="Times New Roman" w:hAnsi="Times New Roman" w:eastAsia="等线"/>
                <w:color w:val="auto"/>
                <w:kern w:val="0"/>
                <w:sz w:val="24"/>
                <w:szCs w:val="24"/>
                <w:highlight w:val="none"/>
              </w:rPr>
              <w:t>0</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2.</w:t>
            </w:r>
            <w:r>
              <w:rPr>
                <w:rFonts w:ascii="Times New Roman" w:hAnsi="Times New Roman" w:eastAsia="仿宋_GB2312"/>
                <w:color w:val="auto"/>
                <w:kern w:val="0"/>
                <w:sz w:val="24"/>
                <w:szCs w:val="24"/>
                <w:highlight w:val="none"/>
              </w:rPr>
              <w:t>方案合理、架构基本合理、思路基本清晰，技术基本可靠，团队人员组织完善、角色分工安排合理，基本满足项目实施要求的，技术方案基本符合采购需求，无明显缺陷，得</w:t>
            </w:r>
            <w:r>
              <w:rPr>
                <w:rFonts w:hint="eastAsia" w:ascii="Times New Roman" w:hAnsi="Times New Roman" w:eastAsia="等线"/>
                <w:color w:val="auto"/>
                <w:kern w:val="0"/>
                <w:sz w:val="24"/>
                <w:szCs w:val="24"/>
                <w:highlight w:val="none"/>
                <w:lang w:val="en-US" w:eastAsia="zh-CN"/>
              </w:rPr>
              <w:t>10</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3.</w:t>
            </w:r>
            <w:r>
              <w:rPr>
                <w:rFonts w:ascii="Times New Roman" w:hAnsi="Times New Roman" w:eastAsia="仿宋_GB2312"/>
                <w:color w:val="auto"/>
                <w:kern w:val="0"/>
                <w:sz w:val="24"/>
                <w:szCs w:val="24"/>
                <w:highlight w:val="none"/>
              </w:rPr>
              <w:t>方案合理，技术方案基本符合采购需求，架构模糊，思路模糊，部分内容存在缺陷，团队人员组织、角色分工安排一般，得</w:t>
            </w:r>
            <w:r>
              <w:rPr>
                <w:rFonts w:ascii="Times New Roman" w:hAnsi="Times New Roman" w:eastAsia="等线"/>
                <w:color w:val="auto"/>
                <w:kern w:val="0"/>
                <w:sz w:val="24"/>
                <w:szCs w:val="24"/>
                <w:highlight w:val="none"/>
              </w:rPr>
              <w:t>6</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4.</w:t>
            </w:r>
            <w:r>
              <w:rPr>
                <w:rFonts w:ascii="Times New Roman" w:hAnsi="Times New Roman" w:eastAsia="仿宋_GB2312"/>
                <w:color w:val="auto"/>
                <w:kern w:val="0"/>
                <w:sz w:val="24"/>
                <w:szCs w:val="24"/>
                <w:highlight w:val="none"/>
              </w:rPr>
              <w:t>方案存在明显缺漏，团队人员组织、角色分工安排混乱，与本项目实际需求有偏差，得</w:t>
            </w:r>
            <w:r>
              <w:rPr>
                <w:rFonts w:ascii="Times New Roman" w:hAnsi="Times New Roman" w:eastAsia="等线"/>
                <w:color w:val="auto"/>
                <w:kern w:val="0"/>
                <w:sz w:val="24"/>
                <w:szCs w:val="24"/>
                <w:highlight w:val="none"/>
              </w:rPr>
              <w:t>4</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5.</w:t>
            </w:r>
            <w:r>
              <w:rPr>
                <w:rFonts w:ascii="Times New Roman" w:hAnsi="Times New Roman" w:eastAsia="仿宋_GB2312"/>
                <w:color w:val="auto"/>
                <w:kern w:val="0"/>
                <w:sz w:val="24"/>
                <w:szCs w:val="24"/>
                <w:highlight w:val="none"/>
              </w:rPr>
              <w:t>差或未提供的不得分。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w:t>
            </w:r>
            <w:r>
              <w:rPr>
                <w:rFonts w:ascii="Times New Roman" w:hAnsi="Times New Roman" w:eastAsia="仿宋_GB2312"/>
                <w:color w:val="auto"/>
                <w:kern w:val="0"/>
                <w:sz w:val="24"/>
                <w:szCs w:val="24"/>
                <w:highlight w:val="none"/>
              </w:rPr>
              <w:t>缺陷是指</w:t>
            </w:r>
            <w:r>
              <w:rPr>
                <w:rFonts w:ascii="Times New Roman" w:hAnsi="Times New Roman" w:eastAsia="等线"/>
                <w:color w:val="auto"/>
                <w:kern w:val="0"/>
                <w:sz w:val="24"/>
                <w:szCs w:val="24"/>
                <w:highlight w:val="none"/>
              </w:rPr>
              <w:t>:</w:t>
            </w:r>
            <w:r>
              <w:rPr>
                <w:rFonts w:ascii="Times New Roman" w:hAnsi="Times New Roman" w:eastAsia="仿宋_GB2312"/>
                <w:color w:val="auto"/>
                <w:kern w:val="0"/>
                <w:sz w:val="24"/>
                <w:szCs w:val="24"/>
                <w:highlight w:val="none"/>
              </w:rPr>
              <w:t>存在不适用项目实际情况的情形、凭空编造、内容前后不一致、前后逻辑错误、涉及的规范及标准错误、地点区域错误、内容遗漏、不符合采购需求等</w:t>
            </w:r>
            <w:r>
              <w:rPr>
                <w:rFonts w:ascii="Times New Roman" w:hAnsi="Times New Roman" w:eastAsia="等线"/>
                <w:color w:val="auto"/>
                <w:kern w:val="0"/>
                <w:sz w:val="24"/>
                <w:szCs w:val="24"/>
                <w:highlight w:val="none"/>
              </w:rPr>
              <w:t>)</w:t>
            </w:r>
            <w:r>
              <w:rPr>
                <w:rFonts w:ascii="Times New Roman" w:hAnsi="Times New Roman" w:eastAsia="仿宋_GB2312"/>
                <w:color w:val="auto"/>
                <w:kern w:val="0"/>
                <w:sz w:val="24"/>
                <w:szCs w:val="24"/>
                <w:highlight w:val="none"/>
              </w:rPr>
              <w:t>。</w:t>
            </w:r>
          </w:p>
        </w:tc>
        <w:tc>
          <w:tcPr>
            <w:tcW w:w="850" w:type="dxa"/>
            <w:tcBorders>
              <w:top w:val="nil"/>
              <w:left w:val="nil"/>
              <w:bottom w:val="single" w:color="auto" w:sz="4" w:space="0"/>
              <w:right w:val="single" w:color="auto" w:sz="4" w:space="0"/>
            </w:tcBorders>
            <w:shd w:val="clear" w:color="auto" w:fill="auto"/>
            <w:vAlign w:val="center"/>
          </w:tcPr>
          <w:p w14:paraId="43D3C78F">
            <w:pPr>
              <w:widowControl/>
              <w:jc w:val="center"/>
              <w:rPr>
                <w:rFonts w:ascii="Times New Roman" w:hAnsi="Times New Roman" w:eastAsia="等线"/>
                <w:color w:val="auto"/>
                <w:kern w:val="0"/>
                <w:sz w:val="24"/>
                <w:szCs w:val="24"/>
                <w:highlight w:val="none"/>
              </w:rPr>
            </w:pPr>
            <w:r>
              <w:rPr>
                <w:rFonts w:hint="eastAsia" w:ascii="Times New Roman" w:hAnsi="Times New Roman" w:eastAsia="等线"/>
                <w:color w:val="auto"/>
                <w:kern w:val="0"/>
                <w:sz w:val="24"/>
                <w:szCs w:val="24"/>
                <w:highlight w:val="none"/>
                <w:lang w:val="en-US" w:eastAsia="zh-CN"/>
              </w:rPr>
              <w:t>2</w:t>
            </w:r>
            <w:r>
              <w:rPr>
                <w:rFonts w:ascii="Times New Roman" w:hAnsi="Times New Roman" w:eastAsia="等线"/>
                <w:color w:val="auto"/>
                <w:kern w:val="0"/>
                <w:sz w:val="24"/>
                <w:szCs w:val="24"/>
                <w:highlight w:val="none"/>
              </w:rPr>
              <w:t>0</w:t>
            </w:r>
          </w:p>
        </w:tc>
      </w:tr>
      <w:tr w14:paraId="66B44848">
        <w:tblPrEx>
          <w:tblCellMar>
            <w:top w:w="0" w:type="dxa"/>
            <w:left w:w="108" w:type="dxa"/>
            <w:bottom w:w="0" w:type="dxa"/>
            <w:right w:w="108" w:type="dxa"/>
          </w:tblCellMar>
        </w:tblPrEx>
        <w:trPr>
          <w:trHeight w:val="2934" w:hRule="atLeast"/>
          <w:jc w:val="center"/>
        </w:trPr>
        <w:tc>
          <w:tcPr>
            <w:tcW w:w="1262" w:type="dxa"/>
            <w:vMerge w:val="continue"/>
            <w:tcBorders>
              <w:left w:val="single" w:color="auto" w:sz="4" w:space="0"/>
              <w:right w:val="single" w:color="auto" w:sz="4" w:space="0"/>
            </w:tcBorders>
            <w:vAlign w:val="center"/>
          </w:tcPr>
          <w:p w14:paraId="6CDB6699">
            <w:pPr>
              <w:widowControl/>
              <w:jc w:val="left"/>
              <w:rPr>
                <w:rFonts w:ascii="Times New Roman" w:hAnsi="Times New Roman" w:eastAsia="等线"/>
                <w:color w:val="auto"/>
                <w:kern w:val="0"/>
                <w:sz w:val="24"/>
                <w:szCs w:val="24"/>
                <w:highlight w:val="none"/>
              </w:rPr>
            </w:pPr>
          </w:p>
        </w:tc>
        <w:tc>
          <w:tcPr>
            <w:tcW w:w="1236" w:type="dxa"/>
            <w:tcBorders>
              <w:top w:val="nil"/>
              <w:left w:val="nil"/>
              <w:bottom w:val="single" w:color="auto" w:sz="4" w:space="0"/>
              <w:right w:val="single" w:color="auto" w:sz="4" w:space="0"/>
            </w:tcBorders>
            <w:shd w:val="clear" w:color="auto" w:fill="auto"/>
            <w:vAlign w:val="center"/>
          </w:tcPr>
          <w:p w14:paraId="6F8EB062">
            <w:pPr>
              <w:widowControl/>
              <w:jc w:val="center"/>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总体重点、难点分析方案（</w:t>
            </w:r>
            <w:r>
              <w:rPr>
                <w:rFonts w:ascii="Times New Roman" w:hAnsi="Times New Roman" w:eastAsia="等线"/>
                <w:color w:val="auto"/>
                <w:kern w:val="0"/>
                <w:sz w:val="24"/>
                <w:szCs w:val="24"/>
                <w:highlight w:val="none"/>
              </w:rPr>
              <w:t>1</w:t>
            </w:r>
            <w:r>
              <w:rPr>
                <w:rFonts w:hint="eastAsia" w:ascii="Times New Roman" w:hAnsi="Times New Roman" w:eastAsia="等线"/>
                <w:color w:val="auto"/>
                <w:kern w:val="0"/>
                <w:sz w:val="24"/>
                <w:szCs w:val="24"/>
                <w:highlight w:val="none"/>
                <w:lang w:val="en-US" w:eastAsia="zh-CN"/>
              </w:rPr>
              <w:t>5</w:t>
            </w:r>
            <w:r>
              <w:rPr>
                <w:rFonts w:ascii="Times New Roman" w:hAnsi="Times New Roman" w:eastAsia="仿宋_GB2312"/>
                <w:color w:val="auto"/>
                <w:kern w:val="0"/>
                <w:sz w:val="24"/>
                <w:szCs w:val="24"/>
                <w:highlight w:val="none"/>
              </w:rPr>
              <w:t>分）</w:t>
            </w:r>
          </w:p>
        </w:tc>
        <w:tc>
          <w:tcPr>
            <w:tcW w:w="7562" w:type="dxa"/>
            <w:tcBorders>
              <w:top w:val="nil"/>
              <w:left w:val="nil"/>
              <w:bottom w:val="single" w:color="auto" w:sz="4" w:space="0"/>
              <w:right w:val="single" w:color="auto" w:sz="4" w:space="0"/>
            </w:tcBorders>
            <w:shd w:val="clear" w:color="auto" w:fill="auto"/>
            <w:vAlign w:val="center"/>
          </w:tcPr>
          <w:p w14:paraId="0FFF9294">
            <w:pPr>
              <w:widowControl/>
              <w:rPr>
                <w:rFonts w:ascii="Times New Roman" w:hAnsi="Times New Roman" w:eastAsia="等线"/>
                <w:color w:val="auto"/>
                <w:kern w:val="0"/>
                <w:sz w:val="24"/>
                <w:szCs w:val="24"/>
                <w:highlight w:val="none"/>
              </w:rPr>
            </w:pPr>
            <w:r>
              <w:rPr>
                <w:rFonts w:ascii="Times New Roman" w:hAnsi="Times New Roman" w:eastAsia="仿宋_GB2312"/>
                <w:color w:val="auto"/>
                <w:kern w:val="0"/>
                <w:sz w:val="24"/>
                <w:szCs w:val="24"/>
                <w:highlight w:val="none"/>
              </w:rPr>
              <w:t>针对本项目设计工作重点、难点分析科学合理、符合项目实际并提出的相关合理化建议。</w:t>
            </w:r>
            <w:r>
              <w:rPr>
                <w:rFonts w:ascii="Times New Roman" w:hAnsi="Times New Roman" w:eastAsia="等线"/>
                <w:color w:val="auto"/>
                <w:kern w:val="0"/>
                <w:sz w:val="24"/>
                <w:szCs w:val="24"/>
                <w:highlight w:val="none"/>
              </w:rPr>
              <w:t xml:space="preserve"> </w:t>
            </w:r>
            <w:r>
              <w:rPr>
                <w:rFonts w:ascii="Times New Roman" w:hAnsi="Times New Roman" w:eastAsia="等线"/>
                <w:color w:val="auto"/>
                <w:kern w:val="0"/>
                <w:sz w:val="24"/>
                <w:szCs w:val="24"/>
                <w:highlight w:val="none"/>
              </w:rPr>
              <w:br w:type="textWrapping"/>
            </w:r>
            <w:r>
              <w:rPr>
                <w:rFonts w:ascii="Times New Roman" w:hAnsi="Times New Roman" w:eastAsia="等线"/>
                <w:color w:val="auto"/>
                <w:kern w:val="0"/>
                <w:sz w:val="24"/>
                <w:szCs w:val="24"/>
                <w:highlight w:val="none"/>
              </w:rPr>
              <w:t>1.</w:t>
            </w:r>
            <w:r>
              <w:rPr>
                <w:rFonts w:ascii="Times New Roman" w:hAnsi="Times New Roman" w:eastAsia="仿宋_GB2312"/>
                <w:color w:val="auto"/>
                <w:kern w:val="0"/>
                <w:sz w:val="24"/>
                <w:szCs w:val="24"/>
                <w:highlight w:val="none"/>
              </w:rPr>
              <w:t>难点、重点分析完整、科学，具体可行，满足或优于采购需求，得</w:t>
            </w:r>
            <w:r>
              <w:rPr>
                <w:rFonts w:ascii="Times New Roman" w:hAnsi="Times New Roman" w:eastAsia="等线"/>
                <w:color w:val="auto"/>
                <w:kern w:val="0"/>
                <w:sz w:val="24"/>
                <w:szCs w:val="24"/>
                <w:highlight w:val="none"/>
              </w:rPr>
              <w:t>1</w:t>
            </w:r>
            <w:r>
              <w:rPr>
                <w:rFonts w:hint="eastAsia" w:ascii="Times New Roman" w:hAnsi="Times New Roman" w:eastAsia="等线"/>
                <w:color w:val="auto"/>
                <w:kern w:val="0"/>
                <w:sz w:val="24"/>
                <w:szCs w:val="24"/>
                <w:highlight w:val="none"/>
                <w:lang w:val="en-US" w:eastAsia="zh-CN"/>
              </w:rPr>
              <w:t>5</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2.</w:t>
            </w:r>
            <w:r>
              <w:rPr>
                <w:rFonts w:ascii="Times New Roman" w:hAnsi="Times New Roman" w:eastAsia="仿宋_GB2312"/>
                <w:color w:val="auto"/>
                <w:kern w:val="0"/>
                <w:sz w:val="24"/>
                <w:szCs w:val="24"/>
                <w:highlight w:val="none"/>
              </w:rPr>
              <w:t>难点、重点分析合理、基本符合，无明显缺陷，得</w:t>
            </w:r>
            <w:r>
              <w:rPr>
                <w:rFonts w:hint="eastAsia" w:ascii="Times New Roman" w:hAnsi="Times New Roman" w:eastAsia="等线"/>
                <w:color w:val="auto"/>
                <w:kern w:val="0"/>
                <w:sz w:val="24"/>
                <w:szCs w:val="24"/>
                <w:highlight w:val="none"/>
                <w:lang w:val="en-US" w:eastAsia="zh-CN"/>
              </w:rPr>
              <w:t>10</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3.</w:t>
            </w:r>
            <w:r>
              <w:rPr>
                <w:rFonts w:ascii="Times New Roman" w:hAnsi="Times New Roman" w:eastAsia="仿宋_GB2312"/>
                <w:color w:val="auto"/>
                <w:kern w:val="0"/>
                <w:sz w:val="24"/>
                <w:szCs w:val="24"/>
                <w:highlight w:val="none"/>
              </w:rPr>
              <w:t>难点、重点分析合理、基本符合，但缺乏深度分析和洞察，对潜在需求考虑不足，得</w:t>
            </w:r>
            <w:r>
              <w:rPr>
                <w:rFonts w:ascii="Times New Roman" w:hAnsi="Times New Roman" w:eastAsia="等线"/>
                <w:color w:val="auto"/>
                <w:kern w:val="0"/>
                <w:sz w:val="24"/>
                <w:szCs w:val="24"/>
                <w:highlight w:val="none"/>
              </w:rPr>
              <w:t>6</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4.</w:t>
            </w:r>
            <w:r>
              <w:rPr>
                <w:rFonts w:ascii="Times New Roman" w:hAnsi="Times New Roman" w:eastAsia="仿宋_GB2312"/>
                <w:color w:val="auto"/>
                <w:kern w:val="0"/>
                <w:sz w:val="24"/>
                <w:szCs w:val="24"/>
                <w:highlight w:val="none"/>
              </w:rPr>
              <w:t>难点、重点分析存在明显缺漏，部分内容描述不符合要求，得</w:t>
            </w:r>
            <w:r>
              <w:rPr>
                <w:rFonts w:ascii="Times New Roman" w:hAnsi="Times New Roman" w:eastAsia="等线"/>
                <w:color w:val="auto"/>
                <w:kern w:val="0"/>
                <w:sz w:val="24"/>
                <w:szCs w:val="24"/>
                <w:highlight w:val="none"/>
              </w:rPr>
              <w:t>4</w:t>
            </w:r>
            <w:r>
              <w:rPr>
                <w:rFonts w:ascii="Times New Roman" w:hAnsi="Times New Roman" w:eastAsia="仿宋_GB2312"/>
                <w:color w:val="auto"/>
                <w:kern w:val="0"/>
                <w:sz w:val="24"/>
                <w:szCs w:val="24"/>
                <w:highlight w:val="none"/>
              </w:rPr>
              <w:t>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5.</w:t>
            </w:r>
            <w:r>
              <w:rPr>
                <w:rFonts w:ascii="Times New Roman" w:hAnsi="Times New Roman" w:eastAsia="仿宋_GB2312"/>
                <w:color w:val="auto"/>
                <w:kern w:val="0"/>
                <w:sz w:val="24"/>
                <w:szCs w:val="24"/>
                <w:highlight w:val="none"/>
              </w:rPr>
              <w:t>差或未提供的不得分。</w:t>
            </w:r>
            <w:r>
              <w:rPr>
                <w:rFonts w:ascii="Times New Roman" w:hAnsi="Times New Roman" w:eastAsia="仿宋_GB2312"/>
                <w:color w:val="auto"/>
                <w:kern w:val="0"/>
                <w:sz w:val="24"/>
                <w:szCs w:val="24"/>
                <w:highlight w:val="none"/>
              </w:rPr>
              <w:br w:type="textWrapping"/>
            </w:r>
            <w:r>
              <w:rPr>
                <w:rFonts w:ascii="Times New Roman" w:hAnsi="Times New Roman" w:eastAsia="等线"/>
                <w:color w:val="auto"/>
                <w:kern w:val="0"/>
                <w:sz w:val="24"/>
                <w:szCs w:val="24"/>
                <w:highlight w:val="none"/>
              </w:rPr>
              <w:t>(</w:t>
            </w:r>
            <w:r>
              <w:rPr>
                <w:rFonts w:ascii="Times New Roman" w:hAnsi="Times New Roman" w:eastAsia="仿宋_GB2312"/>
                <w:color w:val="auto"/>
                <w:kern w:val="0"/>
                <w:sz w:val="24"/>
                <w:szCs w:val="24"/>
                <w:highlight w:val="none"/>
              </w:rPr>
              <w:t>缺陷是指</w:t>
            </w:r>
            <w:r>
              <w:rPr>
                <w:rFonts w:ascii="Times New Roman" w:hAnsi="Times New Roman" w:eastAsia="等线"/>
                <w:color w:val="auto"/>
                <w:kern w:val="0"/>
                <w:sz w:val="24"/>
                <w:szCs w:val="24"/>
                <w:highlight w:val="none"/>
              </w:rPr>
              <w:t>:</w:t>
            </w:r>
            <w:r>
              <w:rPr>
                <w:rFonts w:ascii="Times New Roman" w:hAnsi="Times New Roman" w:eastAsia="仿宋_GB2312"/>
                <w:color w:val="auto"/>
                <w:kern w:val="0"/>
                <w:sz w:val="24"/>
                <w:szCs w:val="24"/>
                <w:highlight w:val="none"/>
              </w:rPr>
              <w:t>存在不适用项目实际情况的情形、凭空编造、内容前后不一致、前后逻辑错误、涉及的规范及标准错误、地点区域错误、内容遗漏、不符合采购需求等</w:t>
            </w:r>
            <w:r>
              <w:rPr>
                <w:rFonts w:ascii="Times New Roman" w:hAnsi="Times New Roman" w:eastAsia="等线"/>
                <w:color w:val="auto"/>
                <w:kern w:val="0"/>
                <w:sz w:val="24"/>
                <w:szCs w:val="24"/>
                <w:highlight w:val="none"/>
              </w:rPr>
              <w:t>)</w:t>
            </w:r>
            <w:r>
              <w:rPr>
                <w:rFonts w:ascii="Times New Roman" w:hAnsi="Times New Roman" w:eastAsia="仿宋_GB2312"/>
                <w:color w:val="auto"/>
                <w:kern w:val="0"/>
                <w:sz w:val="24"/>
                <w:szCs w:val="24"/>
                <w:highlight w:val="none"/>
              </w:rPr>
              <w:t>。</w:t>
            </w:r>
          </w:p>
        </w:tc>
        <w:tc>
          <w:tcPr>
            <w:tcW w:w="850" w:type="dxa"/>
            <w:tcBorders>
              <w:top w:val="nil"/>
              <w:left w:val="nil"/>
              <w:bottom w:val="single" w:color="auto" w:sz="4" w:space="0"/>
              <w:right w:val="single" w:color="auto" w:sz="4" w:space="0"/>
            </w:tcBorders>
            <w:shd w:val="clear" w:color="auto" w:fill="auto"/>
            <w:vAlign w:val="center"/>
          </w:tcPr>
          <w:p w14:paraId="2A73F456">
            <w:pPr>
              <w:widowControl/>
              <w:jc w:val="center"/>
              <w:rPr>
                <w:rFonts w:hint="eastAsia" w:ascii="Times New Roman" w:hAnsi="Times New Roman" w:eastAsia="等线"/>
                <w:color w:val="auto"/>
                <w:kern w:val="0"/>
                <w:sz w:val="24"/>
                <w:szCs w:val="24"/>
                <w:highlight w:val="none"/>
                <w:lang w:eastAsia="zh-CN"/>
              </w:rPr>
            </w:pPr>
            <w:r>
              <w:rPr>
                <w:rFonts w:ascii="Times New Roman" w:hAnsi="Times New Roman" w:eastAsia="等线"/>
                <w:color w:val="auto"/>
                <w:kern w:val="0"/>
                <w:sz w:val="24"/>
                <w:szCs w:val="24"/>
                <w:highlight w:val="none"/>
              </w:rPr>
              <w:t>1</w:t>
            </w:r>
            <w:r>
              <w:rPr>
                <w:rFonts w:hint="eastAsia" w:ascii="Times New Roman" w:hAnsi="Times New Roman" w:eastAsia="等线"/>
                <w:color w:val="auto"/>
                <w:kern w:val="0"/>
                <w:sz w:val="24"/>
                <w:szCs w:val="24"/>
                <w:highlight w:val="none"/>
                <w:lang w:val="en-US" w:eastAsia="zh-CN"/>
              </w:rPr>
              <w:t>5</w:t>
            </w:r>
          </w:p>
        </w:tc>
      </w:tr>
      <w:tr w14:paraId="3AC92D86">
        <w:tblPrEx>
          <w:tblCellMar>
            <w:top w:w="0" w:type="dxa"/>
            <w:left w:w="108" w:type="dxa"/>
            <w:bottom w:w="0" w:type="dxa"/>
            <w:right w:w="108" w:type="dxa"/>
          </w:tblCellMar>
        </w:tblPrEx>
        <w:trPr>
          <w:trHeight w:val="1982" w:hRule="atLeast"/>
          <w:jc w:val="center"/>
        </w:trPr>
        <w:tc>
          <w:tcPr>
            <w:tcW w:w="1262" w:type="dxa"/>
            <w:vMerge w:val="continue"/>
            <w:tcBorders>
              <w:left w:val="single" w:color="auto" w:sz="4" w:space="0"/>
              <w:right w:val="single" w:color="auto" w:sz="4" w:space="0"/>
            </w:tcBorders>
            <w:vAlign w:val="center"/>
          </w:tcPr>
          <w:p w14:paraId="5292CE19">
            <w:pPr>
              <w:widowControl/>
              <w:jc w:val="left"/>
              <w:rPr>
                <w:rFonts w:ascii="Times New Roman" w:hAnsi="Times New Roman" w:eastAsia="等线"/>
                <w:color w:val="auto"/>
                <w:kern w:val="0"/>
                <w:sz w:val="24"/>
                <w:szCs w:val="24"/>
                <w:highlight w:val="none"/>
              </w:rPr>
            </w:pPr>
          </w:p>
        </w:tc>
        <w:tc>
          <w:tcPr>
            <w:tcW w:w="1236" w:type="dxa"/>
            <w:tcBorders>
              <w:top w:val="nil"/>
              <w:left w:val="nil"/>
              <w:right w:val="single" w:color="auto" w:sz="4" w:space="0"/>
            </w:tcBorders>
            <w:shd w:val="clear" w:color="auto" w:fill="auto"/>
            <w:vAlign w:val="center"/>
          </w:tcPr>
          <w:p w14:paraId="6C68693F">
            <w:pPr>
              <w:widowControl/>
              <w:jc w:val="center"/>
              <w:rPr>
                <w:rFonts w:ascii="Times New Roman" w:hAnsi="Times New Roman" w:eastAsia="等线" w:cs="Times New Roman"/>
                <w:color w:val="auto"/>
                <w:kern w:val="0"/>
                <w:sz w:val="24"/>
                <w:szCs w:val="24"/>
                <w:highlight w:val="none"/>
                <w:lang w:val="en-US" w:eastAsia="zh-CN" w:bidi="ar-SA"/>
              </w:rPr>
            </w:pPr>
            <w:r>
              <w:rPr>
                <w:rFonts w:ascii="Times New Roman" w:hAnsi="Times New Roman" w:eastAsia="仿宋_GB2312"/>
                <w:color w:val="auto"/>
                <w:kern w:val="0"/>
                <w:sz w:val="24"/>
                <w:szCs w:val="24"/>
                <w:highlight w:val="none"/>
              </w:rPr>
              <w:t>进度计划及质量保障措施（</w:t>
            </w:r>
            <w:r>
              <w:rPr>
                <w:rFonts w:hint="eastAsia" w:ascii="Times New Roman" w:hAnsi="Times New Roman" w:eastAsia="等线"/>
                <w:color w:val="auto"/>
                <w:kern w:val="0"/>
                <w:sz w:val="24"/>
                <w:szCs w:val="24"/>
                <w:highlight w:val="none"/>
                <w:lang w:val="en-US" w:eastAsia="zh-CN"/>
              </w:rPr>
              <w:t>10</w:t>
            </w:r>
            <w:r>
              <w:rPr>
                <w:rFonts w:ascii="Times New Roman" w:hAnsi="Times New Roman" w:eastAsia="仿宋_GB2312"/>
                <w:color w:val="auto"/>
                <w:kern w:val="0"/>
                <w:sz w:val="24"/>
                <w:szCs w:val="24"/>
                <w:highlight w:val="none"/>
              </w:rPr>
              <w:t>分）</w:t>
            </w:r>
          </w:p>
        </w:tc>
        <w:tc>
          <w:tcPr>
            <w:tcW w:w="7562" w:type="dxa"/>
            <w:tcBorders>
              <w:top w:val="nil"/>
              <w:left w:val="nil"/>
              <w:right w:val="single" w:color="auto" w:sz="4" w:space="0"/>
            </w:tcBorders>
            <w:shd w:val="clear" w:color="auto" w:fill="auto"/>
            <w:vAlign w:val="center"/>
          </w:tcPr>
          <w:p w14:paraId="694DB568">
            <w:pPr>
              <w:widowControl/>
              <w:rPr>
                <w:rFonts w:ascii="Times New Roman" w:hAnsi="Times New Roman" w:eastAsia="等线" w:cs="Times New Roman"/>
                <w:color w:val="auto"/>
                <w:kern w:val="0"/>
                <w:sz w:val="24"/>
                <w:szCs w:val="24"/>
                <w:highlight w:val="none"/>
                <w:lang w:val="en-US" w:eastAsia="zh-CN" w:bidi="ar-SA"/>
              </w:rPr>
            </w:pPr>
            <w:r>
              <w:rPr>
                <w:rFonts w:ascii="Times New Roman" w:hAnsi="Times New Roman" w:eastAsia="仿宋_GB2312"/>
                <w:color w:val="auto"/>
                <w:kern w:val="0"/>
                <w:sz w:val="24"/>
                <w:szCs w:val="24"/>
                <w:highlight w:val="none"/>
              </w:rPr>
              <w:t>合理划分项目整体工作阶段及工作任务，根据项目特点和要求提出完备的质量保证措施：项目进度计划合理完整，质量保障措施内容完整合理、切实可行性的得</w:t>
            </w:r>
            <w:r>
              <w:rPr>
                <w:rFonts w:hint="eastAsia" w:ascii="Times New Roman" w:hAnsi="Times New Roman" w:eastAsia="等线"/>
                <w:color w:val="auto"/>
                <w:kern w:val="0"/>
                <w:sz w:val="24"/>
                <w:szCs w:val="24"/>
                <w:highlight w:val="none"/>
                <w:lang w:val="en-US" w:eastAsia="zh-CN"/>
              </w:rPr>
              <w:t>10</w:t>
            </w:r>
            <w:r>
              <w:rPr>
                <w:rFonts w:ascii="Times New Roman" w:hAnsi="Times New Roman" w:eastAsia="仿宋_GB2312"/>
                <w:color w:val="auto"/>
                <w:kern w:val="0"/>
                <w:sz w:val="24"/>
                <w:szCs w:val="24"/>
                <w:highlight w:val="none"/>
              </w:rPr>
              <w:t>分；项目进度计划基本合理完整，质量保障措施内容基本合理、有较好的可行性的得</w:t>
            </w:r>
            <w:r>
              <w:rPr>
                <w:rFonts w:hint="eastAsia" w:ascii="Times New Roman" w:hAnsi="Times New Roman" w:eastAsia="等线"/>
                <w:color w:val="auto"/>
                <w:kern w:val="0"/>
                <w:sz w:val="24"/>
                <w:szCs w:val="24"/>
                <w:highlight w:val="none"/>
                <w:lang w:val="en-US" w:eastAsia="zh-CN"/>
              </w:rPr>
              <w:t>6</w:t>
            </w:r>
            <w:r>
              <w:rPr>
                <w:rFonts w:ascii="Times New Roman" w:hAnsi="Times New Roman" w:eastAsia="仿宋_GB2312"/>
                <w:color w:val="auto"/>
                <w:kern w:val="0"/>
                <w:sz w:val="24"/>
                <w:szCs w:val="24"/>
                <w:highlight w:val="none"/>
              </w:rPr>
              <w:t>分；项目进度计划不完整，质量保障措施可行性较差的得</w:t>
            </w:r>
            <w:r>
              <w:rPr>
                <w:rFonts w:hint="eastAsia" w:ascii="Times New Roman" w:hAnsi="Times New Roman" w:eastAsia="等线"/>
                <w:color w:val="auto"/>
                <w:kern w:val="0"/>
                <w:sz w:val="24"/>
                <w:szCs w:val="24"/>
                <w:highlight w:val="none"/>
                <w:lang w:val="en-US" w:eastAsia="zh-CN"/>
              </w:rPr>
              <w:t>1</w:t>
            </w:r>
            <w:r>
              <w:rPr>
                <w:rFonts w:ascii="Times New Roman" w:hAnsi="Times New Roman" w:eastAsia="仿宋_GB2312"/>
                <w:color w:val="auto"/>
                <w:kern w:val="0"/>
                <w:sz w:val="24"/>
                <w:szCs w:val="24"/>
                <w:highlight w:val="none"/>
              </w:rPr>
              <w:t>分；未提供相关说明的不得分。</w:t>
            </w:r>
          </w:p>
        </w:tc>
        <w:tc>
          <w:tcPr>
            <w:tcW w:w="850" w:type="dxa"/>
            <w:tcBorders>
              <w:top w:val="nil"/>
              <w:left w:val="nil"/>
              <w:bottom w:val="single" w:color="auto" w:sz="4" w:space="0"/>
              <w:right w:val="single" w:color="auto" w:sz="4" w:space="0"/>
            </w:tcBorders>
            <w:shd w:val="clear" w:color="auto" w:fill="auto"/>
            <w:vAlign w:val="center"/>
          </w:tcPr>
          <w:p w14:paraId="0DB141AA">
            <w:pPr>
              <w:widowControl/>
              <w:jc w:val="center"/>
              <w:rPr>
                <w:rFonts w:hint="default" w:ascii="Times New Roman" w:hAnsi="Times New Roman" w:eastAsia="等线" w:cs="Times New Roman"/>
                <w:color w:val="auto"/>
                <w:kern w:val="0"/>
                <w:sz w:val="24"/>
                <w:szCs w:val="24"/>
                <w:highlight w:val="none"/>
                <w:lang w:val="en-US" w:eastAsia="zh-CN" w:bidi="ar-SA"/>
              </w:rPr>
            </w:pPr>
            <w:r>
              <w:rPr>
                <w:rFonts w:hint="eastAsia" w:ascii="Times New Roman" w:hAnsi="Times New Roman" w:eastAsia="等线"/>
                <w:color w:val="auto"/>
                <w:kern w:val="0"/>
                <w:sz w:val="24"/>
                <w:szCs w:val="24"/>
                <w:highlight w:val="none"/>
                <w:lang w:val="en-US" w:eastAsia="zh-CN"/>
              </w:rPr>
              <w:t>10</w:t>
            </w:r>
          </w:p>
        </w:tc>
      </w:tr>
    </w:tbl>
    <w:p w14:paraId="27FD3554">
      <w:pPr>
        <w:rPr>
          <w:rFonts w:hint="eastAsia"/>
          <w:color w:val="auto"/>
          <w:spacing w:val="-2"/>
          <w:highlight w:val="none"/>
        </w:rPr>
      </w:pPr>
      <w:r>
        <w:rPr>
          <w:rFonts w:hint="eastAsia"/>
          <w:color w:val="auto"/>
          <w:spacing w:val="-2"/>
          <w:highlight w:val="none"/>
        </w:rPr>
        <w:br w:type="page"/>
      </w:r>
    </w:p>
    <w:p w14:paraId="0354DD16">
      <w:pPr>
        <w:rPr>
          <w:rFonts w:ascii="Arial" w:hAnsi="Arial" w:eastAsia="Arial" w:cs="Arial"/>
          <w:color w:val="auto"/>
          <w:sz w:val="21"/>
          <w:szCs w:val="21"/>
          <w:highlight w:val="none"/>
        </w:rPr>
        <w:sectPr>
          <w:footerReference r:id="rId8" w:type="default"/>
          <w:pgSz w:w="11906" w:h="16839"/>
          <w:pgMar w:top="400" w:right="1230" w:bottom="1067" w:left="1006" w:header="0" w:footer="907" w:gutter="0"/>
          <w:pgNumType w:fmt="decimal" w:start="1"/>
          <w:cols w:space="720" w:num="1"/>
        </w:sectPr>
      </w:pPr>
    </w:p>
    <w:p w14:paraId="668859DE">
      <w:pPr>
        <w:rPr>
          <w:rFonts w:hint="eastAsia"/>
          <w:b/>
          <w:color w:val="auto"/>
          <w:sz w:val="32"/>
          <w:szCs w:val="32"/>
          <w:highlight w:val="none"/>
        </w:rPr>
      </w:pPr>
      <w:bookmarkStart w:id="18" w:name="_Toc8925"/>
    </w:p>
    <w:p w14:paraId="5FAB65B0">
      <w:pPr>
        <w:spacing w:line="440" w:lineRule="exact"/>
        <w:jc w:val="center"/>
        <w:outlineLvl w:val="1"/>
        <w:rPr>
          <w:b/>
          <w:color w:val="auto"/>
          <w:sz w:val="32"/>
          <w:szCs w:val="32"/>
          <w:highlight w:val="none"/>
        </w:rPr>
      </w:pPr>
      <w:r>
        <w:rPr>
          <w:rFonts w:hint="eastAsia"/>
          <w:b/>
          <w:color w:val="auto"/>
          <w:sz w:val="32"/>
          <w:szCs w:val="32"/>
          <w:highlight w:val="none"/>
        </w:rPr>
        <w:t>第七章 定　标</w:t>
      </w:r>
      <w:bookmarkEnd w:id="18"/>
    </w:p>
    <w:p w14:paraId="264439BC">
      <w:pPr>
        <w:spacing w:line="440" w:lineRule="exact"/>
        <w:ind w:firstLine="482" w:firstLineChars="200"/>
        <w:rPr>
          <w:rFonts w:hint="eastAsia"/>
          <w:b/>
          <w:color w:val="auto"/>
          <w:highlight w:val="none"/>
        </w:rPr>
      </w:pPr>
      <w:r>
        <w:rPr>
          <w:b/>
          <w:color w:val="auto"/>
          <w:highlight w:val="none"/>
        </w:rPr>
        <w:t xml:space="preserve">23. </w:t>
      </w:r>
      <w:r>
        <w:rPr>
          <w:rFonts w:hint="eastAsia"/>
          <w:b/>
          <w:color w:val="auto"/>
          <w:highlight w:val="none"/>
        </w:rPr>
        <w:t>定标标准</w:t>
      </w:r>
    </w:p>
    <w:p w14:paraId="58024C1D">
      <w:pPr>
        <w:spacing w:line="440" w:lineRule="exact"/>
        <w:ind w:firstLine="472" w:firstLineChars="200"/>
        <w:rPr>
          <w:rFonts w:hint="eastAsia"/>
          <w:color w:val="auto"/>
          <w:spacing w:val="-2"/>
          <w:highlight w:val="none"/>
        </w:rPr>
      </w:pPr>
      <w:r>
        <w:rPr>
          <w:color w:val="auto"/>
          <w:spacing w:val="-2"/>
          <w:highlight w:val="none"/>
        </w:rPr>
        <w:t>23.1</w:t>
      </w:r>
      <w:r>
        <w:rPr>
          <w:rFonts w:hint="eastAsia"/>
          <w:color w:val="auto"/>
          <w:spacing w:val="-2"/>
          <w:highlight w:val="none"/>
        </w:rPr>
        <w:t>　合同将授予被确定为实质性响应招标文件要求，经评定认为具备履行合同能力、报价合理、技术和商务条件都符合招标文件要求的，得分最高的投标人。</w:t>
      </w:r>
    </w:p>
    <w:p w14:paraId="2810FCDF">
      <w:pPr>
        <w:spacing w:line="440" w:lineRule="exact"/>
        <w:ind w:firstLine="472" w:firstLineChars="200"/>
        <w:rPr>
          <w:color w:val="auto"/>
          <w:spacing w:val="-2"/>
          <w:highlight w:val="none"/>
        </w:rPr>
      </w:pPr>
      <w:r>
        <w:rPr>
          <w:color w:val="auto"/>
          <w:spacing w:val="-2"/>
          <w:highlight w:val="none"/>
        </w:rPr>
        <w:t>23.</w:t>
      </w:r>
      <w:r>
        <w:rPr>
          <w:rFonts w:hint="eastAsia"/>
          <w:color w:val="auto"/>
          <w:spacing w:val="-2"/>
          <w:highlight w:val="none"/>
        </w:rPr>
        <w:t>2　如果确定中标人没有条件圆满履行合同，招标方有权按照投标人的得分高低把合同授予下一个中标候选人。</w:t>
      </w:r>
    </w:p>
    <w:p w14:paraId="6C3D55F2">
      <w:pPr>
        <w:spacing w:line="440" w:lineRule="exact"/>
        <w:ind w:firstLine="482" w:firstLineChars="200"/>
        <w:rPr>
          <w:b/>
          <w:color w:val="auto"/>
          <w:highlight w:val="none"/>
        </w:rPr>
      </w:pPr>
      <w:r>
        <w:rPr>
          <w:b/>
          <w:color w:val="auto"/>
          <w:highlight w:val="none"/>
        </w:rPr>
        <w:t xml:space="preserve">24. </w:t>
      </w:r>
      <w:r>
        <w:rPr>
          <w:rFonts w:hint="eastAsia"/>
          <w:b/>
          <w:color w:val="auto"/>
          <w:highlight w:val="none"/>
        </w:rPr>
        <w:t>接受和拒绝任何或所有投标的权力</w:t>
      </w:r>
    </w:p>
    <w:p w14:paraId="27D64BBD">
      <w:pPr>
        <w:spacing w:line="440" w:lineRule="exact"/>
        <w:ind w:firstLine="472" w:firstLineChars="200"/>
        <w:rPr>
          <w:color w:val="auto"/>
          <w:spacing w:val="-2"/>
          <w:highlight w:val="none"/>
        </w:rPr>
      </w:pPr>
      <w:r>
        <w:rPr>
          <w:color w:val="auto"/>
          <w:spacing w:val="-2"/>
          <w:highlight w:val="none"/>
        </w:rPr>
        <w:t>24.1</w:t>
      </w:r>
      <w:r>
        <w:rPr>
          <w:rFonts w:hint="eastAsia"/>
          <w:color w:val="auto"/>
          <w:spacing w:val="-2"/>
          <w:highlight w:val="none"/>
        </w:rPr>
        <w:t>　为维护国家利益，招标方在授予合同之前仍有选择或拒绝任何全部投标的权力。</w:t>
      </w:r>
    </w:p>
    <w:p w14:paraId="1A1B2902">
      <w:pPr>
        <w:spacing w:line="440" w:lineRule="exact"/>
        <w:ind w:firstLine="482" w:firstLineChars="200"/>
        <w:rPr>
          <w:b/>
          <w:color w:val="auto"/>
          <w:highlight w:val="none"/>
        </w:rPr>
      </w:pPr>
      <w:r>
        <w:rPr>
          <w:b/>
          <w:color w:val="auto"/>
          <w:highlight w:val="none"/>
        </w:rPr>
        <w:t xml:space="preserve">25. </w:t>
      </w:r>
      <w:r>
        <w:rPr>
          <w:rFonts w:hint="eastAsia"/>
          <w:b/>
          <w:color w:val="auto"/>
          <w:highlight w:val="none"/>
        </w:rPr>
        <w:t>中标通知书</w:t>
      </w:r>
    </w:p>
    <w:p w14:paraId="2022D76C">
      <w:pPr>
        <w:spacing w:line="440" w:lineRule="exact"/>
        <w:ind w:firstLine="472" w:firstLineChars="200"/>
        <w:rPr>
          <w:color w:val="auto"/>
          <w:spacing w:val="-2"/>
          <w:highlight w:val="none"/>
        </w:rPr>
      </w:pPr>
      <w:r>
        <w:rPr>
          <w:color w:val="auto"/>
          <w:spacing w:val="-2"/>
          <w:highlight w:val="none"/>
        </w:rPr>
        <w:t xml:space="preserve">25.1 </w:t>
      </w:r>
      <w:r>
        <w:rPr>
          <w:rFonts w:hint="eastAsia"/>
          <w:color w:val="auto"/>
          <w:spacing w:val="-2"/>
          <w:highlight w:val="none"/>
        </w:rPr>
        <w:t>中标结果确定后，招标方将以书面形式发出《中标通知书》，但发出时间不超过投标有效期，《中标通知书》一经发出即发生法律效力。</w:t>
      </w:r>
    </w:p>
    <w:p w14:paraId="1EE486B8">
      <w:pPr>
        <w:spacing w:line="440" w:lineRule="exact"/>
        <w:ind w:firstLine="472" w:firstLineChars="200"/>
        <w:rPr>
          <w:color w:val="auto"/>
          <w:spacing w:val="-2"/>
          <w:highlight w:val="none"/>
        </w:rPr>
      </w:pPr>
      <w:r>
        <w:rPr>
          <w:color w:val="auto"/>
          <w:spacing w:val="-2"/>
          <w:highlight w:val="none"/>
        </w:rPr>
        <w:t xml:space="preserve">25.2  </w:t>
      </w:r>
      <w:r>
        <w:rPr>
          <w:rFonts w:hint="eastAsia"/>
          <w:color w:val="auto"/>
          <w:spacing w:val="-2"/>
          <w:highlight w:val="none"/>
        </w:rPr>
        <w:t>《中标通知书》将作为签订合同的依据。</w:t>
      </w:r>
    </w:p>
    <w:p w14:paraId="25B34DCB">
      <w:pPr>
        <w:spacing w:line="440" w:lineRule="exact"/>
        <w:ind w:firstLine="472" w:firstLineChars="200"/>
        <w:rPr>
          <w:rFonts w:hint="eastAsia"/>
          <w:color w:val="auto"/>
          <w:spacing w:val="-2"/>
          <w:highlight w:val="none"/>
        </w:rPr>
      </w:pPr>
      <w:r>
        <w:rPr>
          <w:color w:val="auto"/>
          <w:spacing w:val="-2"/>
          <w:highlight w:val="none"/>
        </w:rPr>
        <w:t xml:space="preserve">25.3  </w:t>
      </w:r>
      <w:r>
        <w:rPr>
          <w:rFonts w:hint="eastAsia"/>
          <w:color w:val="auto"/>
          <w:spacing w:val="-2"/>
          <w:highlight w:val="none"/>
        </w:rPr>
        <w:t>中标人在领取《中标通知书》时，必须按招标文件规定向招标代理机构缴纳招标代理服务费。</w:t>
      </w:r>
    </w:p>
    <w:p w14:paraId="3AF8B403">
      <w:pPr>
        <w:spacing w:line="440" w:lineRule="exact"/>
        <w:ind w:firstLine="424" w:firstLineChars="180"/>
        <w:rPr>
          <w:rFonts w:hint="eastAsia"/>
          <w:color w:val="auto"/>
          <w:spacing w:val="-2"/>
          <w:highlight w:val="none"/>
        </w:rPr>
      </w:pPr>
    </w:p>
    <w:p w14:paraId="36280841">
      <w:pPr>
        <w:rPr>
          <w:rFonts w:hint="eastAsia"/>
          <w:b/>
          <w:color w:val="auto"/>
          <w:sz w:val="32"/>
          <w:szCs w:val="32"/>
          <w:highlight w:val="none"/>
        </w:rPr>
      </w:pPr>
      <w:bookmarkStart w:id="19" w:name="_Toc507513106"/>
      <w:bookmarkStart w:id="20" w:name="_Toc10380"/>
      <w:r>
        <w:rPr>
          <w:rFonts w:hint="eastAsia"/>
          <w:b/>
          <w:color w:val="auto"/>
          <w:sz w:val="32"/>
          <w:szCs w:val="32"/>
          <w:highlight w:val="none"/>
        </w:rPr>
        <w:br w:type="page"/>
      </w:r>
    </w:p>
    <w:p w14:paraId="63484F71">
      <w:pPr>
        <w:spacing w:line="440" w:lineRule="exact"/>
        <w:ind w:firstLine="643" w:firstLineChars="200"/>
        <w:jc w:val="center"/>
        <w:outlineLvl w:val="1"/>
        <w:rPr>
          <w:b/>
          <w:color w:val="auto"/>
          <w:sz w:val="32"/>
          <w:szCs w:val="32"/>
          <w:highlight w:val="none"/>
        </w:rPr>
      </w:pPr>
      <w:r>
        <w:rPr>
          <w:rFonts w:hint="eastAsia"/>
          <w:b/>
          <w:color w:val="auto"/>
          <w:sz w:val="32"/>
          <w:szCs w:val="32"/>
          <w:highlight w:val="none"/>
        </w:rPr>
        <w:t>第八章 授予合同</w:t>
      </w:r>
      <w:bookmarkEnd w:id="19"/>
      <w:bookmarkEnd w:id="20"/>
    </w:p>
    <w:p w14:paraId="0CB67194">
      <w:pPr>
        <w:spacing w:line="440" w:lineRule="exact"/>
        <w:ind w:firstLine="482" w:firstLineChars="200"/>
        <w:rPr>
          <w:b/>
          <w:color w:val="auto"/>
          <w:highlight w:val="none"/>
        </w:rPr>
      </w:pPr>
      <w:r>
        <w:rPr>
          <w:b/>
          <w:color w:val="auto"/>
          <w:highlight w:val="none"/>
        </w:rPr>
        <w:t xml:space="preserve">26. </w:t>
      </w:r>
      <w:r>
        <w:rPr>
          <w:rFonts w:hint="eastAsia"/>
          <w:b/>
          <w:color w:val="auto"/>
          <w:highlight w:val="none"/>
        </w:rPr>
        <w:t>签订合同</w:t>
      </w:r>
    </w:p>
    <w:p w14:paraId="2D572766">
      <w:pPr>
        <w:spacing w:line="440" w:lineRule="exact"/>
        <w:ind w:firstLine="472" w:firstLineChars="200"/>
        <w:jc w:val="left"/>
        <w:outlineLvl w:val="0"/>
        <w:rPr>
          <w:rFonts w:hint="eastAsia"/>
          <w:color w:val="auto"/>
          <w:spacing w:val="-2"/>
          <w:highlight w:val="none"/>
        </w:rPr>
      </w:pPr>
      <w:bookmarkStart w:id="21" w:name="_Toc26529"/>
      <w:r>
        <w:rPr>
          <w:rFonts w:hint="eastAsia"/>
          <w:color w:val="auto"/>
          <w:spacing w:val="-2"/>
          <w:highlight w:val="none"/>
          <w:lang w:val="en-US" w:eastAsia="zh-CN"/>
        </w:rPr>
        <w:t>26</w:t>
      </w:r>
      <w:r>
        <w:rPr>
          <w:rFonts w:hint="eastAsia"/>
          <w:color w:val="auto"/>
          <w:spacing w:val="-2"/>
          <w:highlight w:val="none"/>
        </w:rPr>
        <w:t>.1 成交方收到采购方的《</w:t>
      </w:r>
      <w:r>
        <w:rPr>
          <w:rFonts w:hint="default"/>
          <w:color w:val="auto"/>
          <w:spacing w:val="-2"/>
          <w:highlight w:val="none"/>
          <w:lang w:val="en-US"/>
        </w:rPr>
        <w:t>成交</w:t>
      </w:r>
      <w:r>
        <w:rPr>
          <w:rFonts w:hint="eastAsia"/>
          <w:color w:val="auto"/>
          <w:spacing w:val="-2"/>
          <w:highlight w:val="none"/>
        </w:rPr>
        <w:t>通知书》后 30 日内，按照</w:t>
      </w:r>
      <w:r>
        <w:rPr>
          <w:rFonts w:hint="eastAsia"/>
          <w:color w:val="auto"/>
          <w:spacing w:val="-2"/>
          <w:highlight w:val="none"/>
          <w:lang w:eastAsia="zh-CN"/>
        </w:rPr>
        <w:t>招标文件</w:t>
      </w:r>
      <w:r>
        <w:rPr>
          <w:rFonts w:hint="eastAsia"/>
          <w:color w:val="auto"/>
          <w:spacing w:val="-2"/>
          <w:highlight w:val="none"/>
        </w:rPr>
        <w:t>的约定和成交 人响应文件中的承诺与采购单位签订书面合同，所签订的合同不得对</w:t>
      </w:r>
      <w:r>
        <w:rPr>
          <w:rFonts w:hint="eastAsia"/>
          <w:color w:val="auto"/>
          <w:spacing w:val="-2"/>
          <w:highlight w:val="none"/>
          <w:lang w:eastAsia="zh-CN"/>
        </w:rPr>
        <w:t>招标文件</w:t>
      </w:r>
      <w:r>
        <w:rPr>
          <w:rFonts w:hint="eastAsia"/>
          <w:color w:val="auto"/>
          <w:spacing w:val="-2"/>
          <w:highlight w:val="none"/>
        </w:rPr>
        <w:t>和成交人</w:t>
      </w:r>
    </w:p>
    <w:p w14:paraId="3832948D">
      <w:pPr>
        <w:spacing w:line="440" w:lineRule="exact"/>
        <w:jc w:val="left"/>
        <w:outlineLvl w:val="0"/>
        <w:rPr>
          <w:rFonts w:hint="eastAsia"/>
          <w:color w:val="auto"/>
          <w:spacing w:val="-2"/>
          <w:highlight w:val="none"/>
        </w:rPr>
      </w:pPr>
      <w:r>
        <w:rPr>
          <w:rFonts w:hint="eastAsia"/>
          <w:color w:val="auto"/>
          <w:spacing w:val="-2"/>
          <w:highlight w:val="none"/>
        </w:rPr>
        <w:t>的响应文件作实质性修改。</w:t>
      </w:r>
    </w:p>
    <w:p w14:paraId="2BC8FA9B">
      <w:pPr>
        <w:spacing w:line="440" w:lineRule="exact"/>
        <w:ind w:firstLine="472" w:firstLineChars="200"/>
        <w:jc w:val="left"/>
        <w:outlineLvl w:val="0"/>
        <w:rPr>
          <w:rFonts w:hint="eastAsia"/>
          <w:color w:val="auto"/>
          <w:spacing w:val="-2"/>
          <w:highlight w:val="none"/>
        </w:rPr>
      </w:pPr>
      <w:r>
        <w:rPr>
          <w:rFonts w:hint="eastAsia"/>
          <w:color w:val="auto"/>
          <w:spacing w:val="-2"/>
          <w:highlight w:val="none"/>
          <w:lang w:val="en-US" w:eastAsia="zh-CN"/>
        </w:rPr>
        <w:t>26</w:t>
      </w:r>
      <w:r>
        <w:rPr>
          <w:rFonts w:hint="eastAsia"/>
          <w:color w:val="auto"/>
          <w:spacing w:val="-2"/>
          <w:highlight w:val="none"/>
        </w:rPr>
        <w:t>.2 采购方在授予合同时，有权对</w:t>
      </w:r>
      <w:r>
        <w:rPr>
          <w:rFonts w:hint="eastAsia"/>
          <w:color w:val="auto"/>
          <w:spacing w:val="-2"/>
          <w:highlight w:val="none"/>
          <w:lang w:eastAsia="zh-CN"/>
        </w:rPr>
        <w:t>招标文件</w:t>
      </w:r>
      <w:r>
        <w:rPr>
          <w:rFonts w:hint="eastAsia"/>
          <w:color w:val="auto"/>
          <w:spacing w:val="-2"/>
          <w:highlight w:val="none"/>
        </w:rPr>
        <w:t>中规定的服务的数量在 10%的幅度内予</w:t>
      </w:r>
    </w:p>
    <w:p w14:paraId="2E64D7D8">
      <w:pPr>
        <w:spacing w:line="440" w:lineRule="exact"/>
        <w:jc w:val="left"/>
        <w:outlineLvl w:val="0"/>
        <w:rPr>
          <w:rFonts w:hint="eastAsia"/>
          <w:color w:val="auto"/>
          <w:spacing w:val="-2"/>
          <w:highlight w:val="none"/>
        </w:rPr>
      </w:pPr>
      <w:r>
        <w:rPr>
          <w:rFonts w:hint="eastAsia"/>
          <w:color w:val="auto"/>
          <w:spacing w:val="-2"/>
          <w:highlight w:val="none"/>
        </w:rPr>
        <w:t>以增加或减少。但不得对单价更改，不得超出采购预算价。</w:t>
      </w:r>
    </w:p>
    <w:p w14:paraId="52B458BB">
      <w:pPr>
        <w:spacing w:line="440" w:lineRule="exact"/>
        <w:ind w:firstLine="472" w:firstLineChars="200"/>
        <w:jc w:val="left"/>
        <w:outlineLvl w:val="0"/>
        <w:rPr>
          <w:rFonts w:hint="eastAsia"/>
          <w:color w:val="auto"/>
          <w:spacing w:val="-2"/>
          <w:highlight w:val="none"/>
        </w:rPr>
      </w:pPr>
      <w:r>
        <w:rPr>
          <w:rFonts w:hint="eastAsia"/>
          <w:color w:val="auto"/>
          <w:spacing w:val="-2"/>
          <w:highlight w:val="none"/>
          <w:lang w:val="en-US" w:eastAsia="zh-CN"/>
        </w:rPr>
        <w:t>26</w:t>
      </w:r>
      <w:r>
        <w:rPr>
          <w:rFonts w:hint="eastAsia"/>
          <w:color w:val="auto"/>
          <w:spacing w:val="-2"/>
          <w:highlight w:val="none"/>
        </w:rPr>
        <w:t>.3 如成交方拒签合同，则按违约处理。采购方没收其</w:t>
      </w:r>
      <w:r>
        <w:rPr>
          <w:rFonts w:hint="eastAsia"/>
          <w:color w:val="auto"/>
          <w:spacing w:val="-2"/>
          <w:highlight w:val="none"/>
          <w:lang w:eastAsia="zh-CN"/>
        </w:rPr>
        <w:t>投标保证金</w:t>
      </w:r>
      <w:r>
        <w:rPr>
          <w:rFonts w:hint="eastAsia"/>
          <w:color w:val="auto"/>
          <w:spacing w:val="-2"/>
          <w:highlight w:val="none"/>
        </w:rPr>
        <w:t>。</w:t>
      </w:r>
    </w:p>
    <w:p w14:paraId="2E0F84D6">
      <w:pPr>
        <w:spacing w:line="440" w:lineRule="exact"/>
        <w:ind w:firstLine="472" w:firstLineChars="200"/>
        <w:jc w:val="left"/>
        <w:outlineLvl w:val="0"/>
        <w:rPr>
          <w:rFonts w:hint="eastAsia"/>
          <w:color w:val="auto"/>
          <w:spacing w:val="-2"/>
          <w:highlight w:val="none"/>
        </w:rPr>
      </w:pPr>
      <w:r>
        <w:rPr>
          <w:rFonts w:hint="eastAsia"/>
          <w:color w:val="auto"/>
          <w:spacing w:val="-2"/>
          <w:highlight w:val="none"/>
          <w:lang w:val="en-US" w:eastAsia="zh-CN"/>
        </w:rPr>
        <w:t>26</w:t>
      </w:r>
      <w:r>
        <w:rPr>
          <w:rFonts w:hint="eastAsia"/>
          <w:color w:val="auto"/>
          <w:spacing w:val="-2"/>
          <w:highlight w:val="none"/>
        </w:rPr>
        <w:t xml:space="preserve">.4 </w:t>
      </w:r>
      <w:r>
        <w:rPr>
          <w:rFonts w:hint="eastAsia"/>
          <w:color w:val="auto"/>
          <w:spacing w:val="-2"/>
          <w:highlight w:val="none"/>
          <w:lang w:eastAsia="zh-CN"/>
        </w:rPr>
        <w:t>招标文件</w:t>
      </w:r>
      <w:r>
        <w:rPr>
          <w:rFonts w:hint="eastAsia"/>
          <w:color w:val="auto"/>
          <w:spacing w:val="-2"/>
          <w:highlight w:val="none"/>
        </w:rPr>
        <w:t>、成交人响应文件及其澄清文件等，均为签订经济合同的依据。</w:t>
      </w:r>
    </w:p>
    <w:p w14:paraId="54AEA854">
      <w:pPr>
        <w:spacing w:line="440" w:lineRule="exact"/>
        <w:ind w:firstLine="472" w:firstLineChars="200"/>
        <w:jc w:val="left"/>
        <w:outlineLvl w:val="0"/>
        <w:rPr>
          <w:rFonts w:hint="eastAsia"/>
          <w:color w:val="auto"/>
          <w:spacing w:val="-2"/>
          <w:highlight w:val="none"/>
        </w:rPr>
      </w:pPr>
      <w:r>
        <w:rPr>
          <w:rFonts w:hint="eastAsia"/>
          <w:color w:val="auto"/>
          <w:spacing w:val="-2"/>
          <w:highlight w:val="none"/>
          <w:lang w:val="en-US" w:eastAsia="zh-CN"/>
        </w:rPr>
        <w:t>26</w:t>
      </w:r>
      <w:r>
        <w:rPr>
          <w:rFonts w:hint="eastAsia"/>
          <w:color w:val="auto"/>
          <w:spacing w:val="-2"/>
          <w:highlight w:val="none"/>
        </w:rPr>
        <w:t>.5 不允许成交人将成交项目分包或转交他人承担， 特殊情况下，成交人必须与</w:t>
      </w:r>
    </w:p>
    <w:p w14:paraId="72C0DC96">
      <w:pPr>
        <w:spacing w:line="440" w:lineRule="exact"/>
        <w:jc w:val="left"/>
        <w:outlineLvl w:val="0"/>
        <w:rPr>
          <w:rFonts w:hint="eastAsia"/>
          <w:color w:val="auto"/>
          <w:spacing w:val="-2"/>
          <w:highlight w:val="none"/>
        </w:rPr>
      </w:pPr>
      <w:r>
        <w:rPr>
          <w:rFonts w:hint="eastAsia"/>
          <w:color w:val="auto"/>
          <w:spacing w:val="-2"/>
          <w:highlight w:val="none"/>
        </w:rPr>
        <w:t>采购方协商后共同决定将合同标的中的部分由第三方承担供货和服务责任， 但成交人必 须对合同标的全部内容向采购方负责，并保证第三方提供的供货和服务符合</w:t>
      </w:r>
      <w:r>
        <w:rPr>
          <w:rFonts w:hint="eastAsia"/>
          <w:color w:val="auto"/>
          <w:spacing w:val="-2"/>
          <w:highlight w:val="none"/>
          <w:lang w:eastAsia="zh-CN"/>
        </w:rPr>
        <w:t>招标文件</w:t>
      </w:r>
      <w:r>
        <w:rPr>
          <w:rFonts w:hint="eastAsia"/>
          <w:color w:val="auto"/>
          <w:spacing w:val="-2"/>
          <w:highlight w:val="none"/>
        </w:rPr>
        <w:t>的</w:t>
      </w:r>
    </w:p>
    <w:p w14:paraId="46C67AA6">
      <w:pPr>
        <w:spacing w:line="440" w:lineRule="exact"/>
        <w:jc w:val="left"/>
        <w:outlineLvl w:val="0"/>
        <w:rPr>
          <w:rFonts w:hint="eastAsia"/>
          <w:color w:val="auto"/>
          <w:spacing w:val="-2"/>
          <w:highlight w:val="none"/>
        </w:rPr>
      </w:pPr>
      <w:r>
        <w:rPr>
          <w:rFonts w:hint="eastAsia"/>
          <w:color w:val="auto"/>
          <w:spacing w:val="-2"/>
          <w:highlight w:val="none"/>
        </w:rPr>
        <w:t>约定和响应文件的承诺及相关约定。</w:t>
      </w:r>
    </w:p>
    <w:p w14:paraId="76A983FC">
      <w:pPr>
        <w:rPr>
          <w:rFonts w:hint="eastAsia"/>
          <w:color w:val="auto"/>
          <w:spacing w:val="-2"/>
          <w:highlight w:val="none"/>
        </w:rPr>
      </w:pPr>
      <w:r>
        <w:rPr>
          <w:rFonts w:hint="eastAsia"/>
          <w:color w:val="auto"/>
          <w:spacing w:val="-2"/>
          <w:highlight w:val="none"/>
        </w:rPr>
        <w:br w:type="page"/>
      </w:r>
    </w:p>
    <w:p w14:paraId="0207DE00">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lang w:val="en-US" w:eastAsia="zh-CN"/>
        </w:rPr>
        <w:t>编号：</w:t>
      </w:r>
    </w:p>
    <w:p w14:paraId="46EA3BC1">
      <w:pPr>
        <w:pStyle w:val="7"/>
        <w:rPr>
          <w:color w:val="auto"/>
          <w:sz w:val="36"/>
          <w:szCs w:val="36"/>
          <w:highlight w:val="none"/>
        </w:rPr>
      </w:pPr>
    </w:p>
    <w:p w14:paraId="74E977F3">
      <w:pPr>
        <w:pStyle w:val="85"/>
        <w:spacing w:line="360" w:lineRule="auto"/>
        <w:jc w:val="center"/>
        <w:rPr>
          <w:rFonts w:hint="eastAsia" w:ascii="宋体" w:hAnsi="宋体"/>
          <w:b/>
          <w:bCs/>
          <w:color w:val="auto"/>
          <w:sz w:val="36"/>
          <w:szCs w:val="36"/>
          <w:highlight w:val="none"/>
          <w:lang w:eastAsia="zh-CN"/>
        </w:rPr>
      </w:pPr>
      <w:r>
        <w:rPr>
          <w:rFonts w:hint="eastAsia" w:ascii="宋体" w:hAnsi="宋体"/>
          <w:b/>
          <w:bCs/>
          <w:color w:val="auto"/>
          <w:sz w:val="36"/>
          <w:szCs w:val="36"/>
          <w:highlight w:val="none"/>
          <w:lang w:eastAsia="zh-CN"/>
        </w:rPr>
        <w:t>（以实际签订合同为准）</w:t>
      </w:r>
    </w:p>
    <w:p w14:paraId="3C93BD9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1440" w:hanging="720" w:hangingChars="200"/>
        <w:jc w:val="center"/>
        <w:textAlignment w:val="auto"/>
        <w:rPr>
          <w:rFonts w:hint="eastAsia" w:ascii="黑体" w:hAnsi="黑体" w:eastAsia="黑体" w:cs="黑体"/>
          <w:color w:val="auto"/>
          <w:sz w:val="36"/>
          <w:szCs w:val="36"/>
          <w:highlight w:val="none"/>
          <w:lang w:val="en-US" w:eastAsia="zh-CN"/>
        </w:rPr>
      </w:pPr>
    </w:p>
    <w:p w14:paraId="39ED324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color w:val="auto"/>
          <w:sz w:val="36"/>
          <w:szCs w:val="36"/>
          <w:highlight w:val="none"/>
        </w:rPr>
      </w:pPr>
    </w:p>
    <w:p w14:paraId="41E4549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both"/>
        <w:textAlignment w:val="auto"/>
        <w:rPr>
          <w:rFonts w:hint="eastAsia" w:ascii="宋体" w:hAnsi="宋体"/>
          <w:color w:val="auto"/>
          <w:sz w:val="36"/>
          <w:szCs w:val="36"/>
          <w:highlight w:val="none"/>
        </w:rPr>
      </w:pPr>
    </w:p>
    <w:p w14:paraId="21C7564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1080" w:firstLineChars="300"/>
        <w:jc w:val="left"/>
        <w:textAlignment w:val="auto"/>
        <w:rPr>
          <w:rFonts w:hint="eastAsia" w:ascii="宋体" w:hAnsi="宋体" w:eastAsia="宋体" w:cs="宋体"/>
          <w:color w:val="auto"/>
          <w:sz w:val="36"/>
          <w:szCs w:val="36"/>
          <w:highlight w:val="none"/>
        </w:rPr>
      </w:pPr>
    </w:p>
    <w:p w14:paraId="3BF7C82E">
      <w:pPr>
        <w:keepNext w:val="0"/>
        <w:keepLines w:val="0"/>
        <w:pageBreakBefore w:val="0"/>
        <w:widowControl w:val="0"/>
        <w:kinsoku/>
        <w:wordWrap/>
        <w:overflowPunct/>
        <w:topLinePunct w:val="0"/>
        <w:autoSpaceDE/>
        <w:autoSpaceDN/>
        <w:bidi w:val="0"/>
        <w:adjustRightInd w:val="0"/>
        <w:snapToGrid w:val="0"/>
        <w:spacing w:after="0" w:afterAutospacing="0" w:line="480" w:lineRule="exact"/>
        <w:ind w:right="-389" w:rightChars="-162"/>
        <w:jc w:val="both"/>
        <w:textAlignment w:val="auto"/>
        <w:rPr>
          <w:rFonts w:hint="eastAsia" w:ascii="宋体" w:hAnsi="宋体" w:eastAsia="宋体" w:cs="宋体"/>
          <w:color w:val="auto"/>
          <w:kern w:val="2"/>
          <w:sz w:val="24"/>
          <w:szCs w:val="24"/>
          <w:highlight w:val="none"/>
          <w:lang w:val="en-US" w:eastAsia="zh-CN" w:bidi="ar-SA"/>
        </w:rPr>
      </w:pPr>
      <w:r>
        <w:rPr>
          <w:rFonts w:hint="eastAsia"/>
          <w:color w:val="auto"/>
          <w:sz w:val="24"/>
          <w:szCs w:val="24"/>
          <w:highlight w:val="none"/>
        </w:rPr>
        <w:t>委托方(甲方)</w:t>
      </w:r>
      <w:r>
        <w:rPr>
          <w:rFonts w:hint="eastAsia" w:ascii="宋体" w:hAnsi="宋体" w:eastAsia="宋体" w:cs="宋体"/>
          <w:color w:val="auto"/>
          <w:kern w:val="2"/>
          <w:sz w:val="24"/>
          <w:szCs w:val="24"/>
          <w:highlight w:val="none"/>
          <w:lang w:eastAsia="zh-CN" w:bidi="ar-SA"/>
        </w:rPr>
        <w:t>：</w:t>
      </w:r>
    </w:p>
    <w:p w14:paraId="45FB466A">
      <w:pPr>
        <w:keepNext w:val="0"/>
        <w:keepLines w:val="0"/>
        <w:pageBreakBefore w:val="0"/>
        <w:widowControl w:val="0"/>
        <w:kinsoku/>
        <w:wordWrap/>
        <w:overflowPunct/>
        <w:topLinePunct w:val="0"/>
        <w:autoSpaceDE/>
        <w:autoSpaceDN/>
        <w:bidi w:val="0"/>
        <w:adjustRightInd w:val="0"/>
        <w:snapToGrid w:val="0"/>
        <w:spacing w:after="0" w:afterAutospacing="0" w:line="480" w:lineRule="exact"/>
        <w:ind w:right="-389" w:rightChars="-162"/>
        <w:jc w:val="both"/>
        <w:textAlignment w:val="auto"/>
        <w:rPr>
          <w:rFonts w:hint="eastAsia"/>
          <w:color w:val="auto"/>
          <w:sz w:val="24"/>
          <w:szCs w:val="24"/>
          <w:highlight w:val="none"/>
        </w:rPr>
      </w:pPr>
    </w:p>
    <w:p w14:paraId="61B140F7">
      <w:pPr>
        <w:keepNext w:val="0"/>
        <w:keepLines w:val="0"/>
        <w:pageBreakBefore w:val="0"/>
        <w:widowControl w:val="0"/>
        <w:kinsoku/>
        <w:wordWrap/>
        <w:overflowPunct/>
        <w:topLinePunct w:val="0"/>
        <w:autoSpaceDE/>
        <w:autoSpaceDN/>
        <w:bidi w:val="0"/>
        <w:adjustRightInd w:val="0"/>
        <w:snapToGrid w:val="0"/>
        <w:spacing w:after="0" w:afterAutospacing="0" w:line="480" w:lineRule="exact"/>
        <w:ind w:right="-389" w:rightChars="-162"/>
        <w:jc w:val="both"/>
        <w:textAlignment w:val="auto"/>
        <w:rPr>
          <w:rFonts w:hint="eastAsia"/>
          <w:color w:val="auto"/>
          <w:sz w:val="24"/>
          <w:szCs w:val="24"/>
          <w:highlight w:val="none"/>
        </w:rPr>
      </w:pPr>
    </w:p>
    <w:p w14:paraId="3DCB6988">
      <w:pPr>
        <w:keepNext w:val="0"/>
        <w:keepLines w:val="0"/>
        <w:pageBreakBefore w:val="0"/>
        <w:widowControl w:val="0"/>
        <w:kinsoku/>
        <w:wordWrap/>
        <w:overflowPunct/>
        <w:topLinePunct w:val="0"/>
        <w:autoSpaceDE/>
        <w:autoSpaceDN/>
        <w:bidi w:val="0"/>
        <w:adjustRightInd w:val="0"/>
        <w:snapToGrid w:val="0"/>
        <w:spacing w:after="0" w:afterAutospacing="0" w:line="480" w:lineRule="exact"/>
        <w:ind w:right="-389" w:rightChars="-162"/>
        <w:jc w:val="both"/>
        <w:textAlignment w:val="auto"/>
        <w:rPr>
          <w:rFonts w:hint="eastAsia" w:ascii="宋体" w:hAnsi="宋体" w:eastAsia="宋体" w:cs="宋体"/>
          <w:color w:val="auto"/>
          <w:kern w:val="2"/>
          <w:sz w:val="24"/>
          <w:szCs w:val="24"/>
          <w:highlight w:val="none"/>
          <w:lang w:val="en-US" w:eastAsia="zh-CN" w:bidi="ar-SA"/>
        </w:rPr>
      </w:pPr>
      <w:r>
        <w:rPr>
          <w:rFonts w:hint="eastAsia"/>
          <w:color w:val="auto"/>
          <w:sz w:val="24"/>
          <w:szCs w:val="24"/>
          <w:highlight w:val="none"/>
        </w:rPr>
        <w:t>受托方(乙方)</w:t>
      </w:r>
      <w:r>
        <w:rPr>
          <w:rFonts w:hint="eastAsia" w:ascii="宋体" w:hAnsi="宋体" w:eastAsia="宋体" w:cs="宋体"/>
          <w:color w:val="auto"/>
          <w:kern w:val="2"/>
          <w:sz w:val="24"/>
          <w:szCs w:val="24"/>
          <w:highlight w:val="none"/>
          <w:lang w:eastAsia="zh-CN" w:bidi="ar-SA"/>
        </w:rPr>
        <w:t>：</w:t>
      </w:r>
    </w:p>
    <w:p w14:paraId="7441171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720" w:firstLineChars="300"/>
        <w:jc w:val="left"/>
        <w:textAlignment w:val="auto"/>
        <w:rPr>
          <w:rFonts w:hint="eastAsia" w:ascii="宋体" w:hAnsi="宋体" w:eastAsia="宋体" w:cs="宋体"/>
          <w:color w:val="auto"/>
          <w:sz w:val="24"/>
          <w:szCs w:val="24"/>
          <w:highlight w:val="none"/>
        </w:rPr>
      </w:pPr>
    </w:p>
    <w:p w14:paraId="5211CE7D">
      <w:pPr>
        <w:pStyle w:val="26"/>
        <w:rPr>
          <w:rFonts w:hint="eastAsia"/>
          <w:color w:val="auto"/>
          <w:sz w:val="24"/>
          <w:szCs w:val="24"/>
          <w:highlight w:val="none"/>
        </w:rPr>
      </w:pPr>
    </w:p>
    <w:p w14:paraId="1D351628">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2880" w:firstLineChars="1200"/>
        <w:jc w:val="left"/>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lang w:eastAsia="zh-CN"/>
        </w:rPr>
        <w:t>签订日期：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36"/>
          <w:szCs w:val="36"/>
          <w:highlight w:val="none"/>
        </w:rPr>
        <w:t xml:space="preserve"> </w:t>
      </w:r>
    </w:p>
    <w:p w14:paraId="3FC671ED">
      <w:pPr>
        <w:widowControl w:val="0"/>
        <w:adjustRightInd w:val="0"/>
        <w:snapToGrid w:val="0"/>
        <w:spacing w:after="0" w:line="360" w:lineRule="auto"/>
        <w:ind w:right="-389" w:rightChars="-162" w:firstLine="720" w:firstLineChars="200"/>
        <w:jc w:val="both"/>
        <w:rPr>
          <w:rFonts w:hint="eastAsia" w:ascii="宋体" w:hAnsi="宋体"/>
          <w:color w:val="auto"/>
          <w:sz w:val="36"/>
          <w:szCs w:val="36"/>
          <w:highlight w:val="none"/>
          <w:lang w:val="en-US" w:eastAsia="zh-CN"/>
        </w:rPr>
      </w:pPr>
    </w:p>
    <w:p w14:paraId="2758EAF0">
      <w:pPr>
        <w:pStyle w:val="26"/>
        <w:rPr>
          <w:rFonts w:hint="eastAsia"/>
          <w:color w:val="auto"/>
          <w:highlight w:val="none"/>
          <w:lang w:val="en-US" w:eastAsia="zh-CN"/>
        </w:rPr>
      </w:pPr>
    </w:p>
    <w:p w14:paraId="0F8D4AC1">
      <w:pPr>
        <w:rPr>
          <w:rFonts w:hint="eastAsia"/>
          <w:color w:val="auto"/>
          <w:highlight w:val="none"/>
          <w:lang w:val="en-US" w:eastAsia="zh-CN"/>
        </w:rPr>
      </w:pPr>
    </w:p>
    <w:p w14:paraId="713B159C">
      <w:pPr>
        <w:pStyle w:val="26"/>
        <w:rPr>
          <w:rFonts w:hint="eastAsia"/>
          <w:color w:val="auto"/>
          <w:highlight w:val="none"/>
          <w:lang w:val="en-US" w:eastAsia="zh-CN"/>
        </w:rPr>
      </w:pPr>
    </w:p>
    <w:p w14:paraId="756CBCB0">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委托方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p>
    <w:p w14:paraId="236E272F">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24"/>
          <w:highlight w:val="none"/>
        </w:rPr>
        <w:t>:</w:t>
      </w:r>
    </w:p>
    <w:p w14:paraId="5AA60DF1">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联系电话：</w:t>
      </w:r>
    </w:p>
    <w:p w14:paraId="51AEB4B1">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szCs w:val="24"/>
          <w:highlight w:val="none"/>
        </w:rPr>
      </w:pPr>
    </w:p>
    <w:p w14:paraId="62CD6C42">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（受托方）</w:t>
      </w:r>
      <w:r>
        <w:rPr>
          <w:rFonts w:hint="eastAsia" w:ascii="宋体" w:hAnsi="宋体" w:eastAsia="宋体" w:cs="宋体"/>
          <w:color w:val="auto"/>
          <w:sz w:val="24"/>
          <w:szCs w:val="24"/>
          <w:highlight w:val="none"/>
        </w:rPr>
        <w:t>乙方:</w:t>
      </w:r>
    </w:p>
    <w:p w14:paraId="4AE4895B">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24"/>
          <w:highlight w:val="none"/>
        </w:rPr>
        <w:t>:</w:t>
      </w:r>
    </w:p>
    <w:p w14:paraId="376E37EB">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 xml:space="preserve">       联系电话：</w:t>
      </w:r>
    </w:p>
    <w:p w14:paraId="37964228">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szCs w:val="24"/>
          <w:highlight w:val="none"/>
          <w:lang w:val="en-US" w:eastAsia="zh-CN"/>
        </w:rPr>
      </w:pPr>
    </w:p>
    <w:p w14:paraId="050E8918">
      <w:pPr>
        <w:shd w:val="clear" w:color="auto" w:fill="FFFFFF"/>
        <w:snapToGrid w:val="0"/>
        <w:spacing w:line="288" w:lineRule="auto"/>
        <w:ind w:firstLine="568" w:firstLineChars="202"/>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拟签订的合同文本</w:t>
      </w:r>
    </w:p>
    <w:p w14:paraId="242F65C2">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本条款“甲方”是采购人，“乙方”是中标的供应商（称“中标人”），乙方与甲方在签订政府采购合同时，除按照中华人民共和国“中华人民共和国政府采购法”、“中华人民共和国政府采购货物和服务招标投标管理办法”有关规定及《中华人民共和国民法典》遵循平等、自愿、公平和诚实信用的原则，双方订立本合同。</w:t>
      </w:r>
    </w:p>
    <w:p w14:paraId="4BA1BA48">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p>
    <w:p w14:paraId="301AA61E">
      <w:pPr>
        <w:shd w:val="clear" w:color="auto" w:fill="FFFFFF"/>
        <w:snapToGrid w:val="0"/>
        <w:spacing w:line="288" w:lineRule="auto"/>
        <w:ind w:firstLine="568" w:firstLineChars="202"/>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（此合同书仅作参考，最终根据项目具体要求进行深化修订）</w:t>
      </w:r>
    </w:p>
    <w:p w14:paraId="466335D2">
      <w:pPr>
        <w:shd w:val="clear" w:color="auto" w:fill="FFFFFF"/>
        <w:snapToGrid w:val="0"/>
        <w:spacing w:line="288" w:lineRule="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采购人（全称）：（甲方）</w:t>
      </w:r>
    </w:p>
    <w:p w14:paraId="3C8673C4">
      <w:pPr>
        <w:shd w:val="clear" w:color="auto" w:fill="FFFFFF"/>
        <w:snapToGrid w:val="0"/>
        <w:spacing w:line="288" w:lineRule="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中标人（全称）：（乙方）</w:t>
      </w:r>
    </w:p>
    <w:p w14:paraId="6FA2CD05">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为了保护甲、乙双方合法权益，根据《中华人民共和国合同法》、《中华人民共和国招标投标法》及其他有关法律、法规、规章，双方签订本合同协议书。</w:t>
      </w:r>
    </w:p>
    <w:p w14:paraId="44F7462B">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1．项目信息</w:t>
      </w:r>
    </w:p>
    <w:p w14:paraId="589328B1">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(1)采购项目名称：</w:t>
      </w:r>
    </w:p>
    <w:p w14:paraId="1B449E67">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(2)采购计划编号：</w:t>
      </w:r>
    </w:p>
    <w:p w14:paraId="791313D8">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(3)项目内容：</w:t>
      </w:r>
    </w:p>
    <w:p w14:paraId="042B493B">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2．合同金额</w:t>
      </w:r>
    </w:p>
    <w:p w14:paraId="3A812E76">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(1)合同金额小写：           大写：</w:t>
      </w:r>
    </w:p>
    <w:p w14:paraId="0866EBC8">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(2)具体标的见附件。</w:t>
      </w:r>
    </w:p>
    <w:p w14:paraId="2B5B2507">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(3)合同价格形式：</w:t>
      </w:r>
    </w:p>
    <w:p w14:paraId="1D4D0C91">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3．履行合同的时间、地点及方式  </w:t>
      </w:r>
    </w:p>
    <w:p w14:paraId="1D232FC4">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val="en-US" w:eastAsia="zh-CN"/>
        </w:rPr>
        <w:t>合同履行期限</w:t>
      </w:r>
      <w:r>
        <w:rPr>
          <w:rFonts w:hint="eastAsia" w:ascii="仿宋" w:hAnsi="仿宋" w:eastAsia="仿宋" w:cs="仿宋"/>
          <w:bCs/>
          <w:color w:val="auto"/>
          <w:kern w:val="0"/>
          <w:sz w:val="28"/>
          <w:szCs w:val="28"/>
          <w:highlight w:val="none"/>
        </w:rPr>
        <w:t>：自签订合同生效后</w:t>
      </w:r>
      <w:r>
        <w:rPr>
          <w:rFonts w:hint="eastAsia" w:ascii="仿宋" w:hAnsi="仿宋" w:eastAsia="仿宋" w:cs="仿宋"/>
          <w:bCs/>
          <w:color w:val="auto"/>
          <w:kern w:val="0"/>
          <w:sz w:val="28"/>
          <w:szCs w:val="28"/>
          <w:highlight w:val="none"/>
          <w:lang w:eastAsia="zh-CN"/>
        </w:rPr>
        <w:t>2</w:t>
      </w:r>
      <w:r>
        <w:rPr>
          <w:rFonts w:hint="eastAsia" w:ascii="仿宋" w:hAnsi="仿宋" w:eastAsia="仿宋" w:cs="仿宋"/>
          <w:bCs/>
          <w:color w:val="auto"/>
          <w:kern w:val="0"/>
          <w:sz w:val="28"/>
          <w:szCs w:val="28"/>
          <w:highlight w:val="none"/>
          <w:lang w:val="en-US" w:eastAsia="zh-CN"/>
        </w:rPr>
        <w:t>个月</w:t>
      </w:r>
      <w:r>
        <w:rPr>
          <w:rFonts w:hint="eastAsia" w:ascii="仿宋" w:hAnsi="仿宋" w:eastAsia="仿宋" w:cs="仿宋"/>
          <w:bCs/>
          <w:color w:val="auto"/>
          <w:kern w:val="0"/>
          <w:sz w:val="28"/>
          <w:szCs w:val="28"/>
          <w:highlight w:val="none"/>
        </w:rPr>
        <w:t>。</w:t>
      </w:r>
    </w:p>
    <w:p w14:paraId="06EE010A">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地点：采购人指定地点。</w:t>
      </w:r>
    </w:p>
    <w:p w14:paraId="4DB26563">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方式：</w:t>
      </w:r>
    </w:p>
    <w:p w14:paraId="4B146A7C">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4．付款：</w:t>
      </w:r>
    </w:p>
    <w:p w14:paraId="191FEC31">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rPr>
        <w:t>(1)</w:t>
      </w:r>
      <w:r>
        <w:rPr>
          <w:rFonts w:hint="eastAsia" w:ascii="仿宋" w:hAnsi="仿宋" w:eastAsia="仿宋" w:cs="仿宋"/>
          <w:bCs/>
          <w:color w:val="auto"/>
          <w:kern w:val="0"/>
          <w:sz w:val="28"/>
          <w:szCs w:val="28"/>
          <w:highlight w:val="none"/>
          <w:lang w:val="en-US" w:eastAsia="zh-CN"/>
        </w:rPr>
        <w:t>中标人与采购人签订合同后，中标人向采购人开具发票，采购人以银行转账方式向中标人支付70%项目合同金额；</w:t>
      </w:r>
    </w:p>
    <w:p w14:paraId="6CD8DB49">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rPr>
        <w:t>(2)</w:t>
      </w:r>
      <w:r>
        <w:rPr>
          <w:rFonts w:hint="eastAsia" w:ascii="仿宋" w:hAnsi="仿宋" w:eastAsia="仿宋" w:cs="仿宋"/>
          <w:bCs/>
          <w:color w:val="auto"/>
          <w:kern w:val="0"/>
          <w:sz w:val="28"/>
          <w:szCs w:val="28"/>
          <w:highlight w:val="none"/>
          <w:lang w:val="en-US" w:eastAsia="zh-CN"/>
        </w:rPr>
        <w:t>中标人按本项目招标文件及合同要求提交相关成果材料，经专家评审通过后，中标人向采购人开具发票，采购人以转账方式一次性向中标人支付合同剩余款项。</w:t>
      </w:r>
    </w:p>
    <w:p w14:paraId="78710FEB">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5．解决合同纠纷方式</w:t>
      </w:r>
    </w:p>
    <w:p w14:paraId="0ACEB8A1">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首先通过双方协商解决，协商解决不成，则通过以下途径之一解决纠纷：(1)提请仲裁；(2)向人民法院提起诉讼。</w:t>
      </w:r>
    </w:p>
    <w:p w14:paraId="3F145957">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6．组成合同的文件  </w:t>
      </w:r>
    </w:p>
    <w:p w14:paraId="51CF7CA3">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本协议书与下列文件一起构成合同文件，如下述文件之间有任何抵触、矛盾或歧义，应按以下顺序解释：    </w:t>
      </w:r>
    </w:p>
    <w:p w14:paraId="651E9F10">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(1)在采购或合同履行过程中乙方作出的承诺以及双方协商达成的变更或补充协议</w:t>
      </w:r>
    </w:p>
    <w:p w14:paraId="05FF92DA">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(2)中标通知书 </w:t>
      </w:r>
    </w:p>
    <w:p w14:paraId="34ABDA82">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(3)投标文件 </w:t>
      </w:r>
    </w:p>
    <w:p w14:paraId="19F18706">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(4)采购合同格式条款及其附件 </w:t>
      </w:r>
    </w:p>
    <w:p w14:paraId="539502F2">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(5)专用合同条款</w:t>
      </w:r>
    </w:p>
    <w:p w14:paraId="132E1E9E">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(6)通用合同条款（如果有）</w:t>
      </w:r>
    </w:p>
    <w:p w14:paraId="43B8802C">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(7其他合同文件。</w:t>
      </w:r>
    </w:p>
    <w:p w14:paraId="50A309B8">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7．合同生效</w:t>
      </w:r>
    </w:p>
    <w:p w14:paraId="197C561B">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本合同自生效。</w:t>
      </w:r>
    </w:p>
    <w:p w14:paraId="673CBA43">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8．合同份数</w:t>
      </w:r>
    </w:p>
    <w:p w14:paraId="45789AD6">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本合同一式份，采购人执份，中标人执份，均具有同等法律效力。</w:t>
      </w:r>
    </w:p>
    <w:p w14:paraId="2E9C2F72">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合同订立时间：    年    月    日</w:t>
      </w:r>
    </w:p>
    <w:p w14:paraId="5730F50B">
      <w:pPr>
        <w:shd w:val="clear" w:color="auto" w:fill="FFFFFF"/>
        <w:snapToGrid w:val="0"/>
        <w:spacing w:line="288" w:lineRule="auto"/>
        <w:ind w:firstLine="565" w:firstLineChars="202"/>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合同订立地点：</w:t>
      </w:r>
    </w:p>
    <w:p w14:paraId="13D7AB97">
      <w:pPr>
        <w:widowControl/>
        <w:spacing w:line="360" w:lineRule="exact"/>
        <w:ind w:firstLine="560" w:firstLineChars="200"/>
        <w:jc w:val="left"/>
        <w:rPr>
          <w:rFonts w:hint="eastAsia" w:ascii="仿宋" w:hAnsi="仿宋" w:eastAsia="仿宋" w:cs="仿宋"/>
          <w:bCs/>
          <w:color w:val="auto"/>
          <w:sz w:val="28"/>
          <w:szCs w:val="28"/>
          <w:highlight w:val="none"/>
          <w:shd w:val="clear" w:color="auto" w:fill="FFFFFF"/>
        </w:rPr>
      </w:pPr>
    </w:p>
    <w:p w14:paraId="517DDC63">
      <w:pPr>
        <w:widowControl/>
        <w:spacing w:line="360" w:lineRule="exact"/>
        <w:ind w:firstLine="560" w:firstLineChars="200"/>
        <w:jc w:val="left"/>
        <w:rPr>
          <w:rFonts w:hint="eastAsia" w:ascii="仿宋" w:hAnsi="仿宋" w:eastAsia="仿宋" w:cs="仿宋"/>
          <w:bCs/>
          <w:color w:val="auto"/>
          <w:sz w:val="28"/>
          <w:szCs w:val="28"/>
          <w:highlight w:val="none"/>
          <w:shd w:val="clear" w:color="auto" w:fill="FFFFFF"/>
        </w:rPr>
      </w:pPr>
      <w:r>
        <w:rPr>
          <w:rFonts w:hint="eastAsia" w:ascii="仿宋" w:hAnsi="仿宋" w:eastAsia="仿宋" w:cs="仿宋"/>
          <w:bCs/>
          <w:color w:val="auto"/>
          <w:sz w:val="28"/>
          <w:szCs w:val="28"/>
          <w:highlight w:val="none"/>
          <w:shd w:val="clear" w:color="auto" w:fill="FFFFFF"/>
        </w:rPr>
        <w:t>甲    方：                              乙    方：</w:t>
      </w:r>
    </w:p>
    <w:p w14:paraId="2B79C02B">
      <w:pPr>
        <w:widowControl/>
        <w:spacing w:line="360" w:lineRule="exact"/>
        <w:ind w:firstLine="560" w:firstLineChars="200"/>
        <w:jc w:val="left"/>
        <w:rPr>
          <w:rFonts w:hint="eastAsia" w:ascii="仿宋" w:hAnsi="仿宋" w:eastAsia="仿宋" w:cs="仿宋"/>
          <w:bCs/>
          <w:color w:val="auto"/>
          <w:sz w:val="28"/>
          <w:szCs w:val="28"/>
          <w:highlight w:val="none"/>
          <w:shd w:val="clear" w:color="auto" w:fill="FFFFFF"/>
        </w:rPr>
      </w:pPr>
      <w:r>
        <w:rPr>
          <w:rFonts w:hint="eastAsia" w:ascii="仿宋" w:hAnsi="仿宋" w:eastAsia="仿宋" w:cs="仿宋"/>
          <w:bCs/>
          <w:color w:val="auto"/>
          <w:sz w:val="28"/>
          <w:szCs w:val="28"/>
          <w:highlight w:val="none"/>
          <w:shd w:val="clear" w:color="auto" w:fill="FFFFFF"/>
        </w:rPr>
        <w:t>地    址：                              地    址：</w:t>
      </w:r>
    </w:p>
    <w:p w14:paraId="1953AB85">
      <w:pPr>
        <w:widowControl/>
        <w:spacing w:line="360" w:lineRule="exact"/>
        <w:ind w:firstLine="560" w:firstLineChars="200"/>
        <w:jc w:val="left"/>
        <w:rPr>
          <w:rFonts w:hint="eastAsia" w:ascii="仿宋" w:hAnsi="仿宋" w:eastAsia="仿宋" w:cs="仿宋"/>
          <w:bCs/>
          <w:color w:val="auto"/>
          <w:sz w:val="28"/>
          <w:szCs w:val="28"/>
          <w:highlight w:val="none"/>
          <w:shd w:val="clear" w:color="auto" w:fill="FFFFFF"/>
        </w:rPr>
      </w:pPr>
      <w:r>
        <w:rPr>
          <w:rFonts w:hint="eastAsia" w:ascii="仿宋" w:hAnsi="仿宋" w:eastAsia="仿宋" w:cs="仿宋"/>
          <w:bCs/>
          <w:color w:val="auto"/>
          <w:sz w:val="28"/>
          <w:szCs w:val="28"/>
          <w:highlight w:val="none"/>
          <w:shd w:val="clear" w:color="auto" w:fill="FFFFFF"/>
        </w:rPr>
        <w:t>代    表：                              代    表：</w:t>
      </w:r>
    </w:p>
    <w:p w14:paraId="4128D9D6">
      <w:pPr>
        <w:widowControl/>
        <w:spacing w:line="360" w:lineRule="exact"/>
        <w:ind w:firstLine="560" w:firstLineChars="200"/>
        <w:jc w:val="left"/>
        <w:rPr>
          <w:rFonts w:hint="eastAsia" w:ascii="仿宋" w:hAnsi="仿宋" w:eastAsia="仿宋" w:cs="仿宋"/>
          <w:bCs/>
          <w:color w:val="auto"/>
          <w:sz w:val="28"/>
          <w:szCs w:val="28"/>
          <w:highlight w:val="none"/>
          <w:shd w:val="clear" w:color="auto" w:fill="FFFFFF"/>
        </w:rPr>
      </w:pPr>
      <w:r>
        <w:rPr>
          <w:rFonts w:hint="eastAsia" w:ascii="仿宋" w:hAnsi="仿宋" w:eastAsia="仿宋" w:cs="仿宋"/>
          <w:bCs/>
          <w:color w:val="auto"/>
          <w:sz w:val="28"/>
          <w:szCs w:val="28"/>
          <w:highlight w:val="none"/>
          <w:shd w:val="clear" w:color="auto" w:fill="FFFFFF"/>
        </w:rPr>
        <w:t>开户银行:                               开户银行:</w:t>
      </w:r>
    </w:p>
    <w:p w14:paraId="7E7C8D61">
      <w:pPr>
        <w:widowControl/>
        <w:spacing w:line="360" w:lineRule="exact"/>
        <w:ind w:firstLine="560" w:firstLineChars="200"/>
        <w:jc w:val="left"/>
        <w:rPr>
          <w:rFonts w:hint="eastAsia" w:ascii="仿宋" w:hAnsi="仿宋" w:eastAsia="仿宋" w:cs="仿宋"/>
          <w:bCs/>
          <w:color w:val="auto"/>
          <w:sz w:val="28"/>
          <w:szCs w:val="28"/>
          <w:highlight w:val="none"/>
          <w:shd w:val="clear" w:color="auto" w:fill="FFFFFF"/>
        </w:rPr>
      </w:pPr>
      <w:r>
        <w:rPr>
          <w:rFonts w:hint="eastAsia" w:ascii="仿宋" w:hAnsi="仿宋" w:eastAsia="仿宋" w:cs="仿宋"/>
          <w:bCs/>
          <w:color w:val="auto"/>
          <w:sz w:val="28"/>
          <w:szCs w:val="28"/>
          <w:highlight w:val="none"/>
          <w:shd w:val="clear" w:color="auto" w:fill="FFFFFF"/>
        </w:rPr>
        <w:t>帐    号:                               帐    号:</w:t>
      </w:r>
    </w:p>
    <w:p w14:paraId="3FF90C24">
      <w:pPr>
        <w:adjustRightInd w:val="0"/>
        <w:snapToGrid w:val="0"/>
        <w:spacing w:line="312" w:lineRule="auto"/>
        <w:ind w:firstLine="560" w:firstLineChars="200"/>
        <w:rPr>
          <w:rFonts w:hint="eastAsia" w:ascii="仿宋" w:hAnsi="仿宋" w:eastAsia="仿宋" w:cs="仿宋"/>
          <w:color w:val="auto"/>
          <w:highlight w:val="none"/>
        </w:rPr>
      </w:pPr>
      <w:r>
        <w:rPr>
          <w:rFonts w:hint="eastAsia" w:ascii="仿宋" w:hAnsi="仿宋" w:eastAsia="仿宋" w:cs="仿宋"/>
          <w:bCs/>
          <w:color w:val="auto"/>
          <w:sz w:val="28"/>
          <w:szCs w:val="28"/>
          <w:highlight w:val="none"/>
          <w:shd w:val="clear" w:color="auto" w:fill="FFFFFF"/>
        </w:rPr>
        <w:t>日    期：                              日    期：</w:t>
      </w:r>
    </w:p>
    <w:p w14:paraId="155F3BF2">
      <w:pPr>
        <w:rPr>
          <w:rFonts w:hint="eastAsia" w:ascii="仿宋" w:hAnsi="仿宋" w:eastAsia="仿宋" w:cs="仿宋"/>
          <w:color w:val="auto"/>
          <w:sz w:val="28"/>
          <w:szCs w:val="28"/>
          <w:highlight w:val="none"/>
        </w:rPr>
      </w:pPr>
    </w:p>
    <w:p w14:paraId="596F74D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注：本合同仅为合同的参考文本，合同签订双方可根据项目的具体要求进行修订。</w:t>
      </w:r>
    </w:p>
    <w:p w14:paraId="2E31C88C">
      <w:pPr>
        <w:pStyle w:val="9"/>
        <w:rPr>
          <w:rFonts w:hint="eastAsia" w:ascii="仿宋" w:hAnsi="仿宋" w:eastAsia="仿宋" w:cs="仿宋"/>
          <w:color w:val="auto"/>
          <w:highlight w:val="none"/>
        </w:rPr>
      </w:pPr>
    </w:p>
    <w:p w14:paraId="32062D38">
      <w:pPr>
        <w:spacing w:line="440" w:lineRule="exact"/>
        <w:jc w:val="both"/>
        <w:outlineLvl w:val="0"/>
        <w:rPr>
          <w:rFonts w:hint="eastAsia" w:cs="Times New Roman"/>
          <w:b/>
          <w:color w:val="auto"/>
          <w:kern w:val="2"/>
          <w:sz w:val="36"/>
          <w:szCs w:val="20"/>
          <w:highlight w:val="none"/>
        </w:rPr>
      </w:pPr>
      <w:r>
        <w:rPr>
          <w:rFonts w:hint="eastAsia" w:cs="Times New Roman"/>
          <w:b/>
          <w:color w:val="auto"/>
          <w:kern w:val="2"/>
          <w:sz w:val="36"/>
          <w:szCs w:val="20"/>
          <w:highlight w:val="none"/>
        </w:rPr>
        <w:br w:type="page"/>
      </w:r>
    </w:p>
    <w:p w14:paraId="6A24DD41">
      <w:pPr>
        <w:numPr>
          <w:ilvl w:val="0"/>
          <w:numId w:val="8"/>
        </w:numPr>
        <w:spacing w:line="440" w:lineRule="exact"/>
        <w:jc w:val="center"/>
        <w:outlineLvl w:val="0"/>
        <w:rPr>
          <w:rFonts w:hint="eastAsia" w:cs="Times New Roman"/>
          <w:b/>
          <w:color w:val="auto"/>
          <w:kern w:val="2"/>
          <w:sz w:val="36"/>
          <w:szCs w:val="20"/>
          <w:highlight w:val="none"/>
        </w:rPr>
      </w:pPr>
      <w:r>
        <w:rPr>
          <w:rFonts w:hint="eastAsia" w:cs="Times New Roman"/>
          <w:b/>
          <w:color w:val="auto"/>
          <w:kern w:val="2"/>
          <w:sz w:val="36"/>
          <w:szCs w:val="20"/>
          <w:highlight w:val="none"/>
        </w:rPr>
        <w:t>采购需求</w:t>
      </w:r>
      <w:bookmarkEnd w:id="21"/>
    </w:p>
    <w:p w14:paraId="74AB0432">
      <w:pPr>
        <w:numPr>
          <w:ilvl w:val="0"/>
          <w:numId w:val="0"/>
        </w:numPr>
        <w:spacing w:line="440" w:lineRule="exact"/>
        <w:jc w:val="both"/>
        <w:outlineLvl w:val="0"/>
        <w:rPr>
          <w:rFonts w:hint="eastAsia" w:cs="Times New Roman"/>
          <w:b/>
          <w:color w:val="auto"/>
          <w:kern w:val="2"/>
          <w:sz w:val="36"/>
          <w:szCs w:val="20"/>
          <w:highlight w:val="none"/>
        </w:rPr>
      </w:pPr>
    </w:p>
    <w:p w14:paraId="3F22D8B2">
      <w:pPr>
        <w:numPr>
          <w:ilvl w:val="0"/>
          <w:numId w:val="0"/>
        </w:numPr>
        <w:spacing w:line="440" w:lineRule="exact"/>
        <w:jc w:val="both"/>
        <w:outlineLvl w:val="0"/>
        <w:rPr>
          <w:rFonts w:hint="eastAsia" w:cs="Times New Roman"/>
          <w:b/>
          <w:color w:val="auto"/>
          <w:kern w:val="2"/>
          <w:sz w:val="36"/>
          <w:szCs w:val="20"/>
          <w:highlight w:val="none"/>
        </w:rPr>
      </w:pPr>
    </w:p>
    <w:p w14:paraId="1BFB1F4B">
      <w:pPr>
        <w:numPr>
          <w:ilvl w:val="0"/>
          <w:numId w:val="0"/>
        </w:numPr>
        <w:spacing w:line="360" w:lineRule="auto"/>
        <w:ind w:firstLine="480"/>
        <w:rPr>
          <w:rFonts w:hint="eastAsia" w:ascii="宋体" w:hAnsi="宋体" w:eastAsia="宋体" w:cs="宋体"/>
          <w:color w:val="auto"/>
          <w:sz w:val="24"/>
          <w:szCs w:val="24"/>
          <w:highlight w:val="none"/>
          <w:lang w:val="en-US" w:eastAsia="zh-CN"/>
        </w:rPr>
      </w:pPr>
      <w:bookmarkStart w:id="22" w:name="_Toc6913"/>
      <w:r>
        <w:rPr>
          <w:rFonts w:hint="eastAsia" w:ascii="宋体" w:hAnsi="宋体" w:eastAsia="宋体" w:cs="宋体"/>
          <w:color w:val="auto"/>
          <w:sz w:val="24"/>
          <w:szCs w:val="24"/>
          <w:highlight w:val="none"/>
          <w:lang w:val="en-US" w:eastAsia="zh-CN"/>
        </w:rPr>
        <w:t>项目名称：乌鲁木齐市冬季清洁取暖项目效果评估项目</w:t>
      </w:r>
    </w:p>
    <w:p w14:paraId="2428AB4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一、政策依据</w:t>
      </w:r>
    </w:p>
    <w:p w14:paraId="2B9C329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（1）《中华人民共和国环境保护法》；</w:t>
      </w:r>
    </w:p>
    <w:p w14:paraId="69AA32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（2）《中华人民共和国大气污染防治法》；</w:t>
      </w:r>
    </w:p>
    <w:p w14:paraId="7E770FB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（3）《新疆维吾尔自治区大气污染防治条例》；</w:t>
      </w:r>
    </w:p>
    <w:p w14:paraId="3CA87E7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（4）《大气污染防治资金管理办法》；</w:t>
      </w:r>
    </w:p>
    <w:p w14:paraId="4FD31D0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（5）《关于组织申报北方地区冬季清洁取暖项目的通知》（财办资环〔2021〕19号）</w:t>
      </w:r>
    </w:p>
    <w:p w14:paraId="38DBCA1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（6）《中央生态环境资金项目储备库入库指南（2021年）》（环办科财〔2021〕22号）；</w:t>
      </w:r>
    </w:p>
    <w:p w14:paraId="36D9F03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（7）《关于加强中央生态环境资金项目竣工验收管理的通知》（环办科财函〔2025〕299号）；</w:t>
      </w:r>
    </w:p>
    <w:p w14:paraId="01D50F5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（8）《北方地区冬季清洁取暖项目资金绩效评价办法》（财资环〔2022〕38号）；</w:t>
      </w:r>
    </w:p>
    <w:p w14:paraId="6627258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（9）《政府投资条例》；</w:t>
      </w:r>
    </w:p>
    <w:p w14:paraId="4A86FC6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（10）《新疆维吾尔自治区政府投资管理办法》（自治区人民政府令第247号）</w:t>
      </w:r>
    </w:p>
    <w:p w14:paraId="3A0AE1A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（11）《中央预算内投资补助和贴息项目管理办法》；</w:t>
      </w:r>
    </w:p>
    <w:p w14:paraId="2EBEDCE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（12）《企业投资项目核准和备案管理条例》；</w:t>
      </w:r>
    </w:p>
    <w:p w14:paraId="4AD0503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二、项目情况</w:t>
      </w:r>
    </w:p>
    <w:p w14:paraId="38DE374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深入贯彻国家及自治区关于北方地区冬季清洁取暖的工作部署，乌鲁木齐市近年来大力推进煤改气、煤改电、建筑节能改造等清洁取暖项目建设，有效改善冬季大气环境质量、保障民生供暖需求。为全面掌握项目实施成效、精准查找问题短板、科学优化后续政策与技术路径，现启动全市清洁取暖效果评估工作。</w:t>
      </w:r>
    </w:p>
    <w:p w14:paraId="3FB30B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乌鲁木齐市冬季清洁取暖项目效果评估，范围覆盖乌鲁木齐市所有7区、1县，工程包括3.9万户小燃煤供热设施清洁能源改造、735万平方米的目标任务，包含6大类53个子项目200余个分项工程，全部纳入本次评估范围。自主核查改造工程量，综合评估组织保障、配套政策、长效机制等工作效果，总结成效与存在的问题，保障评估结果真实有效。</w:t>
      </w:r>
    </w:p>
    <w:p w14:paraId="7549DE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三、招标控制价</w:t>
      </w:r>
    </w:p>
    <w:p w14:paraId="5079A50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198万元。</w:t>
      </w:r>
    </w:p>
    <w:p w14:paraId="7A6DEE4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四、服务要求</w:t>
      </w:r>
    </w:p>
    <w:p w14:paraId="6671788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对乌鲁木齐市2021年-2023年冬季清洁取暖项目完成情况及效果开展综合评估。</w:t>
      </w:r>
    </w:p>
    <w:p w14:paraId="4B91039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要求（包括但不限于以下内容）：一是工程实施与建设情况评估。核查工程项目建设完成情况与工程建设合规情况；审计专项资金资金使用规范情况。二是政策与机制评估。评估项目组织、资金管理、价格与补贴政策等制度建设与执行情况。三是目标完成情况评估。评估计划和实际完成的工程量、生态环境效益、满意度等目标完成情况。四是长效机制评估。从用户端和供给端对项目售后服务、长效运行、散煤禁烧等方面取得的效果进行评估。五是综合评价与对策建议。根据评估内容给出评价结论，提出相关优化建议。</w:t>
      </w:r>
    </w:p>
    <w:p w14:paraId="2349880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质量要求：评估内容全面、评估报告客观详实。数据真实准确、来源可追溯；建议可行、结论可靠，符合乌鲁木齐市实际情况。</w:t>
      </w:r>
    </w:p>
    <w:p w14:paraId="0E34F3C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团队成员：涵盖环境、财会等专业，不少于 8 人，其中中级职称及以上不少于 5 人。必须同时包含环境及财会专业技术人员。</w:t>
      </w:r>
    </w:p>
    <w:p w14:paraId="5D50DE6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进度要求：1）第一个月完成资料收集与入户调查等工作；2）第二个月完成报告撰写，通过专家评审与成果修改后提交至采购人。</w:t>
      </w:r>
    </w:p>
    <w:p w14:paraId="4F36315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五、服务期限要求</w:t>
      </w:r>
    </w:p>
    <w:p w14:paraId="12B232D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服务期限两个月。自合同签订之日起两个月内完成全部评估工作，提交正式评估报告并通过专家评审。若需后续补充调研、报告修改，服务期顺延。</w:t>
      </w:r>
    </w:p>
    <w:p w14:paraId="5053F16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六、付款方式</w:t>
      </w:r>
    </w:p>
    <w:p w14:paraId="24671F9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（1）中标人与采购人签订合同后，中标人向采购人开具发票，采购人以银行转账方式向中标人支付70%项目合同金额；</w:t>
      </w:r>
    </w:p>
    <w:p w14:paraId="2E66A10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（2）中标人按本项目招标文件及合同要求提交相关成果材料，经专家评审通过后，中标人向采购人开具发票，采购人以转账方式一次性向中标人支付合同剩余款项。</w:t>
      </w:r>
    </w:p>
    <w:p w14:paraId="650E530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七、所有内容最终以签订合同为准。</w:t>
      </w:r>
    </w:p>
    <w:p w14:paraId="07B2861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br w:type="page"/>
      </w:r>
    </w:p>
    <w:p w14:paraId="308370CC">
      <w:pPr>
        <w:spacing w:line="440" w:lineRule="exact"/>
        <w:jc w:val="center"/>
        <w:outlineLvl w:val="0"/>
        <w:rPr>
          <w:b/>
          <w:color w:val="auto"/>
          <w:sz w:val="36"/>
          <w:highlight w:val="none"/>
        </w:rPr>
      </w:pPr>
      <w:r>
        <w:rPr>
          <w:rFonts w:hint="eastAsia"/>
          <w:b/>
          <w:color w:val="auto"/>
          <w:sz w:val="36"/>
          <w:highlight w:val="none"/>
        </w:rPr>
        <w:t>第五部分</w:t>
      </w:r>
      <w:r>
        <w:rPr>
          <w:b/>
          <w:color w:val="auto"/>
          <w:sz w:val="36"/>
          <w:highlight w:val="none"/>
        </w:rPr>
        <w:t xml:space="preserve"> </w:t>
      </w:r>
      <w:r>
        <w:rPr>
          <w:rFonts w:hint="eastAsia"/>
          <w:b/>
          <w:color w:val="auto"/>
          <w:sz w:val="36"/>
          <w:highlight w:val="none"/>
        </w:rPr>
        <w:t>合同部分</w:t>
      </w:r>
      <w:bookmarkEnd w:id="22"/>
    </w:p>
    <w:p w14:paraId="0E1D306C">
      <w:pPr>
        <w:pStyle w:val="11"/>
        <w:numPr>
          <w:ilvl w:val="0"/>
          <w:numId w:val="0"/>
        </w:numPr>
        <w:spacing w:before="159" w:line="224" w:lineRule="auto"/>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（范本</w:t>
      </w:r>
      <w:r>
        <w:rPr>
          <w:rFonts w:hint="eastAsia" w:ascii="宋体" w:hAnsi="宋体" w:eastAsia="宋体" w:cs="宋体"/>
          <w:b/>
          <w:bCs/>
          <w:color w:val="auto"/>
          <w:spacing w:val="5"/>
          <w:highlight w:val="none"/>
          <w:lang w:eastAsia="zh-CN"/>
        </w:rPr>
        <w:t>具体以实际签订为准</w:t>
      </w:r>
      <w:r>
        <w:rPr>
          <w:rFonts w:hint="eastAsia" w:ascii="宋体" w:hAnsi="宋体" w:eastAsia="宋体" w:cs="宋体"/>
          <w:b/>
          <w:bCs/>
          <w:color w:val="auto"/>
          <w:spacing w:val="5"/>
          <w:highlight w:val="none"/>
        </w:rPr>
        <w:t>）</w:t>
      </w:r>
    </w:p>
    <w:p w14:paraId="0A2AD78F">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1、定义</w:t>
      </w:r>
    </w:p>
    <w:p w14:paraId="5CA46F8A">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 “合同”系指买方和卖方（以下简称合同双方） 已达成的协议， 即由双方签 订的合同格式文件， 包括所有的</w:t>
      </w:r>
      <w:r>
        <w:rPr>
          <w:rFonts w:hint="eastAsia" w:ascii="宋体" w:hAnsi="宋体" w:cs="宋体"/>
          <w:color w:val="auto"/>
          <w:spacing w:val="-2"/>
          <w:sz w:val="24"/>
          <w:szCs w:val="24"/>
          <w:highlight w:val="none"/>
          <w:lang w:eastAsia="zh-CN"/>
        </w:rPr>
        <w:t>招标文件</w:t>
      </w:r>
      <w:r>
        <w:rPr>
          <w:rFonts w:hint="eastAsia" w:ascii="宋体" w:hAnsi="宋体" w:eastAsia="宋体" w:cs="宋体"/>
          <w:color w:val="auto"/>
          <w:spacing w:val="-2"/>
          <w:sz w:val="24"/>
          <w:szCs w:val="24"/>
          <w:highlight w:val="none"/>
        </w:rPr>
        <w:t>、响应文件、答疑纪录、澄清说明、附件、附录和组成合同的所有其他文件。</w:t>
      </w:r>
    </w:p>
    <w:p w14:paraId="444AC2F4">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  “合同价格”系指根据合同规定，在卖方全面正确地履行合同义务时，买方应支付给卖方的款项。</w:t>
      </w:r>
    </w:p>
    <w:p w14:paraId="2D226D16">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1.3  “货物”系指卖方按合同要求，须向买方提供的一切设备、机械、仪器仪表、备品备件、工具、手册、其它技术资料和其它材料。</w:t>
      </w:r>
    </w:p>
    <w:p w14:paraId="6E80BFFE">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1.4  “服务”系指合同规定卖方必须承担的本项目以及其他类似义务。</w:t>
      </w:r>
    </w:p>
    <w:p w14:paraId="37CEAB52">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  “甲方”、“买方”、“采购方”均系指通过</w:t>
      </w:r>
      <w:r>
        <w:rPr>
          <w:rFonts w:hint="eastAsia" w:ascii="宋体" w:hAnsi="宋体" w:cs="宋体"/>
          <w:color w:val="auto"/>
          <w:spacing w:val="-2"/>
          <w:sz w:val="24"/>
          <w:szCs w:val="24"/>
          <w:highlight w:val="none"/>
          <w:lang w:eastAsia="zh-CN"/>
        </w:rPr>
        <w:t>招标</w:t>
      </w:r>
      <w:r>
        <w:rPr>
          <w:rFonts w:hint="eastAsia" w:ascii="宋体" w:hAnsi="宋体" w:eastAsia="宋体" w:cs="宋体"/>
          <w:color w:val="auto"/>
          <w:spacing w:val="-2"/>
          <w:sz w:val="24"/>
          <w:szCs w:val="24"/>
          <w:highlight w:val="none"/>
        </w:rPr>
        <w:t>采购，接受合同货物及服务的自治区各行政事业单位、社会团体(</w:t>
      </w:r>
      <w:r>
        <w:rPr>
          <w:rFonts w:hint="eastAsia" w:ascii="宋体" w:hAnsi="宋体" w:cs="宋体"/>
          <w:color w:val="auto"/>
          <w:spacing w:val="-2"/>
          <w:sz w:val="24"/>
          <w:szCs w:val="24"/>
          <w:highlight w:val="none"/>
          <w:lang w:eastAsia="zh-CN"/>
        </w:rPr>
        <w:t>招标单位</w:t>
      </w:r>
      <w:r>
        <w:rPr>
          <w:rFonts w:hint="eastAsia" w:ascii="宋体" w:hAnsi="宋体" w:eastAsia="宋体" w:cs="宋体"/>
          <w:color w:val="auto"/>
          <w:spacing w:val="-2"/>
          <w:sz w:val="24"/>
          <w:szCs w:val="24"/>
          <w:highlight w:val="none"/>
        </w:rPr>
        <w:t>)及社会代理机构。</w:t>
      </w:r>
    </w:p>
    <w:p w14:paraId="0586DD24">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  “乙方”、“卖方”系指成交后提供合同货物和服务的经济实体。</w:t>
      </w:r>
    </w:p>
    <w:p w14:paraId="4BE90165">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1.7   “现场”系指将要进行货物安装和运转的地点。</w:t>
      </w:r>
    </w:p>
    <w:p w14:paraId="4B47A393">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  “验收”系指买方依据国家技术规范及本合同的约定，对内技术规格规定接受合同货物所依据的程序和条件。</w:t>
      </w:r>
    </w:p>
    <w:p w14:paraId="1CBE3064">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2、适用范围</w:t>
      </w:r>
    </w:p>
    <w:p w14:paraId="33A0876C">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  本合同条款仅适用于本次采购活动。</w:t>
      </w:r>
    </w:p>
    <w:p w14:paraId="579BBC3F">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3、原产地</w:t>
      </w:r>
    </w:p>
    <w:p w14:paraId="4E10E397">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3.1  原产地系指货物的生产地，或提供辅助服务的来源地。</w:t>
      </w:r>
    </w:p>
    <w:p w14:paraId="1AE9615E">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4、技术规格和标准4.1 本合同项下所列服务的技术要求应与本</w:t>
      </w:r>
      <w:r>
        <w:rPr>
          <w:rFonts w:hint="eastAsia" w:ascii="宋体" w:hAnsi="宋体" w:cs="宋体"/>
          <w:color w:val="auto"/>
          <w:spacing w:val="-2"/>
          <w:sz w:val="24"/>
          <w:szCs w:val="24"/>
          <w:highlight w:val="none"/>
          <w:lang w:eastAsia="zh-CN"/>
        </w:rPr>
        <w:t>招标文件</w:t>
      </w:r>
      <w:r>
        <w:rPr>
          <w:rFonts w:hint="eastAsia" w:ascii="宋体" w:hAnsi="宋体" w:eastAsia="宋体" w:cs="宋体"/>
          <w:color w:val="auto"/>
          <w:spacing w:val="-2"/>
          <w:sz w:val="24"/>
          <w:szCs w:val="24"/>
          <w:highlight w:val="none"/>
        </w:rPr>
        <w:t>技术要求规定的标准相一致。若技术规格中无相应要求， 则应符合相应的国家标准或有关权威部门最新颁布的相应的正式标准</w:t>
      </w:r>
      <w:r>
        <w:rPr>
          <w:rFonts w:hint="eastAsia" w:ascii="宋体" w:hAnsi="宋体" w:eastAsia="宋体" w:cs="宋体"/>
          <w:color w:val="auto"/>
          <w:spacing w:val="-2"/>
          <w:sz w:val="24"/>
          <w:szCs w:val="24"/>
          <w:highlight w:val="none"/>
          <w:lang w:eastAsia="zh-CN"/>
        </w:rPr>
        <w:t>，若有多个标准的，则以最高标准为优先</w:t>
      </w:r>
      <w:r>
        <w:rPr>
          <w:rFonts w:hint="eastAsia" w:ascii="宋体" w:hAnsi="宋体" w:eastAsia="宋体" w:cs="宋体"/>
          <w:color w:val="auto"/>
          <w:spacing w:val="-2"/>
          <w:sz w:val="24"/>
          <w:szCs w:val="24"/>
          <w:highlight w:val="none"/>
        </w:rPr>
        <w:t>。</w:t>
      </w:r>
    </w:p>
    <w:p w14:paraId="769F01A8">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5、专利权</w:t>
      </w:r>
    </w:p>
    <w:p w14:paraId="28A2C8E0">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5.1  卖方须保障买方在使用其提供的货物、服务及其任何部分时不受到第三方 关于侵犯专利权、商标权或工业设计权的指控。任何第三方如果提出侵权指控， 卖方须与第三方交涉并承担由此而引起的一切法律责任和费用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且应向买方支付合同总金额5%的违约金，买方有权解除合同</w:t>
      </w:r>
      <w:r>
        <w:rPr>
          <w:rFonts w:hint="eastAsia" w:ascii="宋体" w:hAnsi="宋体" w:eastAsia="宋体" w:cs="宋体"/>
          <w:color w:val="auto"/>
          <w:spacing w:val="-2"/>
          <w:sz w:val="24"/>
          <w:szCs w:val="24"/>
          <w:highlight w:val="none"/>
        </w:rPr>
        <w:t>。</w:t>
      </w:r>
    </w:p>
    <w:p w14:paraId="6C999636">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6、保险</w:t>
      </w:r>
    </w:p>
    <w:p w14:paraId="4C24D0BE">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6.1 在合同价条件下，由卖方负责办理保险。 7、合同价款的支付方式</w:t>
      </w:r>
    </w:p>
    <w:p w14:paraId="73D62B49">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7.1 合同价款的支付方式以双方协商为准。（另有规定者外）。 </w:t>
      </w:r>
    </w:p>
    <w:p w14:paraId="693D0F1A">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8、履约保证金</w:t>
      </w:r>
    </w:p>
    <w:p w14:paraId="1BAA00A4">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9、检验</w:t>
      </w:r>
      <w:r>
        <w:rPr>
          <w:rFonts w:hint="eastAsia" w:ascii="宋体" w:hAnsi="宋体" w:cs="宋体"/>
          <w:color w:val="auto"/>
          <w:spacing w:val="-2"/>
          <w:sz w:val="24"/>
          <w:szCs w:val="24"/>
          <w:highlight w:val="none"/>
          <w:lang w:eastAsia="zh-CN"/>
        </w:rPr>
        <w:t>投标人</w:t>
      </w:r>
      <w:r>
        <w:rPr>
          <w:rFonts w:hint="eastAsia" w:ascii="宋体" w:hAnsi="宋体" w:eastAsia="宋体" w:cs="宋体"/>
          <w:color w:val="auto"/>
          <w:spacing w:val="-2"/>
          <w:sz w:val="24"/>
          <w:szCs w:val="24"/>
          <w:highlight w:val="none"/>
        </w:rPr>
        <w:t>应根据整体工作计划和安排完成软件测试的验收工作， 测试验收包含但不</w:t>
      </w:r>
    </w:p>
    <w:p w14:paraId="165E3B7E">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限于以下要求：完成所有测试工作；项目交付物齐全，符合项目要求及有关标准的规定；</w:t>
      </w:r>
    </w:p>
    <w:p w14:paraId="0F01CB6F">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测试报告详实、客观、有法律效力， 为信息系统上线和验收提供准确指导， 使系统达到使用和验收要求。</w:t>
      </w:r>
    </w:p>
    <w:p w14:paraId="69FFACDA">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10、不可抗力</w:t>
      </w:r>
    </w:p>
    <w:p w14:paraId="4C38CA2F">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10.1 签约任何一方由于受诸如战争、严重火灾、洪水、台风、地震等不可抗力事 故的影响而不能执行合同时， 履行合同的期限应予以延长， 则延长的期限应相当于事 故所影响的时间。不可抗力事故系指买卖双方在缔结合同时所不能预见的， 并且它的发生及其后果是无法避免和无法克服的事故。</w:t>
      </w:r>
    </w:p>
    <w:p w14:paraId="38211854">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10.2  受阻一方应在不可抗力事故发生后尽快用电报、传真或电传通知对方， 并 于事故发生后 15 天内将有关部门出具的证明文件用特快专递或挂号信等形式寄给对 方审阅确认。一旦不可抗力事故的影响持续 120 天以上， 双方应通过友好协商在合理的时间内达成进一步履行合同的协议。</w:t>
      </w:r>
    </w:p>
    <w:p w14:paraId="318791F6">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11、仲裁</w:t>
      </w:r>
    </w:p>
    <w:p w14:paraId="4A6B8667">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11.1 在执行本合同中发生的或与本合同有关的争端，双方应通过友好协商解决，经协商在 30 天内不能达成协议时，应提交仲裁。</w:t>
      </w:r>
    </w:p>
    <w:p w14:paraId="25DF3F24">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11.2 仲裁应由买方约定在买方所在地有管辖权人民法院管辖，根据其仲裁程序和规则进行。</w:t>
      </w:r>
    </w:p>
    <w:p w14:paraId="5DEBF3B5">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11.3 仲裁裁决为最终决定，并对双方具有约束力。</w:t>
      </w:r>
    </w:p>
    <w:p w14:paraId="0992FCAB">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11.4 除另有裁决外，仲裁费应由败诉方负担。</w:t>
      </w:r>
    </w:p>
    <w:p w14:paraId="237AFE6C">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11.5 在仲裁期间，除正在进行的仲裁部分外，合同其它部分继续执。 12、违约终止合同</w:t>
      </w:r>
    </w:p>
    <w:p w14:paraId="749CB791">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12.1 在补救违约而采取的任何其他措施未能实现的情况下，即在卖方收到买方发 出的违约通知后 30 天内(或经买方书面确认的更长时间内)仍未纠正其下述任何一种违约行为，买方可向卖方发出书面违约通知，终止全部或部分合同：</w:t>
      </w:r>
    </w:p>
    <w:p w14:paraId="447E3D41">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(1)如果卖方未能在合同规定的期限内或买方准许的任何延期内交付部分或全部货物。</w:t>
      </w:r>
    </w:p>
    <w:p w14:paraId="5459194C">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(2)卖方未能履行合同项下的其它义务。</w:t>
      </w:r>
    </w:p>
    <w:p w14:paraId="0BE51C58">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12.2  一旦买方根据第</w:t>
      </w:r>
      <w:r>
        <w:rPr>
          <w:rFonts w:hint="eastAsia" w:ascii="宋体" w:hAnsi="宋体" w:eastAsia="宋体" w:cs="宋体"/>
          <w:color w:val="auto"/>
          <w:spacing w:val="-2"/>
          <w:sz w:val="24"/>
          <w:szCs w:val="24"/>
          <w:highlight w:val="none"/>
          <w:lang w:val="en-US" w:eastAsia="zh-CN"/>
        </w:rPr>
        <w:t xml:space="preserve">12 </w:t>
      </w:r>
      <w:r>
        <w:rPr>
          <w:rFonts w:hint="eastAsia" w:ascii="宋体" w:hAnsi="宋体" w:eastAsia="宋体" w:cs="宋体"/>
          <w:color w:val="auto"/>
          <w:spacing w:val="-2"/>
          <w:sz w:val="24"/>
          <w:szCs w:val="24"/>
          <w:highlight w:val="none"/>
        </w:rPr>
        <w:t>.1 款终止部分或全部合同，买方可以按其认为适当的 条件和方式采购类似未交付部分的货物。卖方应承担买方购买类似货物的价格差及额外费用。但是，卖方应继续履行合同中未终止的部分。</w:t>
      </w:r>
    </w:p>
    <w:p w14:paraId="42AC624E">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（1）乙方交付的质量不符合甲方、本合同约定的违约责任。</w:t>
      </w:r>
    </w:p>
    <w:p w14:paraId="7102DF6D">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乙方违反本合同约定，或因其他原因给甲方造成损失的，应当赔偿甲方的全部损失。本条所称损失包括但不限于：直接损失、间接损失、实现债权的费用（包括但不限于：诉讼费、仲裁费、财产保全费、保全担保费、律师费、鉴定费、公证费、住宿费、差旅费等费用）。</w:t>
      </w:r>
    </w:p>
    <w:p w14:paraId="5FAFBAA4">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（3）招标文件视为合同的一部分，若卖方违反招标文件中的要求，视为违约，应承担该合同的违约责任。</w:t>
      </w:r>
    </w:p>
    <w:p w14:paraId="4C122C4A">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13、变更指示</w:t>
      </w:r>
    </w:p>
    <w:p w14:paraId="7A915A52">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13.1  买卖双方经友好协商可对某些条款作出更改和调整， 但不得对招投标内容做出实质性更改，且需以书面形式确认变更内容</w:t>
      </w:r>
    </w:p>
    <w:p w14:paraId="0AEED65B">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13.2 若上述变更导致了卖方履行合同项下任何部分义务的费用或所需时间的增  减， 应对合同价格或交货进度进行合理的调整， 同时相应地修改合同。卖方必须在接到买方的变更指示后 30 天内根据本款提出调整的实施意见。</w:t>
      </w:r>
    </w:p>
    <w:p w14:paraId="71962143">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14、合同修改</w:t>
      </w:r>
    </w:p>
    <w:p w14:paraId="1647B198">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14.1 欲对合同条款做出任何改动或偏离，均须由买卖双方签署书面的合同修改书。</w:t>
      </w:r>
    </w:p>
    <w:p w14:paraId="1E12CE78">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15、转让与分包</w:t>
      </w:r>
    </w:p>
    <w:p w14:paraId="73812CF3">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15.1 除买方事先同意外，卖方不得部分转让或全部转让其应履行的合同项下的义务。</w:t>
      </w:r>
    </w:p>
    <w:p w14:paraId="00E1354D">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15.2 卖方应书面通知买方本合同项下所授予的所有分包合同。但该通知不解除卖方承担的本合同项下的任何责任或义务。</w:t>
      </w:r>
    </w:p>
    <w:p w14:paraId="6DD1C96C">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16、适用法律</w:t>
      </w:r>
    </w:p>
    <w:p w14:paraId="5FAF2FB8">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16.1 本合同应按中华人民共和国的相关法律解释。</w:t>
      </w:r>
    </w:p>
    <w:p w14:paraId="6C12FBB1">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17、通知</w:t>
      </w:r>
    </w:p>
    <w:p w14:paraId="5E8998EE">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17.1 本合同任何一方给另一方的通知都应以书面或电传、电报、传真的形式发送，</w:t>
      </w:r>
    </w:p>
    <w:p w14:paraId="5CBBCA22">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而另一方应以书面形式确认并发送到对方明确的地址。双方在本合同中标明的通讯地址，是各自现实、有效的通讯地址，并作为双方将来进行诉讼时，送达的有效地址。本合同履行过程中的书面通知或往来函件，可以采用特快专递、电子邮件、短信的方式，寄往双方在本合同中标明的通讯地址。一方向他方在本合同中标明的地址发送的通知、函件，以查无此人或收件人拒绝接收为由被退回的，视为已送达。一方变更通讯地址，应在变更事由发生后3日内以书面方式通知对方。因变更地址的一方未按合同约定及时通知他方地址变更事项而导致通知无法送达的，视为已送达。</w:t>
      </w:r>
    </w:p>
    <w:p w14:paraId="29EE79E1">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甲方的联系电话：        ，电子邮箱号码：      ，地址：</w:t>
      </w:r>
    </w:p>
    <w:p w14:paraId="2306E755">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乙方的联系电话：        ，电子邮箱号码：      ，地址：</w:t>
      </w:r>
    </w:p>
    <w:p w14:paraId="118AAFCB">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（2）双方同意，如果双方之间的纠纷以诉讼方式解决的，人民法院可以按照本合同“通知”条款约定的双方地址、联系人、电子邮箱号码完成民事审判中的所有送达程序，双方均无异议。</w:t>
      </w:r>
    </w:p>
    <w:p w14:paraId="3C87F653">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18、合同文件及资料的使用</w:t>
      </w:r>
    </w:p>
    <w:p w14:paraId="3024BE5C">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18.1  除了买、卖方为执行合同所雇人员外，在未经买、卖双方同意的情况下， 买、卖方不得将合同、合同中的规定、有关规格、计划、图纸、式样透露给任何人。 买、卖方须在对外保密的前提下， 对其雇用人员提供有关情况， 所提供的情况仅限于执行本合同必不可少的范围内。</w:t>
      </w:r>
    </w:p>
    <w:p w14:paraId="7C6644F0">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18.2 除非执行合同需要， 在事先末得到买、卖方同意的情况下， 买、卖方不得将与本合同有关的任何文件和资料给第三方使用。</w:t>
      </w:r>
    </w:p>
    <w:p w14:paraId="7B022782">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19、合同生效及其他</w:t>
      </w:r>
    </w:p>
    <w:p w14:paraId="37AF87B5">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19.1 本合同应在买方和卖方签字盖章后生效。</w:t>
      </w:r>
      <w:r>
        <w:rPr>
          <w:rFonts w:hint="eastAsia" w:ascii="宋体" w:hAnsi="宋体" w:eastAsia="宋体" w:cs="宋体"/>
          <w:color w:val="auto"/>
          <w:spacing w:val="-2"/>
          <w:sz w:val="24"/>
          <w:szCs w:val="24"/>
          <w:highlight w:val="none"/>
          <w:lang w:val="en-US" w:eastAsia="zh-CN"/>
        </w:rPr>
        <w:t>买方每次付款前，卖方应出具等额合法有效的增值税专用发票或普通发票，因卖方增值税专用发票存在信息错误、不规范等问题的，卖方应在买方要求的时限内重新开具。卖方延迟开具发票或重新开具的，买方付款时间相应顺延。因卖方发票问题导致买方不能正常认证或抵扣的，卖方应赔偿买方因此遭受的相关损失。</w:t>
      </w:r>
    </w:p>
    <w:p w14:paraId="1B638B9D">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19.2 卖方须按技术规格中的规定，向买方提供与合同项下货物有关的现场安装调试、技术服务、培训等其他相关服务。</w:t>
      </w:r>
    </w:p>
    <w:p w14:paraId="58ED70BD">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19.3  商务合同应包括买方最后确认的价格条款和付款方式。</w:t>
      </w:r>
    </w:p>
    <w:p w14:paraId="4C8F3F7D">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19.4 下述文件将作为合同附件， 为本合同不可分割的组成部分， 并与本合具有同等效力；</w:t>
      </w:r>
    </w:p>
    <w:p w14:paraId="026F1B72">
      <w:pPr>
        <w:pStyle w:val="11"/>
        <w:spacing w:before="1" w:line="360" w:lineRule="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(1)</w:t>
      </w:r>
      <w:r>
        <w:rPr>
          <w:rFonts w:hint="eastAsia" w:ascii="宋体" w:hAnsi="宋体" w:cs="宋体"/>
          <w:color w:val="auto"/>
          <w:spacing w:val="-2"/>
          <w:sz w:val="24"/>
          <w:szCs w:val="24"/>
          <w:highlight w:val="none"/>
          <w:lang w:eastAsia="zh-CN"/>
        </w:rPr>
        <w:t>招标文件</w:t>
      </w:r>
    </w:p>
    <w:p w14:paraId="088D65AC">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(2)成交通知书</w:t>
      </w:r>
    </w:p>
    <w:p w14:paraId="6AD89B47">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(3)成交人的响应文件及询标过程中的书面答疑记录</w:t>
      </w:r>
    </w:p>
    <w:p w14:paraId="53C524A0">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20、质量保证</w:t>
      </w:r>
    </w:p>
    <w:p w14:paraId="4C0F791E">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20.1 因乙方原因造成甲方不能按时使用（根据合同有关条款）所购设备或服务时，乙方应根据合同规定向甲方做出赔偿。</w:t>
      </w:r>
    </w:p>
    <w:p w14:paraId="32C0396F">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20.2 成交方对合同项下货物按甲方要求提供的质保，质保期限自验收合格双方 签字时算起。在保修期内，成交方需提供免费的维修零配件及人工。质保期结束后，以当时（或低于）市场价维修。</w:t>
      </w:r>
    </w:p>
    <w:p w14:paraId="7F3AC640">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21、投标报价</w:t>
      </w:r>
    </w:p>
    <w:p w14:paraId="52A60448">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21.1  </w:t>
      </w:r>
      <w:r>
        <w:rPr>
          <w:rFonts w:hint="eastAsia" w:ascii="宋体" w:hAnsi="宋体" w:cs="宋体"/>
          <w:color w:val="auto"/>
          <w:spacing w:val="-2"/>
          <w:sz w:val="24"/>
          <w:szCs w:val="24"/>
          <w:highlight w:val="none"/>
          <w:lang w:eastAsia="zh-CN"/>
        </w:rPr>
        <w:t>招标</w:t>
      </w:r>
      <w:r>
        <w:rPr>
          <w:rFonts w:hint="eastAsia" w:ascii="宋体" w:hAnsi="宋体" w:eastAsia="宋体" w:cs="宋体"/>
          <w:color w:val="auto"/>
          <w:spacing w:val="-2"/>
          <w:sz w:val="24"/>
          <w:szCs w:val="24"/>
          <w:highlight w:val="none"/>
        </w:rPr>
        <w:t>报价：交钥匙服务价，内容见须知前附表。</w:t>
      </w:r>
    </w:p>
    <w:p w14:paraId="0ED7BE7F">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21.2  投标货币：人民币</w:t>
      </w:r>
    </w:p>
    <w:p w14:paraId="7E7A11BD">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21.3  列出详细的易损件、专用工具的清单，并分项报价（应包括在总价内）。清单内容应包括：名称、数量、单价、总价(如有以上项目)</w:t>
      </w:r>
    </w:p>
    <w:p w14:paraId="2104D8D0">
      <w:pPr>
        <w:pStyle w:val="11"/>
        <w:spacing w:before="1"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22、特殊要求合同特殊条款是对合同一般条款的补充和修改，如果两者之间有不一致之处时，应以特殊条款为准。</w:t>
      </w:r>
    </w:p>
    <w:p w14:paraId="1C1677E2">
      <w:pPr>
        <w:pStyle w:val="11"/>
        <w:spacing w:before="1" w:line="360" w:lineRule="auto"/>
        <w:jc w:val="center"/>
        <w:rPr>
          <w:b/>
          <w:color w:val="auto"/>
          <w:sz w:val="36"/>
          <w:highlight w:val="none"/>
        </w:rPr>
      </w:pPr>
      <w:r>
        <w:rPr>
          <w:rFonts w:hint="eastAsia" w:ascii="宋体" w:hAnsi="宋体" w:eastAsia="宋体" w:cs="宋体"/>
          <w:color w:val="auto"/>
          <w:spacing w:val="-2"/>
          <w:sz w:val="24"/>
          <w:szCs w:val="24"/>
          <w:highlight w:val="none"/>
        </w:rPr>
        <w:t>注： 本合同条款仅供参考，最终以甲方提供的样本并经甲乙双方协商一致的合同为准。</w:t>
      </w:r>
      <w:r>
        <w:rPr>
          <w:b/>
          <w:color w:val="auto"/>
          <w:sz w:val="36"/>
          <w:highlight w:val="none"/>
        </w:rPr>
        <w:br w:type="page"/>
      </w:r>
      <w:bookmarkStart w:id="23" w:name="_Toc20118"/>
      <w:r>
        <w:rPr>
          <w:rFonts w:hint="eastAsia"/>
          <w:b/>
          <w:color w:val="auto"/>
          <w:sz w:val="36"/>
          <w:highlight w:val="none"/>
        </w:rPr>
        <w:t>第六部分  投标文件格式</w:t>
      </w:r>
      <w:bookmarkEnd w:id="23"/>
    </w:p>
    <w:p w14:paraId="4C3225A0">
      <w:pPr>
        <w:rPr>
          <w:b/>
          <w:color w:val="auto"/>
          <w:highlight w:val="none"/>
        </w:rPr>
      </w:pPr>
    </w:p>
    <w:p w14:paraId="67B08C46">
      <w:pPr>
        <w:rPr>
          <w:rFonts w:hint="eastAsia"/>
          <w:color w:val="auto"/>
          <w:highlight w:val="none"/>
        </w:rPr>
      </w:pPr>
    </w:p>
    <w:p w14:paraId="6C3ADACB">
      <w:pPr>
        <w:rPr>
          <w:rFonts w:hint="eastAsia"/>
          <w:color w:val="auto"/>
          <w:highlight w:val="none"/>
        </w:rPr>
      </w:pPr>
    </w:p>
    <w:p w14:paraId="29AFC92A">
      <w:pPr>
        <w:jc w:val="center"/>
        <w:rPr>
          <w:b/>
          <w:color w:val="auto"/>
          <w:highlight w:val="none"/>
        </w:rPr>
      </w:pPr>
    </w:p>
    <w:p w14:paraId="7CE3D514">
      <w:pPr>
        <w:jc w:val="center"/>
        <w:rPr>
          <w:b/>
          <w:color w:val="auto"/>
          <w:highlight w:val="none"/>
        </w:rPr>
      </w:pPr>
    </w:p>
    <w:p w14:paraId="1AE30FF1">
      <w:pPr>
        <w:jc w:val="center"/>
        <w:rPr>
          <w:b/>
          <w:color w:val="auto"/>
          <w:highlight w:val="none"/>
        </w:rPr>
      </w:pPr>
    </w:p>
    <w:p w14:paraId="4E183D49">
      <w:pPr>
        <w:spacing w:line="360" w:lineRule="auto"/>
        <w:jc w:val="center"/>
        <w:rPr>
          <w:rFonts w:hint="eastAsia"/>
          <w:b/>
          <w:color w:val="auto"/>
          <w:sz w:val="36"/>
          <w:szCs w:val="36"/>
          <w:highlight w:val="none"/>
          <w:lang w:eastAsia="zh-CN"/>
        </w:rPr>
      </w:pPr>
      <w:r>
        <w:rPr>
          <w:rFonts w:hint="eastAsia"/>
          <w:b/>
          <w:color w:val="auto"/>
          <w:sz w:val="36"/>
          <w:szCs w:val="36"/>
          <w:highlight w:val="none"/>
          <w:lang w:eastAsia="zh-CN"/>
        </w:rPr>
        <w:t xml:space="preserve">乌鲁木齐市冬季清洁取暖项目效果评估项目 </w:t>
      </w:r>
    </w:p>
    <w:p w14:paraId="73220764">
      <w:pPr>
        <w:spacing w:line="360" w:lineRule="auto"/>
        <w:jc w:val="center"/>
        <w:rPr>
          <w:rFonts w:hint="eastAsia"/>
          <w:b/>
          <w:color w:val="auto"/>
          <w:sz w:val="36"/>
          <w:szCs w:val="36"/>
          <w:highlight w:val="none"/>
        </w:rPr>
      </w:pPr>
      <w:r>
        <w:rPr>
          <w:rFonts w:hint="eastAsia"/>
          <w:b/>
          <w:color w:val="auto"/>
          <w:sz w:val="36"/>
          <w:szCs w:val="36"/>
          <w:highlight w:val="none"/>
          <w:lang w:eastAsia="zh-CN"/>
        </w:rPr>
        <w:t>投标</w:t>
      </w:r>
      <w:r>
        <w:rPr>
          <w:rFonts w:hint="eastAsia"/>
          <w:b/>
          <w:color w:val="auto"/>
          <w:sz w:val="36"/>
          <w:szCs w:val="36"/>
          <w:highlight w:val="none"/>
        </w:rPr>
        <w:t>文件</w:t>
      </w:r>
    </w:p>
    <w:p w14:paraId="5BA87217">
      <w:pPr>
        <w:spacing w:line="360" w:lineRule="auto"/>
        <w:ind w:firstLine="480"/>
        <w:rPr>
          <w:color w:val="auto"/>
          <w:highlight w:val="none"/>
        </w:rPr>
      </w:pPr>
    </w:p>
    <w:p w14:paraId="0F8A5718">
      <w:pPr>
        <w:spacing w:line="360" w:lineRule="auto"/>
        <w:ind w:firstLine="480"/>
        <w:rPr>
          <w:color w:val="auto"/>
          <w:highlight w:val="none"/>
        </w:rPr>
      </w:pPr>
    </w:p>
    <w:p w14:paraId="524716F4">
      <w:pPr>
        <w:spacing w:line="360" w:lineRule="auto"/>
        <w:ind w:firstLine="480"/>
        <w:rPr>
          <w:color w:val="auto"/>
          <w:highlight w:val="none"/>
        </w:rPr>
      </w:pPr>
    </w:p>
    <w:p w14:paraId="65B26F1C">
      <w:pPr>
        <w:spacing w:line="360" w:lineRule="auto"/>
        <w:ind w:firstLine="480"/>
        <w:rPr>
          <w:color w:val="auto"/>
          <w:highlight w:val="none"/>
        </w:rPr>
      </w:pPr>
    </w:p>
    <w:p w14:paraId="4CCC2262">
      <w:pPr>
        <w:spacing w:line="360" w:lineRule="auto"/>
        <w:ind w:firstLine="480"/>
        <w:rPr>
          <w:color w:val="auto"/>
          <w:highlight w:val="none"/>
        </w:rPr>
      </w:pPr>
    </w:p>
    <w:p w14:paraId="0DE968C3">
      <w:pPr>
        <w:spacing w:line="360" w:lineRule="auto"/>
        <w:ind w:firstLine="480"/>
        <w:rPr>
          <w:color w:val="auto"/>
          <w:highlight w:val="none"/>
        </w:rPr>
      </w:pPr>
    </w:p>
    <w:p w14:paraId="2DC4ED3D">
      <w:pPr>
        <w:spacing w:line="360" w:lineRule="auto"/>
        <w:ind w:firstLine="480"/>
        <w:rPr>
          <w:color w:val="auto"/>
          <w:highlight w:val="none"/>
        </w:rPr>
      </w:pPr>
    </w:p>
    <w:p w14:paraId="7086C3F5">
      <w:pPr>
        <w:spacing w:line="360" w:lineRule="auto"/>
        <w:ind w:firstLine="480"/>
        <w:rPr>
          <w:color w:val="auto"/>
          <w:highlight w:val="none"/>
        </w:rPr>
      </w:pPr>
      <w:r>
        <w:rPr>
          <w:rFonts w:hint="eastAsia"/>
          <w:color w:val="auto"/>
          <w:highlight w:val="none"/>
        </w:rPr>
        <w:t>项目编号：</w:t>
      </w:r>
    </w:p>
    <w:p w14:paraId="2792293F">
      <w:pPr>
        <w:spacing w:line="360" w:lineRule="auto"/>
        <w:ind w:firstLine="480"/>
        <w:rPr>
          <w:color w:val="auto"/>
          <w:highlight w:val="none"/>
        </w:rPr>
      </w:pPr>
      <w:r>
        <w:rPr>
          <w:rFonts w:hint="eastAsia"/>
          <w:color w:val="auto"/>
          <w:highlight w:val="none"/>
        </w:rPr>
        <w:t>投标单位名称：</w:t>
      </w:r>
    </w:p>
    <w:p w14:paraId="5AF8B8C0">
      <w:pPr>
        <w:spacing w:line="440" w:lineRule="exact"/>
        <w:ind w:firstLine="480" w:firstLineChars="200"/>
        <w:rPr>
          <w:color w:val="auto"/>
          <w:highlight w:val="none"/>
        </w:rPr>
      </w:pPr>
      <w:r>
        <w:rPr>
          <w:rFonts w:hint="eastAsia"/>
          <w:color w:val="auto"/>
          <w:highlight w:val="none"/>
        </w:rPr>
        <w:t>投标内容/标项：</w:t>
      </w:r>
    </w:p>
    <w:p w14:paraId="7AC6D5F5">
      <w:pPr>
        <w:spacing w:line="360" w:lineRule="auto"/>
        <w:ind w:firstLine="480"/>
        <w:rPr>
          <w:color w:val="auto"/>
          <w:highlight w:val="none"/>
        </w:rPr>
      </w:pPr>
      <w:r>
        <w:rPr>
          <w:rFonts w:hint="eastAsia"/>
          <w:color w:val="auto"/>
          <w:highlight w:val="none"/>
        </w:rPr>
        <w:t>投标单位联系人：</w:t>
      </w:r>
    </w:p>
    <w:p w14:paraId="01CDE625">
      <w:pPr>
        <w:spacing w:line="360" w:lineRule="auto"/>
        <w:ind w:firstLine="480"/>
        <w:rPr>
          <w:color w:val="auto"/>
          <w:highlight w:val="none"/>
        </w:rPr>
      </w:pPr>
      <w:r>
        <w:rPr>
          <w:rFonts w:hint="eastAsia"/>
          <w:color w:val="auto"/>
          <w:highlight w:val="none"/>
        </w:rPr>
        <w:t>投标单位联系电话：</w:t>
      </w:r>
    </w:p>
    <w:p w14:paraId="2D31D74B">
      <w:pPr>
        <w:spacing w:line="360" w:lineRule="auto"/>
        <w:ind w:firstLine="480"/>
        <w:rPr>
          <w:color w:val="auto"/>
          <w:highlight w:val="none"/>
        </w:rPr>
      </w:pPr>
      <w:r>
        <w:rPr>
          <w:rFonts w:hint="eastAsia"/>
          <w:color w:val="auto"/>
          <w:highlight w:val="none"/>
        </w:rPr>
        <w:t>二〇  年  月</w:t>
      </w:r>
    </w:p>
    <w:p w14:paraId="6F122E57">
      <w:pPr>
        <w:rPr>
          <w:b/>
          <w:color w:val="auto"/>
          <w:highlight w:val="none"/>
        </w:rPr>
      </w:pPr>
      <w:r>
        <w:rPr>
          <w:color w:val="auto"/>
          <w:highlight w:val="none"/>
        </w:rPr>
        <w:br w:type="page"/>
      </w:r>
      <w:r>
        <w:rPr>
          <w:rFonts w:hint="eastAsia"/>
          <w:b/>
          <w:color w:val="auto"/>
          <w:highlight w:val="none"/>
        </w:rPr>
        <w:t>（一）报价要求响应文件</w:t>
      </w:r>
    </w:p>
    <w:p w14:paraId="6F7AB8B2">
      <w:pPr>
        <w:spacing w:line="360" w:lineRule="auto"/>
        <w:ind w:firstLine="240" w:firstLineChars="100"/>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开标一览表（附件1-</w:t>
      </w:r>
      <w:r>
        <w:rPr>
          <w:color w:val="auto"/>
          <w:highlight w:val="none"/>
        </w:rPr>
        <w:t>1</w:t>
      </w:r>
      <w:r>
        <w:rPr>
          <w:rFonts w:hint="eastAsia"/>
          <w:color w:val="auto"/>
          <w:highlight w:val="none"/>
        </w:rPr>
        <w:t>）</w:t>
      </w:r>
    </w:p>
    <w:p w14:paraId="55D178D4">
      <w:pPr>
        <w:spacing w:line="360" w:lineRule="auto"/>
        <w:ind w:firstLine="240" w:firstLineChars="100"/>
        <w:rPr>
          <w:rFonts w:hint="eastAsia" w:eastAsia="宋体"/>
          <w:color w:val="auto"/>
          <w:highlight w:val="none"/>
          <w:lang w:eastAsia="zh-CN"/>
        </w:rPr>
      </w:pPr>
      <w:r>
        <w:rPr>
          <w:color w:val="auto"/>
          <w:highlight w:val="none"/>
        </w:rPr>
        <w:t xml:space="preserve">2 </w:t>
      </w:r>
      <w:r>
        <w:rPr>
          <w:rFonts w:hint="eastAsia"/>
          <w:color w:val="auto"/>
          <w:highlight w:val="none"/>
        </w:rPr>
        <w:t>明细报价表（附件1-</w:t>
      </w:r>
      <w:r>
        <w:rPr>
          <w:color w:val="auto"/>
          <w:highlight w:val="none"/>
        </w:rPr>
        <w:t>2</w:t>
      </w:r>
      <w:r>
        <w:rPr>
          <w:rFonts w:hint="eastAsia"/>
          <w:color w:val="auto"/>
          <w:highlight w:val="none"/>
        </w:rPr>
        <w:t>）</w:t>
      </w:r>
      <w:r>
        <w:rPr>
          <w:rFonts w:hint="eastAsia"/>
          <w:color w:val="auto"/>
          <w:highlight w:val="none"/>
          <w:lang w:eastAsia="zh-CN"/>
        </w:rPr>
        <w:t>（如有）</w:t>
      </w:r>
    </w:p>
    <w:p w14:paraId="021CA3EF">
      <w:pPr>
        <w:spacing w:line="460" w:lineRule="atLeast"/>
        <w:jc w:val="center"/>
        <w:rPr>
          <w:b/>
          <w:color w:val="auto"/>
          <w:sz w:val="30"/>
          <w:highlight w:val="none"/>
        </w:rPr>
      </w:pPr>
      <w:r>
        <w:rPr>
          <w:rFonts w:hint="eastAsia"/>
          <w:color w:val="auto"/>
          <w:highlight w:val="none"/>
        </w:rPr>
        <w:br w:type="page"/>
      </w:r>
      <w:r>
        <w:rPr>
          <w:rFonts w:hint="eastAsia"/>
          <w:b/>
          <w:color w:val="auto"/>
          <w:sz w:val="30"/>
          <w:szCs w:val="30"/>
          <w:highlight w:val="none"/>
        </w:rPr>
        <w:t>附件1-</w:t>
      </w:r>
      <w:r>
        <w:rPr>
          <w:b/>
          <w:color w:val="auto"/>
          <w:sz w:val="30"/>
          <w:szCs w:val="30"/>
          <w:highlight w:val="none"/>
        </w:rPr>
        <w:t>1</w:t>
      </w:r>
      <w:r>
        <w:rPr>
          <w:rFonts w:hint="eastAsia"/>
          <w:b/>
          <w:color w:val="auto"/>
          <w:sz w:val="30"/>
          <w:szCs w:val="30"/>
          <w:highlight w:val="none"/>
        </w:rPr>
        <w:t xml:space="preserve">  </w:t>
      </w:r>
      <w:r>
        <w:rPr>
          <w:rFonts w:hint="eastAsia"/>
          <w:b/>
          <w:bCs/>
          <w:color w:val="auto"/>
          <w:sz w:val="30"/>
          <w:szCs w:val="30"/>
          <w:highlight w:val="none"/>
        </w:rPr>
        <w:t>开标一览表</w:t>
      </w:r>
    </w:p>
    <w:p w14:paraId="379C2CDF">
      <w:pPr>
        <w:pStyle w:val="85"/>
        <w:spacing w:line="440" w:lineRule="exact"/>
        <w:ind w:left="185" w:leftChars="-86" w:hanging="391" w:hangingChars="163"/>
        <w:jc w:val="both"/>
        <w:rPr>
          <w:rFonts w:ascii="宋体" w:hAnsi="宋体"/>
          <w:color w:val="auto"/>
          <w:highlight w:val="none"/>
        </w:rPr>
      </w:pPr>
      <w:r>
        <w:rPr>
          <w:rFonts w:hint="eastAsia" w:ascii="宋体" w:hAnsi="宋体"/>
          <w:color w:val="auto"/>
          <w:highlight w:val="none"/>
        </w:rPr>
        <w:t>招标项目名称：</w:t>
      </w:r>
      <w:r>
        <w:rPr>
          <w:rFonts w:ascii="宋体" w:hAnsi="宋体"/>
          <w:color w:val="auto"/>
          <w:highlight w:val="none"/>
        </w:rPr>
        <w:t xml:space="preserve">                          </w:t>
      </w:r>
      <w:r>
        <w:rPr>
          <w:rFonts w:hint="eastAsia" w:ascii="宋体" w:hAnsi="宋体"/>
          <w:color w:val="auto"/>
          <w:highlight w:val="none"/>
        </w:rPr>
        <w:t>投标单位名称：</w:t>
      </w:r>
      <w:r>
        <w:rPr>
          <w:rFonts w:ascii="宋体" w:hAnsi="宋体"/>
          <w:color w:val="auto"/>
          <w:highlight w:val="none"/>
        </w:rPr>
        <w:t xml:space="preserve">                            </w:t>
      </w:r>
    </w:p>
    <w:p w14:paraId="63CD429E">
      <w:pPr>
        <w:pStyle w:val="85"/>
        <w:spacing w:line="440" w:lineRule="exact"/>
        <w:ind w:left="185" w:leftChars="-86" w:hanging="391" w:hangingChars="163"/>
        <w:jc w:val="both"/>
        <w:rPr>
          <w:rFonts w:hint="eastAsia" w:ascii="宋体" w:hAnsi="宋体"/>
          <w:color w:val="auto"/>
          <w:highlight w:val="none"/>
        </w:rPr>
      </w:pPr>
      <w:r>
        <w:rPr>
          <w:rFonts w:hint="eastAsia" w:ascii="宋体" w:hAnsi="宋体"/>
          <w:color w:val="auto"/>
          <w:highlight w:val="none"/>
        </w:rPr>
        <w:t>项目编号：</w:t>
      </w:r>
      <w:r>
        <w:rPr>
          <w:rFonts w:ascii="宋体" w:hAnsi="宋体"/>
          <w:color w:val="auto"/>
          <w:highlight w: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13A4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14:paraId="58AC0EFD">
            <w:pPr>
              <w:spacing w:line="440" w:lineRule="exact"/>
              <w:jc w:val="center"/>
              <w:rPr>
                <w:bCs/>
                <w:color w:val="auto"/>
                <w:highlight w:val="none"/>
              </w:rPr>
            </w:pPr>
            <w:r>
              <w:rPr>
                <w:rFonts w:hint="eastAsia"/>
                <w:color w:val="auto"/>
                <w:highlight w:val="none"/>
              </w:rPr>
              <w:t>标项序号、名称</w:t>
            </w:r>
          </w:p>
        </w:tc>
        <w:tc>
          <w:tcPr>
            <w:tcW w:w="6687" w:type="dxa"/>
            <w:noWrap w:val="0"/>
            <w:vAlign w:val="center"/>
          </w:tcPr>
          <w:p w14:paraId="00126355">
            <w:pPr>
              <w:spacing w:line="440" w:lineRule="exact"/>
              <w:jc w:val="center"/>
              <w:rPr>
                <w:bCs/>
                <w:color w:val="auto"/>
                <w:highlight w:val="none"/>
              </w:rPr>
            </w:pPr>
            <w:r>
              <w:rPr>
                <w:rFonts w:hint="eastAsia"/>
                <w:bCs/>
                <w:color w:val="auto"/>
                <w:highlight w:val="none"/>
              </w:rPr>
              <w:t>投标总报价</w:t>
            </w:r>
          </w:p>
        </w:tc>
      </w:tr>
      <w:tr w14:paraId="1329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14:paraId="03934ECD">
            <w:pPr>
              <w:spacing w:line="440" w:lineRule="exact"/>
              <w:jc w:val="center"/>
              <w:rPr>
                <w:rFonts w:hint="eastAsia" w:eastAsia="宋体"/>
                <w:color w:val="auto"/>
                <w:highlight w:val="none"/>
                <w:lang w:val="en-US" w:eastAsia="zh-CN"/>
              </w:rPr>
            </w:pPr>
            <w:r>
              <w:rPr>
                <w:rFonts w:hint="eastAsia"/>
                <w:color w:val="auto"/>
                <w:highlight w:val="none"/>
                <w:lang w:val="en-US" w:eastAsia="zh-CN"/>
              </w:rPr>
              <w:t>投标报价</w:t>
            </w:r>
          </w:p>
        </w:tc>
        <w:tc>
          <w:tcPr>
            <w:tcW w:w="6687" w:type="dxa"/>
            <w:noWrap w:val="0"/>
            <w:vAlign w:val="center"/>
          </w:tcPr>
          <w:p w14:paraId="55F4C844">
            <w:pPr>
              <w:spacing w:line="440" w:lineRule="exact"/>
              <w:rPr>
                <w:color w:val="auto"/>
                <w:highlight w:val="none"/>
              </w:rPr>
            </w:pPr>
            <w:r>
              <w:rPr>
                <w:rFonts w:hint="eastAsia"/>
                <w:color w:val="auto"/>
                <w:highlight w:val="none"/>
              </w:rPr>
              <w:t>小写：￥</w:t>
            </w:r>
            <w:r>
              <w:rPr>
                <w:color w:val="auto"/>
                <w:highlight w:val="none"/>
              </w:rPr>
              <w:t xml:space="preserve">                                      </w:t>
            </w:r>
            <w:r>
              <w:rPr>
                <w:rFonts w:hint="eastAsia"/>
                <w:color w:val="auto"/>
                <w:highlight w:val="none"/>
              </w:rPr>
              <w:t>元</w:t>
            </w:r>
            <w:r>
              <w:rPr>
                <w:color w:val="auto"/>
                <w:highlight w:val="none"/>
              </w:rPr>
              <w:t xml:space="preserve">     </w:t>
            </w:r>
          </w:p>
        </w:tc>
      </w:tr>
      <w:tr w14:paraId="04A9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14:paraId="78ECF658">
            <w:pPr>
              <w:spacing w:line="440" w:lineRule="exact"/>
              <w:jc w:val="center"/>
              <w:rPr>
                <w:color w:val="auto"/>
                <w:highlight w:val="none"/>
              </w:rPr>
            </w:pPr>
          </w:p>
        </w:tc>
        <w:tc>
          <w:tcPr>
            <w:tcW w:w="6687" w:type="dxa"/>
            <w:noWrap w:val="0"/>
            <w:vAlign w:val="center"/>
          </w:tcPr>
          <w:p w14:paraId="4B525D8F">
            <w:pPr>
              <w:spacing w:line="440" w:lineRule="exact"/>
              <w:rPr>
                <w:color w:val="auto"/>
                <w:highlight w:val="none"/>
              </w:rPr>
            </w:pPr>
            <w:r>
              <w:rPr>
                <w:rFonts w:hint="eastAsia"/>
                <w:color w:val="auto"/>
                <w:highlight w:val="none"/>
              </w:rPr>
              <w:t>大写：</w:t>
            </w:r>
          </w:p>
        </w:tc>
      </w:tr>
      <w:tr w14:paraId="0644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125C5D3C">
            <w:pPr>
              <w:spacing w:line="440" w:lineRule="exact"/>
              <w:ind w:firstLine="960" w:firstLineChars="400"/>
              <w:rPr>
                <w:rFonts w:hint="eastAsia"/>
                <w:color w:val="auto"/>
                <w:highlight w:val="none"/>
              </w:rPr>
            </w:pPr>
            <w:r>
              <w:rPr>
                <w:rFonts w:hint="eastAsia"/>
                <w:color w:val="auto"/>
                <w:highlight w:val="none"/>
                <w:lang w:eastAsia="zh-CN"/>
              </w:rPr>
              <w:t>服务</w:t>
            </w:r>
            <w:r>
              <w:rPr>
                <w:rFonts w:hint="eastAsia"/>
                <w:color w:val="auto"/>
                <w:highlight w:val="none"/>
              </w:rPr>
              <w:t>期限</w:t>
            </w:r>
          </w:p>
        </w:tc>
        <w:tc>
          <w:tcPr>
            <w:tcW w:w="6687" w:type="dxa"/>
            <w:noWrap w:val="0"/>
            <w:vAlign w:val="center"/>
          </w:tcPr>
          <w:p w14:paraId="0FB7A408">
            <w:pPr>
              <w:spacing w:line="440" w:lineRule="exact"/>
              <w:rPr>
                <w:rFonts w:hint="eastAsia"/>
                <w:color w:val="auto"/>
                <w:highlight w:val="none"/>
              </w:rPr>
            </w:pPr>
            <w:r>
              <w:rPr>
                <w:rFonts w:hint="eastAsia"/>
                <w:color w:val="auto"/>
                <w:highlight w:val="none"/>
              </w:rPr>
              <w:t>合同签订后</w:t>
            </w:r>
            <w:r>
              <w:rPr>
                <w:rFonts w:hint="eastAsia"/>
                <w:color w:val="auto"/>
                <w:highlight w:val="none"/>
                <w:u w:val="single"/>
                <w:lang w:val="en-US" w:eastAsia="zh-CN"/>
              </w:rPr>
              <w:t xml:space="preserve">           </w:t>
            </w:r>
            <w:r>
              <w:rPr>
                <w:rFonts w:hint="eastAsia"/>
                <w:color w:val="auto"/>
                <w:highlight w:val="none"/>
              </w:rPr>
              <w:t>个日历日</w:t>
            </w:r>
          </w:p>
        </w:tc>
      </w:tr>
      <w:tr w14:paraId="3707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775CA8F9">
            <w:pPr>
              <w:spacing w:line="440" w:lineRule="exact"/>
              <w:ind w:firstLine="960" w:firstLineChars="4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质量要求</w:t>
            </w:r>
          </w:p>
        </w:tc>
        <w:tc>
          <w:tcPr>
            <w:tcW w:w="6687" w:type="dxa"/>
            <w:noWrap w:val="0"/>
            <w:vAlign w:val="center"/>
          </w:tcPr>
          <w:p w14:paraId="4B392059">
            <w:pPr>
              <w:spacing w:line="440" w:lineRule="exact"/>
              <w:ind w:firstLine="960" w:firstLineChars="400"/>
              <w:rPr>
                <w:rFonts w:hint="eastAsia" w:ascii="宋体" w:hAnsi="宋体" w:eastAsia="宋体" w:cs="宋体"/>
                <w:color w:val="auto"/>
                <w:highlight w:val="none"/>
                <w:lang w:eastAsia="zh-CN"/>
              </w:rPr>
            </w:pPr>
          </w:p>
        </w:tc>
      </w:tr>
    </w:tbl>
    <w:p w14:paraId="2597BAE7">
      <w:pPr>
        <w:pStyle w:val="85"/>
        <w:spacing w:line="440" w:lineRule="exact"/>
        <w:rPr>
          <w:rFonts w:hint="eastAsia" w:ascii="宋体" w:hAnsi="宋体"/>
          <w:color w:val="auto"/>
          <w:highlight w:val="none"/>
        </w:rPr>
      </w:pPr>
    </w:p>
    <w:p w14:paraId="1B02158E">
      <w:pPr>
        <w:pStyle w:val="85"/>
        <w:spacing w:line="440" w:lineRule="exact"/>
        <w:rPr>
          <w:rFonts w:ascii="宋体" w:hAnsi="宋体"/>
          <w:color w:val="auto"/>
          <w:highlight w:val="none"/>
        </w:rPr>
      </w:pPr>
      <w:r>
        <w:rPr>
          <w:rFonts w:hint="eastAsia" w:ascii="宋体" w:hAnsi="宋体"/>
          <w:color w:val="auto"/>
          <w:highlight w:val="none"/>
        </w:rPr>
        <w:t>兹声明：以上投标报价在投标有效期内一直有效。</w:t>
      </w:r>
    </w:p>
    <w:p w14:paraId="121C68B4">
      <w:pPr>
        <w:spacing w:line="440" w:lineRule="exact"/>
        <w:rPr>
          <w:color w:val="auto"/>
          <w:highlight w:val="none"/>
        </w:rPr>
      </w:pPr>
      <w:r>
        <w:rPr>
          <w:rFonts w:hint="eastAsia"/>
          <w:color w:val="auto"/>
          <w:highlight w:val="none"/>
        </w:rPr>
        <w:t>投标人名称（加盖公章）：</w:t>
      </w:r>
      <w:r>
        <w:rPr>
          <w:color w:val="auto"/>
          <w:highlight w:val="none"/>
          <w:u w:val="single"/>
        </w:rPr>
        <w:t xml:space="preserve">                               </w:t>
      </w:r>
    </w:p>
    <w:p w14:paraId="6EB27AF9">
      <w:pPr>
        <w:pStyle w:val="99"/>
        <w:keepNext w:val="0"/>
        <w:keepLines w:val="0"/>
        <w:adjustRightInd/>
        <w:spacing w:before="0" w:line="440" w:lineRule="exact"/>
        <w:textAlignment w:val="auto"/>
        <w:outlineLvl w:val="9"/>
        <w:rPr>
          <w:b w:val="0"/>
          <w:color w:val="auto"/>
          <w:kern w:val="2"/>
          <w:highlight w:val="none"/>
        </w:rPr>
      </w:pPr>
      <w:bookmarkStart w:id="24" w:name="_Toc6163"/>
      <w:r>
        <w:rPr>
          <w:rFonts w:hint="eastAsia"/>
          <w:b w:val="0"/>
          <w:color w:val="auto"/>
          <w:highlight w:val="none"/>
        </w:rPr>
        <w:t>投标人代表签字：</w:t>
      </w:r>
      <w:bookmarkEnd w:id="24"/>
      <w:r>
        <w:rPr>
          <w:b w:val="0"/>
          <w:color w:val="auto"/>
          <w:highlight w:val="none"/>
          <w:u w:val="single"/>
        </w:rPr>
        <w:t xml:space="preserve">                  </w:t>
      </w:r>
    </w:p>
    <w:p w14:paraId="70D19474">
      <w:pPr>
        <w:pStyle w:val="99"/>
        <w:keepNext w:val="0"/>
        <w:keepLines w:val="0"/>
        <w:adjustRightInd/>
        <w:spacing w:before="0" w:line="440" w:lineRule="exact"/>
        <w:textAlignment w:val="auto"/>
        <w:outlineLvl w:val="9"/>
        <w:rPr>
          <w:b w:val="0"/>
          <w:color w:val="auto"/>
          <w:kern w:val="2"/>
          <w:highlight w:val="none"/>
        </w:rPr>
      </w:pPr>
      <w:bookmarkStart w:id="25" w:name="_Toc20972"/>
      <w:r>
        <w:rPr>
          <w:rFonts w:hint="eastAsia"/>
          <w:b w:val="0"/>
          <w:color w:val="auto"/>
          <w:spacing w:val="36"/>
          <w:kern w:val="2"/>
          <w:highlight w:val="none"/>
        </w:rPr>
        <w:t>日期</w:t>
      </w:r>
      <w:r>
        <w:rPr>
          <w:rFonts w:hint="eastAsia"/>
          <w:b w:val="0"/>
          <w:color w:val="auto"/>
          <w:kern w:val="2"/>
          <w:highlight w:val="none"/>
        </w:rPr>
        <w:t>：</w:t>
      </w:r>
      <w:r>
        <w:rPr>
          <w:b w:val="0"/>
          <w:color w:val="auto"/>
          <w:kern w:val="2"/>
          <w:highlight w:val="none"/>
          <w:u w:val="single"/>
        </w:rPr>
        <w:t xml:space="preserve">       </w:t>
      </w:r>
      <w:r>
        <w:rPr>
          <w:rFonts w:hint="eastAsia"/>
          <w:b w:val="0"/>
          <w:color w:val="auto"/>
          <w:kern w:val="2"/>
          <w:highlight w:val="none"/>
        </w:rPr>
        <w:t>年</w:t>
      </w:r>
      <w:r>
        <w:rPr>
          <w:b w:val="0"/>
          <w:color w:val="auto"/>
          <w:kern w:val="2"/>
          <w:highlight w:val="none"/>
          <w:u w:val="single"/>
        </w:rPr>
        <w:t xml:space="preserve">     </w:t>
      </w:r>
      <w:r>
        <w:rPr>
          <w:rFonts w:hint="eastAsia"/>
          <w:b w:val="0"/>
          <w:color w:val="auto"/>
          <w:kern w:val="2"/>
          <w:highlight w:val="none"/>
        </w:rPr>
        <w:t>月</w:t>
      </w:r>
      <w:r>
        <w:rPr>
          <w:b w:val="0"/>
          <w:color w:val="auto"/>
          <w:kern w:val="2"/>
          <w:highlight w:val="none"/>
          <w:u w:val="single"/>
        </w:rPr>
        <w:t xml:space="preserve">    </w:t>
      </w:r>
      <w:r>
        <w:rPr>
          <w:rFonts w:hint="eastAsia"/>
          <w:b w:val="0"/>
          <w:color w:val="auto"/>
          <w:kern w:val="2"/>
          <w:highlight w:val="none"/>
        </w:rPr>
        <w:t>日</w:t>
      </w:r>
      <w:bookmarkEnd w:id="25"/>
    </w:p>
    <w:p w14:paraId="34223BC1">
      <w:pPr>
        <w:pStyle w:val="99"/>
        <w:keepNext w:val="0"/>
        <w:keepLines w:val="0"/>
        <w:adjustRightInd/>
        <w:spacing w:before="0" w:line="440" w:lineRule="exact"/>
        <w:textAlignment w:val="auto"/>
        <w:outlineLvl w:val="9"/>
        <w:rPr>
          <w:color w:val="auto"/>
          <w:kern w:val="2"/>
          <w:highlight w:val="none"/>
        </w:rPr>
      </w:pPr>
      <w:bookmarkStart w:id="26" w:name="_Toc12577"/>
      <w:r>
        <w:rPr>
          <w:rFonts w:hint="eastAsia"/>
          <w:color w:val="auto"/>
          <w:highlight w:val="none"/>
        </w:rPr>
        <w:t>注：</w:t>
      </w:r>
      <w:r>
        <w:rPr>
          <w:b w:val="0"/>
          <w:color w:val="auto"/>
          <w:highlight w:val="none"/>
        </w:rPr>
        <w:t>1</w:t>
      </w:r>
      <w:r>
        <w:rPr>
          <w:rFonts w:hint="eastAsia"/>
          <w:b w:val="0"/>
          <w:color w:val="auto"/>
          <w:highlight w:val="none"/>
        </w:rPr>
        <w:t>、此表需密封后单独提交。</w:t>
      </w:r>
      <w:bookmarkEnd w:id="26"/>
    </w:p>
    <w:p w14:paraId="3F5C9FC9">
      <w:pPr>
        <w:pStyle w:val="85"/>
        <w:spacing w:line="440" w:lineRule="exact"/>
        <w:ind w:firstLine="480" w:firstLineChars="200"/>
        <w:rPr>
          <w:rFonts w:ascii="宋体" w:hAnsi="宋体"/>
          <w:color w:val="auto"/>
          <w:kern w:val="2"/>
          <w:highlight w:val="none"/>
        </w:rPr>
      </w:pPr>
      <w:r>
        <w:rPr>
          <w:rFonts w:ascii="宋体" w:hAnsi="宋体"/>
          <w:color w:val="auto"/>
          <w:kern w:val="2"/>
          <w:highlight w:val="none"/>
        </w:rPr>
        <w:t>2</w:t>
      </w:r>
      <w:r>
        <w:rPr>
          <w:rFonts w:hint="eastAsia" w:ascii="宋体" w:hAnsi="宋体"/>
          <w:color w:val="auto"/>
          <w:kern w:val="2"/>
          <w:highlight w:val="none"/>
        </w:rPr>
        <w:t>、本表格式不得更改，投标人只能按要求填报。</w:t>
      </w:r>
    </w:p>
    <w:p w14:paraId="6470EEAB">
      <w:pPr>
        <w:pStyle w:val="4"/>
        <w:spacing w:after="100"/>
        <w:jc w:val="center"/>
        <w:rPr>
          <w:rFonts w:hint="eastAsia" w:eastAsia="宋体"/>
          <w:bCs/>
          <w:color w:val="auto"/>
          <w:highlight w:val="none"/>
          <w:lang w:eastAsia="zh-CN"/>
        </w:rPr>
      </w:pPr>
      <w:r>
        <w:rPr>
          <w:color w:val="auto"/>
          <w:highlight w:val="none"/>
        </w:rPr>
        <w:br w:type="page"/>
      </w:r>
      <w:bookmarkStart w:id="27" w:name="_Toc15924"/>
      <w:r>
        <w:rPr>
          <w:rFonts w:hint="eastAsia" w:ascii="宋体" w:hAnsi="宋体"/>
          <w:bCs/>
          <w:color w:val="auto"/>
          <w:sz w:val="30"/>
          <w:szCs w:val="30"/>
          <w:highlight w:val="none"/>
        </w:rPr>
        <w:t>附件1-</w:t>
      </w:r>
      <w:r>
        <w:rPr>
          <w:rFonts w:ascii="宋体" w:hAnsi="宋体"/>
          <w:bCs/>
          <w:color w:val="auto"/>
          <w:sz w:val="30"/>
          <w:szCs w:val="30"/>
          <w:highlight w:val="none"/>
        </w:rPr>
        <w:t>2</w:t>
      </w:r>
      <w:r>
        <w:rPr>
          <w:rFonts w:hint="eastAsia" w:ascii="宋体" w:hAnsi="宋体"/>
          <w:bCs/>
          <w:color w:val="auto"/>
          <w:sz w:val="30"/>
          <w:szCs w:val="30"/>
          <w:highlight w:val="none"/>
        </w:rPr>
        <w:t xml:space="preserve">  明细报价表</w:t>
      </w:r>
      <w:bookmarkEnd w:id="27"/>
      <w:r>
        <w:rPr>
          <w:rFonts w:hint="eastAsia" w:ascii="宋体" w:hAnsi="宋体"/>
          <w:bCs/>
          <w:color w:val="auto"/>
          <w:sz w:val="30"/>
          <w:szCs w:val="30"/>
          <w:highlight w:val="none"/>
          <w:lang w:eastAsia="zh-CN"/>
        </w:rPr>
        <w:t>（如有）</w:t>
      </w:r>
    </w:p>
    <w:p w14:paraId="4B12C0AC">
      <w:pPr>
        <w:tabs>
          <w:tab w:val="left" w:pos="5100"/>
        </w:tabs>
        <w:spacing w:line="440" w:lineRule="exact"/>
        <w:ind w:firstLine="352" w:firstLineChars="147"/>
        <w:rPr>
          <w:bCs/>
          <w:color w:val="auto"/>
          <w:highlight w:val="none"/>
        </w:rPr>
      </w:pPr>
      <w:r>
        <w:rPr>
          <w:rFonts w:hint="eastAsia"/>
          <w:bCs/>
          <w:color w:val="auto"/>
          <w:highlight w:val="none"/>
        </w:rPr>
        <w:t>项目名称：</w:t>
      </w:r>
      <w:r>
        <w:rPr>
          <w:bCs/>
          <w:color w:val="auto"/>
          <w:highlight w:val="none"/>
        </w:rPr>
        <w:t xml:space="preserve">                              </w:t>
      </w:r>
      <w:r>
        <w:rPr>
          <w:rFonts w:hint="eastAsia"/>
          <w:color w:val="auto"/>
          <w:highlight w:val="none"/>
        </w:rPr>
        <w:t>投标单位名称：</w:t>
      </w:r>
      <w:r>
        <w:rPr>
          <w:color w:val="auto"/>
          <w:highlight w:val="none"/>
        </w:rPr>
        <w:t xml:space="preserve">   </w:t>
      </w:r>
    </w:p>
    <w:p w14:paraId="4C55E926">
      <w:pPr>
        <w:pStyle w:val="85"/>
        <w:spacing w:line="440" w:lineRule="exact"/>
        <w:ind w:left="238" w:leftChars="99" w:firstLine="120" w:firstLineChars="50"/>
        <w:jc w:val="both"/>
        <w:rPr>
          <w:rFonts w:ascii="宋体" w:hAnsi="宋体"/>
          <w:bCs/>
          <w:color w:val="auto"/>
          <w:kern w:val="2"/>
          <w:highlight w:val="none"/>
        </w:rPr>
      </w:pPr>
      <w:r>
        <w:rPr>
          <w:rFonts w:hint="eastAsia" w:ascii="宋体" w:hAnsi="宋体"/>
          <w:bCs/>
          <w:color w:val="auto"/>
          <w:kern w:val="2"/>
          <w:highlight w:val="none"/>
        </w:rPr>
        <w:t>招标编号：</w:t>
      </w:r>
      <w:r>
        <w:rPr>
          <w:rFonts w:ascii="宋体" w:hAnsi="宋体"/>
          <w:bCs/>
          <w:color w:val="auto"/>
          <w:kern w:val="2"/>
          <w:highlight w:val="none"/>
        </w:rPr>
        <w:t xml:space="preserve">                            </w:t>
      </w:r>
      <w:r>
        <w:rPr>
          <w:rFonts w:hint="eastAsia" w:ascii="宋体" w:hAnsi="宋体"/>
          <w:bCs/>
          <w:color w:val="auto"/>
          <w:kern w:val="2"/>
          <w:highlight w:val="none"/>
        </w:rPr>
        <w:t xml:space="preserve">  </w:t>
      </w:r>
      <w:r>
        <w:rPr>
          <w:rFonts w:hint="eastAsia"/>
          <w:color w:val="auto"/>
          <w:highlight w:val="none"/>
        </w:rPr>
        <w:t>标项序号、名称：</w:t>
      </w:r>
    </w:p>
    <w:p w14:paraId="1B1787D6">
      <w:pPr>
        <w:spacing w:line="460" w:lineRule="atLeast"/>
        <w:rPr>
          <w:rFonts w:hint="eastAsia"/>
          <w:color w:val="auto"/>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4144"/>
        <w:gridCol w:w="1729"/>
        <w:gridCol w:w="1729"/>
      </w:tblGrid>
      <w:tr w14:paraId="3A35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1" w:type="dxa"/>
            <w:noWrap w:val="0"/>
            <w:vAlign w:val="center"/>
          </w:tcPr>
          <w:p w14:paraId="510BA158">
            <w:pPr>
              <w:spacing w:line="440" w:lineRule="exact"/>
              <w:jc w:val="center"/>
              <w:rPr>
                <w:bCs/>
                <w:color w:val="auto"/>
                <w:highlight w:val="none"/>
              </w:rPr>
            </w:pPr>
            <w:r>
              <w:rPr>
                <w:rFonts w:hint="eastAsia"/>
                <w:color w:val="auto"/>
                <w:highlight w:val="none"/>
              </w:rPr>
              <w:t>标项序号</w:t>
            </w:r>
          </w:p>
        </w:tc>
        <w:tc>
          <w:tcPr>
            <w:tcW w:w="4144" w:type="dxa"/>
            <w:noWrap w:val="0"/>
            <w:vAlign w:val="center"/>
          </w:tcPr>
          <w:p w14:paraId="3BFC6A2C">
            <w:pPr>
              <w:spacing w:line="440" w:lineRule="exact"/>
              <w:jc w:val="center"/>
              <w:rPr>
                <w:rFonts w:hint="eastAsia" w:eastAsia="宋体"/>
                <w:bCs/>
                <w:color w:val="auto"/>
                <w:highlight w:val="none"/>
                <w:lang w:eastAsia="zh-CN"/>
              </w:rPr>
            </w:pPr>
            <w:r>
              <w:rPr>
                <w:rFonts w:hint="eastAsia"/>
                <w:bCs/>
                <w:color w:val="auto"/>
                <w:highlight w:val="none"/>
                <w:lang w:eastAsia="zh-CN"/>
              </w:rPr>
              <w:t>服务内容</w:t>
            </w:r>
          </w:p>
        </w:tc>
        <w:tc>
          <w:tcPr>
            <w:tcW w:w="1729" w:type="dxa"/>
            <w:noWrap w:val="0"/>
            <w:vAlign w:val="center"/>
          </w:tcPr>
          <w:p w14:paraId="7DEEB550">
            <w:pPr>
              <w:spacing w:line="440" w:lineRule="exact"/>
              <w:jc w:val="center"/>
              <w:rPr>
                <w:rFonts w:hint="eastAsia" w:eastAsia="宋体"/>
                <w:bCs/>
                <w:color w:val="auto"/>
                <w:highlight w:val="none"/>
                <w:lang w:eastAsia="zh-CN"/>
              </w:rPr>
            </w:pPr>
            <w:r>
              <w:rPr>
                <w:rFonts w:hint="eastAsia"/>
                <w:bCs/>
                <w:color w:val="auto"/>
                <w:highlight w:val="none"/>
                <w:lang w:eastAsia="zh-CN"/>
              </w:rPr>
              <w:t>报价</w:t>
            </w:r>
          </w:p>
        </w:tc>
        <w:tc>
          <w:tcPr>
            <w:tcW w:w="1729" w:type="dxa"/>
            <w:noWrap w:val="0"/>
            <w:vAlign w:val="center"/>
          </w:tcPr>
          <w:p w14:paraId="622FF4AD">
            <w:pPr>
              <w:spacing w:line="440" w:lineRule="exact"/>
              <w:jc w:val="center"/>
              <w:rPr>
                <w:rFonts w:hint="eastAsia" w:eastAsia="宋体"/>
                <w:bCs/>
                <w:color w:val="auto"/>
                <w:highlight w:val="none"/>
                <w:lang w:eastAsia="zh-CN"/>
              </w:rPr>
            </w:pPr>
            <w:r>
              <w:rPr>
                <w:rFonts w:hint="eastAsia"/>
                <w:bCs/>
                <w:color w:val="auto"/>
                <w:highlight w:val="none"/>
                <w:lang w:eastAsia="zh-CN"/>
              </w:rPr>
              <w:t>备注</w:t>
            </w:r>
          </w:p>
        </w:tc>
      </w:tr>
      <w:tr w14:paraId="6C0D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1" w:type="dxa"/>
            <w:noWrap w:val="0"/>
            <w:vAlign w:val="center"/>
          </w:tcPr>
          <w:p w14:paraId="4D29584B">
            <w:pPr>
              <w:spacing w:line="440" w:lineRule="exact"/>
              <w:jc w:val="center"/>
              <w:rPr>
                <w:rFonts w:hint="eastAsia" w:eastAsia="宋体"/>
                <w:color w:val="auto"/>
                <w:highlight w:val="none"/>
                <w:lang w:val="en-US" w:eastAsia="zh-CN"/>
              </w:rPr>
            </w:pPr>
            <w:r>
              <w:rPr>
                <w:rFonts w:hint="eastAsia"/>
                <w:color w:val="auto"/>
                <w:highlight w:val="none"/>
                <w:lang w:val="en-US" w:eastAsia="zh-CN"/>
              </w:rPr>
              <w:t>1</w:t>
            </w:r>
          </w:p>
        </w:tc>
        <w:tc>
          <w:tcPr>
            <w:tcW w:w="4144" w:type="dxa"/>
            <w:noWrap w:val="0"/>
            <w:vAlign w:val="center"/>
          </w:tcPr>
          <w:p w14:paraId="01F39843">
            <w:pPr>
              <w:spacing w:line="440" w:lineRule="exact"/>
              <w:jc w:val="center"/>
              <w:rPr>
                <w:rFonts w:hint="eastAsia"/>
                <w:bCs/>
                <w:color w:val="auto"/>
                <w:highlight w:val="none"/>
              </w:rPr>
            </w:pPr>
          </w:p>
        </w:tc>
        <w:tc>
          <w:tcPr>
            <w:tcW w:w="1729" w:type="dxa"/>
            <w:noWrap w:val="0"/>
            <w:vAlign w:val="center"/>
          </w:tcPr>
          <w:p w14:paraId="06632E13">
            <w:pPr>
              <w:spacing w:line="440" w:lineRule="exact"/>
              <w:jc w:val="center"/>
              <w:rPr>
                <w:rFonts w:hint="eastAsia"/>
                <w:bCs/>
                <w:color w:val="auto"/>
                <w:highlight w:val="none"/>
              </w:rPr>
            </w:pPr>
          </w:p>
        </w:tc>
        <w:tc>
          <w:tcPr>
            <w:tcW w:w="1729" w:type="dxa"/>
            <w:noWrap w:val="0"/>
            <w:vAlign w:val="center"/>
          </w:tcPr>
          <w:p w14:paraId="1D7F0BC0">
            <w:pPr>
              <w:spacing w:line="440" w:lineRule="exact"/>
              <w:jc w:val="center"/>
              <w:rPr>
                <w:rFonts w:hint="eastAsia"/>
                <w:bCs/>
                <w:color w:val="auto"/>
                <w:highlight w:val="none"/>
              </w:rPr>
            </w:pPr>
          </w:p>
        </w:tc>
      </w:tr>
      <w:tr w14:paraId="3365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1" w:type="dxa"/>
            <w:noWrap w:val="0"/>
            <w:vAlign w:val="center"/>
          </w:tcPr>
          <w:p w14:paraId="1812B66F">
            <w:pPr>
              <w:spacing w:line="440" w:lineRule="exact"/>
              <w:jc w:val="center"/>
              <w:rPr>
                <w:rFonts w:hint="eastAsia" w:eastAsia="宋体"/>
                <w:color w:val="auto"/>
                <w:highlight w:val="none"/>
                <w:lang w:val="en-US" w:eastAsia="zh-CN"/>
              </w:rPr>
            </w:pPr>
            <w:r>
              <w:rPr>
                <w:rFonts w:hint="eastAsia"/>
                <w:color w:val="auto"/>
                <w:highlight w:val="none"/>
                <w:lang w:val="en-US" w:eastAsia="zh-CN"/>
              </w:rPr>
              <w:t>2</w:t>
            </w:r>
          </w:p>
        </w:tc>
        <w:tc>
          <w:tcPr>
            <w:tcW w:w="4144" w:type="dxa"/>
            <w:noWrap w:val="0"/>
            <w:vAlign w:val="center"/>
          </w:tcPr>
          <w:p w14:paraId="40AD2AAF">
            <w:pPr>
              <w:spacing w:line="440" w:lineRule="exact"/>
              <w:jc w:val="center"/>
              <w:rPr>
                <w:rFonts w:hint="eastAsia"/>
                <w:bCs/>
                <w:color w:val="auto"/>
                <w:highlight w:val="none"/>
              </w:rPr>
            </w:pPr>
          </w:p>
        </w:tc>
        <w:tc>
          <w:tcPr>
            <w:tcW w:w="1729" w:type="dxa"/>
            <w:noWrap w:val="0"/>
            <w:vAlign w:val="center"/>
          </w:tcPr>
          <w:p w14:paraId="2CAB5BF0">
            <w:pPr>
              <w:spacing w:line="440" w:lineRule="exact"/>
              <w:jc w:val="center"/>
              <w:rPr>
                <w:rFonts w:hint="eastAsia"/>
                <w:bCs/>
                <w:color w:val="auto"/>
                <w:highlight w:val="none"/>
              </w:rPr>
            </w:pPr>
          </w:p>
        </w:tc>
        <w:tc>
          <w:tcPr>
            <w:tcW w:w="1729" w:type="dxa"/>
            <w:noWrap w:val="0"/>
            <w:vAlign w:val="center"/>
          </w:tcPr>
          <w:p w14:paraId="7E49E27A">
            <w:pPr>
              <w:spacing w:line="440" w:lineRule="exact"/>
              <w:jc w:val="center"/>
              <w:rPr>
                <w:rFonts w:hint="eastAsia"/>
                <w:bCs/>
                <w:color w:val="auto"/>
                <w:highlight w:val="none"/>
              </w:rPr>
            </w:pPr>
          </w:p>
        </w:tc>
      </w:tr>
      <w:tr w14:paraId="043F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1" w:type="dxa"/>
            <w:noWrap w:val="0"/>
            <w:vAlign w:val="center"/>
          </w:tcPr>
          <w:p w14:paraId="3F9A5107">
            <w:pPr>
              <w:spacing w:line="440" w:lineRule="exact"/>
              <w:jc w:val="center"/>
              <w:rPr>
                <w:rFonts w:hint="default" w:eastAsia="宋体"/>
                <w:color w:val="auto"/>
                <w:highlight w:val="none"/>
                <w:lang w:val="en-US" w:eastAsia="zh-CN"/>
              </w:rPr>
            </w:pPr>
            <w:r>
              <w:rPr>
                <w:rFonts w:hint="eastAsia"/>
                <w:color w:val="auto"/>
                <w:highlight w:val="none"/>
                <w:lang w:val="en-US" w:eastAsia="zh-CN"/>
              </w:rPr>
              <w:t>...</w:t>
            </w:r>
          </w:p>
        </w:tc>
        <w:tc>
          <w:tcPr>
            <w:tcW w:w="4144" w:type="dxa"/>
            <w:noWrap w:val="0"/>
            <w:vAlign w:val="center"/>
          </w:tcPr>
          <w:p w14:paraId="7630F1B7">
            <w:pPr>
              <w:spacing w:line="440" w:lineRule="exact"/>
              <w:jc w:val="center"/>
              <w:rPr>
                <w:rFonts w:hint="eastAsia"/>
                <w:bCs/>
                <w:color w:val="auto"/>
                <w:highlight w:val="none"/>
              </w:rPr>
            </w:pPr>
          </w:p>
        </w:tc>
        <w:tc>
          <w:tcPr>
            <w:tcW w:w="1729" w:type="dxa"/>
            <w:noWrap w:val="0"/>
            <w:vAlign w:val="center"/>
          </w:tcPr>
          <w:p w14:paraId="07843B10">
            <w:pPr>
              <w:spacing w:line="440" w:lineRule="exact"/>
              <w:jc w:val="center"/>
              <w:rPr>
                <w:rFonts w:hint="eastAsia"/>
                <w:bCs/>
                <w:color w:val="auto"/>
                <w:highlight w:val="none"/>
              </w:rPr>
            </w:pPr>
          </w:p>
        </w:tc>
        <w:tc>
          <w:tcPr>
            <w:tcW w:w="1729" w:type="dxa"/>
            <w:noWrap w:val="0"/>
            <w:vAlign w:val="center"/>
          </w:tcPr>
          <w:p w14:paraId="7949AC01">
            <w:pPr>
              <w:spacing w:line="440" w:lineRule="exact"/>
              <w:jc w:val="center"/>
              <w:rPr>
                <w:rFonts w:hint="eastAsia"/>
                <w:bCs/>
                <w:color w:val="auto"/>
                <w:highlight w:val="none"/>
              </w:rPr>
            </w:pPr>
          </w:p>
        </w:tc>
      </w:tr>
      <w:tr w14:paraId="1BF0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51" w:type="dxa"/>
            <w:vMerge w:val="restart"/>
            <w:noWrap w:val="0"/>
            <w:vAlign w:val="center"/>
          </w:tcPr>
          <w:p w14:paraId="34A5E151">
            <w:pPr>
              <w:spacing w:line="440" w:lineRule="exact"/>
              <w:jc w:val="center"/>
              <w:rPr>
                <w:rFonts w:hint="eastAsia" w:eastAsia="宋体"/>
                <w:color w:val="auto"/>
                <w:highlight w:val="none"/>
                <w:lang w:val="en-US" w:eastAsia="zh-CN"/>
              </w:rPr>
            </w:pPr>
            <w:r>
              <w:rPr>
                <w:rFonts w:hint="eastAsia"/>
                <w:color w:val="auto"/>
                <w:highlight w:val="none"/>
                <w:lang w:val="en-US" w:eastAsia="zh-CN"/>
              </w:rPr>
              <w:t>投标总报价</w:t>
            </w:r>
          </w:p>
        </w:tc>
        <w:tc>
          <w:tcPr>
            <w:tcW w:w="7602" w:type="dxa"/>
            <w:gridSpan w:val="3"/>
            <w:noWrap w:val="0"/>
            <w:vAlign w:val="center"/>
          </w:tcPr>
          <w:p w14:paraId="369433F9">
            <w:pPr>
              <w:spacing w:line="440" w:lineRule="exact"/>
              <w:rPr>
                <w:rFonts w:hint="eastAsia"/>
                <w:color w:val="auto"/>
                <w:highlight w:val="none"/>
              </w:rPr>
            </w:pPr>
            <w:r>
              <w:rPr>
                <w:rFonts w:hint="eastAsia"/>
                <w:color w:val="auto"/>
                <w:highlight w:val="none"/>
              </w:rPr>
              <w:t>小写：</w:t>
            </w:r>
            <w:r>
              <w:rPr>
                <w:color w:val="auto"/>
                <w:highlight w:val="none"/>
              </w:rPr>
              <w:t xml:space="preserve">                                      </w:t>
            </w:r>
          </w:p>
        </w:tc>
      </w:tr>
      <w:tr w14:paraId="5C98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51" w:type="dxa"/>
            <w:vMerge w:val="continue"/>
            <w:noWrap w:val="0"/>
            <w:vAlign w:val="center"/>
          </w:tcPr>
          <w:p w14:paraId="0B43A428">
            <w:pPr>
              <w:spacing w:line="440" w:lineRule="exact"/>
              <w:jc w:val="center"/>
              <w:rPr>
                <w:color w:val="auto"/>
                <w:highlight w:val="none"/>
              </w:rPr>
            </w:pPr>
          </w:p>
        </w:tc>
        <w:tc>
          <w:tcPr>
            <w:tcW w:w="7602" w:type="dxa"/>
            <w:gridSpan w:val="3"/>
            <w:noWrap w:val="0"/>
            <w:vAlign w:val="center"/>
          </w:tcPr>
          <w:p w14:paraId="7CCC9F85">
            <w:pPr>
              <w:spacing w:line="440" w:lineRule="exact"/>
              <w:rPr>
                <w:rFonts w:hint="eastAsia"/>
                <w:color w:val="auto"/>
                <w:highlight w:val="none"/>
              </w:rPr>
            </w:pPr>
            <w:r>
              <w:rPr>
                <w:rFonts w:hint="eastAsia"/>
                <w:color w:val="auto"/>
                <w:highlight w:val="none"/>
              </w:rPr>
              <w:t>大写：</w:t>
            </w:r>
          </w:p>
        </w:tc>
      </w:tr>
      <w:tr w14:paraId="768E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51" w:type="dxa"/>
            <w:noWrap w:val="0"/>
            <w:vAlign w:val="center"/>
          </w:tcPr>
          <w:p w14:paraId="0C4A3D31">
            <w:pPr>
              <w:spacing w:line="440" w:lineRule="exact"/>
              <w:rPr>
                <w:rFonts w:hint="eastAsia"/>
                <w:color w:val="auto"/>
                <w:highlight w:val="none"/>
              </w:rPr>
            </w:pPr>
            <w:r>
              <w:rPr>
                <w:rFonts w:hint="eastAsia"/>
                <w:color w:val="auto"/>
                <w:highlight w:val="none"/>
                <w:lang w:eastAsia="zh-CN"/>
              </w:rPr>
              <w:t>服务</w:t>
            </w:r>
            <w:r>
              <w:rPr>
                <w:rFonts w:hint="eastAsia"/>
                <w:color w:val="auto"/>
                <w:highlight w:val="none"/>
              </w:rPr>
              <w:t>期限</w:t>
            </w:r>
          </w:p>
        </w:tc>
        <w:tc>
          <w:tcPr>
            <w:tcW w:w="7602" w:type="dxa"/>
            <w:gridSpan w:val="3"/>
            <w:noWrap w:val="0"/>
            <w:vAlign w:val="center"/>
          </w:tcPr>
          <w:p w14:paraId="44260EA2">
            <w:pPr>
              <w:spacing w:line="440" w:lineRule="exact"/>
              <w:rPr>
                <w:rFonts w:hint="eastAsia"/>
                <w:color w:val="auto"/>
                <w:highlight w:val="none"/>
              </w:rPr>
            </w:pPr>
          </w:p>
        </w:tc>
      </w:tr>
      <w:tr w14:paraId="1661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51" w:type="dxa"/>
            <w:noWrap w:val="0"/>
            <w:vAlign w:val="center"/>
          </w:tcPr>
          <w:p w14:paraId="3EB29DBB">
            <w:pPr>
              <w:spacing w:line="440" w:lineRule="exact"/>
              <w:rPr>
                <w:rFonts w:hint="eastAsia"/>
                <w:color w:val="auto"/>
                <w:highlight w:val="none"/>
                <w:lang w:eastAsia="zh-CN"/>
              </w:rPr>
            </w:pPr>
            <w:r>
              <w:rPr>
                <w:rFonts w:hint="eastAsia"/>
                <w:color w:val="auto"/>
                <w:highlight w:val="none"/>
                <w:lang w:eastAsia="zh-CN"/>
              </w:rPr>
              <w:t>质量要求</w:t>
            </w:r>
          </w:p>
        </w:tc>
        <w:tc>
          <w:tcPr>
            <w:tcW w:w="4144" w:type="dxa"/>
            <w:noWrap w:val="0"/>
            <w:vAlign w:val="center"/>
          </w:tcPr>
          <w:p w14:paraId="1FB49ED3">
            <w:pPr>
              <w:spacing w:line="440" w:lineRule="exact"/>
              <w:rPr>
                <w:rFonts w:hint="eastAsia"/>
                <w:color w:val="auto"/>
                <w:highlight w:val="none"/>
              </w:rPr>
            </w:pPr>
          </w:p>
        </w:tc>
        <w:tc>
          <w:tcPr>
            <w:tcW w:w="1729" w:type="dxa"/>
            <w:noWrap w:val="0"/>
            <w:vAlign w:val="center"/>
          </w:tcPr>
          <w:p w14:paraId="0E172ED3">
            <w:pPr>
              <w:spacing w:line="440" w:lineRule="exact"/>
              <w:rPr>
                <w:rFonts w:hint="eastAsia"/>
                <w:color w:val="auto"/>
                <w:highlight w:val="none"/>
              </w:rPr>
            </w:pPr>
          </w:p>
        </w:tc>
        <w:tc>
          <w:tcPr>
            <w:tcW w:w="1729" w:type="dxa"/>
            <w:noWrap w:val="0"/>
            <w:vAlign w:val="center"/>
          </w:tcPr>
          <w:p w14:paraId="21F28302">
            <w:pPr>
              <w:spacing w:line="440" w:lineRule="exact"/>
              <w:rPr>
                <w:rFonts w:hint="eastAsia"/>
                <w:color w:val="auto"/>
                <w:highlight w:val="none"/>
              </w:rPr>
            </w:pPr>
          </w:p>
        </w:tc>
      </w:tr>
    </w:tbl>
    <w:p w14:paraId="7F7F80D6">
      <w:pPr>
        <w:spacing w:line="460" w:lineRule="atLeast"/>
        <w:rPr>
          <w:rFonts w:hint="eastAsia"/>
          <w:color w:val="auto"/>
          <w:highlight w:val="none"/>
        </w:rPr>
      </w:pPr>
      <w:r>
        <w:rPr>
          <w:rFonts w:hint="eastAsia"/>
          <w:color w:val="auto"/>
          <w:highlight w:val="none"/>
        </w:rPr>
        <w:t>投标人代表签字：</w:t>
      </w:r>
    </w:p>
    <w:p w14:paraId="0DADB2D0">
      <w:pPr>
        <w:spacing w:line="460" w:lineRule="atLeast"/>
        <w:rPr>
          <w:color w:val="auto"/>
          <w:highlight w:val="none"/>
        </w:rPr>
      </w:pPr>
      <w:r>
        <w:rPr>
          <w:rFonts w:hint="eastAsia"/>
          <w:color w:val="auto"/>
          <w:highlight w:val="none"/>
        </w:rPr>
        <w:t>日期：</w:t>
      </w:r>
    </w:p>
    <w:p w14:paraId="170C5301">
      <w:pPr>
        <w:spacing w:line="440" w:lineRule="exact"/>
        <w:rPr>
          <w:color w:val="auto"/>
          <w:highlight w:val="none"/>
        </w:rPr>
      </w:pPr>
      <w:r>
        <w:rPr>
          <w:rFonts w:hint="eastAsia"/>
          <w:color w:val="auto"/>
          <w:highlight w:val="none"/>
        </w:rPr>
        <w:t>注：</w:t>
      </w:r>
      <w:r>
        <w:rPr>
          <w:color w:val="auto"/>
          <w:highlight w:val="none"/>
        </w:rPr>
        <w:t>1</w:t>
      </w:r>
      <w:r>
        <w:rPr>
          <w:rFonts w:hint="eastAsia"/>
          <w:color w:val="auto"/>
          <w:highlight w:val="none"/>
        </w:rPr>
        <w:t>、合计金额应为各分项价格之和。</w:t>
      </w:r>
    </w:p>
    <w:p w14:paraId="7D453BE7">
      <w:pPr>
        <w:spacing w:line="440" w:lineRule="exact"/>
        <w:ind w:firstLine="480" w:firstLineChars="200"/>
        <w:rPr>
          <w:color w:val="auto"/>
          <w:highlight w:val="none"/>
        </w:rPr>
      </w:pPr>
      <w:r>
        <w:rPr>
          <w:color w:val="auto"/>
          <w:highlight w:val="none"/>
        </w:rPr>
        <w:t>2</w:t>
      </w:r>
      <w:r>
        <w:rPr>
          <w:rFonts w:hint="eastAsia"/>
          <w:color w:val="auto"/>
          <w:highlight w:val="none"/>
        </w:rPr>
        <w:t>、上述报价包含一切由供方承担的费用。</w:t>
      </w:r>
    </w:p>
    <w:p w14:paraId="5B21034A">
      <w:pPr>
        <w:spacing w:line="360" w:lineRule="auto"/>
        <w:ind w:firstLine="480" w:firstLineChars="200"/>
        <w:rPr>
          <w:color w:val="auto"/>
          <w:highlight w:val="none"/>
        </w:rPr>
      </w:pPr>
      <w:r>
        <w:rPr>
          <w:rFonts w:hint="eastAsia"/>
          <w:color w:val="auto"/>
          <w:highlight w:val="none"/>
          <w:lang w:val="en-US" w:eastAsia="zh-CN"/>
        </w:rPr>
        <w:t>3</w:t>
      </w:r>
      <w:r>
        <w:rPr>
          <w:rFonts w:hint="eastAsia"/>
          <w:color w:val="auto"/>
          <w:highlight w:val="none"/>
        </w:rPr>
        <w:t>、为保证</w:t>
      </w:r>
      <w:r>
        <w:rPr>
          <w:rFonts w:hint="eastAsia"/>
          <w:color w:val="auto"/>
          <w:highlight w:val="none"/>
          <w:lang w:eastAsia="zh-CN"/>
        </w:rPr>
        <w:t>招标人</w:t>
      </w:r>
      <w:r>
        <w:rPr>
          <w:rFonts w:hint="eastAsia"/>
          <w:color w:val="auto"/>
          <w:highlight w:val="none"/>
        </w:rPr>
        <w:t>自动数据抓取的工作效率，要求投标文件的关于价格明细或分项报价的表格，需为word或者Execl形式的原始表格(比如在word中创建表格，再通过政采云平台转为PDF的投标文件)，而不能是拍照或者扫描图片。</w:t>
      </w:r>
      <w:r>
        <w:rPr>
          <w:color w:val="auto"/>
          <w:highlight w:val="none"/>
        </w:rPr>
        <w:br w:type="page"/>
      </w:r>
    </w:p>
    <w:p w14:paraId="7856F9D0">
      <w:pPr>
        <w:rPr>
          <w:b/>
          <w:color w:val="auto"/>
          <w:highlight w:val="none"/>
        </w:rPr>
      </w:pPr>
      <w:r>
        <w:rPr>
          <w:rFonts w:hint="eastAsia"/>
          <w:b/>
          <w:color w:val="auto"/>
          <w:highlight w:val="none"/>
        </w:rPr>
        <w:t>（二）资格响应文件</w:t>
      </w:r>
    </w:p>
    <w:p w14:paraId="5854AD17">
      <w:pPr>
        <w:jc w:val="both"/>
        <w:rPr>
          <w:rFonts w:hint="eastAsia"/>
          <w:b/>
          <w:color w:val="auto"/>
          <w:highlight w:val="none"/>
        </w:rPr>
      </w:pPr>
    </w:p>
    <w:p w14:paraId="6E2236BD">
      <w:pPr>
        <w:spacing w:line="360" w:lineRule="auto"/>
        <w:rPr>
          <w:rFonts w:hint="eastAsia"/>
          <w:b/>
          <w:color w:val="auto"/>
          <w:highlight w:val="none"/>
        </w:rPr>
      </w:pPr>
      <w:r>
        <w:rPr>
          <w:rFonts w:hint="eastAsia"/>
          <w:b/>
          <w:color w:val="auto"/>
          <w:highlight w:val="none"/>
        </w:rPr>
        <w:t>1、资格文件组成</w:t>
      </w:r>
    </w:p>
    <w:p w14:paraId="45F56376">
      <w:pPr>
        <w:spacing w:line="460" w:lineRule="exact"/>
        <w:rPr>
          <w:color w:val="auto"/>
          <w:highlight w:val="none"/>
        </w:rPr>
      </w:pPr>
      <w:bookmarkStart w:id="28" w:name="_Toc18205"/>
      <w:bookmarkStart w:id="29" w:name="_Toc14936"/>
      <w:bookmarkStart w:id="30" w:name="_Toc15731"/>
      <w:bookmarkStart w:id="31" w:name="_Toc19503"/>
      <w:r>
        <w:rPr>
          <w:rFonts w:hint="eastAsia"/>
          <w:color w:val="auto"/>
          <w:highlight w:val="none"/>
        </w:rPr>
        <w:t>一、法人或者其他组织的营业执照副本复印件或自然人的身份证明复印件</w:t>
      </w:r>
      <w:bookmarkEnd w:id="28"/>
      <w:bookmarkEnd w:id="29"/>
    </w:p>
    <w:bookmarkEnd w:id="30"/>
    <w:bookmarkEnd w:id="31"/>
    <w:p w14:paraId="4D59F457">
      <w:pPr>
        <w:spacing w:line="460" w:lineRule="exact"/>
        <w:rPr>
          <w:rFonts w:hint="eastAsia"/>
          <w:color w:val="auto"/>
          <w:highlight w:val="none"/>
        </w:rPr>
      </w:pPr>
      <w:r>
        <w:rPr>
          <w:rFonts w:hint="eastAsia"/>
          <w:color w:val="auto"/>
          <w:highlight w:val="none"/>
          <w:lang w:val="en-US" w:eastAsia="zh-CN"/>
        </w:rPr>
        <w:t>二</w:t>
      </w:r>
      <w:r>
        <w:rPr>
          <w:rFonts w:hint="eastAsia"/>
          <w:color w:val="auto"/>
          <w:highlight w:val="none"/>
        </w:rPr>
        <w:t>、提供</w:t>
      </w:r>
      <w:r>
        <w:rPr>
          <w:rFonts w:hint="eastAsia"/>
          <w:color w:val="auto"/>
          <w:highlight w:val="none"/>
          <w:lang w:eastAsia="zh-CN"/>
        </w:rPr>
        <w:t>一</w:t>
      </w:r>
      <w:r>
        <w:rPr>
          <w:rFonts w:hint="eastAsia"/>
          <w:color w:val="auto"/>
          <w:highlight w:val="none"/>
        </w:rPr>
        <w:t>年内任意一个月财务报表或上年度财务审计报告</w:t>
      </w:r>
    </w:p>
    <w:p w14:paraId="132B58C0">
      <w:pPr>
        <w:spacing w:line="460" w:lineRule="exact"/>
        <w:ind w:firstLine="240" w:firstLineChars="100"/>
        <w:rPr>
          <w:rFonts w:hint="eastAsia"/>
          <w:color w:val="auto"/>
          <w:highlight w:val="none"/>
        </w:rPr>
      </w:pPr>
      <w:r>
        <w:rPr>
          <w:rFonts w:hint="eastAsia"/>
          <w:color w:val="auto"/>
          <w:highlight w:val="none"/>
        </w:rPr>
        <w:t>（财务报表应至少包括资产负债表、损益表、现金流量表或财务状况变动表，当月新成立公司不需提供）</w:t>
      </w:r>
    </w:p>
    <w:p w14:paraId="33FCC634">
      <w:pPr>
        <w:spacing w:line="460" w:lineRule="exact"/>
        <w:rPr>
          <w:rFonts w:hint="eastAsia"/>
          <w:color w:val="auto"/>
          <w:highlight w:val="none"/>
        </w:rPr>
      </w:pPr>
      <w:r>
        <w:rPr>
          <w:rFonts w:hint="eastAsia"/>
          <w:color w:val="auto"/>
          <w:highlight w:val="none"/>
          <w:lang w:val="en-US" w:eastAsia="zh-CN"/>
        </w:rPr>
        <w:t>三</w:t>
      </w:r>
      <w:r>
        <w:rPr>
          <w:rFonts w:hint="eastAsia"/>
          <w:color w:val="auto"/>
          <w:highlight w:val="none"/>
        </w:rPr>
        <w:t>、提供的近半年内任意一月依法缴纳税收证明</w:t>
      </w:r>
    </w:p>
    <w:p w14:paraId="154A30E1">
      <w:pPr>
        <w:spacing w:line="460" w:lineRule="exact"/>
        <w:ind w:firstLine="240" w:firstLineChars="100"/>
        <w:rPr>
          <w:rFonts w:hint="eastAsia"/>
          <w:color w:val="auto"/>
          <w:highlight w:val="none"/>
        </w:rPr>
      </w:pPr>
      <w:r>
        <w:rPr>
          <w:rFonts w:hint="eastAsia"/>
          <w:color w:val="auto"/>
          <w:highlight w:val="none"/>
        </w:rPr>
        <w:t xml:space="preserve"> （提供的近半年内任意一月依法缴纳税收证明，当月新成立公司不需提供；无需纳税或免税的也需提供相应证明材料。）</w:t>
      </w:r>
    </w:p>
    <w:p w14:paraId="6C4E06EC">
      <w:pPr>
        <w:spacing w:line="460" w:lineRule="exact"/>
        <w:rPr>
          <w:rFonts w:hint="eastAsia"/>
          <w:color w:val="auto"/>
          <w:highlight w:val="none"/>
        </w:rPr>
      </w:pPr>
      <w:r>
        <w:rPr>
          <w:rFonts w:hint="eastAsia"/>
          <w:color w:val="auto"/>
          <w:highlight w:val="none"/>
          <w:lang w:val="en-US" w:eastAsia="zh-CN"/>
        </w:rPr>
        <w:t>四</w:t>
      </w:r>
      <w:r>
        <w:rPr>
          <w:rFonts w:hint="eastAsia"/>
          <w:color w:val="auto"/>
          <w:highlight w:val="none"/>
        </w:rPr>
        <w:t>、提供社保缴纳证明</w:t>
      </w:r>
    </w:p>
    <w:p w14:paraId="4879F082">
      <w:pPr>
        <w:spacing w:line="460" w:lineRule="exact"/>
        <w:ind w:firstLine="240" w:firstLineChars="100"/>
        <w:rPr>
          <w:rFonts w:hint="eastAsia"/>
          <w:color w:val="auto"/>
          <w:highlight w:val="none"/>
        </w:rPr>
      </w:pPr>
      <w:r>
        <w:rPr>
          <w:rFonts w:hint="eastAsia"/>
          <w:color w:val="auto"/>
          <w:highlight w:val="none"/>
        </w:rPr>
        <w:t>（近半年内任意一月社保缴纳证明，当月新成立公司不需提供）</w:t>
      </w:r>
    </w:p>
    <w:p w14:paraId="470A6DBA">
      <w:pPr>
        <w:spacing w:line="460" w:lineRule="exact"/>
        <w:rPr>
          <w:color w:val="auto"/>
          <w:highlight w:val="none"/>
        </w:rPr>
      </w:pPr>
      <w:r>
        <w:rPr>
          <w:rFonts w:hint="eastAsia"/>
          <w:color w:val="auto"/>
          <w:highlight w:val="none"/>
          <w:lang w:val="en-US" w:eastAsia="zh-CN"/>
        </w:rPr>
        <w:t>五</w:t>
      </w:r>
      <w:r>
        <w:rPr>
          <w:rFonts w:hint="eastAsia"/>
          <w:color w:val="auto"/>
          <w:highlight w:val="none"/>
        </w:rPr>
        <w:t>、具有履行合同所必需的设备和专业技术能力的证明材料或声明(由</w:t>
      </w:r>
      <w:r>
        <w:rPr>
          <w:rFonts w:hint="eastAsia"/>
          <w:color w:val="auto"/>
          <w:highlight w:val="none"/>
          <w:lang w:eastAsia="zh-CN"/>
        </w:rPr>
        <w:t>投标人</w:t>
      </w:r>
      <w:r>
        <w:rPr>
          <w:rFonts w:hint="eastAsia"/>
          <w:color w:val="auto"/>
          <w:highlight w:val="none"/>
        </w:rPr>
        <w:t>根据项目需求提供说明材料)</w:t>
      </w:r>
    </w:p>
    <w:p w14:paraId="2973F708">
      <w:pPr>
        <w:spacing w:line="460" w:lineRule="exact"/>
        <w:rPr>
          <w:rFonts w:hint="eastAsia"/>
          <w:color w:val="auto"/>
          <w:highlight w:val="none"/>
        </w:rPr>
      </w:pPr>
      <w:r>
        <w:rPr>
          <w:rFonts w:hint="eastAsia"/>
          <w:color w:val="auto"/>
          <w:highlight w:val="none"/>
          <w:lang w:val="en-US" w:eastAsia="zh-CN"/>
        </w:rPr>
        <w:t>六</w:t>
      </w:r>
      <w:r>
        <w:rPr>
          <w:rFonts w:hint="eastAsia"/>
          <w:color w:val="auto"/>
          <w:highlight w:val="none"/>
        </w:rPr>
        <w:t>、参加政府采购活动前三年内在经营活动中没有重大违法记录的书面声明</w:t>
      </w:r>
    </w:p>
    <w:p w14:paraId="6B866D34">
      <w:pPr>
        <w:spacing w:line="460" w:lineRule="exact"/>
        <w:outlineLvl w:val="0"/>
        <w:rPr>
          <w:color w:val="auto"/>
          <w:highlight w:val="none"/>
        </w:rPr>
      </w:pPr>
      <w:bookmarkStart w:id="32" w:name="_Toc25482"/>
      <w:r>
        <w:rPr>
          <w:rFonts w:hint="eastAsia"/>
          <w:color w:val="auto"/>
          <w:highlight w:val="none"/>
          <w:lang w:val="en-US" w:eastAsia="zh-CN"/>
        </w:rPr>
        <w:t>七</w:t>
      </w:r>
      <w:r>
        <w:rPr>
          <w:rFonts w:hint="eastAsia"/>
          <w:color w:val="auto"/>
          <w:highlight w:val="none"/>
        </w:rPr>
        <w:t>、其他资料</w:t>
      </w:r>
      <w:bookmarkEnd w:id="32"/>
    </w:p>
    <w:p w14:paraId="08FC8E0B">
      <w:pPr>
        <w:spacing w:line="460" w:lineRule="exact"/>
        <w:ind w:firstLine="240" w:firstLineChars="100"/>
        <w:rPr>
          <w:rFonts w:hint="eastAsia"/>
          <w:color w:val="auto"/>
          <w:highlight w:val="none"/>
          <w:lang w:val="en-US" w:eastAsia="zh-CN"/>
        </w:rPr>
      </w:pPr>
      <w:r>
        <w:rPr>
          <w:rFonts w:hint="eastAsia"/>
          <w:color w:val="auto"/>
          <w:highlight w:val="none"/>
        </w:rPr>
        <w:t>投标保证金凭证（电汇凭证或收据等）复印件</w:t>
      </w:r>
    </w:p>
    <w:p w14:paraId="05003D39">
      <w:pPr>
        <w:spacing w:line="460" w:lineRule="exact"/>
        <w:rPr>
          <w:rFonts w:hint="eastAsia"/>
          <w:color w:val="auto"/>
          <w:sz w:val="24"/>
          <w:szCs w:val="24"/>
          <w:highlight w:val="none"/>
        </w:rPr>
      </w:pPr>
      <w:r>
        <w:rPr>
          <w:rFonts w:hint="eastAsia"/>
          <w:color w:val="auto"/>
          <w:highlight w:val="none"/>
          <w:lang w:val="en-US" w:eastAsia="zh-CN"/>
        </w:rPr>
        <w:t>八</w:t>
      </w:r>
      <w:r>
        <w:rPr>
          <w:rFonts w:hint="eastAsia"/>
          <w:color w:val="auto"/>
          <w:highlight w:val="none"/>
        </w:rPr>
        <w:t>、其他特定资质：</w:t>
      </w:r>
    </w:p>
    <w:p w14:paraId="607718B4">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eastAsia="宋体" w:cs="Arial"/>
          <w:color w:val="auto"/>
          <w:highlight w:val="none"/>
          <w:lang w:val="en-US" w:eastAsia="zh-CN"/>
        </w:rPr>
      </w:pPr>
      <w:r>
        <w:rPr>
          <w:rFonts w:hint="eastAsia"/>
          <w:color w:val="auto"/>
          <w:sz w:val="24"/>
          <w:szCs w:val="24"/>
          <w:highlight w:val="none"/>
          <w:lang w:val="en-US" w:eastAsia="zh-CN"/>
        </w:rPr>
        <w:t>九、</w:t>
      </w:r>
      <w:r>
        <w:rPr>
          <w:rFonts w:hint="eastAsia" w:cs="Arial"/>
          <w:color w:val="auto"/>
          <w:highlight w:val="none"/>
        </w:rPr>
        <w:t xml:space="preserve">投标人在“信用中国”网站 WWW.creditchina.gov.cn、 中国政府采购网 www.ccgp.gov.cn </w:t>
      </w:r>
      <w:r>
        <w:rPr>
          <w:rFonts w:hint="eastAsia" w:cs="Arial"/>
          <w:color w:val="auto"/>
          <w:highlight w:val="none"/>
          <w:lang w:eastAsia="zh-CN"/>
        </w:rPr>
        <w:t>未</w:t>
      </w:r>
      <w:r>
        <w:rPr>
          <w:rFonts w:hint="eastAsia" w:cs="Arial"/>
          <w:color w:val="auto"/>
          <w:highlight w:val="none"/>
        </w:rPr>
        <w:t>被列入失信被执行人、重大税收违法案件当事人名单、政府采购严重违法失信行为记录名单的（尚在处罚期内的） 、经营异常名录的</w:t>
      </w:r>
    </w:p>
    <w:p w14:paraId="33FE4913">
      <w:pPr>
        <w:spacing w:line="460" w:lineRule="exact"/>
        <w:rPr>
          <w:rFonts w:hint="eastAsia"/>
          <w:b/>
          <w:color w:val="auto"/>
          <w:highlight w:val="none"/>
        </w:rPr>
      </w:pPr>
      <w:r>
        <w:rPr>
          <w:rFonts w:hint="eastAsia"/>
          <w:b/>
          <w:color w:val="auto"/>
          <w:highlight w:val="none"/>
        </w:rPr>
        <w:t>注：</w:t>
      </w:r>
    </w:p>
    <w:p w14:paraId="0F417B58">
      <w:pPr>
        <w:spacing w:line="460" w:lineRule="exact"/>
        <w:rPr>
          <w:bCs/>
          <w:color w:val="auto"/>
          <w:highlight w:val="none"/>
        </w:rPr>
      </w:pPr>
      <w:r>
        <w:rPr>
          <w:rFonts w:hint="eastAsia"/>
          <w:b/>
          <w:color w:val="auto"/>
          <w:highlight w:val="none"/>
        </w:rPr>
        <w:t>1.投标人制作投标文件，应按照投标文件组成顺序制作，编好始末页码且在投标文件目录中一一列明并对应。</w:t>
      </w:r>
    </w:p>
    <w:p w14:paraId="45A13166">
      <w:pPr>
        <w:spacing w:line="360" w:lineRule="auto"/>
        <w:rPr>
          <w:rFonts w:hint="eastAsia"/>
          <w:b/>
          <w:color w:val="auto"/>
          <w:highlight w:val="none"/>
        </w:rPr>
      </w:pPr>
      <w:r>
        <w:rPr>
          <w:rFonts w:hint="eastAsia"/>
          <w:b/>
          <w:color w:val="auto"/>
          <w:highlight w:val="none"/>
        </w:rPr>
        <w:t>2</w:t>
      </w:r>
      <w:r>
        <w:rPr>
          <w:b/>
          <w:color w:val="auto"/>
          <w:highlight w:val="none"/>
        </w:rPr>
        <w:t>.</w:t>
      </w:r>
      <w:r>
        <w:rPr>
          <w:rFonts w:hint="eastAsia"/>
          <w:b/>
          <w:color w:val="auto"/>
          <w:highlight w:val="none"/>
        </w:rPr>
        <w:t>招标文件没有提供格式的，投标人可自行设置。</w:t>
      </w:r>
    </w:p>
    <w:p w14:paraId="341C30EA">
      <w:pPr>
        <w:spacing w:line="360" w:lineRule="auto"/>
        <w:rPr>
          <w:color w:val="auto"/>
          <w:highlight w:val="none"/>
        </w:rPr>
      </w:pPr>
      <w:r>
        <w:rPr>
          <w:rFonts w:hint="eastAsia"/>
          <w:b/>
          <w:color w:val="auto"/>
          <w:highlight w:val="none"/>
        </w:rPr>
        <w:br w:type="page"/>
      </w:r>
      <w:r>
        <w:rPr>
          <w:rFonts w:hint="eastAsia"/>
          <w:b/>
          <w:color w:val="auto"/>
          <w:highlight w:val="none"/>
        </w:rPr>
        <w:t>2、资格文件格式</w:t>
      </w:r>
    </w:p>
    <w:p w14:paraId="7A49C138">
      <w:pPr>
        <w:jc w:val="center"/>
        <w:rPr>
          <w:rFonts w:hint="eastAsia" w:eastAsia="宋体"/>
          <w:color w:val="auto"/>
          <w:highlight w:val="none"/>
          <w:lang w:eastAsia="zh-CN"/>
        </w:rPr>
      </w:pPr>
      <w:r>
        <w:rPr>
          <w:rFonts w:hint="eastAsia"/>
          <w:b/>
          <w:color w:val="auto"/>
          <w:sz w:val="30"/>
          <w:szCs w:val="30"/>
          <w:highlight w:val="none"/>
        </w:rPr>
        <w:t xml:space="preserve">附件2-4    </w:t>
      </w:r>
      <w:r>
        <w:rPr>
          <w:rFonts w:hint="eastAsia"/>
          <w:b/>
          <w:color w:val="auto"/>
          <w:sz w:val="32"/>
          <w:szCs w:val="32"/>
          <w:highlight w:val="none"/>
        </w:rPr>
        <w:t>中小微企业声明函</w:t>
      </w:r>
      <w:r>
        <w:rPr>
          <w:rFonts w:hint="eastAsia"/>
          <w:b/>
          <w:color w:val="auto"/>
          <w:sz w:val="32"/>
          <w:szCs w:val="32"/>
          <w:highlight w:val="none"/>
          <w:lang w:eastAsia="zh-CN"/>
        </w:rPr>
        <w:t>（如有）</w:t>
      </w:r>
    </w:p>
    <w:p w14:paraId="2A494145">
      <w:pPr>
        <w:pStyle w:val="11"/>
        <w:spacing w:before="35" w:line="220" w:lineRule="auto"/>
        <w:ind w:left="3520"/>
        <w:rPr>
          <w:rFonts w:hint="eastAsia" w:ascii="宋体" w:hAnsi="宋体" w:eastAsia="宋体" w:cs="宋体"/>
          <w:color w:val="auto"/>
          <w:sz w:val="21"/>
          <w:highlight w:val="none"/>
        </w:rPr>
      </w:pPr>
      <w:r>
        <w:rPr>
          <w:rFonts w:hint="eastAsia" w:ascii="宋体" w:hAnsi="宋体" w:eastAsia="宋体" w:cs="宋体"/>
          <w:b/>
          <w:bCs/>
          <w:color w:val="auto"/>
          <w:spacing w:val="2"/>
          <w:sz w:val="28"/>
          <w:szCs w:val="28"/>
          <w:highlight w:val="none"/>
        </w:rPr>
        <w:t>中小企业声明函</w:t>
      </w:r>
    </w:p>
    <w:p w14:paraId="1C87CD21">
      <w:pPr>
        <w:pStyle w:val="11"/>
        <w:spacing w:before="78" w:line="359" w:lineRule="auto"/>
        <w:ind w:left="3" w:firstLine="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本公司（联合体）郑重声明，根据《政府采购促进中小</w:t>
      </w:r>
      <w:r>
        <w:rPr>
          <w:rFonts w:hint="eastAsia" w:ascii="宋体" w:hAnsi="宋体" w:eastAsia="宋体" w:cs="宋体"/>
          <w:color w:val="auto"/>
          <w:spacing w:val="2"/>
          <w:sz w:val="24"/>
          <w:szCs w:val="24"/>
          <w:highlight w:val="none"/>
        </w:rPr>
        <w:t>企业发展管理办法》（财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库﹝2020﹞46</w:t>
      </w:r>
      <w:r>
        <w:rPr>
          <w:rFonts w:hint="eastAsia" w:ascii="宋体" w:hAnsi="宋体" w:eastAsia="宋体" w:cs="宋体"/>
          <w:color w:val="auto"/>
          <w:spacing w:val="15"/>
          <w:w w:val="101"/>
          <w:sz w:val="24"/>
          <w:szCs w:val="24"/>
          <w:highlight w:val="none"/>
        </w:rPr>
        <w:t xml:space="preserve">  </w:t>
      </w:r>
      <w:r>
        <w:rPr>
          <w:rFonts w:hint="eastAsia" w:ascii="宋体" w:hAnsi="宋体" w:eastAsia="宋体" w:cs="宋体"/>
          <w:color w:val="auto"/>
          <w:spacing w:val="-4"/>
          <w:sz w:val="24"/>
          <w:szCs w:val="24"/>
          <w:highlight w:val="none"/>
        </w:rPr>
        <w:t>号）的规定，本公司（联合体）参加  （单位名称）  的</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采购活动，工程的施工单位全部为符合政策要求的</w:t>
      </w:r>
      <w:r>
        <w:rPr>
          <w:rFonts w:hint="eastAsia" w:ascii="宋体" w:hAnsi="宋体" w:cs="宋体"/>
          <w:color w:val="auto"/>
          <w:spacing w:val="10"/>
          <w:sz w:val="24"/>
          <w:szCs w:val="24"/>
          <w:highlight w:val="none"/>
          <w:lang w:eastAsia="zh-CN"/>
        </w:rPr>
        <w:t>小微</w:t>
      </w:r>
      <w:r>
        <w:rPr>
          <w:rFonts w:hint="eastAsia" w:ascii="宋体" w:hAnsi="宋体" w:eastAsia="宋体" w:cs="宋体"/>
          <w:color w:val="auto"/>
          <w:spacing w:val="10"/>
          <w:sz w:val="24"/>
          <w:szCs w:val="24"/>
          <w:highlight w:val="none"/>
        </w:rPr>
        <w:t>企业（或者：服务全部由符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合政策要求的中小企业承接） 。相关企业（</w:t>
      </w:r>
      <w:r>
        <w:rPr>
          <w:rFonts w:hint="eastAsia" w:ascii="宋体" w:hAnsi="宋体" w:eastAsia="宋体" w:cs="宋体"/>
          <w:color w:val="auto"/>
          <w:spacing w:val="6"/>
          <w:sz w:val="24"/>
          <w:szCs w:val="24"/>
          <w:highlight w:val="none"/>
        </w:rPr>
        <w:t>含联合体中的中小企业、签订分包意向</w:t>
      </w:r>
    </w:p>
    <w:p w14:paraId="21DD2967">
      <w:pPr>
        <w:pStyle w:val="11"/>
        <w:spacing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协议的中小企业）的具体情况如下：</w:t>
      </w:r>
    </w:p>
    <w:p w14:paraId="75BA9DE6">
      <w:pPr>
        <w:pStyle w:val="11"/>
        <w:spacing w:before="182" w:line="359" w:lineRule="auto"/>
        <w:ind w:left="3" w:right="99" w:firstLine="49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 xml:space="preserve">1.  </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14"/>
          <w:sz w:val="24"/>
          <w:szCs w:val="24"/>
          <w:highlight w:val="none"/>
        </w:rPr>
        <w:t xml:space="preserve"> （标的名称</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20"/>
          <w:sz w:val="24"/>
          <w:szCs w:val="24"/>
          <w:highlight w:val="none"/>
        </w:rPr>
        <w:t xml:space="preserve"> </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14"/>
          <w:sz w:val="24"/>
          <w:szCs w:val="24"/>
          <w:highlight w:val="none"/>
        </w:rPr>
        <w:t xml:space="preserve"> （采购文件中明确的所属行业</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4"/>
          <w:sz w:val="24"/>
          <w:szCs w:val="24"/>
          <w:highlight w:val="none"/>
        </w:rPr>
        <w:t>承建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96"/>
          <w:sz w:val="24"/>
          <w:szCs w:val="24"/>
          <w:highlight w:val="none"/>
        </w:rPr>
        <w:t xml:space="preserve"> </w:t>
      </w:r>
      <w:r>
        <w:rPr>
          <w:rFonts w:hint="eastAsia" w:ascii="宋体" w:hAnsi="宋体" w:eastAsia="宋体" w:cs="宋体"/>
          <w:color w:val="auto"/>
          <w:spacing w:val="-14"/>
          <w:sz w:val="24"/>
          <w:szCs w:val="24"/>
          <w:highlight w:val="none"/>
        </w:rPr>
        <w:t>（承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接）企业为</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2"/>
          <w:sz w:val="24"/>
          <w:szCs w:val="24"/>
          <w:highlight w:val="none"/>
        </w:rPr>
        <w:t>（企业名称</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2"/>
          <w:sz w:val="24"/>
          <w:szCs w:val="24"/>
          <w:highlight w:val="none"/>
        </w:rPr>
        <w:t>从业人员</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12"/>
          <w:sz w:val="24"/>
          <w:szCs w:val="24"/>
          <w:highlight w:val="none"/>
        </w:rPr>
        <w:t>人，营业收入为</w:t>
      </w:r>
      <w:r>
        <w:rPr>
          <w:rFonts w:hint="eastAsia" w:ascii="宋体" w:hAnsi="宋体" w:eastAsia="宋体" w:cs="宋体"/>
          <w:color w:val="auto"/>
          <w:spacing w:val="-120"/>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12"/>
          <w:sz w:val="24"/>
          <w:szCs w:val="24"/>
          <w:highlight w:val="none"/>
        </w:rPr>
        <w:t>万元，资产总额</w:t>
      </w:r>
      <w:r>
        <w:rPr>
          <w:rFonts w:hint="eastAsia" w:ascii="宋体" w:hAnsi="宋体" w:eastAsia="宋体" w:cs="宋体"/>
          <w:color w:val="auto"/>
          <w:spacing w:val="-13"/>
          <w:sz w:val="24"/>
          <w:szCs w:val="24"/>
          <w:highlight w:val="none"/>
        </w:rPr>
        <w:t>为</w:t>
      </w:r>
      <w:r>
        <w:rPr>
          <w:rFonts w:hint="eastAsia" w:ascii="宋体" w:hAnsi="宋体" w:eastAsia="宋体" w:cs="宋体"/>
          <w:color w:val="auto"/>
          <w:spacing w:val="-119"/>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13"/>
          <w:sz w:val="24"/>
          <w:szCs w:val="24"/>
          <w:highlight w:val="none"/>
        </w:rPr>
        <w:t>万</w:t>
      </w:r>
    </w:p>
    <w:p w14:paraId="68D5766F">
      <w:pPr>
        <w:pStyle w:val="11"/>
        <w:spacing w:line="219"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元</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9"/>
          <w:sz w:val="24"/>
          <w:szCs w:val="24"/>
          <w:highlight w:val="none"/>
        </w:rPr>
        <w:t>，属于</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 xml:space="preserve"> （小型企业、微型企业</w:t>
      </w:r>
      <w:r>
        <w:rPr>
          <w:rFonts w:hint="eastAsia" w:ascii="宋体" w:hAnsi="宋体" w:eastAsia="宋体" w:cs="宋体"/>
          <w:color w:val="auto"/>
          <w:spacing w:val="-5"/>
          <w:sz w:val="24"/>
          <w:szCs w:val="24"/>
          <w:highlight w:val="none"/>
        </w:rPr>
        <w:t>）；</w:t>
      </w:r>
    </w:p>
    <w:p w14:paraId="11FD2D6A">
      <w:pPr>
        <w:pStyle w:val="11"/>
        <w:spacing w:before="183" w:line="359" w:lineRule="auto"/>
        <w:ind w:left="3" w:right="101" w:firstLine="476"/>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4"/>
          <w:sz w:val="24"/>
          <w:szCs w:val="24"/>
          <w:highlight w:val="none"/>
        </w:rPr>
        <w:t>（标的名称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14"/>
          <w:sz w:val="24"/>
          <w:szCs w:val="24"/>
          <w:highlight w:val="none"/>
        </w:rPr>
        <w:t xml:space="preserve"> （采购文件中明确的所属行业</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15"/>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4"/>
          <w:sz w:val="24"/>
          <w:szCs w:val="24"/>
          <w:highlight w:val="none"/>
        </w:rPr>
        <w:t>承建</w:t>
      </w:r>
      <w:r>
        <w:rPr>
          <w:rFonts w:hint="eastAsia" w:ascii="宋体" w:hAnsi="宋体" w:eastAsia="宋体" w:cs="宋体"/>
          <w:color w:val="auto"/>
          <w:spacing w:val="60"/>
          <w:sz w:val="24"/>
          <w:szCs w:val="24"/>
          <w:highlight w:val="none"/>
          <w:u w:val="single" w:color="auto"/>
        </w:rPr>
        <w:t xml:space="preserve">  </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14"/>
          <w:sz w:val="24"/>
          <w:szCs w:val="24"/>
          <w:highlight w:val="none"/>
        </w:rPr>
        <w:t>（承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接）企业为</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14"/>
          <w:sz w:val="24"/>
          <w:szCs w:val="24"/>
          <w:highlight w:val="none"/>
        </w:rPr>
        <w:t>（企业名称</w:t>
      </w:r>
      <w:r>
        <w:rPr>
          <w:rFonts w:hint="eastAsia" w:ascii="宋体" w:hAnsi="宋体" w:eastAsia="宋体" w:cs="宋体"/>
          <w:color w:val="auto"/>
          <w:spacing w:val="-41"/>
          <w:sz w:val="24"/>
          <w:szCs w:val="24"/>
          <w:highlight w:val="none"/>
        </w:rPr>
        <w:t>）</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1"/>
          <w:sz w:val="24"/>
          <w:szCs w:val="24"/>
          <w:highlight w:val="none"/>
        </w:rPr>
        <w:t>，</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14"/>
          <w:sz w:val="24"/>
          <w:szCs w:val="24"/>
          <w:highlight w:val="none"/>
        </w:rPr>
        <w:t>人，营业收入为</w:t>
      </w:r>
      <w:r>
        <w:rPr>
          <w:rFonts w:hint="eastAsia" w:ascii="宋体" w:hAnsi="宋体" w:eastAsia="宋体" w:cs="宋体"/>
          <w:color w:val="auto"/>
          <w:spacing w:val="-119"/>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4"/>
          <w:sz w:val="24"/>
          <w:szCs w:val="24"/>
          <w:highlight w:val="none"/>
        </w:rPr>
        <w:t>万元，</w:t>
      </w:r>
      <w:r>
        <w:rPr>
          <w:rFonts w:hint="eastAsia" w:ascii="宋体" w:hAnsi="宋体" w:eastAsia="宋体" w:cs="宋体"/>
          <w:color w:val="auto"/>
          <w:spacing w:val="-15"/>
          <w:sz w:val="24"/>
          <w:szCs w:val="24"/>
          <w:highlight w:val="none"/>
        </w:rPr>
        <w:t>资产总额为</w:t>
      </w:r>
      <w:r>
        <w:rPr>
          <w:rFonts w:hint="eastAsia" w:ascii="宋体" w:hAnsi="宋体" w:eastAsia="宋体" w:cs="宋体"/>
          <w:color w:val="auto"/>
          <w:spacing w:val="-119"/>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15"/>
          <w:sz w:val="24"/>
          <w:szCs w:val="24"/>
          <w:highlight w:val="none"/>
        </w:rPr>
        <w:t>万</w:t>
      </w:r>
    </w:p>
    <w:p w14:paraId="09FE3575">
      <w:pPr>
        <w:pStyle w:val="11"/>
        <w:spacing w:before="1" w:line="219"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元，属于</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（小型企业、微型企业）</w:t>
      </w:r>
    </w:p>
    <w:p w14:paraId="52EF4E28">
      <w:pPr>
        <w:pStyle w:val="11"/>
        <w:spacing w:before="180" w:line="468" w:lineRule="exact"/>
        <w:ind w:left="535"/>
        <w:rPr>
          <w:rFonts w:hint="eastAsia" w:ascii="宋体" w:hAnsi="宋体" w:eastAsia="宋体" w:cs="宋体"/>
          <w:color w:val="auto"/>
          <w:sz w:val="24"/>
          <w:szCs w:val="24"/>
          <w:highlight w:val="none"/>
        </w:rPr>
      </w:pPr>
      <w:r>
        <w:rPr>
          <w:rFonts w:hint="eastAsia" w:ascii="宋体" w:hAnsi="宋体" w:eastAsia="宋体" w:cs="宋体"/>
          <w:color w:val="auto"/>
          <w:spacing w:val="9"/>
          <w:position w:val="17"/>
          <w:sz w:val="24"/>
          <w:szCs w:val="24"/>
          <w:highlight w:val="none"/>
        </w:rPr>
        <w:t>以上企业，不属于大企业的分支机构，不存在控股股东为大企业的情形，也不存在与大企业的负责人为同一人的情形。</w:t>
      </w:r>
    </w:p>
    <w:p w14:paraId="55EEFBDD">
      <w:pPr>
        <w:pStyle w:val="11"/>
        <w:spacing w:before="180" w:line="219" w:lineRule="auto"/>
        <w:ind w:left="509"/>
        <w:rPr>
          <w:rFonts w:hint="eastAsia" w:ascii="宋体" w:hAnsi="宋体" w:eastAsia="宋体" w:cs="宋体"/>
          <w:color w:val="auto"/>
          <w:sz w:val="21"/>
          <w:highlight w:val="none"/>
        </w:rPr>
      </w:pPr>
      <w:r>
        <w:rPr>
          <w:rFonts w:hint="eastAsia" w:ascii="宋体" w:hAnsi="宋体" w:eastAsia="宋体" w:cs="宋体"/>
          <w:color w:val="auto"/>
          <w:spacing w:val="10"/>
          <w:sz w:val="24"/>
          <w:szCs w:val="24"/>
          <w:highlight w:val="none"/>
        </w:rPr>
        <w:t>本企业对上述声明内容的真实性负责。如有虚假，将依法承担相应责任。</w:t>
      </w:r>
    </w:p>
    <w:p w14:paraId="0BDD858E">
      <w:pPr>
        <w:pStyle w:val="11"/>
        <w:spacing w:before="78" w:line="219" w:lineRule="auto"/>
        <w:ind w:left="4"/>
        <w:rPr>
          <w:rFonts w:hint="eastAsia" w:ascii="宋体" w:hAnsi="宋体" w:eastAsia="宋体" w:cs="宋体"/>
          <w:color w:val="auto"/>
          <w:sz w:val="24"/>
          <w:szCs w:val="24"/>
          <w:highlight w:val="none"/>
        </w:rPr>
      </w:pPr>
      <w:r>
        <w:rPr>
          <w:rFonts w:hint="eastAsia" w:ascii="宋体" w:hAnsi="宋体" w:cs="宋体"/>
          <w:color w:val="auto"/>
          <w:spacing w:val="-7"/>
          <w:sz w:val="24"/>
          <w:szCs w:val="24"/>
          <w:highlight w:val="none"/>
          <w:lang w:eastAsia="zh-CN"/>
        </w:rPr>
        <w:t>投标人</w:t>
      </w:r>
      <w:r>
        <w:rPr>
          <w:rFonts w:hint="eastAsia" w:ascii="宋体" w:hAnsi="宋体" w:eastAsia="宋体" w:cs="宋体"/>
          <w:color w:val="auto"/>
          <w:spacing w:val="-7"/>
          <w:sz w:val="24"/>
          <w:szCs w:val="24"/>
          <w:highlight w:val="none"/>
        </w:rPr>
        <w:t>（盖单位章</w:t>
      </w:r>
      <w:r>
        <w:rPr>
          <w:rFonts w:hint="eastAsia" w:ascii="宋体" w:hAnsi="宋体" w:eastAsia="宋体" w:cs="宋体"/>
          <w:color w:val="auto"/>
          <w:spacing w:val="-2"/>
          <w:sz w:val="24"/>
          <w:szCs w:val="24"/>
          <w:highlight w:val="none"/>
        </w:rPr>
        <w:t>）：</w:t>
      </w:r>
    </w:p>
    <w:p w14:paraId="711030F9">
      <w:pPr>
        <w:pStyle w:val="11"/>
        <w:spacing w:before="183" w:line="220" w:lineRule="auto"/>
        <w:ind w:left="45"/>
        <w:rPr>
          <w:rFonts w:hint="eastAsia" w:ascii="宋体" w:hAnsi="宋体" w:eastAsia="宋体" w:cs="宋体"/>
          <w:color w:val="auto"/>
          <w:sz w:val="21"/>
          <w:highlight w:val="none"/>
        </w:rPr>
      </w:pPr>
      <w:r>
        <w:rPr>
          <w:rFonts w:hint="eastAsia" w:ascii="宋体" w:hAnsi="宋体" w:eastAsia="宋体" w:cs="宋体"/>
          <w:color w:val="auto"/>
          <w:spacing w:val="-30"/>
          <w:sz w:val="24"/>
          <w:szCs w:val="24"/>
          <w:highlight w:val="none"/>
        </w:rPr>
        <w:t>日期：</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30"/>
          <w:sz w:val="24"/>
          <w:szCs w:val="24"/>
          <w:highlight w:val="none"/>
        </w:rPr>
        <w:t>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30"/>
          <w:sz w:val="24"/>
          <w:szCs w:val="24"/>
          <w:highlight w:val="none"/>
        </w:rPr>
        <w:t>月</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30"/>
          <w:sz w:val="24"/>
          <w:szCs w:val="24"/>
          <w:highlight w:val="none"/>
        </w:rPr>
        <w:t>日</w:t>
      </w:r>
    </w:p>
    <w:p w14:paraId="5797FE55">
      <w:pPr>
        <w:pStyle w:val="11"/>
        <w:spacing w:before="78" w:line="359" w:lineRule="auto"/>
        <w:ind w:left="3" w:right="13" w:firstLine="60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说明： 1、填写前请认真阅读《工业和信息化部、国家统计局、国家发展和改革  </w:t>
      </w:r>
      <w:r>
        <w:rPr>
          <w:rFonts w:hint="eastAsia" w:ascii="宋体" w:hAnsi="宋体" w:eastAsia="宋体" w:cs="宋体"/>
          <w:color w:val="auto"/>
          <w:spacing w:val="8"/>
          <w:sz w:val="24"/>
          <w:szCs w:val="24"/>
          <w:highlight w:val="none"/>
        </w:rPr>
        <w:t>委员会、财政部关于印发中小企业划型标准规定的通</w:t>
      </w:r>
      <w:r>
        <w:rPr>
          <w:rFonts w:hint="eastAsia" w:ascii="宋体" w:hAnsi="宋体" w:eastAsia="宋体" w:cs="宋体"/>
          <w:color w:val="auto"/>
          <w:spacing w:val="7"/>
          <w:sz w:val="24"/>
          <w:szCs w:val="24"/>
          <w:highlight w:val="none"/>
        </w:rPr>
        <w:t xml:space="preserve">知》（工信部联企业[2011]300  </w:t>
      </w:r>
      <w:r>
        <w:rPr>
          <w:rFonts w:hint="eastAsia" w:ascii="宋体" w:hAnsi="宋体" w:eastAsia="宋体" w:cs="宋体"/>
          <w:color w:val="auto"/>
          <w:spacing w:val="6"/>
          <w:sz w:val="24"/>
          <w:szCs w:val="24"/>
          <w:highlight w:val="none"/>
        </w:rPr>
        <w:t>号）和《政府采购促进中小企业发展管理办法》（财库﹝2020﹞46  号）</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相关规定。</w:t>
      </w:r>
    </w:p>
    <w:p w14:paraId="6B74BE3E">
      <w:pPr>
        <w:pStyle w:val="11"/>
        <w:spacing w:before="1" w:line="218"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2、未按上述要求提供、填写的，评审时不予以考虑。</w:t>
      </w:r>
    </w:p>
    <w:p w14:paraId="22B96A8F">
      <w:pPr>
        <w:pStyle w:val="11"/>
        <w:spacing w:before="261" w:line="468" w:lineRule="exact"/>
        <w:ind w:left="9"/>
        <w:rPr>
          <w:rFonts w:hint="eastAsia" w:ascii="宋体" w:hAnsi="宋体" w:eastAsia="宋体" w:cs="宋体"/>
          <w:color w:val="auto"/>
          <w:sz w:val="24"/>
          <w:szCs w:val="24"/>
          <w:highlight w:val="none"/>
        </w:rPr>
      </w:pPr>
      <w:r>
        <w:rPr>
          <w:rFonts w:hint="eastAsia" w:ascii="宋体" w:hAnsi="宋体" w:eastAsia="宋体" w:cs="宋体"/>
          <w:color w:val="auto"/>
          <w:spacing w:val="1"/>
          <w:position w:val="17"/>
          <w:sz w:val="24"/>
          <w:szCs w:val="24"/>
          <w:highlight w:val="none"/>
        </w:rPr>
        <w:t>3、从业人员、营业收入、资产总额填报上一年度数据，无上一年度数据的新成立企</w:t>
      </w:r>
    </w:p>
    <w:p w14:paraId="3EF64E6D">
      <w:pPr>
        <w:pStyle w:val="11"/>
        <w:spacing w:before="1" w:line="219" w:lineRule="auto"/>
        <w:ind w:left="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业可不填报。</w:t>
      </w:r>
    </w:p>
    <w:p w14:paraId="4324DE57">
      <w:pPr>
        <w:spacing w:line="219" w:lineRule="auto"/>
        <w:rPr>
          <w:rFonts w:hint="eastAsia" w:ascii="宋体" w:hAnsi="宋体" w:eastAsia="宋体" w:cs="宋体"/>
          <w:color w:val="auto"/>
          <w:sz w:val="24"/>
          <w:szCs w:val="24"/>
          <w:highlight w:val="none"/>
        </w:rPr>
        <w:sectPr>
          <w:footerReference r:id="rId9" w:type="default"/>
          <w:pgSz w:w="11907" w:h="16839"/>
          <w:pgMar w:top="1431" w:right="1338" w:bottom="951" w:left="1445" w:header="0" w:footer="787" w:gutter="0"/>
          <w:pgNumType w:fmt="decimal"/>
          <w:cols w:space="720" w:num="1"/>
        </w:sectPr>
      </w:pPr>
    </w:p>
    <w:p w14:paraId="32A005BC">
      <w:pPr>
        <w:tabs>
          <w:tab w:val="left" w:pos="3777"/>
          <w:tab w:val="center" w:pos="4819"/>
        </w:tabs>
        <w:spacing w:line="360" w:lineRule="auto"/>
        <w:ind w:firstLine="2259" w:firstLineChars="750"/>
        <w:rPr>
          <w:rFonts w:hint="eastAsia"/>
          <w:b/>
          <w:color w:val="auto"/>
          <w:sz w:val="32"/>
          <w:szCs w:val="32"/>
          <w:highlight w:val="none"/>
        </w:rPr>
      </w:pPr>
      <w:r>
        <w:rPr>
          <w:rFonts w:hint="eastAsia"/>
          <w:b/>
          <w:color w:val="auto"/>
          <w:sz w:val="30"/>
          <w:szCs w:val="30"/>
          <w:highlight w:val="none"/>
        </w:rPr>
        <w:t xml:space="preserve">附件2-5  </w:t>
      </w:r>
      <w:r>
        <w:rPr>
          <w:rFonts w:hint="eastAsia"/>
          <w:b/>
          <w:color w:val="auto"/>
          <w:sz w:val="32"/>
          <w:szCs w:val="32"/>
          <w:highlight w:val="none"/>
        </w:rPr>
        <w:t>监狱企业证明文件</w:t>
      </w:r>
      <w:r>
        <w:rPr>
          <w:rFonts w:hint="eastAsia"/>
          <w:b/>
          <w:color w:val="auto"/>
          <w:sz w:val="32"/>
          <w:szCs w:val="32"/>
          <w:highlight w:val="none"/>
          <w:lang w:eastAsia="zh-CN"/>
        </w:rPr>
        <w:t>（如有）</w:t>
      </w:r>
    </w:p>
    <w:p w14:paraId="7BEBF60C">
      <w:pPr>
        <w:spacing w:line="360" w:lineRule="auto"/>
        <w:jc w:val="center"/>
        <w:rPr>
          <w:color w:val="auto"/>
          <w:highlight w:val="none"/>
        </w:rPr>
      </w:pPr>
      <w:r>
        <w:rPr>
          <w:rFonts w:hint="eastAsia"/>
          <w:color w:val="auto"/>
          <w:highlight w:val="none"/>
        </w:rPr>
        <w:t>（监狱企业适用）</w:t>
      </w:r>
    </w:p>
    <w:p w14:paraId="6340438D">
      <w:pPr>
        <w:spacing w:line="360" w:lineRule="auto"/>
        <w:ind w:firstLine="540" w:firstLineChars="225"/>
        <w:rPr>
          <w:color w:val="auto"/>
          <w:highlight w:val="none"/>
        </w:rPr>
      </w:pPr>
      <w:r>
        <w:rPr>
          <w:rFonts w:hint="eastAsia"/>
          <w:color w:val="auto"/>
          <w:highlight w:val="none"/>
        </w:rPr>
        <w:t>监狱企业参加政府采购活动时，应当提供由省级以上监狱管理局、戒毒管理局（含新疆生产建设兵团）出具的属于监狱企业的证明文件。</w:t>
      </w:r>
    </w:p>
    <w:p w14:paraId="7F8158C7">
      <w:pPr>
        <w:tabs>
          <w:tab w:val="left" w:pos="3600"/>
        </w:tabs>
        <w:adjustRightInd w:val="0"/>
        <w:snapToGrid w:val="0"/>
        <w:spacing w:line="440" w:lineRule="exact"/>
        <w:jc w:val="center"/>
        <w:rPr>
          <w:rFonts w:hint="eastAsia"/>
          <w:color w:val="auto"/>
          <w:highlight w:val="none"/>
        </w:rPr>
      </w:pPr>
    </w:p>
    <w:p w14:paraId="4191FAE8">
      <w:pPr>
        <w:pStyle w:val="23"/>
        <w:rPr>
          <w:rFonts w:hint="eastAsia"/>
          <w:color w:val="auto"/>
          <w:highlight w:val="none"/>
        </w:rPr>
      </w:pPr>
    </w:p>
    <w:p w14:paraId="30F102C0">
      <w:pPr>
        <w:pStyle w:val="23"/>
        <w:rPr>
          <w:rFonts w:hint="eastAsia"/>
          <w:color w:val="auto"/>
          <w:highlight w:val="none"/>
        </w:rPr>
      </w:pPr>
    </w:p>
    <w:p w14:paraId="5E18C25A">
      <w:pPr>
        <w:rPr>
          <w:rFonts w:hint="eastAsia"/>
          <w:b/>
          <w:color w:val="auto"/>
          <w:sz w:val="30"/>
          <w:szCs w:val="30"/>
          <w:highlight w:val="none"/>
        </w:rPr>
      </w:pPr>
      <w:r>
        <w:rPr>
          <w:rFonts w:hint="eastAsia"/>
          <w:b/>
          <w:color w:val="auto"/>
          <w:sz w:val="30"/>
          <w:szCs w:val="30"/>
          <w:highlight w:val="none"/>
        </w:rPr>
        <w:br w:type="page"/>
      </w:r>
    </w:p>
    <w:p w14:paraId="5846FF29">
      <w:pPr>
        <w:tabs>
          <w:tab w:val="left" w:pos="3600"/>
        </w:tabs>
        <w:adjustRightInd w:val="0"/>
        <w:snapToGrid w:val="0"/>
        <w:spacing w:line="440" w:lineRule="exact"/>
        <w:jc w:val="center"/>
        <w:rPr>
          <w:rFonts w:cs="??_GB2312"/>
          <w:b/>
          <w:bCs/>
          <w:color w:val="auto"/>
          <w:spacing w:val="6"/>
          <w:sz w:val="32"/>
          <w:szCs w:val="32"/>
          <w:highlight w:val="none"/>
        </w:rPr>
      </w:pPr>
      <w:r>
        <w:rPr>
          <w:rFonts w:hint="eastAsia"/>
          <w:b/>
          <w:color w:val="auto"/>
          <w:sz w:val="30"/>
          <w:szCs w:val="30"/>
          <w:highlight w:val="none"/>
        </w:rPr>
        <w:t xml:space="preserve">附件2-6  </w:t>
      </w:r>
      <w:r>
        <w:rPr>
          <w:rFonts w:hint="eastAsia"/>
          <w:b/>
          <w:bCs/>
          <w:color w:val="auto"/>
          <w:spacing w:val="6"/>
          <w:sz w:val="32"/>
          <w:szCs w:val="32"/>
          <w:highlight w:val="none"/>
        </w:rPr>
        <w:t>残疾人福利性单位声明函</w:t>
      </w:r>
      <w:r>
        <w:rPr>
          <w:rFonts w:hint="eastAsia"/>
          <w:b/>
          <w:color w:val="auto"/>
          <w:sz w:val="32"/>
          <w:szCs w:val="32"/>
          <w:highlight w:val="none"/>
          <w:lang w:eastAsia="zh-CN"/>
        </w:rPr>
        <w:t>（如有）</w:t>
      </w:r>
    </w:p>
    <w:p w14:paraId="6C32C506">
      <w:pPr>
        <w:autoSpaceDE w:val="0"/>
        <w:autoSpaceDN w:val="0"/>
        <w:adjustRightInd w:val="0"/>
        <w:spacing w:line="440" w:lineRule="exact"/>
        <w:rPr>
          <w:rFonts w:cs="??_GB2312"/>
          <w:b/>
          <w:bCs/>
          <w:color w:val="auto"/>
          <w:spacing w:val="6"/>
          <w:highlight w:val="none"/>
        </w:rPr>
      </w:pPr>
    </w:p>
    <w:p w14:paraId="13758819">
      <w:pPr>
        <w:adjustRightInd w:val="0"/>
        <w:snapToGrid w:val="0"/>
        <w:spacing w:line="440" w:lineRule="exact"/>
        <w:ind w:firstLine="504" w:firstLineChars="200"/>
        <w:rPr>
          <w:color w:val="auto"/>
          <w:spacing w:val="6"/>
          <w:highlight w:val="none"/>
        </w:rPr>
      </w:pPr>
      <w:r>
        <w:rPr>
          <w:rFonts w:hint="eastAsia"/>
          <w:color w:val="auto"/>
          <w:spacing w:val="6"/>
          <w:highlight w:val="none"/>
        </w:rPr>
        <w:t>本单位郑重声明，根据《财政部</w:t>
      </w:r>
      <w:r>
        <w:rPr>
          <w:color w:val="auto"/>
          <w:spacing w:val="6"/>
          <w:highlight w:val="none"/>
        </w:rPr>
        <w:t xml:space="preserve"> </w:t>
      </w:r>
      <w:r>
        <w:rPr>
          <w:rFonts w:hint="eastAsia"/>
          <w:color w:val="auto"/>
          <w:spacing w:val="6"/>
          <w:highlight w:val="none"/>
        </w:rPr>
        <w:t>民政部</w:t>
      </w:r>
      <w:r>
        <w:rPr>
          <w:color w:val="auto"/>
          <w:spacing w:val="6"/>
          <w:highlight w:val="none"/>
        </w:rPr>
        <w:t xml:space="preserve"> </w:t>
      </w:r>
      <w:r>
        <w:rPr>
          <w:rFonts w:hint="eastAsia"/>
          <w:color w:val="auto"/>
          <w:spacing w:val="6"/>
          <w:highlight w:val="none"/>
        </w:rPr>
        <w:t>中国残疾人联合会关于促进残疾人就业政府采购政策的通知》（财库〔</w:t>
      </w:r>
      <w:r>
        <w:rPr>
          <w:color w:val="auto"/>
          <w:spacing w:val="6"/>
          <w:highlight w:val="none"/>
        </w:rPr>
        <w:t>2017</w:t>
      </w:r>
      <w:r>
        <w:rPr>
          <w:rFonts w:hint="eastAsia"/>
          <w:color w:val="auto"/>
          <w:spacing w:val="6"/>
          <w:highlight w:val="none"/>
        </w:rPr>
        <w:t>〕</w:t>
      </w:r>
      <w:r>
        <w:rPr>
          <w:color w:val="auto"/>
          <w:spacing w:val="6"/>
          <w:highlight w:val="none"/>
        </w:rPr>
        <w:t xml:space="preserve"> 141</w:t>
      </w:r>
      <w:r>
        <w:rPr>
          <w:rFonts w:hint="eastAsia"/>
          <w:color w:val="auto"/>
          <w:spacing w:val="6"/>
          <w:highlight w:val="none"/>
        </w:rPr>
        <w:t>号）的规定，本单位为符合条件的残疾人福利性单位，且本单位参加</w:t>
      </w:r>
      <w:r>
        <w:rPr>
          <w:color w:val="auto"/>
          <w:spacing w:val="6"/>
          <w:highlight w:val="none"/>
        </w:rPr>
        <w:t>______</w:t>
      </w:r>
      <w:r>
        <w:rPr>
          <w:rFonts w:hint="eastAsia"/>
          <w:color w:val="auto"/>
          <w:spacing w:val="6"/>
          <w:highlight w:val="none"/>
        </w:rPr>
        <w:t>单位的</w:t>
      </w:r>
      <w:r>
        <w:rPr>
          <w:color w:val="auto"/>
          <w:spacing w:val="6"/>
          <w:highlight w:val="none"/>
        </w:rPr>
        <w:t>______</w:t>
      </w:r>
      <w:r>
        <w:rPr>
          <w:rFonts w:hint="eastAsia"/>
          <w:color w:val="auto"/>
          <w:spacing w:val="6"/>
          <w:highlight w:val="none"/>
        </w:rPr>
        <w:t>项目采购活动提供本单位制造的货物（由本单位承担工程</w:t>
      </w:r>
      <w:r>
        <w:rPr>
          <w:color w:val="auto"/>
          <w:spacing w:val="6"/>
          <w:highlight w:val="none"/>
        </w:rPr>
        <w:t>/</w:t>
      </w:r>
      <w:r>
        <w:rPr>
          <w:rFonts w:hint="eastAsia"/>
          <w:color w:val="auto"/>
          <w:spacing w:val="6"/>
          <w:highlight w:val="none"/>
        </w:rPr>
        <w:t>提供服务），或者提供其他残疾人福利性单位制造的货物（不包括使用非残疾人福利性单位注册商标的货物）。</w:t>
      </w:r>
    </w:p>
    <w:p w14:paraId="676C40C2">
      <w:pPr>
        <w:adjustRightInd w:val="0"/>
        <w:snapToGrid w:val="0"/>
        <w:spacing w:line="440" w:lineRule="exact"/>
        <w:ind w:firstLine="504" w:firstLineChars="200"/>
        <w:rPr>
          <w:color w:val="auto"/>
          <w:spacing w:val="6"/>
          <w:highlight w:val="none"/>
        </w:rPr>
      </w:pPr>
      <w:r>
        <w:rPr>
          <w:rFonts w:hint="eastAsia"/>
          <w:color w:val="auto"/>
          <w:spacing w:val="6"/>
          <w:highlight w:val="none"/>
        </w:rPr>
        <w:t>本单位对上述声明的真实性负责。如有虚假，将依法承担相应责任。</w:t>
      </w:r>
      <w:r>
        <w:rPr>
          <w:color w:val="auto"/>
          <w:spacing w:val="6"/>
          <w:highlight w:val="none"/>
        </w:rPr>
        <w:t xml:space="preserve"> </w:t>
      </w:r>
    </w:p>
    <w:p w14:paraId="6DE78233">
      <w:pPr>
        <w:adjustRightInd w:val="0"/>
        <w:snapToGrid w:val="0"/>
        <w:spacing w:line="440" w:lineRule="exact"/>
        <w:ind w:firstLine="504" w:firstLineChars="200"/>
        <w:rPr>
          <w:color w:val="auto"/>
          <w:spacing w:val="6"/>
          <w:highlight w:val="none"/>
        </w:rPr>
      </w:pPr>
    </w:p>
    <w:p w14:paraId="663AF1A5">
      <w:pPr>
        <w:adjustRightInd w:val="0"/>
        <w:snapToGrid w:val="0"/>
        <w:spacing w:line="440" w:lineRule="exact"/>
        <w:ind w:firstLine="5544" w:firstLineChars="2200"/>
        <w:rPr>
          <w:color w:val="auto"/>
          <w:spacing w:val="6"/>
          <w:highlight w:val="none"/>
        </w:rPr>
      </w:pPr>
      <w:r>
        <w:rPr>
          <w:rFonts w:hint="eastAsia"/>
          <w:color w:val="auto"/>
          <w:spacing w:val="6"/>
          <w:highlight w:val="none"/>
        </w:rPr>
        <w:t>单位名称（盖章）：</w:t>
      </w:r>
    </w:p>
    <w:p w14:paraId="3049AF66">
      <w:pPr>
        <w:adjustRightInd w:val="0"/>
        <w:snapToGrid w:val="0"/>
        <w:spacing w:line="440" w:lineRule="exact"/>
        <w:ind w:firstLine="504" w:firstLineChars="200"/>
        <w:rPr>
          <w:color w:val="auto"/>
          <w:spacing w:val="6"/>
          <w:highlight w:val="none"/>
        </w:rPr>
      </w:pPr>
      <w:r>
        <w:rPr>
          <w:color w:val="auto"/>
          <w:spacing w:val="6"/>
          <w:highlight w:val="none"/>
        </w:rPr>
        <w:t xml:space="preserve">                                      </w:t>
      </w:r>
      <w:r>
        <w:rPr>
          <w:rFonts w:hint="eastAsia"/>
          <w:color w:val="auto"/>
          <w:spacing w:val="6"/>
          <w:highlight w:val="none"/>
        </w:rPr>
        <w:t>日</w:t>
      </w:r>
      <w:r>
        <w:rPr>
          <w:color w:val="auto"/>
          <w:spacing w:val="6"/>
          <w:highlight w:val="none"/>
        </w:rPr>
        <w:t xml:space="preserve">  </w:t>
      </w:r>
      <w:r>
        <w:rPr>
          <w:rFonts w:hint="eastAsia"/>
          <w:color w:val="auto"/>
          <w:spacing w:val="6"/>
          <w:highlight w:val="none"/>
        </w:rPr>
        <w:t>期：</w:t>
      </w:r>
    </w:p>
    <w:p w14:paraId="4D8C434E">
      <w:pPr>
        <w:rPr>
          <w:rFonts w:hint="eastAsia"/>
          <w:b/>
          <w:color w:val="auto"/>
          <w:sz w:val="30"/>
          <w:szCs w:val="30"/>
          <w:highlight w:val="none"/>
        </w:rPr>
      </w:pPr>
      <w:r>
        <w:rPr>
          <w:rFonts w:hint="eastAsia"/>
          <w:b/>
          <w:color w:val="auto"/>
          <w:sz w:val="30"/>
          <w:szCs w:val="30"/>
          <w:highlight w:val="none"/>
        </w:rPr>
        <w:br w:type="page"/>
      </w:r>
    </w:p>
    <w:p w14:paraId="59E8AB96">
      <w:pPr>
        <w:jc w:val="center"/>
        <w:rPr>
          <w:rFonts w:hint="default" w:ascii="Times New Roman" w:hAnsi="Times New Roman" w:cs="Times New Roman"/>
          <w:color w:val="auto"/>
          <w:highlight w:val="none"/>
          <w:lang w:val="en-US" w:eastAsia="zh-CN"/>
        </w:rPr>
      </w:pPr>
      <w:r>
        <w:rPr>
          <w:rFonts w:hint="eastAsia"/>
          <w:b/>
          <w:color w:val="auto"/>
          <w:sz w:val="30"/>
          <w:szCs w:val="30"/>
          <w:highlight w:val="none"/>
        </w:rPr>
        <w:t>附件</w:t>
      </w:r>
      <w:r>
        <w:rPr>
          <w:rFonts w:hint="eastAsia" w:ascii="宋体" w:hAnsi="宋体" w:eastAsia="宋体" w:cs="宋体"/>
          <w:b/>
          <w:color w:val="auto"/>
          <w:sz w:val="30"/>
          <w:szCs w:val="30"/>
          <w:highlight w:val="none"/>
        </w:rPr>
        <w:t>2-</w:t>
      </w:r>
      <w:r>
        <w:rPr>
          <w:rFonts w:hint="eastAsia" w:ascii="宋体" w:hAnsi="宋体" w:eastAsia="宋体" w:cs="宋体"/>
          <w:b/>
          <w:color w:val="auto"/>
          <w:sz w:val="30"/>
          <w:szCs w:val="30"/>
          <w:highlight w:val="none"/>
          <w:lang w:val="en-US" w:eastAsia="zh-CN"/>
        </w:rPr>
        <w:t xml:space="preserve">7 </w:t>
      </w:r>
      <w:r>
        <w:rPr>
          <w:rFonts w:hint="default" w:ascii="宋体" w:hAnsi="宋体" w:eastAsia="宋体" w:cs="宋体"/>
          <w:b/>
          <w:color w:val="auto"/>
          <w:sz w:val="30"/>
          <w:szCs w:val="30"/>
          <w:highlight w:val="none"/>
          <w:lang w:val="en-US" w:eastAsia="zh-CN"/>
        </w:rPr>
        <w:t>联合体协议书(如涉及)</w:t>
      </w:r>
    </w:p>
    <w:p w14:paraId="4DD37F31">
      <w:pPr>
        <w:pStyle w:val="135"/>
        <w:topLinePunct/>
        <w:spacing w:line="360" w:lineRule="auto"/>
        <w:ind w:firstLine="480" w:firstLineChars="200"/>
        <w:rPr>
          <w:rFonts w:hint="default" w:ascii="Times New Roman" w:hAnsi="Times New Roman" w:eastAsia="宋体" w:cs="Times New Roman"/>
          <w:color w:val="000000"/>
          <w:kern w:val="2"/>
          <w:sz w:val="24"/>
          <w:szCs w:val="24"/>
          <w:highlight w:val="white"/>
          <w:u w:val="single"/>
          <w:lang w:val="en-US" w:eastAsia="zh-CN"/>
        </w:rPr>
      </w:pPr>
    </w:p>
    <w:p w14:paraId="309BB35B">
      <w:pPr>
        <w:pStyle w:val="135"/>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（所有成员单位名称）自愿组成</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（联合体名称）联合体，共同参加</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（项目名称）投标。现就联合体投标事宜订立如下协议。</w:t>
      </w:r>
    </w:p>
    <w:p w14:paraId="26CA1245">
      <w:pPr>
        <w:pStyle w:val="135"/>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1、</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（某成员单位名称）为</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（联合体名称）牵头人。</w:t>
      </w:r>
    </w:p>
    <w:p w14:paraId="538832AF">
      <w:pPr>
        <w:pStyle w:val="135"/>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647529D">
      <w:pPr>
        <w:pStyle w:val="135"/>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3、联合体将严格按照招标文件的各项要求，递交投标文件，履行合同，并对外承担连带责任。</w:t>
      </w:r>
    </w:p>
    <w:p w14:paraId="581125F6">
      <w:pPr>
        <w:pStyle w:val="135"/>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4、联合体各成员单位内部的职责分工</w:t>
      </w:r>
      <w:r>
        <w:rPr>
          <w:rFonts w:hint="eastAsia" w:cs="Times New Roman"/>
          <w:color w:val="000000"/>
          <w:kern w:val="2"/>
          <w:sz w:val="24"/>
          <w:szCs w:val="24"/>
          <w:highlight w:val="white"/>
          <w:lang w:val="en-US" w:eastAsia="zh-CN"/>
        </w:rPr>
        <w:t>及比例</w:t>
      </w:r>
      <w:r>
        <w:rPr>
          <w:rFonts w:hint="default" w:ascii="Times New Roman" w:hAnsi="Times New Roman" w:eastAsia="宋体" w:cs="Times New Roman"/>
          <w:color w:val="000000"/>
          <w:kern w:val="2"/>
          <w:sz w:val="24"/>
          <w:szCs w:val="24"/>
          <w:highlight w:val="white"/>
          <w:lang w:val="en-US" w:eastAsia="zh-CN"/>
        </w:rPr>
        <w:t>如下：</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 xml:space="preserve"> 。</w:t>
      </w:r>
    </w:p>
    <w:p w14:paraId="0D97B88A">
      <w:pPr>
        <w:pStyle w:val="135"/>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 xml:space="preserve">5、本协议书自签署之日起生效，合同履行完毕后自动失效。 </w:t>
      </w:r>
    </w:p>
    <w:p w14:paraId="2F368F69">
      <w:pPr>
        <w:pStyle w:val="135"/>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6、本协议书一式</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份，联合体成员和招标人各执一份。</w:t>
      </w:r>
    </w:p>
    <w:p w14:paraId="270DD8E8">
      <w:pPr>
        <w:pStyle w:val="135"/>
        <w:topLinePunct/>
        <w:spacing w:line="360" w:lineRule="auto"/>
        <w:rPr>
          <w:rFonts w:hint="default" w:ascii="Times New Roman" w:hAnsi="Times New Roman" w:eastAsia="宋体" w:cs="Times New Roman"/>
          <w:color w:val="000000"/>
          <w:kern w:val="2"/>
          <w:sz w:val="24"/>
          <w:szCs w:val="24"/>
          <w:lang w:val="en-US" w:eastAsia="zh-CN"/>
        </w:rPr>
      </w:pPr>
    </w:p>
    <w:p w14:paraId="46475A8D">
      <w:pPr>
        <w:pStyle w:val="135"/>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注：本协议书由委托代理人签字的，应附法定代表人签字的授权委托书。</w:t>
      </w:r>
    </w:p>
    <w:p w14:paraId="6BFD782E">
      <w:pPr>
        <w:pStyle w:val="135"/>
        <w:topLinePunct/>
        <w:spacing w:line="360" w:lineRule="auto"/>
        <w:rPr>
          <w:rFonts w:hint="default" w:ascii="Times New Roman" w:hAnsi="Times New Roman" w:eastAsia="宋体" w:cs="Times New Roman"/>
          <w:color w:val="000000"/>
          <w:kern w:val="2"/>
          <w:sz w:val="24"/>
          <w:szCs w:val="24"/>
          <w:lang w:val="en-US" w:eastAsia="zh-CN"/>
        </w:rPr>
      </w:pPr>
    </w:p>
    <w:p w14:paraId="30148AA9">
      <w:pPr>
        <w:pStyle w:val="135"/>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牵头人名称：</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（单位公章）</w:t>
      </w:r>
    </w:p>
    <w:p w14:paraId="62FB0438">
      <w:pPr>
        <w:pStyle w:val="135"/>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法定代表人或其委托代理人：</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（盖章或签字）</w:t>
      </w:r>
    </w:p>
    <w:p w14:paraId="5A12055F">
      <w:pPr>
        <w:pStyle w:val="135"/>
        <w:topLinePunct/>
        <w:spacing w:line="360" w:lineRule="auto"/>
        <w:rPr>
          <w:rFonts w:hint="default" w:ascii="Times New Roman" w:hAnsi="Times New Roman" w:eastAsia="宋体" w:cs="Times New Roman"/>
          <w:color w:val="000000"/>
          <w:kern w:val="2"/>
          <w:sz w:val="24"/>
          <w:szCs w:val="24"/>
          <w:lang w:val="en-US" w:eastAsia="zh-CN"/>
        </w:rPr>
      </w:pPr>
    </w:p>
    <w:p w14:paraId="6AF2F45D">
      <w:pPr>
        <w:pStyle w:val="135"/>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成员一名称：</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（单位公章）</w:t>
      </w:r>
    </w:p>
    <w:p w14:paraId="7718345A">
      <w:pPr>
        <w:pStyle w:val="135"/>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法定代表人或其委托代理人：</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（盖章或签字）</w:t>
      </w:r>
    </w:p>
    <w:p w14:paraId="0CEC3B90">
      <w:pPr>
        <w:pStyle w:val="135"/>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 xml:space="preserve"> </w:t>
      </w:r>
    </w:p>
    <w:p w14:paraId="2DAC6960">
      <w:pPr>
        <w:pStyle w:val="135"/>
        <w:spacing w:line="360" w:lineRule="auto"/>
        <w:ind w:firstLine="3290" w:firstLineChars="1371"/>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年</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月</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日</w:t>
      </w:r>
    </w:p>
    <w:p w14:paraId="01626690">
      <w:pPr>
        <w:pStyle w:val="136"/>
        <w:spacing w:line="360" w:lineRule="auto"/>
        <w:outlineLvl w:val="9"/>
        <w:rPr>
          <w:rFonts w:hint="default" w:ascii="Times New Roman" w:hAnsi="Times New Roman" w:eastAsia="宋体" w:cs="Times New Roman"/>
          <w:color w:val="000000"/>
          <w:sz w:val="24"/>
          <w:szCs w:val="24"/>
          <w:highlight w:val="white"/>
        </w:rPr>
      </w:pPr>
    </w:p>
    <w:p w14:paraId="6D0B75C9">
      <w:pPr>
        <w:spacing w:line="360" w:lineRule="auto"/>
        <w:jc w:val="center"/>
        <w:outlineLvl w:val="9"/>
        <w:rPr>
          <w:rFonts w:hint="default" w:ascii="Times New Roman" w:hAnsi="Times New Roman" w:cs="Times New Roman"/>
          <w:color w:val="000000"/>
          <w:sz w:val="20"/>
          <w:szCs w:val="20"/>
        </w:rPr>
      </w:pPr>
      <w:r>
        <w:rPr>
          <w:rFonts w:hint="default" w:ascii="Times New Roman" w:hAnsi="Times New Roman" w:eastAsia="宋体" w:cs="Times New Roman"/>
          <w:color w:val="000000"/>
          <w:sz w:val="24"/>
          <w:szCs w:val="24"/>
        </w:rPr>
        <w:t>（投标人如为联合体，联合各方均须盖章）</w:t>
      </w:r>
    </w:p>
    <w:p w14:paraId="3F03E5EC">
      <w:pPr>
        <w:rPr>
          <w:rFonts w:hint="default" w:ascii="Times New Roman" w:hAnsi="Times New Roman" w:cs="Times New Roman"/>
          <w:color w:val="000000"/>
          <w:sz w:val="20"/>
          <w:szCs w:val="20"/>
        </w:rPr>
      </w:pPr>
    </w:p>
    <w:p w14:paraId="46B8E743">
      <w:pPr>
        <w:rPr>
          <w:rFonts w:hint="eastAsia"/>
        </w:rPr>
      </w:pPr>
    </w:p>
    <w:p w14:paraId="43984FC9">
      <w:pPr>
        <w:rPr>
          <w:rFonts w:hint="eastAsia"/>
        </w:rPr>
      </w:pPr>
    </w:p>
    <w:p w14:paraId="0ECCBF72">
      <w:pPr>
        <w:rPr>
          <w:rFonts w:hint="eastAsia"/>
          <w:b/>
          <w:color w:val="auto"/>
          <w:highlight w:val="none"/>
        </w:rPr>
      </w:pPr>
      <w:r>
        <w:rPr>
          <w:rFonts w:hint="eastAsia"/>
          <w:b/>
          <w:color w:val="auto"/>
          <w:highlight w:val="none"/>
        </w:rPr>
        <w:t>（三）商务技术响应文件</w:t>
      </w:r>
    </w:p>
    <w:p w14:paraId="15780D40">
      <w:pPr>
        <w:spacing w:line="360" w:lineRule="auto"/>
        <w:rPr>
          <w:rFonts w:hint="eastAsia"/>
          <w:b/>
          <w:color w:val="auto"/>
          <w:highlight w:val="none"/>
        </w:rPr>
      </w:pPr>
      <w:r>
        <w:rPr>
          <w:rFonts w:hint="eastAsia"/>
          <w:color w:val="auto"/>
          <w:highlight w:val="none"/>
          <w:lang w:val="en-US" w:eastAsia="zh-CN"/>
        </w:rPr>
        <w:t>1</w:t>
      </w:r>
      <w:r>
        <w:rPr>
          <w:rFonts w:hint="eastAsia"/>
          <w:color w:val="auto"/>
          <w:highlight w:val="none"/>
        </w:rPr>
        <w:t>、</w:t>
      </w:r>
      <w:r>
        <w:rPr>
          <w:rFonts w:hint="eastAsia"/>
          <w:b/>
          <w:color w:val="auto"/>
          <w:highlight w:val="none"/>
        </w:rPr>
        <w:t>商务技术响应文件组成</w:t>
      </w:r>
    </w:p>
    <w:p w14:paraId="49F1DA15">
      <w:pPr>
        <w:spacing w:line="460" w:lineRule="exact"/>
        <w:outlineLvl w:val="0"/>
        <w:rPr>
          <w:color w:val="auto"/>
          <w:highlight w:val="none"/>
        </w:rPr>
      </w:pPr>
      <w:bookmarkStart w:id="33" w:name="_Toc25624"/>
      <w:r>
        <w:rPr>
          <w:rFonts w:hint="eastAsia"/>
          <w:color w:val="auto"/>
          <w:highlight w:val="none"/>
          <w:lang w:val="en-US" w:eastAsia="zh-CN"/>
        </w:rPr>
        <w:t>一</w:t>
      </w:r>
      <w:r>
        <w:rPr>
          <w:rFonts w:hint="eastAsia"/>
          <w:color w:val="auto"/>
          <w:highlight w:val="none"/>
        </w:rPr>
        <w:t>、投标人代表身份证明</w:t>
      </w:r>
      <w:bookmarkEnd w:id="33"/>
    </w:p>
    <w:p w14:paraId="0F4A5001">
      <w:pPr>
        <w:spacing w:line="460" w:lineRule="exact"/>
        <w:ind w:firstLine="240" w:firstLineChars="100"/>
        <w:rPr>
          <w:color w:val="auto"/>
          <w:highlight w:val="none"/>
        </w:rPr>
      </w:pPr>
      <w:r>
        <w:rPr>
          <w:color w:val="auto"/>
          <w:highlight w:val="none"/>
        </w:rPr>
        <w:t xml:space="preserve">1  </w:t>
      </w:r>
      <w:r>
        <w:rPr>
          <w:rFonts w:hint="eastAsia"/>
          <w:color w:val="auto"/>
          <w:highlight w:val="none"/>
        </w:rPr>
        <w:t>法定代表人身份证明复印件(法定代表人参加投标)（附件2-</w:t>
      </w:r>
      <w:r>
        <w:rPr>
          <w:color w:val="auto"/>
          <w:highlight w:val="none"/>
        </w:rPr>
        <w:t>1</w:t>
      </w:r>
      <w:r>
        <w:rPr>
          <w:rFonts w:hint="eastAsia"/>
          <w:color w:val="auto"/>
          <w:highlight w:val="none"/>
        </w:rPr>
        <w:t>）</w:t>
      </w:r>
    </w:p>
    <w:p w14:paraId="41423191">
      <w:pPr>
        <w:spacing w:line="460" w:lineRule="exact"/>
        <w:ind w:firstLine="240" w:firstLineChars="100"/>
        <w:rPr>
          <w:color w:val="auto"/>
          <w:highlight w:val="none"/>
        </w:rPr>
      </w:pPr>
      <w:r>
        <w:rPr>
          <w:rFonts w:hint="eastAsia"/>
          <w:color w:val="auto"/>
          <w:highlight w:val="none"/>
        </w:rPr>
        <w:t>2</w:t>
      </w:r>
      <w:r>
        <w:rPr>
          <w:color w:val="auto"/>
          <w:highlight w:val="none"/>
        </w:rPr>
        <w:t xml:space="preserve">  </w:t>
      </w:r>
      <w:r>
        <w:rPr>
          <w:rFonts w:hint="eastAsia"/>
          <w:color w:val="auto"/>
          <w:highlight w:val="none"/>
        </w:rPr>
        <w:t>法定代表人授权委托书(授权代表参加投标) （附件2-</w:t>
      </w:r>
      <w:r>
        <w:rPr>
          <w:color w:val="auto"/>
          <w:highlight w:val="none"/>
        </w:rPr>
        <w:t>2</w:t>
      </w:r>
      <w:r>
        <w:rPr>
          <w:rFonts w:hint="eastAsia"/>
          <w:color w:val="auto"/>
          <w:highlight w:val="none"/>
        </w:rPr>
        <w:t>）</w:t>
      </w:r>
    </w:p>
    <w:p w14:paraId="421AB267">
      <w:pPr>
        <w:spacing w:line="360" w:lineRule="auto"/>
        <w:ind w:firstLine="240" w:firstLineChars="100"/>
        <w:rPr>
          <w:rFonts w:hint="eastAsia"/>
          <w:color w:val="auto"/>
          <w:highlight w:val="none"/>
        </w:rPr>
      </w:pPr>
      <w:r>
        <w:rPr>
          <w:rFonts w:hint="eastAsia"/>
          <w:color w:val="auto"/>
          <w:highlight w:val="none"/>
        </w:rPr>
        <w:t>3</w:t>
      </w:r>
      <w:r>
        <w:rPr>
          <w:color w:val="auto"/>
          <w:highlight w:val="none"/>
        </w:rPr>
        <w:t xml:space="preserve">  </w:t>
      </w:r>
      <w:r>
        <w:rPr>
          <w:rFonts w:hint="eastAsia"/>
          <w:color w:val="auto"/>
          <w:highlight w:val="none"/>
        </w:rPr>
        <w:t>授权委托书 (适用于自然人委托投标) （附件2-</w:t>
      </w:r>
      <w:r>
        <w:rPr>
          <w:color w:val="auto"/>
          <w:highlight w:val="none"/>
        </w:rPr>
        <w:t>3</w:t>
      </w:r>
      <w:r>
        <w:rPr>
          <w:rFonts w:hint="eastAsia"/>
          <w:color w:val="auto"/>
          <w:highlight w:val="none"/>
        </w:rPr>
        <w:t>）</w:t>
      </w:r>
    </w:p>
    <w:p w14:paraId="7082C3C9">
      <w:pPr>
        <w:spacing w:line="360" w:lineRule="auto"/>
        <w:rPr>
          <w:rFonts w:hint="eastAsia"/>
          <w:color w:val="auto"/>
          <w:highlight w:val="none"/>
        </w:rPr>
      </w:pPr>
      <w:r>
        <w:rPr>
          <w:rFonts w:hint="eastAsia"/>
          <w:color w:val="auto"/>
          <w:highlight w:val="none"/>
          <w:lang w:val="en-US" w:eastAsia="zh-CN"/>
        </w:rPr>
        <w:t>二</w:t>
      </w:r>
      <w:r>
        <w:rPr>
          <w:rFonts w:hint="eastAsia"/>
          <w:color w:val="auto"/>
          <w:highlight w:val="none"/>
        </w:rPr>
        <w:t>、投标函（附件3-</w:t>
      </w:r>
      <w:r>
        <w:rPr>
          <w:color w:val="auto"/>
          <w:highlight w:val="none"/>
        </w:rPr>
        <w:t>1</w:t>
      </w:r>
      <w:r>
        <w:rPr>
          <w:rFonts w:hint="eastAsia"/>
          <w:color w:val="auto"/>
          <w:highlight w:val="none"/>
        </w:rPr>
        <w:t>）</w:t>
      </w:r>
    </w:p>
    <w:p w14:paraId="7D79599E">
      <w:pPr>
        <w:spacing w:line="360" w:lineRule="auto"/>
        <w:rPr>
          <w:rFonts w:hint="eastAsia"/>
          <w:color w:val="auto"/>
          <w:highlight w:val="none"/>
        </w:rPr>
      </w:pPr>
      <w:r>
        <w:rPr>
          <w:rFonts w:hint="eastAsia"/>
          <w:color w:val="auto"/>
          <w:highlight w:val="none"/>
          <w:lang w:val="en-US" w:eastAsia="zh-CN"/>
        </w:rPr>
        <w:t>三</w:t>
      </w:r>
      <w:r>
        <w:rPr>
          <w:rFonts w:hint="eastAsia"/>
          <w:color w:val="auto"/>
          <w:highlight w:val="none"/>
        </w:rPr>
        <w:t>、反商业贿赂承诺书；（附件3-2）</w:t>
      </w:r>
    </w:p>
    <w:p w14:paraId="1AA29579">
      <w:pPr>
        <w:spacing w:line="360" w:lineRule="auto"/>
        <w:rPr>
          <w:rFonts w:hint="eastAsia"/>
          <w:color w:val="auto"/>
          <w:highlight w:val="none"/>
        </w:rPr>
      </w:pPr>
      <w:r>
        <w:rPr>
          <w:rFonts w:hint="eastAsia"/>
          <w:color w:val="auto"/>
          <w:highlight w:val="none"/>
          <w:lang w:val="en-US" w:eastAsia="zh-CN"/>
        </w:rPr>
        <w:t>四</w:t>
      </w:r>
      <w:r>
        <w:rPr>
          <w:rFonts w:hint="eastAsia"/>
          <w:color w:val="auto"/>
          <w:highlight w:val="none"/>
        </w:rPr>
        <w:t>、不参与围标串标承诺书</w:t>
      </w:r>
    </w:p>
    <w:p w14:paraId="122A4195">
      <w:pPr>
        <w:spacing w:line="360" w:lineRule="auto"/>
        <w:rPr>
          <w:color w:val="auto"/>
          <w:highlight w:val="none"/>
        </w:rPr>
      </w:pPr>
      <w:r>
        <w:rPr>
          <w:rFonts w:hint="eastAsia"/>
          <w:color w:val="auto"/>
          <w:highlight w:val="none"/>
          <w:lang w:val="en-US" w:eastAsia="zh-CN"/>
        </w:rPr>
        <w:t>五</w:t>
      </w:r>
      <w:r>
        <w:rPr>
          <w:rFonts w:hint="eastAsia"/>
          <w:color w:val="auto"/>
          <w:highlight w:val="none"/>
        </w:rPr>
        <w:t>、商务条款偏离表（附件3-3）</w:t>
      </w:r>
    </w:p>
    <w:p w14:paraId="42FD6784">
      <w:pPr>
        <w:spacing w:line="360" w:lineRule="auto"/>
        <w:rPr>
          <w:color w:val="auto"/>
          <w:highlight w:val="none"/>
        </w:rPr>
      </w:pPr>
      <w:r>
        <w:rPr>
          <w:rFonts w:hint="eastAsia"/>
          <w:color w:val="auto"/>
          <w:highlight w:val="none"/>
          <w:lang w:val="en-US" w:eastAsia="zh-CN"/>
        </w:rPr>
        <w:t>六</w:t>
      </w:r>
      <w:r>
        <w:rPr>
          <w:rFonts w:hint="eastAsia"/>
          <w:color w:val="auto"/>
          <w:highlight w:val="none"/>
        </w:rPr>
        <w:t>、提供符合政府采购政策的证明材料（如有提供，不享受相关政策的投标人无需提供。）</w:t>
      </w:r>
    </w:p>
    <w:p w14:paraId="43E4655A">
      <w:pPr>
        <w:spacing w:line="360" w:lineRule="auto"/>
        <w:ind w:firstLine="240" w:firstLineChars="100"/>
        <w:rPr>
          <w:rFonts w:hint="eastAsia" w:eastAsia="宋体"/>
          <w:color w:val="auto"/>
          <w:highlight w:val="none"/>
          <w:lang w:eastAsia="zh-CN"/>
        </w:rPr>
      </w:pPr>
      <w:r>
        <w:rPr>
          <w:color w:val="auto"/>
          <w:highlight w:val="none"/>
        </w:rPr>
        <w:t>1</w:t>
      </w:r>
      <w:r>
        <w:rPr>
          <w:rFonts w:hint="eastAsia"/>
          <w:color w:val="auto"/>
          <w:highlight w:val="none"/>
        </w:rPr>
        <w:t xml:space="preserve"> 节能、环境标志产品优惠明细表（附件3-4）</w:t>
      </w:r>
      <w:r>
        <w:rPr>
          <w:rFonts w:hint="eastAsia"/>
          <w:color w:val="auto"/>
          <w:highlight w:val="none"/>
          <w:lang w:eastAsia="zh-CN"/>
        </w:rPr>
        <w:t>（如有）</w:t>
      </w:r>
    </w:p>
    <w:p w14:paraId="2E4E4ECD">
      <w:pPr>
        <w:spacing w:line="360" w:lineRule="auto"/>
        <w:ind w:firstLine="240" w:firstLineChars="100"/>
        <w:rPr>
          <w:color w:val="auto"/>
          <w:highlight w:val="none"/>
        </w:rPr>
      </w:pPr>
      <w:r>
        <w:rPr>
          <w:rFonts w:hint="eastAsia"/>
          <w:color w:val="auto"/>
          <w:highlight w:val="none"/>
        </w:rPr>
        <w:t>2节能、环境标志产品证明材料（附件3-5）</w:t>
      </w:r>
      <w:r>
        <w:rPr>
          <w:rFonts w:hint="eastAsia"/>
          <w:color w:val="auto"/>
          <w:highlight w:val="none"/>
          <w:lang w:eastAsia="zh-CN"/>
        </w:rPr>
        <w:t>（如有）</w:t>
      </w:r>
    </w:p>
    <w:p w14:paraId="78428F70">
      <w:pPr>
        <w:spacing w:line="360" w:lineRule="auto"/>
        <w:rPr>
          <w:color w:val="auto"/>
          <w:highlight w:val="none"/>
        </w:rPr>
      </w:pPr>
      <w:r>
        <w:rPr>
          <w:rFonts w:hint="eastAsia"/>
          <w:color w:val="auto"/>
          <w:highlight w:val="none"/>
          <w:lang w:val="en-US" w:eastAsia="zh-CN"/>
        </w:rPr>
        <w:t>七</w:t>
      </w:r>
      <w:r>
        <w:rPr>
          <w:rFonts w:hint="eastAsia"/>
          <w:color w:val="auto"/>
          <w:highlight w:val="none"/>
        </w:rPr>
        <w:t>、项目负责人简历表及拟投入本项目主要成员表（附件3-6）</w:t>
      </w:r>
    </w:p>
    <w:p w14:paraId="28E803E8">
      <w:pPr>
        <w:spacing w:line="360" w:lineRule="auto"/>
        <w:rPr>
          <w:color w:val="auto"/>
          <w:highlight w:val="none"/>
        </w:rPr>
      </w:pPr>
      <w:r>
        <w:rPr>
          <w:rFonts w:hint="eastAsia"/>
          <w:color w:val="auto"/>
          <w:highlight w:val="none"/>
          <w:lang w:val="en-US" w:eastAsia="zh-CN"/>
        </w:rPr>
        <w:t>八</w:t>
      </w:r>
      <w:r>
        <w:rPr>
          <w:rFonts w:hint="eastAsia"/>
          <w:color w:val="auto"/>
          <w:highlight w:val="none"/>
        </w:rPr>
        <w:t>、近</w:t>
      </w:r>
      <w:r>
        <w:rPr>
          <w:rFonts w:hint="eastAsia"/>
          <w:color w:val="auto"/>
          <w:highlight w:val="none"/>
          <w:lang w:eastAsia="zh-CN"/>
        </w:rPr>
        <w:t>五</w:t>
      </w:r>
      <w:r>
        <w:rPr>
          <w:rFonts w:hint="eastAsia"/>
          <w:color w:val="auto"/>
          <w:highlight w:val="none"/>
        </w:rPr>
        <w:t>年经营业绩表（附件3-7）</w:t>
      </w:r>
    </w:p>
    <w:p w14:paraId="5DCF03F0">
      <w:pPr>
        <w:spacing w:line="360" w:lineRule="auto"/>
        <w:rPr>
          <w:color w:val="auto"/>
          <w:highlight w:val="none"/>
        </w:rPr>
      </w:pPr>
      <w:r>
        <w:rPr>
          <w:rFonts w:hint="eastAsia"/>
          <w:color w:val="auto"/>
          <w:highlight w:val="none"/>
          <w:lang w:eastAsia="zh-CN"/>
        </w:rPr>
        <w:t>九</w:t>
      </w:r>
      <w:r>
        <w:rPr>
          <w:rFonts w:hint="eastAsia"/>
          <w:color w:val="auto"/>
          <w:highlight w:val="none"/>
        </w:rPr>
        <w:t>、技术参数偏离表（附件3-9）</w:t>
      </w:r>
    </w:p>
    <w:p w14:paraId="7A7A81BB">
      <w:pPr>
        <w:spacing w:line="360" w:lineRule="auto"/>
        <w:rPr>
          <w:color w:val="auto"/>
          <w:highlight w:val="none"/>
        </w:rPr>
      </w:pPr>
      <w:r>
        <w:rPr>
          <w:rFonts w:hint="eastAsia"/>
          <w:color w:val="auto"/>
          <w:highlight w:val="none"/>
        </w:rPr>
        <w:t>十、服务方案</w:t>
      </w:r>
    </w:p>
    <w:p w14:paraId="4FCF38AB">
      <w:pPr>
        <w:spacing w:line="360" w:lineRule="auto"/>
        <w:rPr>
          <w:rFonts w:hint="eastAsia"/>
          <w:color w:val="auto"/>
          <w:highlight w:val="none"/>
        </w:rPr>
      </w:pPr>
      <w:r>
        <w:rPr>
          <w:rFonts w:hint="eastAsia"/>
          <w:bCs/>
          <w:color w:val="auto"/>
          <w:highlight w:val="none"/>
        </w:rPr>
        <w:t>十</w:t>
      </w:r>
      <w:r>
        <w:rPr>
          <w:rFonts w:hint="eastAsia"/>
          <w:bCs/>
          <w:color w:val="auto"/>
          <w:highlight w:val="none"/>
          <w:lang w:val="en-US" w:eastAsia="zh-CN"/>
        </w:rPr>
        <w:t>一</w:t>
      </w:r>
      <w:r>
        <w:rPr>
          <w:rFonts w:hint="eastAsia"/>
          <w:bCs/>
          <w:color w:val="auto"/>
          <w:highlight w:val="none"/>
        </w:rPr>
        <w:t>、</w:t>
      </w:r>
      <w:r>
        <w:rPr>
          <w:rFonts w:hint="eastAsia"/>
          <w:color w:val="auto"/>
          <w:highlight w:val="none"/>
        </w:rPr>
        <w:t>其他资料</w:t>
      </w:r>
    </w:p>
    <w:p w14:paraId="60750158">
      <w:pPr>
        <w:spacing w:line="360" w:lineRule="auto"/>
        <w:rPr>
          <w:rFonts w:hint="eastAsia"/>
          <w:color w:val="auto"/>
          <w:highlight w:val="none"/>
        </w:rPr>
      </w:pPr>
      <w:r>
        <w:rPr>
          <w:rFonts w:hint="eastAsia"/>
          <w:color w:val="auto"/>
          <w:highlight w:val="none"/>
        </w:rPr>
        <w:t>十</w:t>
      </w:r>
      <w:r>
        <w:rPr>
          <w:rFonts w:hint="eastAsia"/>
          <w:color w:val="auto"/>
          <w:highlight w:val="none"/>
          <w:lang w:val="en-US" w:eastAsia="zh-CN"/>
        </w:rPr>
        <w:t>二</w:t>
      </w:r>
      <w:r>
        <w:rPr>
          <w:rFonts w:hint="eastAsia"/>
          <w:color w:val="auto"/>
          <w:highlight w:val="none"/>
        </w:rPr>
        <w:t>、招标文件中要求提交的和投标人认为需要提供的其它说明和资料。</w:t>
      </w:r>
    </w:p>
    <w:p w14:paraId="02964398">
      <w:pPr>
        <w:spacing w:line="440" w:lineRule="exact"/>
        <w:rPr>
          <w:bCs/>
          <w:color w:val="auto"/>
          <w:highlight w:val="none"/>
        </w:rPr>
      </w:pPr>
      <w:r>
        <w:rPr>
          <w:rFonts w:hint="eastAsia"/>
          <w:b/>
          <w:color w:val="auto"/>
          <w:highlight w:val="none"/>
        </w:rPr>
        <w:t>注：1.投标人制作商务技术响应文件，应按照商务技术响应文件组成顺序制作，编好始末页码且在投标文件目录中一一列明并对应。</w:t>
      </w:r>
    </w:p>
    <w:p w14:paraId="5F022591">
      <w:pPr>
        <w:spacing w:line="440" w:lineRule="exact"/>
        <w:ind w:firstLine="482" w:firstLineChars="200"/>
        <w:rPr>
          <w:b/>
          <w:color w:val="auto"/>
          <w:highlight w:val="none"/>
        </w:rPr>
      </w:pPr>
      <w:r>
        <w:rPr>
          <w:rFonts w:hint="eastAsia"/>
          <w:b/>
          <w:color w:val="auto"/>
          <w:highlight w:val="none"/>
        </w:rPr>
        <w:t>2</w:t>
      </w:r>
      <w:r>
        <w:rPr>
          <w:b/>
          <w:color w:val="auto"/>
          <w:highlight w:val="none"/>
        </w:rPr>
        <w:t>.</w:t>
      </w:r>
      <w:r>
        <w:rPr>
          <w:rFonts w:hint="eastAsia"/>
          <w:b/>
          <w:color w:val="auto"/>
          <w:highlight w:val="none"/>
        </w:rPr>
        <w:t>招标文件没有提供格式的，投标人可自行设置。</w:t>
      </w:r>
    </w:p>
    <w:p w14:paraId="46CF725B">
      <w:pPr>
        <w:spacing w:line="360" w:lineRule="auto"/>
        <w:rPr>
          <w:rFonts w:hint="eastAsia"/>
          <w:color w:val="auto"/>
          <w:highlight w:val="none"/>
        </w:rPr>
      </w:pPr>
    </w:p>
    <w:p w14:paraId="614FEEC3">
      <w:pPr>
        <w:spacing w:line="440" w:lineRule="exact"/>
        <w:rPr>
          <w:rFonts w:hint="eastAsia"/>
          <w:b/>
          <w:color w:val="auto"/>
          <w:sz w:val="36"/>
          <w:highlight w:val="none"/>
        </w:rPr>
      </w:pPr>
      <w:r>
        <w:rPr>
          <w:color w:val="auto"/>
          <w:highlight w:val="none"/>
        </w:rPr>
        <w:br w:type="page"/>
      </w:r>
      <w:r>
        <w:rPr>
          <w:rFonts w:hint="eastAsia"/>
          <w:b/>
          <w:color w:val="auto"/>
          <w:highlight w:val="none"/>
          <w:lang w:val="en-US" w:eastAsia="zh-CN"/>
        </w:rPr>
        <w:t>2</w:t>
      </w:r>
      <w:r>
        <w:rPr>
          <w:rFonts w:hint="eastAsia"/>
          <w:b/>
          <w:color w:val="auto"/>
          <w:highlight w:val="none"/>
        </w:rPr>
        <w:t>、商务技术响应文件格式</w:t>
      </w:r>
    </w:p>
    <w:p w14:paraId="233D3374">
      <w:pPr>
        <w:spacing w:line="440" w:lineRule="exact"/>
        <w:jc w:val="center"/>
        <w:outlineLvl w:val="0"/>
        <w:rPr>
          <w:b/>
          <w:color w:val="auto"/>
          <w:sz w:val="30"/>
          <w:szCs w:val="30"/>
          <w:highlight w:val="none"/>
        </w:rPr>
      </w:pPr>
      <w:bookmarkStart w:id="34" w:name="_Toc18570"/>
      <w:bookmarkStart w:id="35" w:name="_Toc25801"/>
      <w:bookmarkStart w:id="36" w:name="_Toc3192"/>
      <w:r>
        <w:rPr>
          <w:rFonts w:hint="eastAsia"/>
          <w:b/>
          <w:color w:val="auto"/>
          <w:sz w:val="30"/>
          <w:szCs w:val="30"/>
          <w:highlight w:val="none"/>
        </w:rPr>
        <w:t>附件2-</w:t>
      </w:r>
      <w:r>
        <w:rPr>
          <w:b/>
          <w:color w:val="auto"/>
          <w:sz w:val="30"/>
          <w:szCs w:val="30"/>
          <w:highlight w:val="none"/>
        </w:rPr>
        <w:t>1</w:t>
      </w:r>
      <w:r>
        <w:rPr>
          <w:rFonts w:hint="eastAsia"/>
          <w:b/>
          <w:color w:val="auto"/>
          <w:sz w:val="30"/>
          <w:szCs w:val="30"/>
          <w:highlight w:val="none"/>
        </w:rPr>
        <w:t xml:space="preserve">  法定代表人资格证明书</w:t>
      </w:r>
      <w:bookmarkEnd w:id="34"/>
      <w:bookmarkEnd w:id="35"/>
      <w:bookmarkEnd w:id="36"/>
    </w:p>
    <w:p w14:paraId="6BED4303">
      <w:pPr>
        <w:spacing w:before="166" w:beforeLines="50" w:after="166" w:afterLines="50" w:line="360" w:lineRule="auto"/>
        <w:ind w:left="624" w:leftChars="260"/>
        <w:rPr>
          <w:color w:val="auto"/>
          <w:highlight w:val="none"/>
          <w:u w:val="single"/>
        </w:rPr>
      </w:pPr>
      <w:r>
        <w:rPr>
          <w:rFonts w:hint="eastAsia"/>
          <w:color w:val="auto"/>
          <w:highlight w:val="none"/>
        </w:rPr>
        <w:t>单位名称：</w:t>
      </w:r>
    </w:p>
    <w:p w14:paraId="2134B158">
      <w:pPr>
        <w:spacing w:before="166" w:beforeLines="50" w:after="166" w:afterLines="50" w:line="360" w:lineRule="auto"/>
        <w:ind w:left="624" w:leftChars="260"/>
        <w:rPr>
          <w:color w:val="auto"/>
          <w:highlight w:val="none"/>
          <w:u w:val="single"/>
        </w:rPr>
      </w:pPr>
      <w:r>
        <w:rPr>
          <w:rFonts w:hint="eastAsia"/>
          <w:color w:val="auto"/>
          <w:highlight w:val="none"/>
        </w:rPr>
        <w:t>单位性质：</w:t>
      </w:r>
    </w:p>
    <w:p w14:paraId="799C159D">
      <w:pPr>
        <w:spacing w:before="166" w:beforeLines="50" w:after="166" w:afterLines="50" w:line="360" w:lineRule="auto"/>
        <w:ind w:left="624" w:leftChars="260"/>
        <w:rPr>
          <w:color w:val="auto"/>
          <w:highlight w:val="none"/>
        </w:rPr>
      </w:pPr>
      <w:r>
        <w:rPr>
          <w:rFonts w:hint="eastAsia"/>
          <w:color w:val="auto"/>
          <w:highlight w:val="none"/>
        </w:rPr>
        <w:t>地址：</w:t>
      </w:r>
    </w:p>
    <w:p w14:paraId="79A7C3DE">
      <w:pPr>
        <w:spacing w:before="166" w:beforeLines="50" w:after="166" w:afterLines="50" w:line="360" w:lineRule="auto"/>
        <w:ind w:left="624" w:leftChars="260"/>
        <w:rPr>
          <w:color w:val="auto"/>
          <w:highlight w:val="none"/>
          <w:u w:val="single"/>
        </w:rPr>
      </w:pPr>
      <w:r>
        <w:rPr>
          <w:rFonts w:hint="eastAsia"/>
          <w:color w:val="auto"/>
          <w:highlight w:val="none"/>
        </w:rPr>
        <w:t>成立时间：</w:t>
      </w:r>
    </w:p>
    <w:p w14:paraId="27013153">
      <w:pPr>
        <w:spacing w:before="166" w:beforeLines="50" w:after="166" w:afterLines="50" w:line="360" w:lineRule="auto"/>
        <w:ind w:left="624" w:leftChars="260"/>
        <w:rPr>
          <w:color w:val="auto"/>
          <w:highlight w:val="none"/>
        </w:rPr>
      </w:pPr>
      <w:r>
        <w:rPr>
          <w:rFonts w:hint="eastAsia"/>
          <w:color w:val="auto"/>
          <w:highlight w:val="none"/>
        </w:rPr>
        <w:t>经营期限：</w:t>
      </w:r>
    </w:p>
    <w:p w14:paraId="2F574196">
      <w:pPr>
        <w:spacing w:before="166" w:beforeLines="50" w:after="166" w:afterLines="50" w:line="360" w:lineRule="auto"/>
        <w:ind w:left="624" w:leftChars="260"/>
        <w:rPr>
          <w:color w:val="auto"/>
          <w:highlight w:val="none"/>
        </w:rPr>
      </w:pPr>
      <w:r>
        <w:rPr>
          <w:rFonts w:hint="eastAsia"/>
          <w:color w:val="auto"/>
          <w:highlight w:val="none"/>
        </w:rPr>
        <w:t>姓名：性别：年龄：职务：</w:t>
      </w:r>
    </w:p>
    <w:p w14:paraId="4AF4F3A3">
      <w:pPr>
        <w:spacing w:before="166" w:beforeLines="50" w:after="166" w:afterLines="50" w:line="360" w:lineRule="auto"/>
        <w:ind w:firstLine="480" w:firstLineChars="200"/>
        <w:rPr>
          <w:color w:val="auto"/>
          <w:highlight w:val="none"/>
        </w:rPr>
      </w:pPr>
      <w:r>
        <w:rPr>
          <w:rFonts w:hint="eastAsia"/>
          <w:color w:val="auto"/>
          <w:highlight w:val="none"/>
        </w:rPr>
        <w:t>系</w:t>
      </w:r>
      <w:r>
        <w:rPr>
          <w:rFonts w:hint="eastAsia"/>
          <w:color w:val="auto"/>
          <w:highlight w:val="none"/>
          <w:u w:val="single"/>
        </w:rPr>
        <w:t>（投标人）</w:t>
      </w:r>
      <w:r>
        <w:rPr>
          <w:rFonts w:hint="eastAsia"/>
          <w:color w:val="auto"/>
          <w:highlight w:val="none"/>
        </w:rPr>
        <w:t>的法定代表人。</w:t>
      </w:r>
      <w:r>
        <w:rPr>
          <w:rFonts w:hint="eastAsia"/>
          <w:color w:val="auto"/>
          <w:highlight w:val="none"/>
        </w:rPr>
        <w:cr/>
      </w:r>
    </w:p>
    <w:p w14:paraId="0C28000D">
      <w:pPr>
        <w:spacing w:before="166" w:beforeLines="50" w:after="166" w:afterLines="50" w:line="360" w:lineRule="auto"/>
        <w:ind w:firstLine="480" w:firstLineChars="200"/>
        <w:rPr>
          <w:color w:val="auto"/>
          <w:highlight w:val="none"/>
        </w:rPr>
      </w:pPr>
      <w:r>
        <w:rPr>
          <w:rFonts w:hint="eastAsia"/>
          <w:color w:val="auto"/>
          <w:highlight w:val="none"/>
        </w:rPr>
        <w:t>特此证明。</w:t>
      </w:r>
    </w:p>
    <w:p w14:paraId="6215DE55">
      <w:pPr>
        <w:spacing w:before="166" w:beforeLines="50" w:after="166" w:afterLines="50" w:line="360" w:lineRule="auto"/>
        <w:ind w:firstLine="480" w:firstLineChars="200"/>
        <w:rPr>
          <w:color w:val="auto"/>
          <w:highlight w:val="none"/>
        </w:rPr>
      </w:pPr>
      <w:r>
        <w:rPr>
          <w:rFonts w:hint="eastAsia"/>
          <w:color w:val="auto"/>
          <w:highlight w:val="none"/>
        </w:rPr>
        <w:t>（附法定代表人身份证复印件）</w:t>
      </w:r>
    </w:p>
    <w:p w14:paraId="6419EE24">
      <w:pPr>
        <w:spacing w:before="166" w:beforeLines="50" w:after="166" w:afterLines="50" w:line="360" w:lineRule="auto"/>
        <w:ind w:firstLine="480" w:firstLineChars="200"/>
        <w:rPr>
          <w:color w:val="auto"/>
          <w:highlight w:val="none"/>
        </w:rPr>
      </w:pPr>
    </w:p>
    <w:p w14:paraId="3D301EDB">
      <w:pPr>
        <w:spacing w:before="166" w:beforeLines="50" w:after="166" w:afterLines="50" w:line="360" w:lineRule="auto"/>
        <w:ind w:firstLine="480" w:firstLineChars="200"/>
        <w:rPr>
          <w:color w:val="auto"/>
          <w:highlight w:val="none"/>
        </w:rPr>
      </w:pPr>
      <w:r>
        <w:rPr>
          <w:rFonts w:hint="eastAsia"/>
          <w:color w:val="auto"/>
          <w:highlight w:val="none"/>
        </w:rPr>
        <w:t>投标人公章：[投标人盖章]</w:t>
      </w:r>
    </w:p>
    <w:p w14:paraId="1A3B8D57">
      <w:pPr>
        <w:spacing w:before="166" w:beforeLines="50" w:after="166" w:afterLines="50" w:line="360" w:lineRule="auto"/>
        <w:ind w:firstLine="496" w:firstLineChars="200"/>
        <w:rPr>
          <w:color w:val="auto"/>
          <w:highlight w:val="none"/>
        </w:rPr>
      </w:pPr>
      <w:r>
        <w:rPr>
          <w:rFonts w:hint="eastAsia"/>
          <w:color w:val="auto"/>
          <w:spacing w:val="4"/>
          <w:highlight w:val="none"/>
        </w:rPr>
        <w:t>日期：</w:t>
      </w:r>
      <w:r>
        <w:rPr>
          <w:rFonts w:hint="eastAsia"/>
          <w:color w:val="auto"/>
          <w:highlight w:val="none"/>
        </w:rPr>
        <w:t>年月日</w:t>
      </w:r>
    </w:p>
    <w:p w14:paraId="65A68D09">
      <w:pPr>
        <w:spacing w:line="440" w:lineRule="exact"/>
        <w:jc w:val="center"/>
        <w:outlineLvl w:val="0"/>
        <w:rPr>
          <w:b/>
          <w:color w:val="auto"/>
          <w:sz w:val="32"/>
          <w:szCs w:val="32"/>
          <w:highlight w:val="none"/>
        </w:rPr>
      </w:pPr>
      <w:r>
        <w:rPr>
          <w:b/>
          <w:color w:val="auto"/>
          <w:sz w:val="30"/>
          <w:szCs w:val="30"/>
          <w:highlight w:val="none"/>
        </w:rPr>
        <w:br w:type="page"/>
      </w:r>
      <w:bookmarkStart w:id="37" w:name="_Toc26741"/>
      <w:bookmarkStart w:id="38" w:name="_Toc12725"/>
      <w:bookmarkStart w:id="39" w:name="_Toc2935"/>
      <w:r>
        <w:rPr>
          <w:rFonts w:hint="eastAsia"/>
          <w:b/>
          <w:color w:val="auto"/>
          <w:sz w:val="30"/>
          <w:szCs w:val="30"/>
          <w:highlight w:val="none"/>
        </w:rPr>
        <w:t>附件2-</w:t>
      </w:r>
      <w:r>
        <w:rPr>
          <w:b/>
          <w:color w:val="auto"/>
          <w:sz w:val="30"/>
          <w:szCs w:val="30"/>
          <w:highlight w:val="none"/>
        </w:rPr>
        <w:t>2</w:t>
      </w:r>
      <w:r>
        <w:rPr>
          <w:rFonts w:hint="eastAsia"/>
          <w:b/>
          <w:color w:val="auto"/>
          <w:sz w:val="30"/>
          <w:szCs w:val="30"/>
          <w:highlight w:val="none"/>
        </w:rPr>
        <w:t xml:space="preserve">  </w:t>
      </w:r>
      <w:r>
        <w:rPr>
          <w:rFonts w:hint="eastAsia"/>
          <w:b/>
          <w:color w:val="auto"/>
          <w:sz w:val="32"/>
          <w:szCs w:val="32"/>
          <w:highlight w:val="none"/>
        </w:rPr>
        <w:t>法定代表人授权委托书</w:t>
      </w:r>
      <w:bookmarkEnd w:id="37"/>
      <w:bookmarkEnd w:id="38"/>
      <w:bookmarkEnd w:id="39"/>
    </w:p>
    <w:p w14:paraId="26B61995">
      <w:pPr>
        <w:spacing w:line="440" w:lineRule="exact"/>
        <w:jc w:val="center"/>
        <w:rPr>
          <w:b/>
          <w:color w:val="auto"/>
          <w:sz w:val="32"/>
          <w:szCs w:val="32"/>
          <w:highlight w:val="none"/>
        </w:rPr>
      </w:pPr>
    </w:p>
    <w:p w14:paraId="3905F1FE">
      <w:pPr>
        <w:autoSpaceDE w:val="0"/>
        <w:autoSpaceDN w:val="0"/>
        <w:adjustRightInd w:val="0"/>
        <w:spacing w:line="440" w:lineRule="exact"/>
        <w:ind w:firstLine="422"/>
        <w:rPr>
          <w:color w:val="auto"/>
          <w:highlight w:val="none"/>
        </w:rPr>
      </w:pPr>
      <w:r>
        <w:rPr>
          <w:rFonts w:hint="eastAsia"/>
          <w:color w:val="auto"/>
          <w:highlight w:val="none"/>
        </w:rPr>
        <w:t>本授权声明：注册于中华人民共和国的</w:t>
      </w:r>
      <w:r>
        <w:rPr>
          <w:rFonts w:hint="eastAsia"/>
          <w:color w:val="auto"/>
          <w:highlight w:val="none"/>
          <w:u w:val="single"/>
        </w:rPr>
        <w:t>（投标人名称、住址）</w:t>
      </w:r>
      <w:r>
        <w:rPr>
          <w:rFonts w:hint="eastAsia"/>
          <w:color w:val="auto"/>
          <w:highlight w:val="none"/>
        </w:rPr>
        <w:t>的法人代表</w:t>
      </w:r>
      <w:r>
        <w:rPr>
          <w:rFonts w:hint="eastAsia"/>
          <w:color w:val="auto"/>
          <w:highlight w:val="none"/>
          <w:u w:val="single"/>
        </w:rPr>
        <w:t>（法定代表人姓名）</w:t>
      </w:r>
      <w:r>
        <w:rPr>
          <w:rFonts w:hint="eastAsia"/>
          <w:color w:val="auto"/>
          <w:highlight w:val="none"/>
        </w:rPr>
        <w:t>代表本公司授权在下面签字的</w:t>
      </w:r>
      <w:r>
        <w:rPr>
          <w:rFonts w:hint="eastAsia"/>
          <w:color w:val="auto"/>
          <w:highlight w:val="none"/>
          <w:u w:val="single"/>
        </w:rPr>
        <w:t>（授权代表姓名）</w:t>
      </w:r>
      <w:r>
        <w:rPr>
          <w:rFonts w:hint="eastAsia"/>
          <w:color w:val="auto"/>
          <w:highlight w:val="none"/>
        </w:rPr>
        <w:t>为本公司的合法代理人，就此次</w:t>
      </w:r>
      <w:r>
        <w:rPr>
          <w:rFonts w:hint="eastAsia"/>
          <w:color w:val="auto"/>
          <w:highlight w:val="none"/>
          <w:u w:val="single"/>
        </w:rPr>
        <w:t>项目名称</w:t>
      </w:r>
      <w:r>
        <w:rPr>
          <w:rFonts w:hint="eastAsia"/>
          <w:color w:val="auto"/>
          <w:highlight w:val="none"/>
        </w:rPr>
        <w:t>项目，项目编号为（</w:t>
      </w:r>
      <w:r>
        <w:rPr>
          <w:rFonts w:hint="eastAsia"/>
          <w:color w:val="auto"/>
          <w:highlight w:val="none"/>
          <w:u w:val="single"/>
          <w:lang w:val="en-US" w:eastAsia="zh-CN"/>
        </w:rPr>
        <w:t xml:space="preserve">      </w:t>
      </w:r>
      <w:r>
        <w:rPr>
          <w:rFonts w:hint="eastAsia"/>
          <w:color w:val="auto"/>
          <w:highlight w:val="none"/>
        </w:rPr>
        <w:t>）的投标及相关事务代表本公司处理与之有关的一切事务。</w:t>
      </w:r>
    </w:p>
    <w:p w14:paraId="7F83A870">
      <w:pPr>
        <w:autoSpaceDE w:val="0"/>
        <w:autoSpaceDN w:val="0"/>
        <w:adjustRightInd w:val="0"/>
        <w:spacing w:line="440" w:lineRule="exact"/>
        <w:ind w:firstLine="420" w:firstLineChars="175"/>
        <w:rPr>
          <w:color w:val="auto"/>
          <w:highlight w:val="none"/>
        </w:rPr>
      </w:pPr>
      <w:r>
        <w:rPr>
          <w:rFonts w:hint="eastAsia"/>
          <w:color w:val="auto"/>
          <w:highlight w:val="none"/>
        </w:rPr>
        <w:t>本授权书于</w:t>
      </w:r>
      <w:r>
        <w:rPr>
          <w:rFonts w:hint="eastAsia"/>
          <w:color w:val="auto"/>
          <w:highlight w:val="none"/>
          <w:u w:val="single"/>
        </w:rPr>
        <w:t>年月日</w:t>
      </w:r>
      <w:r>
        <w:rPr>
          <w:rFonts w:hint="eastAsia"/>
          <w:color w:val="auto"/>
          <w:highlight w:val="none"/>
        </w:rPr>
        <w:t>签字生效，特此声明。</w:t>
      </w:r>
    </w:p>
    <w:p w14:paraId="7418C1C2">
      <w:pPr>
        <w:autoSpaceDE w:val="0"/>
        <w:autoSpaceDN w:val="0"/>
        <w:adjustRightInd w:val="0"/>
        <w:spacing w:line="440" w:lineRule="exact"/>
        <w:ind w:firstLine="480" w:firstLineChars="200"/>
        <w:rPr>
          <w:color w:val="auto"/>
          <w:highlight w:val="none"/>
          <w:u w:val="single"/>
        </w:rPr>
      </w:pPr>
      <w:r>
        <w:rPr>
          <w:rFonts w:hint="eastAsia"/>
          <w:color w:val="auto"/>
          <w:highlight w:val="none"/>
        </w:rPr>
        <w:t>法定代表人签字或盖章：</w:t>
      </w:r>
    </w:p>
    <w:p w14:paraId="3BC01E64">
      <w:pPr>
        <w:autoSpaceDE w:val="0"/>
        <w:autoSpaceDN w:val="0"/>
        <w:adjustRightInd w:val="0"/>
        <w:spacing w:line="440" w:lineRule="exact"/>
        <w:ind w:firstLine="480" w:firstLineChars="200"/>
        <w:rPr>
          <w:color w:val="auto"/>
          <w:highlight w:val="none"/>
          <w:u w:val="single"/>
        </w:rPr>
      </w:pPr>
      <w:r>
        <w:rPr>
          <w:rFonts w:hint="eastAsia"/>
          <w:color w:val="auto"/>
          <w:highlight w:val="none"/>
        </w:rPr>
        <w:t>授权代表签字或盖章：</w:t>
      </w:r>
    </w:p>
    <w:p w14:paraId="347083D3">
      <w:pPr>
        <w:autoSpaceDE w:val="0"/>
        <w:autoSpaceDN w:val="0"/>
        <w:adjustRightInd w:val="0"/>
        <w:spacing w:line="440" w:lineRule="exact"/>
        <w:ind w:firstLine="480" w:firstLineChars="200"/>
        <w:rPr>
          <w:color w:val="auto"/>
          <w:highlight w:val="none"/>
          <w:u w:val="single"/>
        </w:rPr>
      </w:pPr>
      <w:r>
        <w:rPr>
          <w:rFonts w:hint="eastAsia"/>
          <w:color w:val="auto"/>
          <w:highlight w:val="none"/>
        </w:rPr>
        <w:t>单位名称：</w:t>
      </w:r>
    </w:p>
    <w:p w14:paraId="1F84C492">
      <w:pPr>
        <w:spacing w:line="440" w:lineRule="exact"/>
        <w:ind w:firstLine="480"/>
        <w:rPr>
          <w:color w:val="auto"/>
          <w:highlight w:val="none"/>
        </w:rPr>
      </w:pPr>
      <w:r>
        <w:rPr>
          <w:rFonts w:hint="eastAsia"/>
          <w:color w:val="auto"/>
          <w:highlight w:val="none"/>
        </w:rPr>
        <w:t>授权日期：</w:t>
      </w:r>
      <w:r>
        <w:rPr>
          <w:color w:val="auto"/>
          <w:highlight w:val="none"/>
        </w:rPr>
        <w:t>20</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61D18205">
      <w:pPr>
        <w:spacing w:line="440" w:lineRule="exact"/>
        <w:ind w:firstLine="480"/>
        <w:rPr>
          <w:color w:val="auto"/>
          <w:highlight w:val="none"/>
        </w:rPr>
      </w:pPr>
    </w:p>
    <w:p w14:paraId="2265543F">
      <w:pPr>
        <w:spacing w:line="440" w:lineRule="exact"/>
        <w:ind w:firstLine="6240" w:firstLineChars="2600"/>
        <w:rPr>
          <w:color w:val="auto"/>
          <w:highlight w:val="none"/>
        </w:rPr>
      </w:pPr>
      <w:r>
        <w:rPr>
          <w:rFonts w:hint="eastAsia"/>
          <w:color w:val="auto"/>
          <w:highlight w:val="none"/>
        </w:rPr>
        <w:t>（单位公章）</w:t>
      </w:r>
    </w:p>
    <w:p w14:paraId="5D8CAE88">
      <w:pPr>
        <w:spacing w:line="440" w:lineRule="exact"/>
        <w:ind w:firstLine="6360" w:firstLineChars="2650"/>
        <w:rPr>
          <w:color w:val="auto"/>
          <w:highlight w:val="none"/>
        </w:rPr>
      </w:pPr>
      <w:r>
        <w:rPr>
          <w:color w:val="auto"/>
          <w:highlight w:val="none"/>
        </w:rPr>
        <w:t>20</w:t>
      </w:r>
      <w:r>
        <w:rPr>
          <w:rFonts w:hint="eastAsia"/>
          <w:color w:val="auto"/>
          <w:highlight w:val="none"/>
        </w:rPr>
        <w:t xml:space="preserve">    年    月   日</w:t>
      </w:r>
    </w:p>
    <w:p w14:paraId="7C48FEC5">
      <w:pPr>
        <w:spacing w:line="440" w:lineRule="exact"/>
        <w:ind w:firstLine="482" w:firstLineChars="200"/>
        <w:rPr>
          <w:b/>
          <w:color w:val="auto"/>
          <w:highlight w:val="none"/>
          <w:em w:val="dot"/>
        </w:rPr>
      </w:pPr>
    </w:p>
    <w:p w14:paraId="3B140609">
      <w:pPr>
        <w:spacing w:line="440" w:lineRule="exact"/>
        <w:rPr>
          <w:b/>
          <w:color w:val="auto"/>
          <w:highlight w:val="none"/>
          <w:em w:val="dot"/>
        </w:rPr>
      </w:pPr>
    </w:p>
    <w:p w14:paraId="0AF1C25F">
      <w:pPr>
        <w:spacing w:line="440" w:lineRule="exact"/>
        <w:rPr>
          <w:b/>
          <w:color w:val="auto"/>
          <w:highlight w:val="none"/>
          <w:em w:val="dot"/>
        </w:rPr>
      </w:pPr>
      <w:permStart w:id="1" w:edGrp="everyone"/>
      <w:permEnd w:id="1"/>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0" t="0" r="0" b="0"/>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23B5BA79">
                            <w:pPr>
                              <w:jc w:val="center"/>
                            </w:pPr>
                            <w:permStart w:id="2" w:edGrp="everyone"/>
                            <w:permEnd w:id="2"/>
                          </w:p>
                          <w:p w14:paraId="53F9AF2F">
                            <w:pPr>
                              <w:jc w:val="center"/>
                              <w:rPr>
                                <w:b/>
                              </w:rPr>
                            </w:pPr>
                          </w:p>
                          <w:p w14:paraId="139D460B">
                            <w:pPr>
                              <w:jc w:val="center"/>
                              <w:rPr>
                                <w:b/>
                              </w:rPr>
                            </w:pPr>
                          </w:p>
                          <w:p w14:paraId="4818A6CA">
                            <w:pPr>
                              <w:jc w:val="center"/>
                              <w:rPr>
                                <w:b/>
                              </w:rPr>
                            </w:pPr>
                            <w:r>
                              <w:rPr>
                                <w:rFonts w:hint="eastAsia"/>
                                <w:b/>
                              </w:rPr>
                              <w:t>此处附</w:t>
                            </w:r>
                            <w:r>
                              <w:rPr>
                                <w:rFonts w:hint="eastAsia"/>
                                <w:b/>
                                <w:em w:val="dot"/>
                              </w:rPr>
                              <w:t>法定代表人</w:t>
                            </w:r>
                            <w:r>
                              <w:rPr>
                                <w:rFonts w:hint="eastAsia"/>
                                <w:b/>
                              </w:rPr>
                              <w:t>身份证复印件正反面</w:t>
                            </w:r>
                          </w:p>
                          <w:p w14:paraId="63270902">
                            <w:pPr>
                              <w:pStyle w:val="4"/>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fill on="t" focussize="0,0"/>
                <v:stroke color="#000000" joinstyle="miter" dashstyle="1 1"/>
                <v:imagedata o:title=""/>
                <o:lock v:ext="edit" aspectratio="f"/>
                <v:textbox>
                  <w:txbxContent>
                    <w:p w14:paraId="23B5BA79">
                      <w:pPr>
                        <w:jc w:val="center"/>
                      </w:pPr>
                      <w:permStart w:id="2" w:edGrp="everyone"/>
                      <w:permEnd w:id="2"/>
                    </w:p>
                    <w:p w14:paraId="53F9AF2F">
                      <w:pPr>
                        <w:jc w:val="center"/>
                        <w:rPr>
                          <w:b/>
                        </w:rPr>
                      </w:pPr>
                    </w:p>
                    <w:p w14:paraId="139D460B">
                      <w:pPr>
                        <w:jc w:val="center"/>
                        <w:rPr>
                          <w:b/>
                        </w:rPr>
                      </w:pPr>
                    </w:p>
                    <w:p w14:paraId="4818A6CA">
                      <w:pPr>
                        <w:jc w:val="center"/>
                        <w:rPr>
                          <w:b/>
                        </w:rPr>
                      </w:pPr>
                      <w:r>
                        <w:rPr>
                          <w:rFonts w:hint="eastAsia"/>
                          <w:b/>
                        </w:rPr>
                        <w:t>此处附</w:t>
                      </w:r>
                      <w:r>
                        <w:rPr>
                          <w:rFonts w:hint="eastAsia"/>
                          <w:b/>
                          <w:em w:val="dot"/>
                        </w:rPr>
                        <w:t>法定代表人</w:t>
                      </w:r>
                      <w:r>
                        <w:rPr>
                          <w:rFonts w:hint="eastAsia"/>
                          <w:b/>
                        </w:rPr>
                        <w:t>身份证复印件正反面</w:t>
                      </w:r>
                    </w:p>
                    <w:p w14:paraId="63270902">
                      <w:pPr>
                        <w:pStyle w:val="4"/>
                      </w:pPr>
                    </w:p>
                  </w:txbxContent>
                </v:textbox>
              </v:shape>
            </w:pict>
          </mc:Fallback>
        </mc:AlternateContent>
      </w:r>
    </w:p>
    <w:p w14:paraId="54910513">
      <w:pPr>
        <w:spacing w:line="440" w:lineRule="exact"/>
        <w:rPr>
          <w:b/>
          <w:color w:val="auto"/>
          <w:highlight w:val="none"/>
          <w:em w:val="dot"/>
        </w:rPr>
      </w:pPr>
    </w:p>
    <w:p w14:paraId="603F1940">
      <w:pPr>
        <w:spacing w:line="440" w:lineRule="exact"/>
        <w:rPr>
          <w:b/>
          <w:color w:val="auto"/>
          <w:highlight w:val="none"/>
        </w:rPr>
      </w:pPr>
    </w:p>
    <w:p w14:paraId="6FB16078">
      <w:pPr>
        <w:spacing w:line="440" w:lineRule="exact"/>
        <w:rPr>
          <w:b/>
          <w:color w:val="auto"/>
          <w:highlight w:val="none"/>
        </w:rPr>
      </w:pPr>
    </w:p>
    <w:p w14:paraId="001C8893">
      <w:pPr>
        <w:spacing w:line="440" w:lineRule="exact"/>
        <w:rPr>
          <w:b/>
          <w:color w:val="auto"/>
          <w:sz w:val="30"/>
          <w:szCs w:val="30"/>
          <w:highlight w:val="none"/>
        </w:rPr>
      </w:pPr>
    </w:p>
    <w:p w14:paraId="4BC598E4">
      <w:pPr>
        <w:spacing w:line="440" w:lineRule="exact"/>
        <w:jc w:val="center"/>
        <w:rPr>
          <w:b/>
          <w:color w:val="auto"/>
          <w:sz w:val="30"/>
          <w:szCs w:val="30"/>
          <w:highlight w:val="none"/>
        </w:rPr>
      </w:pPr>
    </w:p>
    <w:p w14:paraId="1FA1BB61">
      <w:pPr>
        <w:spacing w:line="440" w:lineRule="exact"/>
        <w:jc w:val="center"/>
        <w:rPr>
          <w:b/>
          <w:color w:val="auto"/>
          <w:sz w:val="30"/>
          <w:szCs w:val="30"/>
          <w:highlight w:val="none"/>
        </w:rPr>
      </w:pPr>
    </w:p>
    <w:p w14:paraId="3EB14AF7">
      <w:pPr>
        <w:spacing w:line="440" w:lineRule="exact"/>
        <w:jc w:val="center"/>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0" t="0" r="0" b="0"/>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78A1E2D7">
                            <w:pPr>
                              <w:jc w:val="center"/>
                            </w:pPr>
                            <w:permStart w:id="3" w:edGrp="everyone"/>
                            <w:permEnd w:id="3"/>
                          </w:p>
                          <w:p w14:paraId="2B30448A">
                            <w:pPr>
                              <w:rPr>
                                <w:b/>
                              </w:rPr>
                            </w:pPr>
                          </w:p>
                          <w:p w14:paraId="3630372F">
                            <w:pPr>
                              <w:pStyle w:val="4"/>
                              <w:jc w:val="center"/>
                            </w:pPr>
                            <w:r>
                              <w:rPr>
                                <w:rFonts w:hint="eastAsia" w:ascii="宋体" w:hAnsi="宋体"/>
                                <w:sz w:val="24"/>
                              </w:rPr>
                              <w:t>此处附被授权人身份证复印件正反面</w:t>
                            </w:r>
                          </w:p>
                          <w:p w14:paraId="7CCECF56"/>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fill on="t" focussize="0,0"/>
                <v:stroke color="#000000" joinstyle="miter" dashstyle="1 1"/>
                <v:imagedata o:title=""/>
                <o:lock v:ext="edit" aspectratio="f"/>
                <v:textbox>
                  <w:txbxContent>
                    <w:p w14:paraId="78A1E2D7">
                      <w:pPr>
                        <w:jc w:val="center"/>
                      </w:pPr>
                      <w:permStart w:id="3" w:edGrp="everyone"/>
                      <w:permEnd w:id="3"/>
                    </w:p>
                    <w:p w14:paraId="2B30448A">
                      <w:pPr>
                        <w:rPr>
                          <w:b/>
                        </w:rPr>
                      </w:pPr>
                    </w:p>
                    <w:p w14:paraId="3630372F">
                      <w:pPr>
                        <w:pStyle w:val="4"/>
                        <w:jc w:val="center"/>
                      </w:pPr>
                      <w:r>
                        <w:rPr>
                          <w:rFonts w:hint="eastAsia" w:ascii="宋体" w:hAnsi="宋体"/>
                          <w:sz w:val="24"/>
                        </w:rPr>
                        <w:t>此处附被授权人身份证复印件正反面</w:t>
                      </w:r>
                    </w:p>
                    <w:p w14:paraId="7CCECF56"/>
                  </w:txbxContent>
                </v:textbox>
              </v:shape>
            </w:pict>
          </mc:Fallback>
        </mc:AlternateContent>
      </w:r>
      <w:r>
        <w:rPr>
          <w:rFonts w:hint="eastAsia"/>
          <w:b/>
          <w:color w:val="auto"/>
          <w:sz w:val="30"/>
          <w:szCs w:val="30"/>
          <w:highlight w:val="none"/>
        </w:rPr>
        <w:br w:type="page"/>
      </w:r>
      <w:r>
        <w:rPr>
          <w:rFonts w:hint="eastAsia"/>
          <w:bCs/>
          <w:color w:val="auto"/>
          <w:sz w:val="30"/>
          <w:szCs w:val="30"/>
          <w:highlight w:val="none"/>
        </w:rPr>
        <w:t>附件2-3授权委托书 (适用于自然人委托投标)</w:t>
      </w:r>
    </w:p>
    <w:p w14:paraId="78737056">
      <w:pPr>
        <w:spacing w:before="166" w:beforeLines="50" w:after="166" w:afterLines="50" w:line="360" w:lineRule="auto"/>
        <w:ind w:left="624" w:leftChars="260"/>
        <w:rPr>
          <w:color w:val="auto"/>
          <w:highlight w:val="none"/>
        </w:rPr>
      </w:pPr>
      <w:r>
        <w:rPr>
          <w:rFonts w:hint="eastAsia"/>
          <w:color w:val="auto"/>
          <w:highlight w:val="none"/>
        </w:rPr>
        <w:t>致：____________(</w:t>
      </w:r>
      <w:r>
        <w:rPr>
          <w:rFonts w:hint="eastAsia"/>
          <w:color w:val="auto"/>
          <w:highlight w:val="none"/>
          <w:lang w:eastAsia="zh-CN"/>
        </w:rPr>
        <w:t>招标人</w:t>
      </w:r>
      <w:r>
        <w:rPr>
          <w:rFonts w:hint="eastAsia"/>
          <w:color w:val="auto"/>
          <w:highlight w:val="none"/>
        </w:rPr>
        <w:t>或</w:t>
      </w:r>
      <w:r>
        <w:rPr>
          <w:rFonts w:hint="eastAsia"/>
          <w:color w:val="auto"/>
          <w:highlight w:val="none"/>
          <w:lang w:eastAsia="zh-CN"/>
        </w:rPr>
        <w:t>招标代理机构</w:t>
      </w:r>
      <w:r>
        <w:rPr>
          <w:rFonts w:hint="eastAsia"/>
          <w:color w:val="auto"/>
          <w:highlight w:val="none"/>
        </w:rPr>
        <w:t>)</w:t>
      </w:r>
    </w:p>
    <w:p w14:paraId="032C7248">
      <w:pPr>
        <w:spacing w:before="166" w:beforeLines="50" w:after="166" w:afterLines="50" w:line="360" w:lineRule="auto"/>
        <w:ind w:left="624" w:leftChars="260"/>
        <w:rPr>
          <w:color w:val="auto"/>
          <w:highlight w:val="none"/>
        </w:rPr>
      </w:pPr>
      <w:r>
        <w:rPr>
          <w:rFonts w:hint="eastAsia"/>
          <w:color w:val="auto"/>
          <w:highlight w:val="none"/>
        </w:rPr>
        <w:t>我________(姓名)系自然人，现授权委托____________(姓名)以本人名义参加____________(项目名称) ，项目编号为（</w:t>
      </w:r>
      <w:r>
        <w:rPr>
          <w:rFonts w:hint="eastAsia"/>
          <w:color w:val="auto"/>
          <w:highlight w:val="none"/>
          <w:u w:val="single"/>
          <w:lang w:val="en-US" w:eastAsia="zh-CN"/>
        </w:rPr>
        <w:t xml:space="preserve">      </w:t>
      </w:r>
      <w:r>
        <w:rPr>
          <w:rFonts w:hint="eastAsia"/>
          <w:color w:val="auto"/>
          <w:highlight w:val="none"/>
        </w:rPr>
        <w:t>）的投标活动，并代表本人全权办理针对上述项目的投标、签约等具体事务和签署相关文件。</w:t>
      </w:r>
    </w:p>
    <w:p w14:paraId="52EC088E">
      <w:pPr>
        <w:spacing w:before="166" w:beforeLines="50" w:after="166" w:afterLines="50" w:line="360" w:lineRule="auto"/>
        <w:ind w:left="624" w:leftChars="260"/>
        <w:rPr>
          <w:color w:val="auto"/>
          <w:highlight w:val="none"/>
        </w:rPr>
      </w:pPr>
      <w:r>
        <w:rPr>
          <w:rFonts w:hint="eastAsia"/>
          <w:color w:val="auto"/>
          <w:highlight w:val="none"/>
        </w:rPr>
        <w:t>本人对授权代表的签字事项负全部责任。</w:t>
      </w:r>
    </w:p>
    <w:p w14:paraId="16875A03">
      <w:pPr>
        <w:spacing w:before="166" w:beforeLines="50" w:after="166" w:afterLines="50" w:line="360" w:lineRule="auto"/>
        <w:ind w:left="624" w:leftChars="260"/>
        <w:rPr>
          <w:color w:val="auto"/>
          <w:highlight w:val="none"/>
        </w:rPr>
      </w:pPr>
      <w:r>
        <w:rPr>
          <w:rFonts w:hint="eastAsia"/>
          <w:color w:val="auto"/>
          <w:highlight w:val="none"/>
        </w:rPr>
        <w:t>授权委托代理期限：从　　　年　　月　　日起至　　　年　　月　　日止。</w:t>
      </w:r>
    </w:p>
    <w:p w14:paraId="4EC3B419">
      <w:pPr>
        <w:spacing w:before="166" w:beforeLines="50" w:after="166" w:afterLines="50" w:line="360" w:lineRule="auto"/>
        <w:ind w:left="624" w:leftChars="260"/>
        <w:rPr>
          <w:color w:val="auto"/>
          <w:highlight w:val="none"/>
        </w:rPr>
      </w:pPr>
    </w:p>
    <w:p w14:paraId="1F608C20">
      <w:pPr>
        <w:spacing w:before="166" w:beforeLines="50" w:after="166" w:afterLines="50" w:line="360" w:lineRule="auto"/>
        <w:ind w:left="624" w:leftChars="260"/>
        <w:rPr>
          <w:color w:val="auto"/>
          <w:highlight w:val="none"/>
        </w:rPr>
      </w:pPr>
      <w:r>
        <w:rPr>
          <w:rFonts w:hint="eastAsia"/>
          <w:color w:val="auto"/>
          <w:highlight w:val="none"/>
        </w:rPr>
        <w:t>代理人无转委托权，特此委托。</w:t>
      </w:r>
    </w:p>
    <w:p w14:paraId="0B9F106B">
      <w:pPr>
        <w:spacing w:before="166" w:beforeLines="50" w:after="166" w:afterLines="50" w:line="360" w:lineRule="auto"/>
        <w:ind w:left="624" w:leftChars="260"/>
        <w:rPr>
          <w:color w:val="auto"/>
          <w:highlight w:val="none"/>
        </w:rPr>
      </w:pPr>
    </w:p>
    <w:p w14:paraId="4E95898C">
      <w:pPr>
        <w:spacing w:before="166" w:beforeLines="50" w:after="166" w:afterLines="50" w:line="360" w:lineRule="auto"/>
        <w:ind w:left="624" w:leftChars="260"/>
        <w:rPr>
          <w:color w:val="auto"/>
          <w:highlight w:val="none"/>
        </w:rPr>
      </w:pPr>
      <w:r>
        <w:rPr>
          <w:rFonts w:hint="eastAsia"/>
          <w:color w:val="auto"/>
          <w:highlight w:val="none"/>
        </w:rPr>
        <w:t>我已在下面签字，以资证明。</w:t>
      </w:r>
    </w:p>
    <w:p w14:paraId="7F854ECA">
      <w:pPr>
        <w:spacing w:before="166" w:beforeLines="50" w:after="166" w:afterLines="50" w:line="360" w:lineRule="auto"/>
        <w:ind w:left="624" w:leftChars="260"/>
        <w:rPr>
          <w:color w:val="auto"/>
          <w:highlight w:val="none"/>
        </w:rPr>
      </w:pPr>
    </w:p>
    <w:p w14:paraId="56EA3652">
      <w:pPr>
        <w:spacing w:before="166" w:beforeLines="50" w:after="166" w:afterLines="50" w:line="360" w:lineRule="auto"/>
        <w:ind w:left="624" w:leftChars="260"/>
        <w:rPr>
          <w:color w:val="auto"/>
          <w:highlight w:val="none"/>
        </w:rPr>
      </w:pPr>
      <w:r>
        <w:rPr>
          <w:rFonts w:hint="eastAsia"/>
          <w:color w:val="auto"/>
          <w:highlight w:val="none"/>
        </w:rPr>
        <w:t>自然人签字并在签名处加盖食指指印：　　　　年　　月　　日</w:t>
      </w:r>
    </w:p>
    <w:p w14:paraId="06D3F3E2">
      <w:pPr>
        <w:spacing w:line="440" w:lineRule="exact"/>
        <w:jc w:val="center"/>
        <w:rPr>
          <w:b/>
          <w:color w:val="auto"/>
          <w:sz w:val="32"/>
          <w:szCs w:val="32"/>
          <w:highlight w:val="none"/>
        </w:rPr>
      </w:pPr>
      <w:r>
        <w:rPr>
          <w:rFonts w:hint="eastAsia"/>
          <w:b/>
          <w:color w:val="auto"/>
          <w:sz w:val="30"/>
          <w:szCs w:val="30"/>
          <w:highlight w:val="none"/>
        </w:rPr>
        <w:br w:type="page"/>
      </w:r>
      <w:r>
        <w:rPr>
          <w:rFonts w:hint="eastAsia"/>
          <w:b/>
          <w:color w:val="auto"/>
          <w:sz w:val="30"/>
          <w:szCs w:val="30"/>
          <w:highlight w:val="none"/>
        </w:rPr>
        <w:t>附件3-</w:t>
      </w:r>
      <w:r>
        <w:rPr>
          <w:b/>
          <w:color w:val="auto"/>
          <w:sz w:val="30"/>
          <w:szCs w:val="30"/>
          <w:highlight w:val="none"/>
        </w:rPr>
        <w:t>1</w:t>
      </w:r>
      <w:r>
        <w:rPr>
          <w:rFonts w:hint="eastAsia"/>
          <w:b/>
          <w:color w:val="auto"/>
          <w:sz w:val="30"/>
          <w:szCs w:val="30"/>
          <w:highlight w:val="none"/>
        </w:rPr>
        <w:t xml:space="preserve">  </w:t>
      </w:r>
      <w:r>
        <w:rPr>
          <w:rFonts w:hint="eastAsia"/>
          <w:b/>
          <w:color w:val="auto"/>
          <w:sz w:val="32"/>
          <w:szCs w:val="32"/>
          <w:highlight w:val="none"/>
        </w:rPr>
        <w:t>投标函</w:t>
      </w:r>
    </w:p>
    <w:p w14:paraId="0BAB7FA6">
      <w:pPr>
        <w:spacing w:line="440" w:lineRule="exact"/>
        <w:rPr>
          <w:color w:val="auto"/>
          <w:highlight w:val="none"/>
        </w:rPr>
      </w:pPr>
      <w:r>
        <w:rPr>
          <w:rFonts w:hint="eastAsia"/>
          <w:color w:val="auto"/>
          <w:highlight w:val="none"/>
        </w:rPr>
        <w:t>致：</w:t>
      </w:r>
      <w:r>
        <w:rPr>
          <w:rFonts w:hint="eastAsia"/>
          <w:color w:val="auto"/>
          <w:highlight w:val="none"/>
          <w:lang w:eastAsia="zh-CN"/>
        </w:rPr>
        <w:t>新疆弘伟工程项目管理有限公司</w:t>
      </w:r>
      <w:r>
        <w:rPr>
          <w:color w:val="auto"/>
          <w:highlight w:val="none"/>
        </w:rPr>
        <w:t>:</w:t>
      </w:r>
    </w:p>
    <w:p w14:paraId="7F441D09">
      <w:pPr>
        <w:spacing w:line="440" w:lineRule="exact"/>
        <w:ind w:firstLine="555"/>
        <w:rPr>
          <w:color w:val="auto"/>
          <w:highlight w:val="none"/>
        </w:rPr>
      </w:pPr>
      <w:r>
        <w:rPr>
          <w:rFonts w:hint="eastAsia"/>
          <w:color w:val="auto"/>
          <w:highlight w:val="none"/>
        </w:rPr>
        <w:t>根据贵方为项目招标的投标邀请</w:t>
      </w:r>
      <w:r>
        <w:rPr>
          <w:rFonts w:hint="eastAsia"/>
          <w:color w:val="auto"/>
          <w:highlight w:val="none"/>
          <w:u w:val="single"/>
        </w:rPr>
        <w:t xml:space="preserve"> 项目编号 </w:t>
      </w:r>
      <w:r>
        <w:rPr>
          <w:rFonts w:hint="eastAsia"/>
          <w:color w:val="auto"/>
          <w:highlight w:val="none"/>
        </w:rPr>
        <w:t>，签字代表</w:t>
      </w:r>
      <w:r>
        <w:rPr>
          <w:rFonts w:hint="eastAsia"/>
          <w:color w:val="auto"/>
          <w:highlight w:val="none"/>
          <w:u w:val="single"/>
        </w:rPr>
        <w:t>（姓名、职务）</w:t>
      </w:r>
      <w:r>
        <w:rPr>
          <w:rFonts w:hint="eastAsia"/>
          <w:color w:val="auto"/>
          <w:highlight w:val="none"/>
        </w:rPr>
        <w:t>经正式授权并代表投标人</w:t>
      </w:r>
      <w:r>
        <w:rPr>
          <w:rFonts w:hint="eastAsia"/>
          <w:color w:val="auto"/>
          <w:highlight w:val="none"/>
          <w:u w:val="single"/>
        </w:rPr>
        <w:t>（投标人名称、地址）</w:t>
      </w:r>
      <w:r>
        <w:rPr>
          <w:rFonts w:hint="eastAsia"/>
          <w:color w:val="auto"/>
          <w:highlight w:val="none"/>
        </w:rPr>
        <w:t>对此项目进行投标。据此函，签字代表宣布并同意如下：</w:t>
      </w:r>
    </w:p>
    <w:p w14:paraId="0A8DB884">
      <w:pPr>
        <w:adjustRightInd w:val="0"/>
        <w:snapToGrid w:val="0"/>
        <w:spacing w:line="440" w:lineRule="exact"/>
        <w:ind w:firstLine="480" w:firstLineChars="200"/>
        <w:rPr>
          <w:color w:val="auto"/>
          <w:highlight w:val="none"/>
        </w:rPr>
      </w:pPr>
      <w:r>
        <w:rPr>
          <w:rFonts w:hint="eastAsia"/>
          <w:color w:val="auto"/>
          <w:highlight w:val="none"/>
        </w:rPr>
        <w:t>1.我方同意在本项目招标文件中规定的开标日起</w:t>
      </w:r>
      <w:r>
        <w:rPr>
          <w:rFonts w:hint="eastAsia"/>
          <w:color w:val="auto"/>
          <w:highlight w:val="none"/>
          <w:u w:val="single"/>
        </w:rPr>
        <w:t>九十日内</w:t>
      </w:r>
      <w:r>
        <w:rPr>
          <w:rFonts w:hint="eastAsia"/>
          <w:color w:val="auto"/>
          <w:highlight w:val="none"/>
        </w:rPr>
        <w:t>遵守本投标文件中的承诺且在此期限期满之前均具有约束力。</w:t>
      </w:r>
    </w:p>
    <w:p w14:paraId="0D8E8A53">
      <w:pPr>
        <w:spacing w:line="440" w:lineRule="exact"/>
        <w:ind w:firstLine="480" w:firstLineChars="200"/>
        <w:rPr>
          <w:rFonts w:hint="eastAsia"/>
          <w:color w:val="auto"/>
          <w:spacing w:val="-2"/>
          <w:highlight w:val="none"/>
        </w:rPr>
      </w:pPr>
      <w:r>
        <w:rPr>
          <w:rFonts w:cs="Arial"/>
          <w:color w:val="auto"/>
          <w:highlight w:val="none"/>
        </w:rPr>
        <w:t>2.</w:t>
      </w:r>
      <w:r>
        <w:rPr>
          <w:rFonts w:hint="eastAsia"/>
          <w:color w:val="auto"/>
          <w:spacing w:val="-2"/>
          <w:highlight w:val="none"/>
        </w:rPr>
        <w:t>若我方中标，我方承诺按投标产品规格向甲方提供供货服务。</w:t>
      </w:r>
    </w:p>
    <w:p w14:paraId="62889680">
      <w:pPr>
        <w:adjustRightInd w:val="0"/>
        <w:snapToGrid w:val="0"/>
        <w:spacing w:line="440" w:lineRule="exact"/>
        <w:ind w:firstLine="480" w:firstLineChars="200"/>
        <w:rPr>
          <w:rFonts w:hint="eastAsia"/>
          <w:color w:val="auto"/>
          <w:highlight w:val="none"/>
        </w:rPr>
      </w:pPr>
      <w:r>
        <w:rPr>
          <w:color w:val="auto"/>
          <w:highlight w:val="none"/>
        </w:rPr>
        <w:t>3</w:t>
      </w:r>
      <w:r>
        <w:rPr>
          <w:rFonts w:hint="eastAsia"/>
          <w:color w:val="auto"/>
          <w:highlight w:val="none"/>
        </w:rPr>
        <w:t>.已详细审阅全部招标文件(包括招标文件澄清函)，理解投标人须知的所有条款。</w:t>
      </w:r>
    </w:p>
    <w:p w14:paraId="7682E23C">
      <w:pPr>
        <w:adjustRightInd w:val="0"/>
        <w:snapToGrid w:val="0"/>
        <w:spacing w:line="440" w:lineRule="exact"/>
        <w:ind w:firstLine="480" w:firstLineChars="200"/>
        <w:rPr>
          <w:rFonts w:hint="eastAsia"/>
          <w:color w:val="auto"/>
          <w:highlight w:val="none"/>
        </w:rPr>
      </w:pPr>
      <w:r>
        <w:rPr>
          <w:color w:val="auto"/>
          <w:highlight w:val="none"/>
        </w:rPr>
        <w:t>4</w:t>
      </w:r>
      <w:r>
        <w:rPr>
          <w:rFonts w:hint="eastAsia"/>
          <w:color w:val="auto"/>
          <w:highlight w:val="none"/>
        </w:rPr>
        <w:t>.完全理解贵方“最低报价不能作为中标的保证”的规定。</w:t>
      </w:r>
    </w:p>
    <w:p w14:paraId="3797C836">
      <w:pPr>
        <w:adjustRightInd w:val="0"/>
        <w:snapToGrid w:val="0"/>
        <w:spacing w:line="440" w:lineRule="exact"/>
        <w:ind w:firstLine="480" w:firstLineChars="200"/>
        <w:rPr>
          <w:color w:val="auto"/>
          <w:highlight w:val="none"/>
        </w:rPr>
      </w:pPr>
      <w:r>
        <w:rPr>
          <w:color w:val="auto"/>
          <w:highlight w:val="none"/>
        </w:rPr>
        <w:t>5.</w:t>
      </w:r>
      <w:r>
        <w:rPr>
          <w:rFonts w:hint="eastAsia"/>
          <w:color w:val="auto"/>
          <w:highlight w:val="none"/>
        </w:rPr>
        <w:t>接受招标文件中全部合同条款，且无任何异议；保证忠实地执行双方所签订的合同，并承担合同规定的责任和义务。</w:t>
      </w:r>
    </w:p>
    <w:p w14:paraId="2936B4FF">
      <w:pPr>
        <w:adjustRightInd w:val="0"/>
        <w:snapToGrid w:val="0"/>
        <w:spacing w:line="440" w:lineRule="exact"/>
        <w:ind w:firstLine="480" w:firstLineChars="200"/>
        <w:rPr>
          <w:rFonts w:hint="eastAsia"/>
          <w:color w:val="auto"/>
          <w:highlight w:val="none"/>
        </w:rPr>
      </w:pPr>
      <w:r>
        <w:rPr>
          <w:color w:val="auto"/>
          <w:highlight w:val="none"/>
        </w:rPr>
        <w:t>6</w:t>
      </w:r>
      <w:r>
        <w:rPr>
          <w:rFonts w:hint="eastAsia"/>
          <w:color w:val="auto"/>
          <w:highlight w:val="none"/>
        </w:rPr>
        <w:t>.完全满足和响应招标文件中的各项商务和技术要求，若有偏差，已在投标文件中明确说明。</w:t>
      </w:r>
    </w:p>
    <w:p w14:paraId="03795A56">
      <w:pPr>
        <w:adjustRightInd w:val="0"/>
        <w:snapToGrid w:val="0"/>
        <w:spacing w:line="440" w:lineRule="exact"/>
        <w:ind w:firstLine="480" w:firstLineChars="200"/>
        <w:rPr>
          <w:rFonts w:hint="eastAsia"/>
          <w:color w:val="auto"/>
          <w:highlight w:val="none"/>
        </w:rPr>
      </w:pPr>
      <w:r>
        <w:rPr>
          <w:color w:val="auto"/>
          <w:highlight w:val="none"/>
        </w:rPr>
        <w:t>7</w:t>
      </w:r>
      <w:r>
        <w:rPr>
          <w:rFonts w:hint="eastAsia"/>
          <w:color w:val="auto"/>
          <w:highlight w:val="none"/>
        </w:rPr>
        <w:t>.愿意提供任何与投标有关的数据、情况和技术资料等。</w:t>
      </w:r>
    </w:p>
    <w:p w14:paraId="1F470FD8">
      <w:pPr>
        <w:adjustRightInd w:val="0"/>
        <w:snapToGrid w:val="0"/>
        <w:spacing w:line="440" w:lineRule="exact"/>
        <w:ind w:firstLine="480" w:firstLineChars="200"/>
        <w:rPr>
          <w:rFonts w:hint="eastAsia"/>
          <w:color w:val="auto"/>
          <w:highlight w:val="none"/>
        </w:rPr>
      </w:pPr>
      <w:r>
        <w:rPr>
          <w:color w:val="auto"/>
          <w:highlight w:val="none"/>
        </w:rPr>
        <w:t>8</w:t>
      </w:r>
      <w:r>
        <w:rPr>
          <w:rFonts w:hint="eastAsia"/>
          <w:color w:val="auto"/>
          <w:highlight w:val="none"/>
        </w:rPr>
        <w:t>.我方已详细审核全部投标文件、参考资料及有关附件，确认无误。</w:t>
      </w:r>
    </w:p>
    <w:p w14:paraId="447FDE1D">
      <w:pPr>
        <w:adjustRightInd w:val="0"/>
        <w:snapToGrid w:val="0"/>
        <w:spacing w:line="440" w:lineRule="exact"/>
        <w:ind w:firstLine="480" w:firstLineChars="200"/>
        <w:rPr>
          <w:rFonts w:hint="eastAsia"/>
          <w:color w:val="auto"/>
          <w:highlight w:val="none"/>
        </w:rPr>
      </w:pPr>
      <w:r>
        <w:rPr>
          <w:color w:val="auto"/>
          <w:highlight w:val="none"/>
        </w:rPr>
        <w:t>9</w:t>
      </w:r>
      <w:r>
        <w:rPr>
          <w:rFonts w:hint="eastAsia"/>
          <w:color w:val="auto"/>
          <w:highlight w:val="none"/>
        </w:rPr>
        <w:t>.对本次招标内容及与本项目有关的知识产权、技术资料、商业秘密及相关信息保密。</w:t>
      </w:r>
    </w:p>
    <w:p w14:paraId="75C6DC0B">
      <w:pPr>
        <w:adjustRightInd w:val="0"/>
        <w:snapToGrid w:val="0"/>
        <w:spacing w:line="440" w:lineRule="exact"/>
        <w:ind w:firstLine="480" w:firstLineChars="200"/>
        <w:rPr>
          <w:rFonts w:hint="eastAsia"/>
          <w:color w:val="auto"/>
          <w:highlight w:val="none"/>
        </w:rPr>
      </w:pPr>
      <w:r>
        <w:rPr>
          <w:rFonts w:hint="eastAsia"/>
          <w:color w:val="auto"/>
          <w:highlight w:val="none"/>
        </w:rPr>
        <w:t>1</w:t>
      </w:r>
      <w:r>
        <w:rPr>
          <w:color w:val="auto"/>
          <w:highlight w:val="none"/>
        </w:rPr>
        <w:t>0</w:t>
      </w:r>
      <w:r>
        <w:rPr>
          <w:rFonts w:hint="eastAsia"/>
          <w:color w:val="auto"/>
          <w:highlight w:val="none"/>
        </w:rPr>
        <w:t>.与</w:t>
      </w:r>
      <w:r>
        <w:rPr>
          <w:rFonts w:hint="eastAsia"/>
          <w:color w:val="auto"/>
          <w:highlight w:val="none"/>
          <w:lang w:eastAsia="zh-CN"/>
        </w:rPr>
        <w:t>招标人</w:t>
      </w:r>
      <w:r>
        <w:rPr>
          <w:rFonts w:hint="eastAsia"/>
          <w:color w:val="auto"/>
          <w:highlight w:val="none"/>
        </w:rPr>
        <w:t>和</w:t>
      </w:r>
      <w:r>
        <w:rPr>
          <w:rFonts w:hint="eastAsia"/>
          <w:color w:val="auto"/>
          <w:highlight w:val="none"/>
          <w:lang w:eastAsia="zh-CN"/>
        </w:rPr>
        <w:t>招标代理机构</w:t>
      </w:r>
      <w:r>
        <w:rPr>
          <w:rFonts w:hint="eastAsia"/>
          <w:color w:val="auto"/>
          <w:highlight w:val="none"/>
        </w:rPr>
        <w:t>无任何的隶属关系或者其他利害关系。</w:t>
      </w:r>
    </w:p>
    <w:p w14:paraId="488B370A">
      <w:pPr>
        <w:adjustRightInd w:val="0"/>
        <w:snapToGrid w:val="0"/>
        <w:spacing w:line="440" w:lineRule="exact"/>
        <w:rPr>
          <w:color w:val="auto"/>
          <w:highlight w:val="none"/>
        </w:rPr>
      </w:pPr>
    </w:p>
    <w:p w14:paraId="37940B0D">
      <w:pPr>
        <w:spacing w:line="440" w:lineRule="exact"/>
        <w:ind w:firstLine="240" w:firstLineChars="100"/>
        <w:rPr>
          <w:color w:val="auto"/>
          <w:highlight w:val="none"/>
        </w:rPr>
      </w:pPr>
      <w:r>
        <w:rPr>
          <w:rFonts w:hint="eastAsia"/>
          <w:color w:val="auto"/>
          <w:highlight w:val="none"/>
        </w:rPr>
        <w:t>与本投标有关的一切正式往来信函请寄：</w:t>
      </w:r>
    </w:p>
    <w:p w14:paraId="69600A45">
      <w:pPr>
        <w:spacing w:line="440" w:lineRule="exact"/>
        <w:ind w:firstLine="240" w:firstLineChars="100"/>
        <w:rPr>
          <w:color w:val="auto"/>
          <w:highlight w:val="none"/>
          <w:u w:val="single"/>
        </w:rPr>
      </w:pPr>
      <w:r>
        <w:rPr>
          <w:rFonts w:hint="eastAsia"/>
          <w:color w:val="auto"/>
          <w:highlight w:val="none"/>
        </w:rPr>
        <w:t>地　　　　　址：</w:t>
      </w:r>
      <w:r>
        <w:rPr>
          <w:rFonts w:hint="eastAsia"/>
          <w:color w:val="auto"/>
          <w:highlight w:val="none"/>
          <w:u w:val="single"/>
        </w:rPr>
        <w:t>　　　　　　　　　　</w:t>
      </w:r>
      <w:r>
        <w:rPr>
          <w:rFonts w:hint="eastAsia"/>
          <w:color w:val="auto"/>
          <w:highlight w:val="none"/>
        </w:rPr>
        <w:t>邮编：</w:t>
      </w:r>
      <w:r>
        <w:rPr>
          <w:rFonts w:hint="eastAsia"/>
          <w:color w:val="auto"/>
          <w:highlight w:val="none"/>
          <w:u w:val="single"/>
        </w:rPr>
        <w:t>　　　　　　　　　</w:t>
      </w:r>
    </w:p>
    <w:p w14:paraId="5A4F4C88">
      <w:pPr>
        <w:spacing w:line="440" w:lineRule="exact"/>
        <w:rPr>
          <w:color w:val="auto"/>
          <w:highlight w:val="none"/>
        </w:rPr>
      </w:pPr>
      <w:r>
        <w:rPr>
          <w:rFonts w:hint="eastAsia"/>
          <w:color w:val="auto"/>
          <w:highlight w:val="none"/>
        </w:rPr>
        <w:t>　电　　　　　话：</w:t>
      </w:r>
      <w:r>
        <w:rPr>
          <w:rFonts w:hint="eastAsia"/>
          <w:color w:val="auto"/>
          <w:highlight w:val="none"/>
          <w:u w:val="single"/>
        </w:rPr>
        <w:t>　　　　　　　　　　</w:t>
      </w:r>
      <w:r>
        <w:rPr>
          <w:rFonts w:hint="eastAsia"/>
          <w:color w:val="auto"/>
          <w:highlight w:val="none"/>
        </w:rPr>
        <w:t>传真：</w:t>
      </w:r>
      <w:r>
        <w:rPr>
          <w:rFonts w:hint="eastAsia"/>
          <w:color w:val="auto"/>
          <w:highlight w:val="none"/>
          <w:u w:val="single"/>
        </w:rPr>
        <w:t>　　　　　　　　　</w:t>
      </w:r>
    </w:p>
    <w:p w14:paraId="38A3D0D8">
      <w:pPr>
        <w:spacing w:line="440" w:lineRule="exact"/>
        <w:rPr>
          <w:color w:val="auto"/>
          <w:highlight w:val="none"/>
        </w:rPr>
      </w:pPr>
      <w:r>
        <w:rPr>
          <w:rFonts w:hint="eastAsia"/>
          <w:color w:val="auto"/>
          <w:highlight w:val="none"/>
        </w:rPr>
        <w:t>　投标人代表签字：</w:t>
      </w:r>
      <w:r>
        <w:rPr>
          <w:rFonts w:hint="eastAsia"/>
          <w:color w:val="auto"/>
          <w:highlight w:val="none"/>
          <w:u w:val="single"/>
        </w:rPr>
        <w:t>　　　　　　　　　　　　　</w:t>
      </w:r>
    </w:p>
    <w:p w14:paraId="6FA30735">
      <w:pPr>
        <w:spacing w:line="440" w:lineRule="exact"/>
        <w:rPr>
          <w:color w:val="auto"/>
          <w:highlight w:val="none"/>
        </w:rPr>
      </w:pPr>
      <w:r>
        <w:rPr>
          <w:rFonts w:hint="eastAsia"/>
          <w:color w:val="auto"/>
          <w:highlight w:val="none"/>
        </w:rPr>
        <w:t>　投标人名称：</w:t>
      </w:r>
      <w:r>
        <w:rPr>
          <w:rFonts w:hint="eastAsia"/>
          <w:color w:val="auto"/>
          <w:highlight w:val="none"/>
          <w:u w:val="single"/>
        </w:rPr>
        <w:t>　　　　　　　　　　</w:t>
      </w:r>
    </w:p>
    <w:p w14:paraId="5C49EAA4">
      <w:pPr>
        <w:spacing w:line="440" w:lineRule="exact"/>
        <w:ind w:firstLine="6240" w:firstLineChars="2600"/>
        <w:rPr>
          <w:color w:val="auto"/>
          <w:highlight w:val="none"/>
        </w:rPr>
      </w:pPr>
      <w:r>
        <w:rPr>
          <w:rFonts w:hint="eastAsia"/>
          <w:color w:val="auto"/>
          <w:highlight w:val="none"/>
        </w:rPr>
        <w:t>（单位公章）</w:t>
      </w:r>
    </w:p>
    <w:p w14:paraId="290E6F8B">
      <w:pPr>
        <w:spacing w:line="440" w:lineRule="exact"/>
        <w:ind w:firstLine="5880" w:firstLineChars="2450"/>
        <w:rPr>
          <w:color w:val="auto"/>
          <w:highlight w:val="none"/>
        </w:rPr>
      </w:pPr>
      <w:r>
        <w:rPr>
          <w:color w:val="auto"/>
          <w:highlight w:val="none"/>
        </w:rPr>
        <w:t>20</w:t>
      </w:r>
      <w:r>
        <w:rPr>
          <w:rFonts w:hint="eastAsia"/>
          <w:color w:val="auto"/>
          <w:highlight w:val="none"/>
        </w:rPr>
        <w:t xml:space="preserve">  年  月  日</w:t>
      </w:r>
    </w:p>
    <w:p w14:paraId="46C9552B">
      <w:pPr>
        <w:adjustRightInd w:val="0"/>
        <w:snapToGrid w:val="0"/>
        <w:spacing w:line="440" w:lineRule="exact"/>
        <w:ind w:firstLine="482" w:firstLineChars="200"/>
        <w:rPr>
          <w:rFonts w:hint="eastAsia"/>
          <w:b/>
          <w:color w:val="auto"/>
          <w:highlight w:val="none"/>
          <w:em w:val="dot"/>
        </w:rPr>
      </w:pPr>
      <w:r>
        <w:rPr>
          <w:rFonts w:hint="eastAsia"/>
          <w:b/>
          <w:color w:val="auto"/>
          <w:highlight w:val="none"/>
          <w:em w:val="dot"/>
        </w:rPr>
        <w:t>注：除可填报项目外，对本投标函的任何修改将被视为非实质性响应投标，从而导致该投标被拒绝。</w:t>
      </w:r>
    </w:p>
    <w:p w14:paraId="4369C8D4">
      <w:pPr>
        <w:spacing w:line="440" w:lineRule="exact"/>
        <w:jc w:val="center"/>
        <w:rPr>
          <w:b/>
          <w:color w:val="auto"/>
          <w:sz w:val="30"/>
          <w:szCs w:val="30"/>
          <w:highlight w:val="none"/>
        </w:rPr>
      </w:pPr>
      <w:r>
        <w:rPr>
          <w:b/>
          <w:color w:val="auto"/>
          <w:sz w:val="30"/>
          <w:szCs w:val="30"/>
          <w:highlight w:val="none"/>
        </w:rPr>
        <w:br w:type="page"/>
      </w:r>
      <w:r>
        <w:rPr>
          <w:rFonts w:hint="eastAsia"/>
          <w:b/>
          <w:color w:val="auto"/>
          <w:sz w:val="30"/>
          <w:szCs w:val="30"/>
          <w:highlight w:val="none"/>
        </w:rPr>
        <w:t>附件3-2  反商业贿赂承诺书</w:t>
      </w:r>
    </w:p>
    <w:p w14:paraId="3A2F3F82">
      <w:pPr>
        <w:pStyle w:val="13"/>
        <w:spacing w:line="440" w:lineRule="exact"/>
        <w:ind w:left="480" w:firstLine="482"/>
        <w:rPr>
          <w:rFonts w:ascii="宋体" w:hAnsi="宋体"/>
          <w:color w:val="auto"/>
          <w:sz w:val="24"/>
          <w:highlight w:val="none"/>
        </w:rPr>
      </w:pPr>
      <w:r>
        <w:rPr>
          <w:rFonts w:hint="eastAsia" w:ascii="宋体" w:hAnsi="宋体"/>
          <w:color w:val="auto"/>
          <w:sz w:val="24"/>
          <w:highlight w:val="none"/>
        </w:rPr>
        <w:t>我公司承诺在</w:t>
      </w:r>
      <w:r>
        <w:rPr>
          <w:rFonts w:hint="eastAsia" w:ascii="宋体" w:hAnsi="宋体"/>
          <w:color w:val="auto"/>
          <w:sz w:val="24"/>
          <w:highlight w:val="none"/>
          <w:u w:val="single"/>
        </w:rPr>
        <w:t>（项目名称、项目编号）</w:t>
      </w:r>
      <w:r>
        <w:rPr>
          <w:rFonts w:hint="eastAsia" w:ascii="宋体" w:hAnsi="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99CAA1A">
      <w:pPr>
        <w:pStyle w:val="13"/>
        <w:spacing w:line="440" w:lineRule="exact"/>
        <w:ind w:left="480" w:firstLine="482"/>
        <w:rPr>
          <w:rFonts w:ascii="宋体" w:hAnsi="宋体"/>
          <w:color w:val="auto"/>
          <w:sz w:val="24"/>
          <w:highlight w:val="none"/>
        </w:rPr>
      </w:pPr>
      <w:r>
        <w:rPr>
          <w:rFonts w:hint="eastAsia" w:ascii="宋体" w:hAnsi="宋体"/>
          <w:color w:val="auto"/>
          <w:sz w:val="24"/>
          <w:highlight w:val="none"/>
        </w:rPr>
        <w:t>公司法定代表：</w:t>
      </w:r>
    </w:p>
    <w:p w14:paraId="42B8EDC2">
      <w:pPr>
        <w:pStyle w:val="13"/>
        <w:spacing w:line="440" w:lineRule="exact"/>
        <w:ind w:left="480" w:firstLine="482"/>
        <w:rPr>
          <w:rFonts w:ascii="宋体" w:hAnsi="宋体"/>
          <w:color w:val="auto"/>
          <w:sz w:val="24"/>
          <w:highlight w:val="none"/>
        </w:rPr>
      </w:pPr>
      <w:r>
        <w:rPr>
          <w:rFonts w:hint="eastAsia" w:ascii="宋体" w:hAnsi="宋体"/>
          <w:color w:val="auto"/>
          <w:sz w:val="24"/>
          <w:highlight w:val="none"/>
        </w:rPr>
        <w:t>法人授权代表：</w:t>
      </w:r>
    </w:p>
    <w:p w14:paraId="56493B2E">
      <w:pPr>
        <w:pStyle w:val="13"/>
        <w:spacing w:line="440" w:lineRule="exact"/>
        <w:ind w:left="480" w:firstLine="480" w:firstLineChars="200"/>
        <w:rPr>
          <w:rFonts w:ascii="宋体" w:hAnsi="宋体"/>
          <w:color w:val="auto"/>
          <w:sz w:val="24"/>
          <w:highlight w:val="none"/>
        </w:rPr>
      </w:pPr>
      <w:r>
        <w:rPr>
          <w:rFonts w:hint="eastAsia" w:ascii="宋体" w:hAnsi="宋体"/>
          <w:color w:val="auto"/>
          <w:sz w:val="24"/>
          <w:highlight w:val="none"/>
        </w:rPr>
        <w:t>日期：</w:t>
      </w:r>
    </w:p>
    <w:p w14:paraId="431A4CAA">
      <w:pPr>
        <w:spacing w:line="440" w:lineRule="exact"/>
        <w:jc w:val="center"/>
        <w:rPr>
          <w:b/>
          <w:color w:val="auto"/>
          <w:sz w:val="32"/>
          <w:szCs w:val="32"/>
          <w:highlight w:val="none"/>
        </w:rPr>
      </w:pPr>
      <w:r>
        <w:rPr>
          <w:color w:val="auto"/>
          <w:highlight w:val="none"/>
        </w:rPr>
        <w:br w:type="page"/>
      </w:r>
      <w:r>
        <w:rPr>
          <w:rFonts w:hint="eastAsia"/>
          <w:b/>
          <w:color w:val="auto"/>
          <w:sz w:val="30"/>
          <w:szCs w:val="30"/>
          <w:highlight w:val="none"/>
        </w:rPr>
        <w:t xml:space="preserve">附件3-3  </w:t>
      </w:r>
      <w:r>
        <w:rPr>
          <w:rFonts w:hint="eastAsia"/>
          <w:b/>
          <w:color w:val="auto"/>
          <w:sz w:val="32"/>
          <w:szCs w:val="32"/>
          <w:highlight w:val="none"/>
        </w:rPr>
        <w:t>商务条款偏离表</w:t>
      </w:r>
    </w:p>
    <w:p w14:paraId="6B19B4CB">
      <w:pPr>
        <w:spacing w:line="440" w:lineRule="exact"/>
        <w:ind w:firstLine="120" w:firstLineChars="50"/>
        <w:rPr>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14:paraId="7252D1F7">
      <w:pPr>
        <w:spacing w:line="440" w:lineRule="exact"/>
        <w:ind w:firstLine="120" w:firstLineChars="50"/>
        <w:rPr>
          <w:color w:val="auto"/>
          <w:highlight w:val="none"/>
        </w:rPr>
      </w:pPr>
      <w:r>
        <w:rPr>
          <w:rFonts w:hint="eastAsia"/>
          <w:color w:val="auto"/>
          <w:highlight w:val="none"/>
        </w:rPr>
        <w:t>标项序号、名称：</w:t>
      </w:r>
      <w:r>
        <w:rPr>
          <w:rFonts w:hint="eastAsia"/>
          <w:color w:val="auto"/>
          <w:highlight w:val="none"/>
          <w:u w:val="single"/>
        </w:rPr>
        <w:t xml:space="preserve">　　　　           </w:t>
      </w:r>
      <w:r>
        <w:rPr>
          <w:rFonts w:hint="eastAsia"/>
          <w:color w:val="auto"/>
          <w:highlight w:val="non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3D0F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14:paraId="2662E7E0">
            <w:pPr>
              <w:spacing w:line="440" w:lineRule="exact"/>
              <w:rPr>
                <w:color w:val="auto"/>
                <w:highlight w:val="none"/>
              </w:rPr>
            </w:pPr>
            <w:r>
              <w:rPr>
                <w:rFonts w:hint="eastAsia"/>
                <w:color w:val="auto"/>
                <w:highlight w:val="none"/>
              </w:rPr>
              <w:t>序号</w:t>
            </w:r>
          </w:p>
        </w:tc>
        <w:tc>
          <w:tcPr>
            <w:tcW w:w="1602" w:type="dxa"/>
            <w:noWrap w:val="0"/>
            <w:vAlign w:val="center"/>
          </w:tcPr>
          <w:p w14:paraId="265E01FF">
            <w:pPr>
              <w:spacing w:line="440" w:lineRule="exact"/>
              <w:rPr>
                <w:color w:val="auto"/>
                <w:highlight w:val="none"/>
              </w:rPr>
            </w:pPr>
            <w:r>
              <w:rPr>
                <w:rFonts w:hint="eastAsia"/>
                <w:color w:val="auto"/>
                <w:highlight w:val="none"/>
              </w:rPr>
              <w:t>招标文件</w:t>
            </w:r>
          </w:p>
          <w:p w14:paraId="03F00F21">
            <w:pPr>
              <w:spacing w:line="440" w:lineRule="exact"/>
              <w:rPr>
                <w:color w:val="auto"/>
                <w:highlight w:val="none"/>
              </w:rPr>
            </w:pPr>
            <w:r>
              <w:rPr>
                <w:rFonts w:hint="eastAsia"/>
                <w:color w:val="auto"/>
                <w:highlight w:val="none"/>
              </w:rPr>
              <w:t>条目号</w:t>
            </w:r>
          </w:p>
        </w:tc>
        <w:tc>
          <w:tcPr>
            <w:tcW w:w="2458" w:type="dxa"/>
            <w:noWrap w:val="0"/>
            <w:vAlign w:val="center"/>
          </w:tcPr>
          <w:p w14:paraId="77D86950">
            <w:pPr>
              <w:spacing w:line="440" w:lineRule="exact"/>
              <w:rPr>
                <w:color w:val="auto"/>
                <w:highlight w:val="none"/>
              </w:rPr>
            </w:pPr>
            <w:r>
              <w:rPr>
                <w:rFonts w:hint="eastAsia"/>
                <w:color w:val="auto"/>
                <w:highlight w:val="none"/>
              </w:rPr>
              <w:t>招标文件的商务条款</w:t>
            </w:r>
          </w:p>
        </w:tc>
        <w:tc>
          <w:tcPr>
            <w:tcW w:w="2885" w:type="dxa"/>
            <w:noWrap w:val="0"/>
            <w:vAlign w:val="center"/>
          </w:tcPr>
          <w:p w14:paraId="2EAD5F02">
            <w:pPr>
              <w:spacing w:line="440" w:lineRule="exact"/>
              <w:rPr>
                <w:color w:val="auto"/>
                <w:highlight w:val="none"/>
              </w:rPr>
            </w:pPr>
            <w:r>
              <w:rPr>
                <w:rFonts w:hint="eastAsia"/>
                <w:color w:val="auto"/>
                <w:highlight w:val="none"/>
              </w:rPr>
              <w:t>投标文件的商务条款</w:t>
            </w:r>
          </w:p>
        </w:tc>
        <w:tc>
          <w:tcPr>
            <w:tcW w:w="2018" w:type="dxa"/>
            <w:noWrap w:val="0"/>
            <w:vAlign w:val="center"/>
          </w:tcPr>
          <w:p w14:paraId="68BD2BAF">
            <w:pPr>
              <w:spacing w:line="440" w:lineRule="exact"/>
              <w:rPr>
                <w:color w:val="auto"/>
                <w:highlight w:val="none"/>
              </w:rPr>
            </w:pPr>
            <w:r>
              <w:rPr>
                <w:rFonts w:hint="eastAsia"/>
                <w:color w:val="auto"/>
                <w:highlight w:val="none"/>
              </w:rPr>
              <w:t>说明</w:t>
            </w:r>
          </w:p>
        </w:tc>
      </w:tr>
      <w:tr w14:paraId="5F93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3EC9E58D">
            <w:pPr>
              <w:jc w:val="center"/>
              <w:rPr>
                <w:color w:val="auto"/>
                <w:highlight w:val="none"/>
              </w:rPr>
            </w:pPr>
            <w:r>
              <w:rPr>
                <w:rFonts w:hint="eastAsia"/>
                <w:color w:val="auto"/>
                <w:highlight w:val="none"/>
              </w:rPr>
              <w:t>1</w:t>
            </w:r>
          </w:p>
        </w:tc>
        <w:tc>
          <w:tcPr>
            <w:tcW w:w="1602" w:type="dxa"/>
            <w:noWrap w:val="0"/>
            <w:vAlign w:val="top"/>
          </w:tcPr>
          <w:p w14:paraId="39ADBD0C">
            <w:pPr>
              <w:spacing w:line="440" w:lineRule="exact"/>
              <w:jc w:val="center"/>
              <w:rPr>
                <w:color w:val="auto"/>
                <w:highlight w:val="none"/>
              </w:rPr>
            </w:pPr>
          </w:p>
        </w:tc>
        <w:tc>
          <w:tcPr>
            <w:tcW w:w="2458" w:type="dxa"/>
            <w:noWrap w:val="0"/>
            <w:vAlign w:val="top"/>
          </w:tcPr>
          <w:p w14:paraId="52269775">
            <w:pPr>
              <w:spacing w:line="440" w:lineRule="exact"/>
              <w:rPr>
                <w:color w:val="auto"/>
                <w:highlight w:val="none"/>
              </w:rPr>
            </w:pPr>
          </w:p>
        </w:tc>
        <w:tc>
          <w:tcPr>
            <w:tcW w:w="2885" w:type="dxa"/>
            <w:noWrap w:val="0"/>
            <w:vAlign w:val="top"/>
          </w:tcPr>
          <w:p w14:paraId="22BFCE80">
            <w:pPr>
              <w:spacing w:line="440" w:lineRule="exact"/>
              <w:rPr>
                <w:color w:val="auto"/>
                <w:highlight w:val="none"/>
              </w:rPr>
            </w:pPr>
          </w:p>
        </w:tc>
        <w:tc>
          <w:tcPr>
            <w:tcW w:w="2018" w:type="dxa"/>
            <w:noWrap w:val="0"/>
            <w:vAlign w:val="top"/>
          </w:tcPr>
          <w:p w14:paraId="26FF2D0B">
            <w:pPr>
              <w:spacing w:line="440" w:lineRule="exact"/>
              <w:rPr>
                <w:color w:val="auto"/>
                <w:highlight w:val="none"/>
              </w:rPr>
            </w:pPr>
          </w:p>
        </w:tc>
      </w:tr>
      <w:tr w14:paraId="331D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14:paraId="444BCF58">
            <w:pPr>
              <w:jc w:val="center"/>
              <w:rPr>
                <w:color w:val="auto"/>
                <w:highlight w:val="none"/>
              </w:rPr>
            </w:pPr>
            <w:r>
              <w:rPr>
                <w:rFonts w:hint="eastAsia"/>
                <w:color w:val="auto"/>
                <w:highlight w:val="none"/>
              </w:rPr>
              <w:t>2</w:t>
            </w:r>
          </w:p>
        </w:tc>
        <w:tc>
          <w:tcPr>
            <w:tcW w:w="1602" w:type="dxa"/>
            <w:noWrap w:val="0"/>
            <w:vAlign w:val="top"/>
          </w:tcPr>
          <w:p w14:paraId="65449B16">
            <w:pPr>
              <w:spacing w:line="440" w:lineRule="exact"/>
              <w:rPr>
                <w:color w:val="auto"/>
                <w:highlight w:val="none"/>
              </w:rPr>
            </w:pPr>
          </w:p>
        </w:tc>
        <w:tc>
          <w:tcPr>
            <w:tcW w:w="2458" w:type="dxa"/>
            <w:noWrap w:val="0"/>
            <w:vAlign w:val="top"/>
          </w:tcPr>
          <w:p w14:paraId="60C9C861">
            <w:pPr>
              <w:spacing w:line="440" w:lineRule="exact"/>
              <w:rPr>
                <w:color w:val="auto"/>
                <w:highlight w:val="none"/>
              </w:rPr>
            </w:pPr>
          </w:p>
        </w:tc>
        <w:tc>
          <w:tcPr>
            <w:tcW w:w="2885" w:type="dxa"/>
            <w:noWrap w:val="0"/>
            <w:vAlign w:val="top"/>
          </w:tcPr>
          <w:p w14:paraId="345F657B">
            <w:pPr>
              <w:spacing w:line="440" w:lineRule="exact"/>
              <w:rPr>
                <w:color w:val="auto"/>
                <w:highlight w:val="none"/>
              </w:rPr>
            </w:pPr>
          </w:p>
        </w:tc>
        <w:tc>
          <w:tcPr>
            <w:tcW w:w="2018" w:type="dxa"/>
            <w:noWrap w:val="0"/>
            <w:vAlign w:val="top"/>
          </w:tcPr>
          <w:p w14:paraId="2E5B1F31">
            <w:pPr>
              <w:spacing w:line="440" w:lineRule="exact"/>
              <w:rPr>
                <w:color w:val="auto"/>
                <w:highlight w:val="none"/>
              </w:rPr>
            </w:pPr>
          </w:p>
        </w:tc>
      </w:tr>
      <w:tr w14:paraId="674A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66B9C071">
            <w:pPr>
              <w:jc w:val="center"/>
              <w:rPr>
                <w:color w:val="auto"/>
                <w:highlight w:val="none"/>
              </w:rPr>
            </w:pPr>
            <w:r>
              <w:rPr>
                <w:rFonts w:hint="eastAsia"/>
                <w:color w:val="auto"/>
                <w:highlight w:val="none"/>
              </w:rPr>
              <w:t>3</w:t>
            </w:r>
          </w:p>
        </w:tc>
        <w:tc>
          <w:tcPr>
            <w:tcW w:w="1602" w:type="dxa"/>
            <w:noWrap w:val="0"/>
            <w:vAlign w:val="top"/>
          </w:tcPr>
          <w:p w14:paraId="3F1D9D2B">
            <w:pPr>
              <w:spacing w:line="440" w:lineRule="exact"/>
              <w:rPr>
                <w:color w:val="auto"/>
                <w:highlight w:val="none"/>
              </w:rPr>
            </w:pPr>
          </w:p>
        </w:tc>
        <w:tc>
          <w:tcPr>
            <w:tcW w:w="2458" w:type="dxa"/>
            <w:noWrap w:val="0"/>
            <w:vAlign w:val="center"/>
          </w:tcPr>
          <w:p w14:paraId="33D6A890">
            <w:pPr>
              <w:spacing w:line="440" w:lineRule="exact"/>
              <w:rPr>
                <w:color w:val="auto"/>
                <w:highlight w:val="none"/>
              </w:rPr>
            </w:pPr>
          </w:p>
        </w:tc>
        <w:tc>
          <w:tcPr>
            <w:tcW w:w="2885" w:type="dxa"/>
            <w:noWrap w:val="0"/>
            <w:vAlign w:val="top"/>
          </w:tcPr>
          <w:p w14:paraId="293DD19D">
            <w:pPr>
              <w:spacing w:line="440" w:lineRule="exact"/>
              <w:rPr>
                <w:color w:val="auto"/>
                <w:highlight w:val="none"/>
              </w:rPr>
            </w:pPr>
          </w:p>
        </w:tc>
        <w:tc>
          <w:tcPr>
            <w:tcW w:w="2018" w:type="dxa"/>
            <w:noWrap w:val="0"/>
            <w:vAlign w:val="top"/>
          </w:tcPr>
          <w:p w14:paraId="63B2A9CC">
            <w:pPr>
              <w:spacing w:line="440" w:lineRule="exact"/>
              <w:rPr>
                <w:color w:val="auto"/>
                <w:highlight w:val="none"/>
              </w:rPr>
            </w:pPr>
          </w:p>
        </w:tc>
      </w:tr>
      <w:tr w14:paraId="1400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891" w:type="dxa"/>
            <w:noWrap w:val="0"/>
            <w:vAlign w:val="center"/>
          </w:tcPr>
          <w:p w14:paraId="0AA2D2CA">
            <w:pPr>
              <w:jc w:val="center"/>
              <w:rPr>
                <w:color w:val="auto"/>
                <w:highlight w:val="none"/>
              </w:rPr>
            </w:pPr>
            <w:r>
              <w:rPr>
                <w:rFonts w:hint="eastAsia"/>
                <w:color w:val="auto"/>
                <w:highlight w:val="none"/>
              </w:rPr>
              <w:t>4</w:t>
            </w:r>
          </w:p>
        </w:tc>
        <w:tc>
          <w:tcPr>
            <w:tcW w:w="1602" w:type="dxa"/>
            <w:noWrap w:val="0"/>
            <w:vAlign w:val="top"/>
          </w:tcPr>
          <w:p w14:paraId="44EFD85E">
            <w:pPr>
              <w:spacing w:line="440" w:lineRule="exact"/>
              <w:rPr>
                <w:color w:val="auto"/>
                <w:highlight w:val="none"/>
              </w:rPr>
            </w:pPr>
          </w:p>
        </w:tc>
        <w:tc>
          <w:tcPr>
            <w:tcW w:w="2458" w:type="dxa"/>
            <w:noWrap w:val="0"/>
            <w:vAlign w:val="center"/>
          </w:tcPr>
          <w:p w14:paraId="20AF5E0E">
            <w:pPr>
              <w:pStyle w:val="105"/>
              <w:spacing w:line="440" w:lineRule="exact"/>
              <w:rPr>
                <w:rFonts w:hint="eastAsia" w:cs="Times New Roman"/>
                <w:color w:val="auto"/>
                <w:kern w:val="2"/>
                <w:highlight w:val="none"/>
              </w:rPr>
            </w:pPr>
          </w:p>
        </w:tc>
        <w:tc>
          <w:tcPr>
            <w:tcW w:w="2885" w:type="dxa"/>
            <w:noWrap w:val="0"/>
            <w:vAlign w:val="top"/>
          </w:tcPr>
          <w:p w14:paraId="1B2779C4">
            <w:pPr>
              <w:spacing w:line="440" w:lineRule="exact"/>
              <w:rPr>
                <w:color w:val="auto"/>
                <w:highlight w:val="none"/>
              </w:rPr>
            </w:pPr>
          </w:p>
        </w:tc>
        <w:tc>
          <w:tcPr>
            <w:tcW w:w="2018" w:type="dxa"/>
            <w:noWrap w:val="0"/>
            <w:vAlign w:val="top"/>
          </w:tcPr>
          <w:p w14:paraId="04D64105">
            <w:pPr>
              <w:spacing w:line="440" w:lineRule="exact"/>
              <w:rPr>
                <w:color w:val="auto"/>
                <w:highlight w:val="none"/>
              </w:rPr>
            </w:pPr>
          </w:p>
        </w:tc>
      </w:tr>
      <w:tr w14:paraId="35A3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0A213045">
            <w:pPr>
              <w:jc w:val="center"/>
              <w:rPr>
                <w:color w:val="auto"/>
                <w:highlight w:val="none"/>
              </w:rPr>
            </w:pPr>
            <w:r>
              <w:rPr>
                <w:rFonts w:hint="eastAsia"/>
                <w:color w:val="auto"/>
                <w:highlight w:val="none"/>
              </w:rPr>
              <w:t>5</w:t>
            </w:r>
          </w:p>
        </w:tc>
        <w:tc>
          <w:tcPr>
            <w:tcW w:w="1602" w:type="dxa"/>
            <w:noWrap w:val="0"/>
            <w:vAlign w:val="top"/>
          </w:tcPr>
          <w:p w14:paraId="7E22846E">
            <w:pPr>
              <w:spacing w:line="440" w:lineRule="exact"/>
              <w:rPr>
                <w:color w:val="auto"/>
                <w:highlight w:val="none"/>
              </w:rPr>
            </w:pPr>
          </w:p>
        </w:tc>
        <w:tc>
          <w:tcPr>
            <w:tcW w:w="2458" w:type="dxa"/>
            <w:noWrap w:val="0"/>
            <w:vAlign w:val="top"/>
          </w:tcPr>
          <w:p w14:paraId="55C49148">
            <w:pPr>
              <w:spacing w:line="440" w:lineRule="exact"/>
              <w:rPr>
                <w:color w:val="auto"/>
                <w:highlight w:val="none"/>
              </w:rPr>
            </w:pPr>
          </w:p>
        </w:tc>
        <w:tc>
          <w:tcPr>
            <w:tcW w:w="2885" w:type="dxa"/>
            <w:noWrap w:val="0"/>
            <w:vAlign w:val="top"/>
          </w:tcPr>
          <w:p w14:paraId="4D448466">
            <w:pPr>
              <w:spacing w:line="440" w:lineRule="exact"/>
              <w:rPr>
                <w:color w:val="auto"/>
                <w:highlight w:val="none"/>
              </w:rPr>
            </w:pPr>
          </w:p>
        </w:tc>
        <w:tc>
          <w:tcPr>
            <w:tcW w:w="2018" w:type="dxa"/>
            <w:noWrap w:val="0"/>
            <w:vAlign w:val="top"/>
          </w:tcPr>
          <w:p w14:paraId="6AB587A8">
            <w:pPr>
              <w:spacing w:line="440" w:lineRule="exact"/>
              <w:rPr>
                <w:color w:val="auto"/>
                <w:highlight w:val="none"/>
              </w:rPr>
            </w:pPr>
          </w:p>
        </w:tc>
      </w:tr>
      <w:tr w14:paraId="4106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35611307">
            <w:pPr>
              <w:jc w:val="center"/>
              <w:rPr>
                <w:color w:val="auto"/>
                <w:highlight w:val="none"/>
              </w:rPr>
            </w:pPr>
            <w:r>
              <w:rPr>
                <w:rFonts w:hint="eastAsia"/>
                <w:color w:val="auto"/>
                <w:highlight w:val="none"/>
              </w:rPr>
              <w:t>6</w:t>
            </w:r>
          </w:p>
        </w:tc>
        <w:tc>
          <w:tcPr>
            <w:tcW w:w="1602" w:type="dxa"/>
            <w:noWrap w:val="0"/>
            <w:vAlign w:val="top"/>
          </w:tcPr>
          <w:p w14:paraId="726D4A0B">
            <w:pPr>
              <w:spacing w:line="440" w:lineRule="exact"/>
              <w:rPr>
                <w:color w:val="auto"/>
                <w:highlight w:val="none"/>
              </w:rPr>
            </w:pPr>
          </w:p>
        </w:tc>
        <w:tc>
          <w:tcPr>
            <w:tcW w:w="2458" w:type="dxa"/>
            <w:noWrap w:val="0"/>
            <w:vAlign w:val="top"/>
          </w:tcPr>
          <w:p w14:paraId="2D7BA9F5">
            <w:pPr>
              <w:snapToGrid w:val="0"/>
              <w:spacing w:line="440" w:lineRule="exact"/>
              <w:ind w:firstLine="480" w:firstLineChars="200"/>
              <w:rPr>
                <w:color w:val="auto"/>
                <w:highlight w:val="none"/>
              </w:rPr>
            </w:pPr>
          </w:p>
        </w:tc>
        <w:tc>
          <w:tcPr>
            <w:tcW w:w="2885" w:type="dxa"/>
            <w:noWrap w:val="0"/>
            <w:vAlign w:val="top"/>
          </w:tcPr>
          <w:p w14:paraId="569DA096">
            <w:pPr>
              <w:spacing w:line="440" w:lineRule="exact"/>
              <w:rPr>
                <w:color w:val="auto"/>
                <w:highlight w:val="none"/>
              </w:rPr>
            </w:pPr>
          </w:p>
        </w:tc>
        <w:tc>
          <w:tcPr>
            <w:tcW w:w="2018" w:type="dxa"/>
            <w:noWrap w:val="0"/>
            <w:vAlign w:val="top"/>
          </w:tcPr>
          <w:p w14:paraId="194E5017">
            <w:pPr>
              <w:spacing w:line="440" w:lineRule="exact"/>
              <w:rPr>
                <w:color w:val="auto"/>
                <w:highlight w:val="none"/>
              </w:rPr>
            </w:pPr>
          </w:p>
        </w:tc>
      </w:tr>
      <w:tr w14:paraId="6EB4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175CC895">
            <w:pPr>
              <w:jc w:val="center"/>
              <w:rPr>
                <w:color w:val="auto"/>
                <w:highlight w:val="none"/>
              </w:rPr>
            </w:pPr>
            <w:r>
              <w:rPr>
                <w:rFonts w:hint="eastAsia"/>
                <w:color w:val="auto"/>
                <w:highlight w:val="none"/>
              </w:rPr>
              <w:t>7</w:t>
            </w:r>
          </w:p>
        </w:tc>
        <w:tc>
          <w:tcPr>
            <w:tcW w:w="1602" w:type="dxa"/>
            <w:noWrap w:val="0"/>
            <w:vAlign w:val="top"/>
          </w:tcPr>
          <w:p w14:paraId="2A617E90">
            <w:pPr>
              <w:spacing w:line="440" w:lineRule="exact"/>
              <w:rPr>
                <w:color w:val="auto"/>
                <w:highlight w:val="none"/>
              </w:rPr>
            </w:pPr>
          </w:p>
        </w:tc>
        <w:tc>
          <w:tcPr>
            <w:tcW w:w="2458" w:type="dxa"/>
            <w:noWrap w:val="0"/>
            <w:vAlign w:val="top"/>
          </w:tcPr>
          <w:p w14:paraId="1D1ADCD9">
            <w:pPr>
              <w:snapToGrid w:val="0"/>
              <w:spacing w:line="440" w:lineRule="exact"/>
              <w:rPr>
                <w:rFonts w:hint="eastAsia" w:cs="仿宋"/>
                <w:color w:val="auto"/>
                <w:highlight w:val="none"/>
              </w:rPr>
            </w:pPr>
          </w:p>
        </w:tc>
        <w:tc>
          <w:tcPr>
            <w:tcW w:w="2885" w:type="dxa"/>
            <w:noWrap w:val="0"/>
            <w:vAlign w:val="top"/>
          </w:tcPr>
          <w:p w14:paraId="1750D93C">
            <w:pPr>
              <w:spacing w:line="440" w:lineRule="exact"/>
              <w:rPr>
                <w:color w:val="auto"/>
                <w:highlight w:val="none"/>
              </w:rPr>
            </w:pPr>
          </w:p>
        </w:tc>
        <w:tc>
          <w:tcPr>
            <w:tcW w:w="2018" w:type="dxa"/>
            <w:noWrap w:val="0"/>
            <w:vAlign w:val="top"/>
          </w:tcPr>
          <w:p w14:paraId="355969B9">
            <w:pPr>
              <w:spacing w:line="440" w:lineRule="exact"/>
              <w:rPr>
                <w:color w:val="auto"/>
                <w:highlight w:val="none"/>
              </w:rPr>
            </w:pPr>
          </w:p>
        </w:tc>
      </w:tr>
      <w:tr w14:paraId="0763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5897BE09">
            <w:pPr>
              <w:jc w:val="center"/>
              <w:rPr>
                <w:rFonts w:hint="eastAsia"/>
                <w:color w:val="auto"/>
                <w:highlight w:val="none"/>
              </w:rPr>
            </w:pPr>
            <w:r>
              <w:rPr>
                <w:color w:val="auto"/>
                <w:highlight w:val="none"/>
              </w:rPr>
              <w:t>…</w:t>
            </w:r>
          </w:p>
        </w:tc>
        <w:tc>
          <w:tcPr>
            <w:tcW w:w="1602" w:type="dxa"/>
            <w:noWrap w:val="0"/>
            <w:vAlign w:val="top"/>
          </w:tcPr>
          <w:p w14:paraId="51F9D28E">
            <w:pPr>
              <w:spacing w:line="440" w:lineRule="exact"/>
              <w:rPr>
                <w:color w:val="auto"/>
                <w:highlight w:val="none"/>
              </w:rPr>
            </w:pPr>
          </w:p>
        </w:tc>
        <w:tc>
          <w:tcPr>
            <w:tcW w:w="2458" w:type="dxa"/>
            <w:noWrap w:val="0"/>
            <w:vAlign w:val="top"/>
          </w:tcPr>
          <w:p w14:paraId="3D22F363">
            <w:pPr>
              <w:spacing w:line="440" w:lineRule="exact"/>
              <w:rPr>
                <w:color w:val="auto"/>
                <w:highlight w:val="none"/>
              </w:rPr>
            </w:pPr>
          </w:p>
        </w:tc>
        <w:tc>
          <w:tcPr>
            <w:tcW w:w="2885" w:type="dxa"/>
            <w:noWrap w:val="0"/>
            <w:vAlign w:val="top"/>
          </w:tcPr>
          <w:p w14:paraId="4952BCCF">
            <w:pPr>
              <w:spacing w:line="440" w:lineRule="exact"/>
              <w:rPr>
                <w:color w:val="auto"/>
                <w:highlight w:val="none"/>
              </w:rPr>
            </w:pPr>
          </w:p>
        </w:tc>
        <w:tc>
          <w:tcPr>
            <w:tcW w:w="2018" w:type="dxa"/>
            <w:noWrap w:val="0"/>
            <w:vAlign w:val="top"/>
          </w:tcPr>
          <w:p w14:paraId="51C187E1">
            <w:pPr>
              <w:spacing w:line="440" w:lineRule="exact"/>
              <w:rPr>
                <w:color w:val="auto"/>
                <w:highlight w:val="none"/>
              </w:rPr>
            </w:pPr>
          </w:p>
        </w:tc>
      </w:tr>
    </w:tbl>
    <w:p w14:paraId="7EC118F1">
      <w:pPr>
        <w:spacing w:line="440" w:lineRule="exact"/>
        <w:rPr>
          <w:color w:val="auto"/>
          <w:highlight w:val="none"/>
        </w:rPr>
      </w:pPr>
      <w:r>
        <w:rPr>
          <w:rFonts w:hint="eastAsia"/>
          <w:color w:val="auto"/>
          <w:highlight w:val="none"/>
        </w:rPr>
        <w:t>投标人代表签字：</w:t>
      </w:r>
    </w:p>
    <w:p w14:paraId="7E7D15E2">
      <w:pPr>
        <w:spacing w:line="440" w:lineRule="exact"/>
        <w:rPr>
          <w:color w:val="auto"/>
          <w:highlight w:val="none"/>
        </w:rPr>
      </w:pPr>
      <w:r>
        <w:rPr>
          <w:rFonts w:hint="eastAsia"/>
          <w:color w:val="auto"/>
          <w:highlight w:val="none"/>
        </w:rPr>
        <w:t>日期：</w:t>
      </w:r>
      <w:r>
        <w:rPr>
          <w:color w:val="auto"/>
          <w:highlight w:val="none"/>
        </w:rPr>
        <w:t>20</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　</w:t>
      </w:r>
    </w:p>
    <w:p w14:paraId="766F4DE1">
      <w:pPr>
        <w:spacing w:line="440" w:lineRule="exact"/>
        <w:jc w:val="center"/>
        <w:rPr>
          <w:b/>
          <w:color w:val="auto"/>
          <w:sz w:val="30"/>
          <w:szCs w:val="30"/>
          <w:highlight w:val="none"/>
        </w:rPr>
      </w:pPr>
      <w:r>
        <w:rPr>
          <w:color w:val="auto"/>
          <w:highlight w:val="none"/>
        </w:rPr>
        <w:br w:type="page"/>
      </w:r>
    </w:p>
    <w:p w14:paraId="16A8A93E">
      <w:pPr>
        <w:spacing w:line="440" w:lineRule="exact"/>
        <w:ind w:firstLine="590" w:firstLineChars="196"/>
        <w:jc w:val="center"/>
        <w:rPr>
          <w:b/>
          <w:color w:val="auto"/>
          <w:sz w:val="32"/>
          <w:szCs w:val="32"/>
          <w:highlight w:val="none"/>
        </w:rPr>
      </w:pPr>
      <w:r>
        <w:rPr>
          <w:rFonts w:hint="eastAsia"/>
          <w:b/>
          <w:color w:val="auto"/>
          <w:sz w:val="30"/>
          <w:szCs w:val="30"/>
          <w:highlight w:val="none"/>
        </w:rPr>
        <w:t xml:space="preserve">附件3-4 </w:t>
      </w:r>
      <w:r>
        <w:rPr>
          <w:rFonts w:hint="eastAsia"/>
          <w:b/>
          <w:color w:val="auto"/>
          <w:sz w:val="32"/>
          <w:szCs w:val="32"/>
          <w:highlight w:val="none"/>
        </w:rPr>
        <w:t>节能、环境标志产品优惠明细表</w:t>
      </w:r>
    </w:p>
    <w:p w14:paraId="7C5B3908">
      <w:pPr>
        <w:spacing w:line="440" w:lineRule="exact"/>
        <w:jc w:val="center"/>
        <w:rPr>
          <w:rFonts w:hint="eastAsia"/>
          <w:b/>
          <w:color w:val="auto"/>
          <w:highlight w:val="none"/>
        </w:rPr>
      </w:pPr>
      <w:r>
        <w:rPr>
          <w:b/>
          <w:color w:val="auto"/>
          <w:highlight w:val="none"/>
        </w:rPr>
        <w:t>(</w:t>
      </w:r>
      <w:r>
        <w:rPr>
          <w:rFonts w:hint="eastAsia"/>
          <w:b/>
          <w:color w:val="auto"/>
          <w:highlight w:val="none"/>
        </w:rPr>
        <w:t>若有，请如实填写</w:t>
      </w:r>
      <w:r>
        <w:rPr>
          <w:b/>
          <w:color w:val="auto"/>
          <w:highlight w:val="none"/>
        </w:rPr>
        <w:t>)</w:t>
      </w:r>
    </w:p>
    <w:p w14:paraId="6322C475">
      <w:pPr>
        <w:spacing w:line="440" w:lineRule="exact"/>
        <w:ind w:firstLine="120" w:firstLineChars="50"/>
        <w:rPr>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14:paraId="6964FADB">
      <w:pPr>
        <w:spacing w:line="440" w:lineRule="exact"/>
        <w:ind w:firstLine="120" w:firstLineChars="50"/>
        <w:rPr>
          <w:color w:val="auto"/>
          <w:highlight w:val="none"/>
        </w:rPr>
      </w:pPr>
      <w:r>
        <w:rPr>
          <w:rFonts w:hint="eastAsia"/>
          <w:color w:val="auto"/>
          <w:highlight w:val="none"/>
        </w:rPr>
        <w:t>标项序号、名称：</w:t>
      </w:r>
      <w:r>
        <w:rPr>
          <w:rFonts w:hint="eastAsia"/>
          <w:color w:val="auto"/>
          <w:highlight w:val="none"/>
          <w:u w:val="single"/>
        </w:rPr>
        <w:t xml:space="preserve">　　　　           </w:t>
      </w:r>
      <w:r>
        <w:rPr>
          <w:rFonts w:hint="eastAsia"/>
          <w:color w:val="auto"/>
          <w:highlight w:val="none"/>
        </w:rPr>
        <w:t>　</w:t>
      </w:r>
    </w:p>
    <w:p w14:paraId="405BB2B2">
      <w:pPr>
        <w:spacing w:line="440" w:lineRule="exact"/>
        <w:rPr>
          <w:color w:val="auto"/>
          <w:highlight w:val="none"/>
        </w:rPr>
      </w:pPr>
      <w:r>
        <w:rPr>
          <w:rFonts w:hint="eastAsia"/>
          <w:color w:val="auto"/>
          <w:highlight w:val="none"/>
        </w:rPr>
        <w:t>（</w:t>
      </w:r>
      <w:r>
        <w:rPr>
          <w:color w:val="auto"/>
          <w:highlight w:val="none"/>
        </w:rPr>
        <w:t>1</w:t>
      </w:r>
      <w:r>
        <w:rPr>
          <w:rFonts w:hint="eastAsia"/>
          <w:color w:val="auto"/>
          <w:highlight w:val="none"/>
        </w:rPr>
        <w:t>）节能产品明细清单</w:t>
      </w:r>
      <w:r>
        <w:rPr>
          <w:color w:val="auto"/>
          <w:highlight w:val="none"/>
        </w:rPr>
        <w:t xml:space="preserve">                        </w:t>
      </w:r>
      <w:r>
        <w:rPr>
          <w:rFonts w:hint="eastAsia"/>
          <w:color w:val="auto"/>
          <w:highlight w:val="none"/>
        </w:rPr>
        <w:t>报价货币种类</w:t>
      </w:r>
      <w:r>
        <w:rPr>
          <w:color w:val="auto"/>
          <w:highlight w:val="none"/>
          <w:u w:val="single"/>
        </w:rPr>
        <w:t xml:space="preserve">      </w:t>
      </w:r>
      <w:r>
        <w:rPr>
          <w:rFonts w:hint="eastAsia"/>
          <w:color w:val="auto"/>
          <w:highlight w:val="none"/>
        </w:rPr>
        <w:t>金额单位：元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605"/>
        <w:gridCol w:w="1739"/>
        <w:gridCol w:w="1918"/>
        <w:gridCol w:w="2120"/>
        <w:gridCol w:w="605"/>
        <w:gridCol w:w="605"/>
        <w:gridCol w:w="605"/>
        <w:gridCol w:w="903"/>
      </w:tblGrid>
      <w:tr w14:paraId="6B05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14:paraId="0F1C7318">
            <w:pPr>
              <w:spacing w:line="440" w:lineRule="exact"/>
              <w:jc w:val="center"/>
              <w:rPr>
                <w:color w:val="auto"/>
                <w:highlight w:val="none"/>
              </w:rPr>
            </w:pPr>
            <w:r>
              <w:rPr>
                <w:rFonts w:hint="eastAsia"/>
                <w:color w:val="auto"/>
                <w:highlight w:val="none"/>
              </w:rPr>
              <w:t>制造商</w:t>
            </w:r>
          </w:p>
        </w:tc>
        <w:tc>
          <w:tcPr>
            <w:tcW w:w="0" w:type="auto"/>
            <w:noWrap w:val="0"/>
            <w:vAlign w:val="center"/>
          </w:tcPr>
          <w:p w14:paraId="456D48BA">
            <w:pPr>
              <w:spacing w:line="440" w:lineRule="exact"/>
              <w:jc w:val="center"/>
              <w:rPr>
                <w:color w:val="auto"/>
                <w:highlight w:val="none"/>
              </w:rPr>
            </w:pPr>
            <w:r>
              <w:rPr>
                <w:rFonts w:hint="eastAsia"/>
                <w:color w:val="auto"/>
                <w:highlight w:val="none"/>
              </w:rPr>
              <w:t>品牌</w:t>
            </w:r>
          </w:p>
        </w:tc>
        <w:tc>
          <w:tcPr>
            <w:tcW w:w="0" w:type="auto"/>
            <w:noWrap w:val="0"/>
            <w:vAlign w:val="center"/>
          </w:tcPr>
          <w:p w14:paraId="246F9B07">
            <w:pPr>
              <w:spacing w:line="440" w:lineRule="exact"/>
              <w:jc w:val="center"/>
              <w:rPr>
                <w:color w:val="auto"/>
                <w:highlight w:val="none"/>
              </w:rPr>
            </w:pPr>
            <w:r>
              <w:rPr>
                <w:rFonts w:hint="eastAsia"/>
                <w:color w:val="auto"/>
                <w:highlight w:val="none"/>
              </w:rPr>
              <w:t>产品名称、规格型号</w:t>
            </w:r>
          </w:p>
        </w:tc>
        <w:tc>
          <w:tcPr>
            <w:tcW w:w="1918" w:type="dxa"/>
            <w:noWrap w:val="0"/>
            <w:vAlign w:val="center"/>
          </w:tcPr>
          <w:p w14:paraId="74B511C5">
            <w:pPr>
              <w:spacing w:line="440" w:lineRule="exact"/>
              <w:jc w:val="center"/>
              <w:rPr>
                <w:color w:val="auto"/>
                <w:highlight w:val="none"/>
              </w:rPr>
            </w:pPr>
            <w:r>
              <w:rPr>
                <w:rFonts w:hint="eastAsia"/>
                <w:color w:val="auto"/>
                <w:highlight w:val="none"/>
              </w:rPr>
              <w:t>节字标志认证证书号</w:t>
            </w:r>
          </w:p>
        </w:tc>
        <w:tc>
          <w:tcPr>
            <w:tcW w:w="2121" w:type="dxa"/>
            <w:noWrap w:val="0"/>
            <w:vAlign w:val="center"/>
          </w:tcPr>
          <w:p w14:paraId="1A6A5C19">
            <w:pPr>
              <w:spacing w:line="440" w:lineRule="exact"/>
              <w:jc w:val="center"/>
              <w:rPr>
                <w:color w:val="auto"/>
                <w:highlight w:val="none"/>
              </w:rPr>
            </w:pPr>
            <w:r>
              <w:rPr>
                <w:rFonts w:hint="eastAsia"/>
                <w:color w:val="auto"/>
                <w:highlight w:val="none"/>
              </w:rPr>
              <w:t>节能产品认证证书有效截止日期</w:t>
            </w:r>
          </w:p>
        </w:tc>
        <w:tc>
          <w:tcPr>
            <w:tcW w:w="0" w:type="auto"/>
            <w:noWrap w:val="0"/>
            <w:vAlign w:val="center"/>
          </w:tcPr>
          <w:p w14:paraId="17AB5D2B">
            <w:pPr>
              <w:spacing w:line="440" w:lineRule="exact"/>
              <w:jc w:val="center"/>
              <w:rPr>
                <w:color w:val="auto"/>
                <w:highlight w:val="none"/>
              </w:rPr>
            </w:pPr>
            <w:r>
              <w:rPr>
                <w:rFonts w:hint="eastAsia"/>
                <w:color w:val="auto"/>
                <w:highlight w:val="none"/>
              </w:rPr>
              <w:t>单位</w:t>
            </w:r>
          </w:p>
        </w:tc>
        <w:tc>
          <w:tcPr>
            <w:tcW w:w="0" w:type="auto"/>
            <w:noWrap w:val="0"/>
            <w:vAlign w:val="center"/>
          </w:tcPr>
          <w:p w14:paraId="78CDCCFB">
            <w:pPr>
              <w:spacing w:line="440" w:lineRule="exact"/>
              <w:jc w:val="center"/>
              <w:rPr>
                <w:color w:val="auto"/>
                <w:highlight w:val="none"/>
              </w:rPr>
            </w:pPr>
            <w:r>
              <w:rPr>
                <w:rFonts w:hint="eastAsia"/>
                <w:color w:val="auto"/>
                <w:highlight w:val="none"/>
              </w:rPr>
              <w:t>数量</w:t>
            </w:r>
          </w:p>
        </w:tc>
        <w:tc>
          <w:tcPr>
            <w:tcW w:w="0" w:type="auto"/>
            <w:noWrap w:val="0"/>
            <w:vAlign w:val="center"/>
          </w:tcPr>
          <w:p w14:paraId="3FC7EE7A">
            <w:pPr>
              <w:spacing w:line="440" w:lineRule="exact"/>
              <w:jc w:val="center"/>
              <w:rPr>
                <w:rFonts w:hint="eastAsia"/>
                <w:color w:val="auto"/>
                <w:highlight w:val="none"/>
              </w:rPr>
            </w:pPr>
            <w:r>
              <w:rPr>
                <w:rFonts w:hint="eastAsia"/>
                <w:color w:val="auto"/>
                <w:highlight w:val="none"/>
              </w:rPr>
              <w:t>单价</w:t>
            </w:r>
          </w:p>
        </w:tc>
        <w:tc>
          <w:tcPr>
            <w:tcW w:w="0" w:type="auto"/>
            <w:noWrap w:val="0"/>
            <w:vAlign w:val="center"/>
          </w:tcPr>
          <w:p w14:paraId="0A50EFC5">
            <w:pPr>
              <w:spacing w:line="440" w:lineRule="exact"/>
              <w:jc w:val="center"/>
              <w:rPr>
                <w:color w:val="auto"/>
                <w:highlight w:val="none"/>
              </w:rPr>
            </w:pPr>
            <w:r>
              <w:rPr>
                <w:rFonts w:hint="eastAsia"/>
                <w:color w:val="auto"/>
                <w:highlight w:val="none"/>
              </w:rPr>
              <w:t>合计金额</w:t>
            </w:r>
          </w:p>
        </w:tc>
      </w:tr>
      <w:tr w14:paraId="5623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71B9F8B4">
            <w:pPr>
              <w:spacing w:line="440" w:lineRule="exact"/>
              <w:jc w:val="center"/>
              <w:rPr>
                <w:color w:val="auto"/>
                <w:highlight w:val="none"/>
              </w:rPr>
            </w:pPr>
          </w:p>
        </w:tc>
        <w:tc>
          <w:tcPr>
            <w:tcW w:w="0" w:type="auto"/>
            <w:noWrap w:val="0"/>
            <w:vAlign w:val="center"/>
          </w:tcPr>
          <w:p w14:paraId="1E278DDF">
            <w:pPr>
              <w:spacing w:line="440" w:lineRule="exact"/>
              <w:jc w:val="center"/>
              <w:rPr>
                <w:color w:val="auto"/>
                <w:highlight w:val="none"/>
              </w:rPr>
            </w:pPr>
          </w:p>
        </w:tc>
        <w:tc>
          <w:tcPr>
            <w:tcW w:w="0" w:type="auto"/>
            <w:noWrap w:val="0"/>
            <w:vAlign w:val="center"/>
          </w:tcPr>
          <w:p w14:paraId="2312E2CD">
            <w:pPr>
              <w:spacing w:line="440" w:lineRule="exact"/>
              <w:jc w:val="center"/>
              <w:rPr>
                <w:color w:val="auto"/>
                <w:highlight w:val="none"/>
              </w:rPr>
            </w:pPr>
          </w:p>
        </w:tc>
        <w:tc>
          <w:tcPr>
            <w:tcW w:w="1918" w:type="dxa"/>
            <w:noWrap w:val="0"/>
            <w:vAlign w:val="center"/>
          </w:tcPr>
          <w:p w14:paraId="54CF6344">
            <w:pPr>
              <w:spacing w:line="440" w:lineRule="exact"/>
              <w:jc w:val="center"/>
              <w:rPr>
                <w:color w:val="auto"/>
                <w:highlight w:val="none"/>
              </w:rPr>
            </w:pPr>
          </w:p>
        </w:tc>
        <w:tc>
          <w:tcPr>
            <w:tcW w:w="2121" w:type="dxa"/>
            <w:noWrap w:val="0"/>
            <w:vAlign w:val="center"/>
          </w:tcPr>
          <w:p w14:paraId="45B7A235">
            <w:pPr>
              <w:spacing w:line="440" w:lineRule="exact"/>
              <w:jc w:val="center"/>
              <w:rPr>
                <w:color w:val="auto"/>
                <w:highlight w:val="none"/>
              </w:rPr>
            </w:pPr>
          </w:p>
        </w:tc>
        <w:tc>
          <w:tcPr>
            <w:tcW w:w="0" w:type="auto"/>
            <w:noWrap w:val="0"/>
            <w:vAlign w:val="center"/>
          </w:tcPr>
          <w:p w14:paraId="35149E45">
            <w:pPr>
              <w:spacing w:line="440" w:lineRule="exact"/>
              <w:jc w:val="center"/>
              <w:rPr>
                <w:color w:val="auto"/>
                <w:highlight w:val="none"/>
              </w:rPr>
            </w:pPr>
          </w:p>
        </w:tc>
        <w:tc>
          <w:tcPr>
            <w:tcW w:w="0" w:type="auto"/>
            <w:noWrap w:val="0"/>
            <w:vAlign w:val="center"/>
          </w:tcPr>
          <w:p w14:paraId="11EC052A">
            <w:pPr>
              <w:spacing w:line="440" w:lineRule="exact"/>
              <w:jc w:val="center"/>
              <w:rPr>
                <w:color w:val="auto"/>
                <w:highlight w:val="none"/>
              </w:rPr>
            </w:pPr>
          </w:p>
        </w:tc>
        <w:tc>
          <w:tcPr>
            <w:tcW w:w="0" w:type="auto"/>
            <w:noWrap w:val="0"/>
            <w:vAlign w:val="center"/>
          </w:tcPr>
          <w:p w14:paraId="71C14E3E">
            <w:pPr>
              <w:spacing w:line="440" w:lineRule="exact"/>
              <w:jc w:val="center"/>
              <w:rPr>
                <w:color w:val="auto"/>
                <w:highlight w:val="none"/>
              </w:rPr>
            </w:pPr>
          </w:p>
        </w:tc>
        <w:tc>
          <w:tcPr>
            <w:tcW w:w="0" w:type="auto"/>
            <w:noWrap w:val="0"/>
            <w:vAlign w:val="center"/>
          </w:tcPr>
          <w:p w14:paraId="6AC7F127">
            <w:pPr>
              <w:spacing w:line="440" w:lineRule="exact"/>
              <w:jc w:val="center"/>
              <w:rPr>
                <w:color w:val="auto"/>
                <w:highlight w:val="none"/>
              </w:rPr>
            </w:pPr>
          </w:p>
        </w:tc>
      </w:tr>
      <w:tr w14:paraId="5688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3A615DFA">
            <w:pPr>
              <w:spacing w:line="440" w:lineRule="exact"/>
              <w:jc w:val="center"/>
              <w:rPr>
                <w:color w:val="auto"/>
                <w:highlight w:val="none"/>
              </w:rPr>
            </w:pPr>
          </w:p>
        </w:tc>
        <w:tc>
          <w:tcPr>
            <w:tcW w:w="0" w:type="auto"/>
            <w:noWrap w:val="0"/>
            <w:vAlign w:val="center"/>
          </w:tcPr>
          <w:p w14:paraId="33F22373">
            <w:pPr>
              <w:spacing w:line="440" w:lineRule="exact"/>
              <w:jc w:val="center"/>
              <w:rPr>
                <w:color w:val="auto"/>
                <w:highlight w:val="none"/>
              </w:rPr>
            </w:pPr>
          </w:p>
        </w:tc>
        <w:tc>
          <w:tcPr>
            <w:tcW w:w="0" w:type="auto"/>
            <w:noWrap w:val="0"/>
            <w:vAlign w:val="center"/>
          </w:tcPr>
          <w:p w14:paraId="2EE7C005">
            <w:pPr>
              <w:spacing w:line="440" w:lineRule="exact"/>
              <w:jc w:val="center"/>
              <w:rPr>
                <w:color w:val="auto"/>
                <w:highlight w:val="none"/>
              </w:rPr>
            </w:pPr>
          </w:p>
        </w:tc>
        <w:tc>
          <w:tcPr>
            <w:tcW w:w="1918" w:type="dxa"/>
            <w:noWrap w:val="0"/>
            <w:vAlign w:val="center"/>
          </w:tcPr>
          <w:p w14:paraId="5A05D361">
            <w:pPr>
              <w:spacing w:line="440" w:lineRule="exact"/>
              <w:jc w:val="center"/>
              <w:rPr>
                <w:color w:val="auto"/>
                <w:highlight w:val="none"/>
              </w:rPr>
            </w:pPr>
          </w:p>
        </w:tc>
        <w:tc>
          <w:tcPr>
            <w:tcW w:w="2121" w:type="dxa"/>
            <w:noWrap w:val="0"/>
            <w:vAlign w:val="center"/>
          </w:tcPr>
          <w:p w14:paraId="06E2C31E">
            <w:pPr>
              <w:spacing w:line="440" w:lineRule="exact"/>
              <w:jc w:val="center"/>
              <w:rPr>
                <w:color w:val="auto"/>
                <w:highlight w:val="none"/>
              </w:rPr>
            </w:pPr>
          </w:p>
        </w:tc>
        <w:tc>
          <w:tcPr>
            <w:tcW w:w="0" w:type="auto"/>
            <w:noWrap w:val="0"/>
            <w:vAlign w:val="center"/>
          </w:tcPr>
          <w:p w14:paraId="7C72EAB9">
            <w:pPr>
              <w:spacing w:line="440" w:lineRule="exact"/>
              <w:jc w:val="center"/>
              <w:rPr>
                <w:color w:val="auto"/>
                <w:highlight w:val="none"/>
              </w:rPr>
            </w:pPr>
          </w:p>
        </w:tc>
        <w:tc>
          <w:tcPr>
            <w:tcW w:w="0" w:type="auto"/>
            <w:noWrap w:val="0"/>
            <w:vAlign w:val="center"/>
          </w:tcPr>
          <w:p w14:paraId="7F473F88">
            <w:pPr>
              <w:spacing w:line="440" w:lineRule="exact"/>
              <w:jc w:val="center"/>
              <w:rPr>
                <w:color w:val="auto"/>
                <w:highlight w:val="none"/>
              </w:rPr>
            </w:pPr>
          </w:p>
        </w:tc>
        <w:tc>
          <w:tcPr>
            <w:tcW w:w="0" w:type="auto"/>
            <w:noWrap w:val="0"/>
            <w:vAlign w:val="center"/>
          </w:tcPr>
          <w:p w14:paraId="70144B5F">
            <w:pPr>
              <w:spacing w:line="440" w:lineRule="exact"/>
              <w:jc w:val="center"/>
              <w:rPr>
                <w:color w:val="auto"/>
                <w:highlight w:val="none"/>
              </w:rPr>
            </w:pPr>
          </w:p>
        </w:tc>
        <w:tc>
          <w:tcPr>
            <w:tcW w:w="0" w:type="auto"/>
            <w:noWrap w:val="0"/>
            <w:vAlign w:val="center"/>
          </w:tcPr>
          <w:p w14:paraId="2057219C">
            <w:pPr>
              <w:spacing w:line="440" w:lineRule="exact"/>
              <w:jc w:val="center"/>
              <w:rPr>
                <w:color w:val="auto"/>
                <w:highlight w:val="none"/>
              </w:rPr>
            </w:pPr>
          </w:p>
        </w:tc>
      </w:tr>
      <w:tr w14:paraId="615E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gridSpan w:val="5"/>
            <w:noWrap w:val="0"/>
            <w:vAlign w:val="center"/>
          </w:tcPr>
          <w:p w14:paraId="68BE3DE4">
            <w:pPr>
              <w:spacing w:line="440" w:lineRule="exact"/>
              <w:jc w:val="both"/>
              <w:rPr>
                <w:color w:val="auto"/>
                <w:highlight w:val="none"/>
              </w:rPr>
            </w:pPr>
            <w:r>
              <w:rPr>
                <w:rFonts w:hint="eastAsia"/>
                <w:color w:val="auto"/>
                <w:highlight w:val="none"/>
              </w:rPr>
              <w:t>总计金额</w:t>
            </w:r>
          </w:p>
        </w:tc>
        <w:tc>
          <w:tcPr>
            <w:tcW w:w="0" w:type="auto"/>
            <w:gridSpan w:val="4"/>
            <w:noWrap w:val="0"/>
            <w:vAlign w:val="center"/>
          </w:tcPr>
          <w:p w14:paraId="10A1DCC7">
            <w:pPr>
              <w:spacing w:line="440" w:lineRule="exact"/>
              <w:jc w:val="center"/>
              <w:rPr>
                <w:color w:val="auto"/>
                <w:highlight w:val="none"/>
              </w:rPr>
            </w:pPr>
          </w:p>
        </w:tc>
      </w:tr>
    </w:tbl>
    <w:p w14:paraId="2A5B06BB">
      <w:pPr>
        <w:spacing w:line="440" w:lineRule="exact"/>
        <w:rPr>
          <w:color w:val="auto"/>
          <w:highlight w:val="none"/>
        </w:rPr>
      </w:pPr>
    </w:p>
    <w:p w14:paraId="557D0FBD">
      <w:pPr>
        <w:spacing w:line="440" w:lineRule="exact"/>
        <w:rPr>
          <w:color w:val="auto"/>
          <w:highlight w:val="none"/>
        </w:rPr>
      </w:pPr>
      <w:r>
        <w:rPr>
          <w:rFonts w:hint="eastAsia"/>
          <w:color w:val="auto"/>
          <w:highlight w:val="none"/>
        </w:rPr>
        <w:t>（</w:t>
      </w:r>
      <w:r>
        <w:rPr>
          <w:color w:val="auto"/>
          <w:highlight w:val="none"/>
        </w:rPr>
        <w:t>2</w:t>
      </w:r>
      <w:r>
        <w:rPr>
          <w:rFonts w:hint="eastAsia"/>
          <w:color w:val="auto"/>
          <w:highlight w:val="none"/>
        </w:rPr>
        <w:t>）环保产品明细清单</w:t>
      </w:r>
      <w:r>
        <w:rPr>
          <w:color w:val="auto"/>
          <w:highlight w:val="none"/>
        </w:rPr>
        <w:t xml:space="preserve">                    </w:t>
      </w:r>
      <w:r>
        <w:rPr>
          <w:rFonts w:hint="eastAsia"/>
          <w:color w:val="auto"/>
          <w:highlight w:val="none"/>
        </w:rPr>
        <w:t>报价货币种类</w:t>
      </w:r>
      <w:r>
        <w:rPr>
          <w:color w:val="auto"/>
          <w:highlight w:val="none"/>
          <w:u w:val="single"/>
        </w:rPr>
        <w:t xml:space="preserve">      </w:t>
      </w:r>
      <w:r>
        <w:rPr>
          <w:rFonts w:hint="eastAsia"/>
          <w:color w:val="auto"/>
          <w:highlight w:val="none"/>
        </w:rPr>
        <w:t>金额单位：元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609"/>
        <w:gridCol w:w="1767"/>
        <w:gridCol w:w="1867"/>
        <w:gridCol w:w="2107"/>
        <w:gridCol w:w="609"/>
        <w:gridCol w:w="609"/>
        <w:gridCol w:w="609"/>
        <w:gridCol w:w="915"/>
      </w:tblGrid>
      <w:tr w14:paraId="3B76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14:paraId="7FC3C18B">
            <w:pPr>
              <w:spacing w:line="440" w:lineRule="exact"/>
              <w:jc w:val="center"/>
              <w:rPr>
                <w:color w:val="auto"/>
                <w:highlight w:val="none"/>
              </w:rPr>
            </w:pPr>
            <w:r>
              <w:rPr>
                <w:rFonts w:hint="eastAsia"/>
                <w:color w:val="auto"/>
                <w:highlight w:val="none"/>
              </w:rPr>
              <w:t>制造商</w:t>
            </w:r>
          </w:p>
        </w:tc>
        <w:tc>
          <w:tcPr>
            <w:tcW w:w="0" w:type="auto"/>
            <w:noWrap w:val="0"/>
            <w:vAlign w:val="center"/>
          </w:tcPr>
          <w:p w14:paraId="2471A3F7">
            <w:pPr>
              <w:spacing w:line="440" w:lineRule="exact"/>
              <w:jc w:val="center"/>
              <w:rPr>
                <w:color w:val="auto"/>
                <w:highlight w:val="none"/>
              </w:rPr>
            </w:pPr>
            <w:r>
              <w:rPr>
                <w:rFonts w:hint="eastAsia"/>
                <w:color w:val="auto"/>
                <w:highlight w:val="none"/>
              </w:rPr>
              <w:t>品牌</w:t>
            </w:r>
          </w:p>
        </w:tc>
        <w:tc>
          <w:tcPr>
            <w:tcW w:w="0" w:type="auto"/>
            <w:noWrap w:val="0"/>
            <w:vAlign w:val="center"/>
          </w:tcPr>
          <w:p w14:paraId="2A4FE6F7">
            <w:pPr>
              <w:spacing w:line="440" w:lineRule="exact"/>
              <w:jc w:val="center"/>
              <w:rPr>
                <w:color w:val="auto"/>
                <w:highlight w:val="none"/>
              </w:rPr>
            </w:pPr>
            <w:r>
              <w:rPr>
                <w:rFonts w:hint="eastAsia"/>
                <w:color w:val="auto"/>
                <w:highlight w:val="none"/>
              </w:rPr>
              <w:t>产品名称、规格型号</w:t>
            </w:r>
          </w:p>
        </w:tc>
        <w:tc>
          <w:tcPr>
            <w:tcW w:w="1867" w:type="dxa"/>
            <w:noWrap w:val="0"/>
            <w:vAlign w:val="center"/>
          </w:tcPr>
          <w:p w14:paraId="5B6688DC">
            <w:pPr>
              <w:spacing w:line="440" w:lineRule="exact"/>
              <w:jc w:val="center"/>
              <w:rPr>
                <w:color w:val="auto"/>
                <w:highlight w:val="none"/>
              </w:rPr>
            </w:pPr>
            <w:r>
              <w:rPr>
                <w:rFonts w:hint="eastAsia"/>
                <w:color w:val="auto"/>
                <w:highlight w:val="none"/>
              </w:rPr>
              <w:t>中国环境标志认证证书编号</w:t>
            </w:r>
          </w:p>
        </w:tc>
        <w:tc>
          <w:tcPr>
            <w:tcW w:w="2107" w:type="dxa"/>
            <w:noWrap w:val="0"/>
            <w:vAlign w:val="center"/>
          </w:tcPr>
          <w:p w14:paraId="4E2166D2">
            <w:pPr>
              <w:spacing w:line="440" w:lineRule="exact"/>
              <w:jc w:val="center"/>
              <w:rPr>
                <w:color w:val="auto"/>
                <w:highlight w:val="none"/>
              </w:rPr>
            </w:pPr>
            <w:r>
              <w:rPr>
                <w:rFonts w:hint="eastAsia"/>
                <w:color w:val="auto"/>
                <w:highlight w:val="none"/>
              </w:rPr>
              <w:t>认证证书有效截止日期</w:t>
            </w:r>
          </w:p>
        </w:tc>
        <w:tc>
          <w:tcPr>
            <w:tcW w:w="0" w:type="auto"/>
            <w:noWrap w:val="0"/>
            <w:vAlign w:val="center"/>
          </w:tcPr>
          <w:p w14:paraId="54EC8B79">
            <w:pPr>
              <w:spacing w:line="440" w:lineRule="exact"/>
              <w:jc w:val="center"/>
              <w:rPr>
                <w:color w:val="auto"/>
                <w:highlight w:val="none"/>
              </w:rPr>
            </w:pPr>
            <w:r>
              <w:rPr>
                <w:rFonts w:hint="eastAsia"/>
                <w:color w:val="auto"/>
                <w:highlight w:val="none"/>
              </w:rPr>
              <w:t>单位</w:t>
            </w:r>
          </w:p>
        </w:tc>
        <w:tc>
          <w:tcPr>
            <w:tcW w:w="0" w:type="auto"/>
            <w:noWrap w:val="0"/>
            <w:vAlign w:val="center"/>
          </w:tcPr>
          <w:p w14:paraId="63BC9E57">
            <w:pPr>
              <w:spacing w:line="440" w:lineRule="exact"/>
              <w:jc w:val="center"/>
              <w:rPr>
                <w:color w:val="auto"/>
                <w:highlight w:val="none"/>
              </w:rPr>
            </w:pPr>
            <w:r>
              <w:rPr>
                <w:rFonts w:hint="eastAsia"/>
                <w:color w:val="auto"/>
                <w:highlight w:val="none"/>
              </w:rPr>
              <w:t>数量</w:t>
            </w:r>
          </w:p>
        </w:tc>
        <w:tc>
          <w:tcPr>
            <w:tcW w:w="0" w:type="auto"/>
            <w:noWrap w:val="0"/>
            <w:vAlign w:val="center"/>
          </w:tcPr>
          <w:p w14:paraId="553DA07C">
            <w:pPr>
              <w:spacing w:line="440" w:lineRule="exact"/>
              <w:jc w:val="center"/>
              <w:rPr>
                <w:rFonts w:hint="eastAsia"/>
                <w:color w:val="auto"/>
                <w:highlight w:val="none"/>
              </w:rPr>
            </w:pPr>
            <w:r>
              <w:rPr>
                <w:rFonts w:hint="eastAsia"/>
                <w:color w:val="auto"/>
                <w:highlight w:val="none"/>
              </w:rPr>
              <w:t>单价</w:t>
            </w:r>
          </w:p>
        </w:tc>
        <w:tc>
          <w:tcPr>
            <w:tcW w:w="0" w:type="auto"/>
            <w:noWrap w:val="0"/>
            <w:vAlign w:val="center"/>
          </w:tcPr>
          <w:p w14:paraId="744ADD39">
            <w:pPr>
              <w:spacing w:line="440" w:lineRule="exact"/>
              <w:jc w:val="center"/>
              <w:rPr>
                <w:color w:val="auto"/>
                <w:highlight w:val="none"/>
              </w:rPr>
            </w:pPr>
            <w:r>
              <w:rPr>
                <w:rFonts w:hint="eastAsia"/>
                <w:color w:val="auto"/>
                <w:highlight w:val="none"/>
              </w:rPr>
              <w:t>合计金额</w:t>
            </w:r>
          </w:p>
        </w:tc>
      </w:tr>
      <w:tr w14:paraId="74D4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57B2B06C">
            <w:pPr>
              <w:spacing w:line="440" w:lineRule="exact"/>
              <w:jc w:val="center"/>
              <w:rPr>
                <w:color w:val="auto"/>
                <w:highlight w:val="none"/>
              </w:rPr>
            </w:pPr>
          </w:p>
        </w:tc>
        <w:tc>
          <w:tcPr>
            <w:tcW w:w="0" w:type="auto"/>
            <w:noWrap w:val="0"/>
            <w:vAlign w:val="center"/>
          </w:tcPr>
          <w:p w14:paraId="4EA47CED">
            <w:pPr>
              <w:spacing w:line="440" w:lineRule="exact"/>
              <w:jc w:val="center"/>
              <w:rPr>
                <w:color w:val="auto"/>
                <w:highlight w:val="none"/>
              </w:rPr>
            </w:pPr>
          </w:p>
        </w:tc>
        <w:tc>
          <w:tcPr>
            <w:tcW w:w="0" w:type="auto"/>
            <w:noWrap w:val="0"/>
            <w:vAlign w:val="center"/>
          </w:tcPr>
          <w:p w14:paraId="3427BB77">
            <w:pPr>
              <w:spacing w:line="440" w:lineRule="exact"/>
              <w:jc w:val="center"/>
              <w:rPr>
                <w:color w:val="auto"/>
                <w:highlight w:val="none"/>
              </w:rPr>
            </w:pPr>
          </w:p>
        </w:tc>
        <w:tc>
          <w:tcPr>
            <w:tcW w:w="1867" w:type="dxa"/>
            <w:noWrap w:val="0"/>
            <w:vAlign w:val="center"/>
          </w:tcPr>
          <w:p w14:paraId="6C0BACBE">
            <w:pPr>
              <w:spacing w:line="440" w:lineRule="exact"/>
              <w:jc w:val="center"/>
              <w:rPr>
                <w:color w:val="auto"/>
                <w:highlight w:val="none"/>
              </w:rPr>
            </w:pPr>
          </w:p>
        </w:tc>
        <w:tc>
          <w:tcPr>
            <w:tcW w:w="2107" w:type="dxa"/>
            <w:noWrap w:val="0"/>
            <w:vAlign w:val="center"/>
          </w:tcPr>
          <w:p w14:paraId="258E674B">
            <w:pPr>
              <w:spacing w:line="440" w:lineRule="exact"/>
              <w:jc w:val="center"/>
              <w:rPr>
                <w:color w:val="auto"/>
                <w:highlight w:val="none"/>
              </w:rPr>
            </w:pPr>
          </w:p>
        </w:tc>
        <w:tc>
          <w:tcPr>
            <w:tcW w:w="0" w:type="auto"/>
            <w:noWrap w:val="0"/>
            <w:vAlign w:val="center"/>
          </w:tcPr>
          <w:p w14:paraId="01E5D611">
            <w:pPr>
              <w:spacing w:line="440" w:lineRule="exact"/>
              <w:jc w:val="center"/>
              <w:rPr>
                <w:color w:val="auto"/>
                <w:highlight w:val="none"/>
              </w:rPr>
            </w:pPr>
          </w:p>
        </w:tc>
        <w:tc>
          <w:tcPr>
            <w:tcW w:w="0" w:type="auto"/>
            <w:noWrap w:val="0"/>
            <w:vAlign w:val="center"/>
          </w:tcPr>
          <w:p w14:paraId="01C10B9A">
            <w:pPr>
              <w:spacing w:line="440" w:lineRule="exact"/>
              <w:jc w:val="center"/>
              <w:rPr>
                <w:color w:val="auto"/>
                <w:highlight w:val="none"/>
              </w:rPr>
            </w:pPr>
          </w:p>
        </w:tc>
        <w:tc>
          <w:tcPr>
            <w:tcW w:w="0" w:type="auto"/>
            <w:noWrap w:val="0"/>
            <w:vAlign w:val="center"/>
          </w:tcPr>
          <w:p w14:paraId="17AA21D5">
            <w:pPr>
              <w:spacing w:line="440" w:lineRule="exact"/>
              <w:jc w:val="center"/>
              <w:rPr>
                <w:color w:val="auto"/>
                <w:highlight w:val="none"/>
              </w:rPr>
            </w:pPr>
          </w:p>
        </w:tc>
        <w:tc>
          <w:tcPr>
            <w:tcW w:w="0" w:type="auto"/>
            <w:noWrap w:val="0"/>
            <w:vAlign w:val="center"/>
          </w:tcPr>
          <w:p w14:paraId="36CDA308">
            <w:pPr>
              <w:spacing w:line="440" w:lineRule="exact"/>
              <w:jc w:val="center"/>
              <w:rPr>
                <w:color w:val="auto"/>
                <w:highlight w:val="none"/>
              </w:rPr>
            </w:pPr>
          </w:p>
        </w:tc>
      </w:tr>
      <w:tr w14:paraId="1D0F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614EBD13">
            <w:pPr>
              <w:spacing w:line="440" w:lineRule="exact"/>
              <w:jc w:val="center"/>
              <w:rPr>
                <w:color w:val="auto"/>
                <w:highlight w:val="none"/>
              </w:rPr>
            </w:pPr>
          </w:p>
        </w:tc>
        <w:tc>
          <w:tcPr>
            <w:tcW w:w="0" w:type="auto"/>
            <w:noWrap w:val="0"/>
            <w:vAlign w:val="center"/>
          </w:tcPr>
          <w:p w14:paraId="6EC01023">
            <w:pPr>
              <w:spacing w:line="440" w:lineRule="exact"/>
              <w:jc w:val="center"/>
              <w:rPr>
                <w:color w:val="auto"/>
                <w:highlight w:val="none"/>
              </w:rPr>
            </w:pPr>
          </w:p>
        </w:tc>
        <w:tc>
          <w:tcPr>
            <w:tcW w:w="0" w:type="auto"/>
            <w:noWrap w:val="0"/>
            <w:vAlign w:val="center"/>
          </w:tcPr>
          <w:p w14:paraId="4000A6FE">
            <w:pPr>
              <w:spacing w:line="440" w:lineRule="exact"/>
              <w:jc w:val="center"/>
              <w:rPr>
                <w:color w:val="auto"/>
                <w:highlight w:val="none"/>
              </w:rPr>
            </w:pPr>
          </w:p>
        </w:tc>
        <w:tc>
          <w:tcPr>
            <w:tcW w:w="1867" w:type="dxa"/>
            <w:noWrap w:val="0"/>
            <w:vAlign w:val="center"/>
          </w:tcPr>
          <w:p w14:paraId="5E6E7267">
            <w:pPr>
              <w:spacing w:line="440" w:lineRule="exact"/>
              <w:jc w:val="center"/>
              <w:rPr>
                <w:color w:val="auto"/>
                <w:highlight w:val="none"/>
              </w:rPr>
            </w:pPr>
          </w:p>
        </w:tc>
        <w:tc>
          <w:tcPr>
            <w:tcW w:w="2107" w:type="dxa"/>
            <w:noWrap w:val="0"/>
            <w:vAlign w:val="center"/>
          </w:tcPr>
          <w:p w14:paraId="156549AF">
            <w:pPr>
              <w:spacing w:line="440" w:lineRule="exact"/>
              <w:jc w:val="center"/>
              <w:rPr>
                <w:color w:val="auto"/>
                <w:highlight w:val="none"/>
              </w:rPr>
            </w:pPr>
          </w:p>
        </w:tc>
        <w:tc>
          <w:tcPr>
            <w:tcW w:w="0" w:type="auto"/>
            <w:noWrap w:val="0"/>
            <w:vAlign w:val="center"/>
          </w:tcPr>
          <w:p w14:paraId="3D2B510D">
            <w:pPr>
              <w:spacing w:line="440" w:lineRule="exact"/>
              <w:jc w:val="center"/>
              <w:rPr>
                <w:color w:val="auto"/>
                <w:highlight w:val="none"/>
              </w:rPr>
            </w:pPr>
          </w:p>
        </w:tc>
        <w:tc>
          <w:tcPr>
            <w:tcW w:w="0" w:type="auto"/>
            <w:noWrap w:val="0"/>
            <w:vAlign w:val="center"/>
          </w:tcPr>
          <w:p w14:paraId="34D79667">
            <w:pPr>
              <w:spacing w:line="440" w:lineRule="exact"/>
              <w:jc w:val="center"/>
              <w:rPr>
                <w:color w:val="auto"/>
                <w:highlight w:val="none"/>
              </w:rPr>
            </w:pPr>
          </w:p>
        </w:tc>
        <w:tc>
          <w:tcPr>
            <w:tcW w:w="0" w:type="auto"/>
            <w:noWrap w:val="0"/>
            <w:vAlign w:val="center"/>
          </w:tcPr>
          <w:p w14:paraId="17D9CE01">
            <w:pPr>
              <w:spacing w:line="440" w:lineRule="exact"/>
              <w:jc w:val="center"/>
              <w:rPr>
                <w:color w:val="auto"/>
                <w:highlight w:val="none"/>
              </w:rPr>
            </w:pPr>
          </w:p>
        </w:tc>
        <w:tc>
          <w:tcPr>
            <w:tcW w:w="0" w:type="auto"/>
            <w:noWrap w:val="0"/>
            <w:vAlign w:val="center"/>
          </w:tcPr>
          <w:p w14:paraId="4F405A68">
            <w:pPr>
              <w:spacing w:line="440" w:lineRule="exact"/>
              <w:jc w:val="center"/>
              <w:rPr>
                <w:color w:val="auto"/>
                <w:highlight w:val="none"/>
              </w:rPr>
            </w:pPr>
          </w:p>
        </w:tc>
      </w:tr>
      <w:tr w14:paraId="040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14:paraId="6BBFC9A0">
            <w:pPr>
              <w:spacing w:line="440" w:lineRule="exact"/>
              <w:rPr>
                <w:color w:val="auto"/>
                <w:highlight w:val="none"/>
              </w:rPr>
            </w:pPr>
            <w:r>
              <w:rPr>
                <w:rFonts w:hint="eastAsia"/>
                <w:color w:val="auto"/>
                <w:highlight w:val="none"/>
              </w:rPr>
              <w:t>总计金额</w:t>
            </w:r>
          </w:p>
        </w:tc>
        <w:tc>
          <w:tcPr>
            <w:tcW w:w="0" w:type="auto"/>
            <w:gridSpan w:val="4"/>
            <w:noWrap w:val="0"/>
            <w:vAlign w:val="center"/>
          </w:tcPr>
          <w:p w14:paraId="1CDD0A59">
            <w:pPr>
              <w:spacing w:line="440" w:lineRule="exact"/>
              <w:jc w:val="center"/>
              <w:rPr>
                <w:color w:val="auto"/>
                <w:highlight w:val="none"/>
              </w:rPr>
            </w:pPr>
          </w:p>
        </w:tc>
      </w:tr>
    </w:tbl>
    <w:p w14:paraId="33317BB0">
      <w:pPr>
        <w:tabs>
          <w:tab w:val="left" w:pos="13000"/>
        </w:tabs>
        <w:spacing w:line="440" w:lineRule="exact"/>
        <w:rPr>
          <w:color w:val="auto"/>
          <w:highlight w:val="none"/>
        </w:rPr>
      </w:pPr>
      <w:r>
        <w:rPr>
          <w:rFonts w:hint="eastAsia"/>
          <w:color w:val="auto"/>
          <w:highlight w:val="none"/>
        </w:rPr>
        <w:t>注：</w:t>
      </w:r>
    </w:p>
    <w:p w14:paraId="076577A4">
      <w:pPr>
        <w:tabs>
          <w:tab w:val="left" w:pos="13000"/>
        </w:tabs>
        <w:spacing w:line="440" w:lineRule="exact"/>
        <w:rPr>
          <w:b/>
          <w:color w:val="auto"/>
          <w:highlight w:val="none"/>
        </w:rPr>
      </w:pPr>
      <w:r>
        <w:rPr>
          <w:rFonts w:hint="eastAsia"/>
          <w:b/>
          <w:color w:val="auto"/>
          <w:highlight w:val="none"/>
        </w:rPr>
        <w:t>若无货物属于优先采购节能、环境标志产品的，则不填写此表。</w:t>
      </w:r>
    </w:p>
    <w:p w14:paraId="6BD40556">
      <w:pPr>
        <w:adjustRightInd w:val="0"/>
        <w:snapToGrid w:val="0"/>
        <w:spacing w:line="440" w:lineRule="exact"/>
        <w:rPr>
          <w:color w:val="auto"/>
          <w:highlight w:val="none"/>
        </w:rPr>
      </w:pPr>
    </w:p>
    <w:p w14:paraId="322C3420">
      <w:pPr>
        <w:adjustRightInd w:val="0"/>
        <w:snapToGrid w:val="0"/>
        <w:spacing w:line="440" w:lineRule="exact"/>
        <w:rPr>
          <w:color w:val="auto"/>
          <w:highlight w:val="none"/>
        </w:rPr>
      </w:pPr>
      <w:r>
        <w:rPr>
          <w:rFonts w:hint="eastAsia"/>
          <w:color w:val="auto"/>
          <w:highlight w:val="none"/>
        </w:rPr>
        <w:t>投标人（加盖公章）：</w:t>
      </w:r>
    </w:p>
    <w:p w14:paraId="12F6EBD8">
      <w:pPr>
        <w:adjustRightInd w:val="0"/>
        <w:snapToGrid w:val="0"/>
        <w:spacing w:line="440" w:lineRule="exact"/>
        <w:rPr>
          <w:color w:val="auto"/>
          <w:highlight w:val="none"/>
        </w:rPr>
      </w:pPr>
      <w:r>
        <w:rPr>
          <w:rFonts w:hint="eastAsia"/>
          <w:color w:val="auto"/>
          <w:highlight w:val="none"/>
        </w:rPr>
        <w:t>法定代表人或其授权代表签字：</w:t>
      </w:r>
      <w:r>
        <w:rPr>
          <w:color w:val="auto"/>
          <w:highlight w:val="none"/>
          <w:u w:val="single"/>
        </w:rPr>
        <w:t xml:space="preserve">       </w:t>
      </w:r>
    </w:p>
    <w:p w14:paraId="1A5CB76E">
      <w:pPr>
        <w:spacing w:line="440" w:lineRule="exact"/>
        <w:rPr>
          <w:color w:val="auto"/>
          <w:highlight w:val="none"/>
        </w:rPr>
      </w:pPr>
      <w:r>
        <w:rPr>
          <w:rFonts w:hint="eastAsia"/>
          <w:color w:val="auto"/>
          <w:highlight w:val="none"/>
        </w:rPr>
        <w:t>日期：</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14:paraId="184D009D">
      <w:pPr>
        <w:adjustRightInd w:val="0"/>
        <w:snapToGrid w:val="0"/>
        <w:spacing w:line="440" w:lineRule="exact"/>
        <w:ind w:right="24"/>
        <w:rPr>
          <w:color w:val="auto"/>
          <w:highlight w:val="none"/>
        </w:rPr>
      </w:pPr>
    </w:p>
    <w:p w14:paraId="2920D0BC">
      <w:pPr>
        <w:spacing w:line="440" w:lineRule="exact"/>
        <w:jc w:val="center"/>
        <w:rPr>
          <w:rFonts w:hint="eastAsia"/>
          <w:b/>
          <w:color w:val="auto"/>
          <w:sz w:val="32"/>
          <w:szCs w:val="32"/>
          <w:highlight w:val="none"/>
        </w:rPr>
      </w:pPr>
      <w:r>
        <w:rPr>
          <w:rFonts w:hint="eastAsia"/>
          <w:b/>
          <w:color w:val="auto"/>
          <w:sz w:val="30"/>
          <w:szCs w:val="30"/>
          <w:highlight w:val="none"/>
        </w:rPr>
        <w:br w:type="page"/>
      </w:r>
      <w:r>
        <w:rPr>
          <w:rFonts w:hint="eastAsia"/>
          <w:b/>
          <w:color w:val="auto"/>
          <w:sz w:val="30"/>
          <w:szCs w:val="30"/>
          <w:highlight w:val="none"/>
        </w:rPr>
        <w:t xml:space="preserve">附件3-5  </w:t>
      </w:r>
      <w:r>
        <w:rPr>
          <w:rFonts w:hint="eastAsia"/>
          <w:b/>
          <w:color w:val="auto"/>
          <w:sz w:val="32"/>
          <w:szCs w:val="32"/>
          <w:highlight w:val="none"/>
        </w:rPr>
        <w:t>节能、环境标志产品证明材料</w:t>
      </w:r>
    </w:p>
    <w:p w14:paraId="4B0D0E11">
      <w:pPr>
        <w:spacing w:line="440" w:lineRule="exact"/>
        <w:jc w:val="center"/>
        <w:rPr>
          <w:rFonts w:hint="eastAsia"/>
          <w:b/>
          <w:color w:val="auto"/>
          <w:highlight w:val="none"/>
        </w:rPr>
      </w:pPr>
      <w:r>
        <w:rPr>
          <w:b/>
          <w:color w:val="auto"/>
          <w:highlight w:val="none"/>
        </w:rPr>
        <w:t>(</w:t>
      </w:r>
      <w:r>
        <w:rPr>
          <w:rFonts w:hint="eastAsia"/>
          <w:b/>
          <w:color w:val="auto"/>
          <w:highlight w:val="none"/>
        </w:rPr>
        <w:t>若有，请如实填写</w:t>
      </w:r>
      <w:r>
        <w:rPr>
          <w:b/>
          <w:color w:val="auto"/>
          <w:highlight w:val="none"/>
        </w:rPr>
        <w:t>)</w:t>
      </w:r>
    </w:p>
    <w:p w14:paraId="44F9F085">
      <w:pPr>
        <w:adjustRightInd w:val="0"/>
        <w:snapToGrid w:val="0"/>
        <w:spacing w:line="440" w:lineRule="exact"/>
        <w:ind w:right="24"/>
        <w:jc w:val="center"/>
        <w:rPr>
          <w:b/>
          <w:bCs/>
          <w:color w:val="auto"/>
          <w:sz w:val="32"/>
          <w:szCs w:val="32"/>
          <w:highlight w:val="none"/>
        </w:rPr>
      </w:pPr>
    </w:p>
    <w:p w14:paraId="12DE00F1">
      <w:pPr>
        <w:adjustRightInd w:val="0"/>
        <w:snapToGrid w:val="0"/>
        <w:spacing w:line="440" w:lineRule="exact"/>
        <w:ind w:right="24"/>
        <w:rPr>
          <w:bCs/>
          <w:color w:val="auto"/>
          <w:highlight w:val="none"/>
        </w:rPr>
      </w:pPr>
    </w:p>
    <w:p w14:paraId="0CDA9CB6">
      <w:pPr>
        <w:spacing w:line="440" w:lineRule="exact"/>
        <w:ind w:firstLine="420"/>
        <w:rPr>
          <w:color w:val="auto"/>
          <w:highlight w:val="none"/>
        </w:rPr>
      </w:pPr>
      <w:r>
        <w:rPr>
          <w:color w:val="auto"/>
          <w:highlight w:val="none"/>
        </w:rPr>
        <w:t>1.</w:t>
      </w:r>
      <w:r>
        <w:rPr>
          <w:rFonts w:hint="eastAsia"/>
          <w:color w:val="auto"/>
          <w:highlight w:val="none"/>
        </w:rPr>
        <w:t>节能产品：应在中国政府采购网（</w:t>
      </w:r>
      <w:r>
        <w:rPr>
          <w:color w:val="auto"/>
          <w:highlight w:val="none"/>
        </w:rPr>
        <w:t xml:space="preserve"> http://www.ccgp.gov.cn </w:t>
      </w:r>
      <w:r>
        <w:rPr>
          <w:rFonts w:hint="eastAsia"/>
          <w:color w:val="auto"/>
          <w:highlight w:val="none"/>
        </w:rPr>
        <w:t>）</w:t>
      </w:r>
    </w:p>
    <w:p w14:paraId="4EDD0209">
      <w:pPr>
        <w:spacing w:line="440" w:lineRule="exact"/>
        <w:ind w:firstLine="420"/>
        <w:rPr>
          <w:color w:val="auto"/>
          <w:highlight w:val="none"/>
        </w:rPr>
      </w:pPr>
      <w:r>
        <w:rPr>
          <w:color w:val="auto"/>
          <w:highlight w:val="none"/>
        </w:rPr>
        <w:t>2.</w:t>
      </w:r>
      <w:r>
        <w:rPr>
          <w:rFonts w:hint="eastAsia"/>
          <w:color w:val="auto"/>
          <w:highlight w:val="none"/>
        </w:rPr>
        <w:t>环境标志产品：应在中国政府采购网（</w:t>
      </w:r>
      <w:r>
        <w:rPr>
          <w:color w:val="auto"/>
          <w:highlight w:val="none"/>
        </w:rPr>
        <w:t xml:space="preserve"> http://www.ccgp.gov.cn </w:t>
      </w:r>
      <w:r>
        <w:rPr>
          <w:rFonts w:hint="eastAsia"/>
          <w:color w:val="auto"/>
          <w:highlight w:val="none"/>
        </w:rPr>
        <w:t>）</w:t>
      </w:r>
    </w:p>
    <w:p w14:paraId="0F2191F3">
      <w:pPr>
        <w:spacing w:line="440" w:lineRule="exact"/>
        <w:ind w:firstLine="420"/>
        <w:rPr>
          <w:color w:val="auto"/>
          <w:highlight w:val="none"/>
        </w:rPr>
      </w:pPr>
      <w:r>
        <w:rPr>
          <w:color w:val="auto"/>
          <w:highlight w:val="none"/>
        </w:rPr>
        <w:t>3.</w:t>
      </w:r>
      <w:r>
        <w:rPr>
          <w:rFonts w:hint="eastAsia"/>
          <w:color w:val="auto"/>
          <w:highlight w:val="none"/>
        </w:rPr>
        <w:t>属优先采购节能、环境标志产品须从以上权威媒体网站上查询并打印结果。</w:t>
      </w:r>
    </w:p>
    <w:p w14:paraId="62023F7F">
      <w:pPr>
        <w:spacing w:line="440" w:lineRule="exact"/>
        <w:ind w:firstLine="360" w:firstLineChars="150"/>
        <w:rPr>
          <w:b/>
          <w:color w:val="auto"/>
          <w:highlight w:val="none"/>
        </w:rPr>
      </w:pPr>
      <w:r>
        <w:rPr>
          <w:color w:val="auto"/>
          <w:highlight w:val="none"/>
        </w:rPr>
        <w:t>4.</w:t>
      </w:r>
      <w:r>
        <w:rPr>
          <w:rFonts w:hint="eastAsia"/>
          <w:color w:val="auto"/>
          <w:highlight w:val="none"/>
        </w:rPr>
        <w:t>证明材料加盖投标人公章。</w:t>
      </w:r>
    </w:p>
    <w:p w14:paraId="3F71DF0A">
      <w:pPr>
        <w:adjustRightInd w:val="0"/>
        <w:snapToGrid w:val="0"/>
        <w:spacing w:line="440" w:lineRule="exact"/>
        <w:ind w:firstLine="643" w:firstLineChars="200"/>
        <w:rPr>
          <w:b/>
          <w:color w:val="auto"/>
          <w:sz w:val="32"/>
          <w:szCs w:val="32"/>
          <w:highlight w:val="none"/>
        </w:rPr>
      </w:pPr>
      <w:r>
        <w:rPr>
          <w:rFonts w:hint="eastAsia"/>
          <w:b/>
          <w:color w:val="auto"/>
          <w:sz w:val="32"/>
          <w:szCs w:val="32"/>
          <w:highlight w:val="none"/>
        </w:rPr>
        <w:br w:type="page"/>
      </w:r>
      <w:r>
        <w:rPr>
          <w:rFonts w:hint="eastAsia"/>
          <w:b/>
          <w:color w:val="auto"/>
          <w:sz w:val="30"/>
          <w:szCs w:val="30"/>
          <w:highlight w:val="none"/>
        </w:rPr>
        <w:t xml:space="preserve">附件3-6  </w:t>
      </w:r>
      <w:r>
        <w:rPr>
          <w:rFonts w:hint="eastAsia"/>
          <w:b/>
          <w:color w:val="auto"/>
          <w:sz w:val="32"/>
          <w:szCs w:val="32"/>
          <w:highlight w:val="none"/>
        </w:rPr>
        <w:t>项目负责人简历表及拟投入本项目主要成员表</w:t>
      </w:r>
    </w:p>
    <w:p w14:paraId="4FFD8163">
      <w:pPr>
        <w:numPr>
          <w:ilvl w:val="0"/>
          <w:numId w:val="0"/>
        </w:numPr>
        <w:spacing w:line="440" w:lineRule="exact"/>
        <w:ind w:leftChars="0"/>
        <w:rPr>
          <w:b/>
          <w:color w:val="auto"/>
          <w:highlight w:val="none"/>
        </w:rPr>
      </w:pPr>
      <w:r>
        <w:rPr>
          <w:rFonts w:hint="eastAsia"/>
          <w:b/>
          <w:color w:val="auto"/>
          <w:highlight w:val="none"/>
          <w:lang w:val="en-US" w:eastAsia="zh-CN"/>
        </w:rPr>
        <w:t>1、</w:t>
      </w:r>
      <w:r>
        <w:rPr>
          <w:rFonts w:hint="eastAsia"/>
          <w:b/>
          <w:color w:val="auto"/>
          <w:highlight w:val="none"/>
        </w:rPr>
        <w:t>项目负责人简历表</w:t>
      </w:r>
    </w:p>
    <w:tbl>
      <w:tblPr>
        <w:tblStyle w:val="29"/>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14:paraId="5156604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58C17B9C">
            <w:pPr>
              <w:spacing w:line="440" w:lineRule="exact"/>
              <w:rPr>
                <w:color w:val="auto"/>
                <w:highlight w:val="none"/>
              </w:rPr>
            </w:pPr>
            <w:r>
              <w:rPr>
                <w:rFonts w:hint="eastAsia"/>
                <w:color w:val="auto"/>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611D701A">
            <w:pPr>
              <w:spacing w:line="440" w:lineRule="exact"/>
              <w:rPr>
                <w:color w:val="auto"/>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569F8145">
            <w:pPr>
              <w:spacing w:line="440" w:lineRule="exact"/>
              <w:rPr>
                <w:color w:val="auto"/>
                <w:highlight w:val="none"/>
              </w:rPr>
            </w:pPr>
            <w:r>
              <w:rPr>
                <w:rFonts w:hint="eastAsia"/>
                <w:color w:val="auto"/>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5B9AB249">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4677D58D">
            <w:pPr>
              <w:spacing w:line="440" w:lineRule="exact"/>
              <w:rPr>
                <w:color w:val="auto"/>
                <w:highlight w:val="none"/>
              </w:rPr>
            </w:pPr>
            <w:r>
              <w:rPr>
                <w:rFonts w:hint="eastAsia"/>
                <w:color w:val="auto"/>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556ED66A">
            <w:pPr>
              <w:spacing w:line="440" w:lineRule="exact"/>
              <w:rPr>
                <w:color w:val="auto"/>
                <w:highlight w:val="none"/>
              </w:rPr>
            </w:pPr>
          </w:p>
        </w:tc>
      </w:tr>
      <w:tr w14:paraId="1118AAF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54DBE374">
            <w:pPr>
              <w:spacing w:line="440" w:lineRule="exact"/>
              <w:rPr>
                <w:color w:val="auto"/>
                <w:highlight w:val="none"/>
              </w:rPr>
            </w:pPr>
            <w:r>
              <w:rPr>
                <w:rFonts w:hint="eastAsia"/>
                <w:color w:val="auto"/>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3630255B">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0377F926">
            <w:pPr>
              <w:spacing w:line="440" w:lineRule="exact"/>
              <w:rPr>
                <w:color w:val="auto"/>
                <w:highlight w:val="none"/>
              </w:rPr>
            </w:pPr>
            <w:r>
              <w:rPr>
                <w:rFonts w:hint="eastAsia"/>
                <w:color w:val="auto"/>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3213C350">
            <w:pPr>
              <w:spacing w:line="440" w:lineRule="exact"/>
              <w:rPr>
                <w:color w:val="auto"/>
                <w:highlight w:val="none"/>
              </w:rPr>
            </w:pPr>
          </w:p>
        </w:tc>
      </w:tr>
      <w:tr w14:paraId="1A25BDD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CA45B44">
            <w:pPr>
              <w:spacing w:line="440" w:lineRule="exact"/>
              <w:rPr>
                <w:color w:val="auto"/>
                <w:highlight w:val="none"/>
              </w:rPr>
            </w:pPr>
            <w:r>
              <w:rPr>
                <w:rFonts w:hint="eastAsia"/>
                <w:color w:val="auto"/>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2352D4CD">
            <w:pPr>
              <w:spacing w:line="440" w:lineRule="exact"/>
              <w:rPr>
                <w:color w:val="auto"/>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7C7A6374">
            <w:pPr>
              <w:spacing w:line="440" w:lineRule="exact"/>
              <w:rPr>
                <w:color w:val="auto"/>
                <w:highlight w:val="none"/>
              </w:rPr>
            </w:pPr>
            <w:r>
              <w:rPr>
                <w:rFonts w:hint="eastAsia"/>
                <w:color w:val="auto"/>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3496AC8E">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7966A2ED">
            <w:pPr>
              <w:spacing w:line="440" w:lineRule="exact"/>
              <w:rPr>
                <w:color w:val="auto"/>
                <w:highlight w:val="none"/>
              </w:rPr>
            </w:pPr>
            <w:r>
              <w:rPr>
                <w:rFonts w:hint="eastAsia"/>
                <w:color w:val="auto"/>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31206698">
            <w:pPr>
              <w:spacing w:line="440" w:lineRule="exact"/>
              <w:rPr>
                <w:color w:val="auto"/>
                <w:highlight w:val="none"/>
              </w:rPr>
            </w:pPr>
          </w:p>
        </w:tc>
      </w:tr>
      <w:tr w14:paraId="0F408EC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A2E0850">
            <w:pPr>
              <w:spacing w:line="440" w:lineRule="exact"/>
              <w:rPr>
                <w:color w:val="auto"/>
                <w:highlight w:val="none"/>
              </w:rPr>
            </w:pPr>
            <w:r>
              <w:rPr>
                <w:rFonts w:hint="eastAsia"/>
                <w:color w:val="auto"/>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4D6B11F2">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AD47F17">
            <w:pPr>
              <w:spacing w:line="440" w:lineRule="exact"/>
              <w:rPr>
                <w:color w:val="auto"/>
                <w:highlight w:val="none"/>
              </w:rPr>
            </w:pPr>
            <w:r>
              <w:rPr>
                <w:rFonts w:hint="eastAsia"/>
                <w:color w:val="auto"/>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191FC87A">
            <w:pPr>
              <w:spacing w:line="440" w:lineRule="exact"/>
              <w:rPr>
                <w:color w:val="auto"/>
                <w:highlight w:val="none"/>
              </w:rPr>
            </w:pPr>
          </w:p>
        </w:tc>
      </w:tr>
      <w:tr w14:paraId="01B1D53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F3BA713">
            <w:pPr>
              <w:spacing w:line="440" w:lineRule="exact"/>
              <w:rPr>
                <w:color w:val="auto"/>
                <w:highlight w:val="none"/>
              </w:rPr>
            </w:pPr>
          </w:p>
          <w:p w14:paraId="405A5393">
            <w:pPr>
              <w:spacing w:line="440" w:lineRule="exact"/>
              <w:rPr>
                <w:color w:val="auto"/>
                <w:highlight w:val="none"/>
              </w:rPr>
            </w:pPr>
            <w:r>
              <w:rPr>
                <w:rFonts w:hint="eastAsia"/>
                <w:color w:val="auto"/>
                <w:highlight w:val="none"/>
              </w:rPr>
              <w:t>主要经历</w:t>
            </w:r>
          </w:p>
          <w:p w14:paraId="7DEF8B09">
            <w:pPr>
              <w:spacing w:line="440" w:lineRule="exact"/>
              <w:rPr>
                <w:color w:val="auto"/>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14:paraId="42D06DA0">
            <w:pPr>
              <w:spacing w:line="440" w:lineRule="exact"/>
              <w:rPr>
                <w:color w:val="auto"/>
                <w:highlight w:val="none"/>
              </w:rPr>
            </w:pPr>
          </w:p>
          <w:p w14:paraId="294BF06C">
            <w:pPr>
              <w:spacing w:line="440" w:lineRule="exact"/>
              <w:rPr>
                <w:color w:val="auto"/>
                <w:highlight w:val="none"/>
              </w:rPr>
            </w:pPr>
          </w:p>
        </w:tc>
      </w:tr>
      <w:tr w14:paraId="09F6CD7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18360B56">
            <w:pPr>
              <w:spacing w:line="440" w:lineRule="exact"/>
              <w:rPr>
                <w:color w:val="auto"/>
                <w:highlight w:val="none"/>
              </w:rPr>
            </w:pPr>
            <w:r>
              <w:rPr>
                <w:rFonts w:hint="eastAsia"/>
                <w:color w:val="auto"/>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2F195642">
            <w:pPr>
              <w:spacing w:line="440" w:lineRule="exact"/>
              <w:rPr>
                <w:color w:val="auto"/>
                <w:highlight w:val="none"/>
              </w:rPr>
            </w:pPr>
            <w:r>
              <w:rPr>
                <w:rFonts w:hint="eastAsia"/>
                <w:color w:val="auto"/>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31FF8E42">
            <w:pPr>
              <w:spacing w:line="440" w:lineRule="exact"/>
              <w:rPr>
                <w:color w:val="auto"/>
                <w:highlight w:val="none"/>
              </w:rPr>
            </w:pPr>
            <w:r>
              <w:rPr>
                <w:rFonts w:hint="eastAsia"/>
                <w:color w:val="auto"/>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15B265C2">
            <w:pPr>
              <w:spacing w:line="440" w:lineRule="exact"/>
              <w:rPr>
                <w:color w:val="auto"/>
                <w:highlight w:val="none"/>
              </w:rPr>
            </w:pPr>
            <w:r>
              <w:rPr>
                <w:rFonts w:hint="eastAsia"/>
                <w:color w:val="auto"/>
                <w:highlight w:val="none"/>
              </w:rPr>
              <w:t>备注</w:t>
            </w:r>
          </w:p>
        </w:tc>
      </w:tr>
      <w:tr w14:paraId="47BC21C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866823B">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606E7CBF">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2613E40E">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5064F267">
            <w:pPr>
              <w:spacing w:line="440" w:lineRule="exact"/>
              <w:rPr>
                <w:color w:val="auto"/>
                <w:highlight w:val="none"/>
              </w:rPr>
            </w:pPr>
          </w:p>
        </w:tc>
      </w:tr>
      <w:tr w14:paraId="62102DF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8D67D11">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528B12BC">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76472358">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6512F105">
            <w:pPr>
              <w:spacing w:line="440" w:lineRule="exact"/>
              <w:rPr>
                <w:color w:val="auto"/>
                <w:highlight w:val="none"/>
              </w:rPr>
            </w:pPr>
          </w:p>
        </w:tc>
      </w:tr>
      <w:tr w14:paraId="46E72991">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55138D82">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6F3CA552">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09954E86">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2CA7BA7D">
            <w:pPr>
              <w:spacing w:line="440" w:lineRule="exact"/>
              <w:rPr>
                <w:color w:val="auto"/>
                <w:highlight w:val="none"/>
              </w:rPr>
            </w:pPr>
          </w:p>
        </w:tc>
      </w:tr>
    </w:tbl>
    <w:p w14:paraId="143526B0">
      <w:pPr>
        <w:autoSpaceDE w:val="0"/>
        <w:autoSpaceDN w:val="0"/>
        <w:adjustRightInd w:val="0"/>
        <w:spacing w:line="440" w:lineRule="exact"/>
        <w:rPr>
          <w:b/>
          <w:bCs/>
          <w:color w:val="auto"/>
          <w:highlight w:val="none"/>
        </w:rPr>
      </w:pPr>
      <w:r>
        <w:rPr>
          <w:b/>
          <w:bCs/>
          <w:color w:val="auto"/>
          <w:highlight w:val="none"/>
        </w:rPr>
        <w:t>2</w:t>
      </w:r>
      <w:r>
        <w:rPr>
          <w:rFonts w:hint="eastAsia"/>
          <w:b/>
          <w:bCs/>
          <w:color w:val="auto"/>
          <w:highlight w:val="none"/>
        </w:rPr>
        <w:t>、拟投入本项目的主要成员表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2A9B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14:paraId="07CDF433">
            <w:pPr>
              <w:spacing w:line="440" w:lineRule="exact"/>
              <w:jc w:val="center"/>
              <w:rPr>
                <w:color w:val="auto"/>
                <w:highlight w:val="none"/>
              </w:rPr>
            </w:pPr>
            <w:r>
              <w:rPr>
                <w:rFonts w:hint="eastAsia"/>
                <w:color w:val="auto"/>
                <w:highlight w:val="none"/>
              </w:rPr>
              <w:t>序号</w:t>
            </w:r>
          </w:p>
        </w:tc>
        <w:tc>
          <w:tcPr>
            <w:tcW w:w="1330" w:type="dxa"/>
            <w:noWrap w:val="0"/>
            <w:vAlign w:val="center"/>
          </w:tcPr>
          <w:p w14:paraId="395A5663">
            <w:pPr>
              <w:spacing w:line="440" w:lineRule="exact"/>
              <w:jc w:val="center"/>
              <w:rPr>
                <w:color w:val="auto"/>
                <w:highlight w:val="none"/>
              </w:rPr>
            </w:pPr>
            <w:r>
              <w:rPr>
                <w:rFonts w:hint="eastAsia"/>
                <w:color w:val="auto"/>
                <w:highlight w:val="none"/>
              </w:rPr>
              <w:t>姓名</w:t>
            </w:r>
          </w:p>
        </w:tc>
        <w:tc>
          <w:tcPr>
            <w:tcW w:w="2040" w:type="dxa"/>
            <w:noWrap w:val="0"/>
            <w:vAlign w:val="center"/>
          </w:tcPr>
          <w:p w14:paraId="7AD08962">
            <w:pPr>
              <w:spacing w:line="440" w:lineRule="exact"/>
              <w:jc w:val="center"/>
              <w:rPr>
                <w:color w:val="auto"/>
                <w:highlight w:val="none"/>
              </w:rPr>
            </w:pPr>
            <w:r>
              <w:rPr>
                <w:rFonts w:hint="eastAsia"/>
                <w:color w:val="auto"/>
                <w:highlight w:val="none"/>
              </w:rPr>
              <w:t>性别</w:t>
            </w:r>
          </w:p>
        </w:tc>
        <w:tc>
          <w:tcPr>
            <w:tcW w:w="1939" w:type="dxa"/>
            <w:noWrap w:val="0"/>
            <w:vAlign w:val="center"/>
          </w:tcPr>
          <w:p w14:paraId="4353D84A">
            <w:pPr>
              <w:spacing w:line="440" w:lineRule="exact"/>
              <w:jc w:val="center"/>
              <w:rPr>
                <w:color w:val="auto"/>
                <w:highlight w:val="none"/>
              </w:rPr>
            </w:pPr>
            <w:r>
              <w:rPr>
                <w:rFonts w:hint="eastAsia"/>
                <w:color w:val="auto"/>
                <w:highlight w:val="none"/>
              </w:rPr>
              <w:t>职称</w:t>
            </w:r>
          </w:p>
        </w:tc>
        <w:tc>
          <w:tcPr>
            <w:tcW w:w="1799" w:type="dxa"/>
            <w:noWrap w:val="0"/>
            <w:vAlign w:val="center"/>
          </w:tcPr>
          <w:p w14:paraId="4CED1C02">
            <w:pPr>
              <w:spacing w:line="440" w:lineRule="exact"/>
              <w:jc w:val="center"/>
              <w:rPr>
                <w:color w:val="auto"/>
                <w:highlight w:val="none"/>
              </w:rPr>
            </w:pPr>
            <w:r>
              <w:rPr>
                <w:rFonts w:hint="eastAsia"/>
                <w:color w:val="auto"/>
                <w:highlight w:val="none"/>
              </w:rPr>
              <w:t>岗位</w:t>
            </w:r>
          </w:p>
        </w:tc>
        <w:tc>
          <w:tcPr>
            <w:tcW w:w="2006" w:type="dxa"/>
            <w:noWrap w:val="0"/>
            <w:vAlign w:val="center"/>
          </w:tcPr>
          <w:p w14:paraId="4A7573EC">
            <w:pPr>
              <w:spacing w:line="440" w:lineRule="exact"/>
              <w:jc w:val="center"/>
              <w:rPr>
                <w:color w:val="auto"/>
                <w:highlight w:val="none"/>
              </w:rPr>
            </w:pPr>
            <w:r>
              <w:rPr>
                <w:rFonts w:hint="eastAsia"/>
                <w:color w:val="auto"/>
                <w:highlight w:val="none"/>
              </w:rPr>
              <w:t>从事该岗位时间</w:t>
            </w:r>
          </w:p>
        </w:tc>
      </w:tr>
      <w:tr w14:paraId="6992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14:paraId="1AC2A100">
            <w:pPr>
              <w:spacing w:line="440" w:lineRule="exact"/>
              <w:jc w:val="center"/>
              <w:rPr>
                <w:color w:val="auto"/>
                <w:highlight w:val="none"/>
              </w:rPr>
            </w:pPr>
            <w:r>
              <w:rPr>
                <w:color w:val="auto"/>
                <w:highlight w:val="none"/>
              </w:rPr>
              <w:t>1</w:t>
            </w:r>
          </w:p>
        </w:tc>
        <w:tc>
          <w:tcPr>
            <w:tcW w:w="1330" w:type="dxa"/>
            <w:noWrap w:val="0"/>
            <w:vAlign w:val="top"/>
          </w:tcPr>
          <w:p w14:paraId="7131B595">
            <w:pPr>
              <w:spacing w:line="440" w:lineRule="exact"/>
              <w:jc w:val="center"/>
              <w:rPr>
                <w:color w:val="auto"/>
                <w:highlight w:val="none"/>
              </w:rPr>
            </w:pPr>
          </w:p>
        </w:tc>
        <w:tc>
          <w:tcPr>
            <w:tcW w:w="2040" w:type="dxa"/>
            <w:noWrap w:val="0"/>
            <w:vAlign w:val="top"/>
          </w:tcPr>
          <w:p w14:paraId="606B475A">
            <w:pPr>
              <w:spacing w:line="440" w:lineRule="exact"/>
              <w:jc w:val="center"/>
              <w:rPr>
                <w:color w:val="auto"/>
                <w:highlight w:val="none"/>
              </w:rPr>
            </w:pPr>
          </w:p>
        </w:tc>
        <w:tc>
          <w:tcPr>
            <w:tcW w:w="1939" w:type="dxa"/>
            <w:noWrap w:val="0"/>
            <w:vAlign w:val="top"/>
          </w:tcPr>
          <w:p w14:paraId="2F9BEF45">
            <w:pPr>
              <w:spacing w:line="440" w:lineRule="exact"/>
              <w:jc w:val="center"/>
              <w:rPr>
                <w:color w:val="auto"/>
                <w:highlight w:val="none"/>
              </w:rPr>
            </w:pPr>
          </w:p>
        </w:tc>
        <w:tc>
          <w:tcPr>
            <w:tcW w:w="1799" w:type="dxa"/>
            <w:noWrap w:val="0"/>
            <w:vAlign w:val="top"/>
          </w:tcPr>
          <w:p w14:paraId="22E4914E">
            <w:pPr>
              <w:spacing w:line="440" w:lineRule="exact"/>
              <w:jc w:val="center"/>
              <w:rPr>
                <w:color w:val="auto"/>
                <w:highlight w:val="none"/>
              </w:rPr>
            </w:pPr>
          </w:p>
        </w:tc>
        <w:tc>
          <w:tcPr>
            <w:tcW w:w="2006" w:type="dxa"/>
            <w:noWrap w:val="0"/>
            <w:vAlign w:val="top"/>
          </w:tcPr>
          <w:p w14:paraId="29E797F1">
            <w:pPr>
              <w:spacing w:line="440" w:lineRule="exact"/>
              <w:jc w:val="center"/>
              <w:rPr>
                <w:color w:val="auto"/>
                <w:highlight w:val="none"/>
              </w:rPr>
            </w:pPr>
          </w:p>
        </w:tc>
      </w:tr>
      <w:tr w14:paraId="0D3B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14:paraId="276AE183">
            <w:pPr>
              <w:spacing w:line="440" w:lineRule="exact"/>
              <w:jc w:val="center"/>
              <w:rPr>
                <w:color w:val="auto"/>
                <w:highlight w:val="none"/>
              </w:rPr>
            </w:pPr>
            <w:r>
              <w:rPr>
                <w:color w:val="auto"/>
                <w:highlight w:val="none"/>
              </w:rPr>
              <w:t>2</w:t>
            </w:r>
          </w:p>
        </w:tc>
        <w:tc>
          <w:tcPr>
            <w:tcW w:w="1330" w:type="dxa"/>
            <w:noWrap w:val="0"/>
            <w:vAlign w:val="top"/>
          </w:tcPr>
          <w:p w14:paraId="26A48789">
            <w:pPr>
              <w:spacing w:line="440" w:lineRule="exact"/>
              <w:jc w:val="center"/>
              <w:rPr>
                <w:color w:val="auto"/>
                <w:highlight w:val="none"/>
              </w:rPr>
            </w:pPr>
          </w:p>
        </w:tc>
        <w:tc>
          <w:tcPr>
            <w:tcW w:w="2040" w:type="dxa"/>
            <w:noWrap w:val="0"/>
            <w:vAlign w:val="top"/>
          </w:tcPr>
          <w:p w14:paraId="04A8D635">
            <w:pPr>
              <w:spacing w:line="440" w:lineRule="exact"/>
              <w:jc w:val="center"/>
              <w:rPr>
                <w:color w:val="auto"/>
                <w:highlight w:val="none"/>
              </w:rPr>
            </w:pPr>
          </w:p>
        </w:tc>
        <w:tc>
          <w:tcPr>
            <w:tcW w:w="1939" w:type="dxa"/>
            <w:noWrap w:val="0"/>
            <w:vAlign w:val="top"/>
          </w:tcPr>
          <w:p w14:paraId="24DE9758">
            <w:pPr>
              <w:spacing w:line="440" w:lineRule="exact"/>
              <w:jc w:val="center"/>
              <w:rPr>
                <w:color w:val="auto"/>
                <w:highlight w:val="none"/>
              </w:rPr>
            </w:pPr>
          </w:p>
        </w:tc>
        <w:tc>
          <w:tcPr>
            <w:tcW w:w="1799" w:type="dxa"/>
            <w:noWrap w:val="0"/>
            <w:vAlign w:val="top"/>
          </w:tcPr>
          <w:p w14:paraId="7851FA63">
            <w:pPr>
              <w:spacing w:line="440" w:lineRule="exact"/>
              <w:jc w:val="center"/>
              <w:rPr>
                <w:color w:val="auto"/>
                <w:highlight w:val="none"/>
              </w:rPr>
            </w:pPr>
          </w:p>
        </w:tc>
        <w:tc>
          <w:tcPr>
            <w:tcW w:w="2006" w:type="dxa"/>
            <w:noWrap w:val="0"/>
            <w:vAlign w:val="top"/>
          </w:tcPr>
          <w:p w14:paraId="31CF9601">
            <w:pPr>
              <w:spacing w:line="440" w:lineRule="exact"/>
              <w:jc w:val="center"/>
              <w:rPr>
                <w:color w:val="auto"/>
                <w:highlight w:val="none"/>
              </w:rPr>
            </w:pPr>
          </w:p>
        </w:tc>
      </w:tr>
      <w:tr w14:paraId="2E8F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14:paraId="041DEBE7">
            <w:pPr>
              <w:spacing w:line="440" w:lineRule="exact"/>
              <w:jc w:val="center"/>
              <w:rPr>
                <w:color w:val="auto"/>
                <w:highlight w:val="none"/>
              </w:rPr>
            </w:pPr>
            <w:r>
              <w:rPr>
                <w:color w:val="auto"/>
                <w:highlight w:val="none"/>
              </w:rPr>
              <w:t>3</w:t>
            </w:r>
          </w:p>
        </w:tc>
        <w:tc>
          <w:tcPr>
            <w:tcW w:w="1330" w:type="dxa"/>
            <w:noWrap w:val="0"/>
            <w:vAlign w:val="top"/>
          </w:tcPr>
          <w:p w14:paraId="6E6DCEC8">
            <w:pPr>
              <w:spacing w:line="440" w:lineRule="exact"/>
              <w:jc w:val="center"/>
              <w:rPr>
                <w:color w:val="auto"/>
                <w:highlight w:val="none"/>
              </w:rPr>
            </w:pPr>
          </w:p>
        </w:tc>
        <w:tc>
          <w:tcPr>
            <w:tcW w:w="2040" w:type="dxa"/>
            <w:noWrap w:val="0"/>
            <w:vAlign w:val="top"/>
          </w:tcPr>
          <w:p w14:paraId="1635A436">
            <w:pPr>
              <w:spacing w:line="440" w:lineRule="exact"/>
              <w:jc w:val="center"/>
              <w:rPr>
                <w:color w:val="auto"/>
                <w:highlight w:val="none"/>
              </w:rPr>
            </w:pPr>
          </w:p>
        </w:tc>
        <w:tc>
          <w:tcPr>
            <w:tcW w:w="1939" w:type="dxa"/>
            <w:noWrap w:val="0"/>
            <w:vAlign w:val="top"/>
          </w:tcPr>
          <w:p w14:paraId="19296E8C">
            <w:pPr>
              <w:spacing w:line="440" w:lineRule="exact"/>
              <w:jc w:val="center"/>
              <w:rPr>
                <w:color w:val="auto"/>
                <w:highlight w:val="none"/>
              </w:rPr>
            </w:pPr>
          </w:p>
        </w:tc>
        <w:tc>
          <w:tcPr>
            <w:tcW w:w="1799" w:type="dxa"/>
            <w:noWrap w:val="0"/>
            <w:vAlign w:val="top"/>
          </w:tcPr>
          <w:p w14:paraId="755AE0CD">
            <w:pPr>
              <w:spacing w:line="440" w:lineRule="exact"/>
              <w:jc w:val="center"/>
              <w:rPr>
                <w:color w:val="auto"/>
                <w:highlight w:val="none"/>
              </w:rPr>
            </w:pPr>
          </w:p>
        </w:tc>
        <w:tc>
          <w:tcPr>
            <w:tcW w:w="2006" w:type="dxa"/>
            <w:noWrap w:val="0"/>
            <w:vAlign w:val="top"/>
          </w:tcPr>
          <w:p w14:paraId="0CF210D2">
            <w:pPr>
              <w:spacing w:line="440" w:lineRule="exact"/>
              <w:jc w:val="center"/>
              <w:rPr>
                <w:color w:val="auto"/>
                <w:highlight w:val="none"/>
              </w:rPr>
            </w:pPr>
          </w:p>
        </w:tc>
      </w:tr>
      <w:tr w14:paraId="33A2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14:paraId="6F2E1C55">
            <w:pPr>
              <w:spacing w:line="440" w:lineRule="exact"/>
              <w:jc w:val="center"/>
              <w:rPr>
                <w:color w:val="auto"/>
                <w:highlight w:val="none"/>
              </w:rPr>
            </w:pPr>
            <w:r>
              <w:rPr>
                <w:rFonts w:hint="eastAsia"/>
                <w:color w:val="auto"/>
                <w:highlight w:val="none"/>
              </w:rPr>
              <w:t>…</w:t>
            </w:r>
          </w:p>
        </w:tc>
        <w:tc>
          <w:tcPr>
            <w:tcW w:w="1330" w:type="dxa"/>
            <w:noWrap w:val="0"/>
            <w:vAlign w:val="top"/>
          </w:tcPr>
          <w:p w14:paraId="7D0B63D0">
            <w:pPr>
              <w:spacing w:line="440" w:lineRule="exact"/>
              <w:jc w:val="center"/>
              <w:rPr>
                <w:color w:val="auto"/>
                <w:highlight w:val="none"/>
              </w:rPr>
            </w:pPr>
          </w:p>
        </w:tc>
        <w:tc>
          <w:tcPr>
            <w:tcW w:w="2040" w:type="dxa"/>
            <w:noWrap w:val="0"/>
            <w:vAlign w:val="top"/>
          </w:tcPr>
          <w:p w14:paraId="71754E2B">
            <w:pPr>
              <w:spacing w:line="440" w:lineRule="exact"/>
              <w:jc w:val="center"/>
              <w:rPr>
                <w:color w:val="auto"/>
                <w:highlight w:val="none"/>
              </w:rPr>
            </w:pPr>
          </w:p>
        </w:tc>
        <w:tc>
          <w:tcPr>
            <w:tcW w:w="1939" w:type="dxa"/>
            <w:noWrap w:val="0"/>
            <w:vAlign w:val="top"/>
          </w:tcPr>
          <w:p w14:paraId="616D5636">
            <w:pPr>
              <w:spacing w:line="440" w:lineRule="exact"/>
              <w:jc w:val="center"/>
              <w:rPr>
                <w:color w:val="auto"/>
                <w:highlight w:val="none"/>
              </w:rPr>
            </w:pPr>
          </w:p>
        </w:tc>
        <w:tc>
          <w:tcPr>
            <w:tcW w:w="1799" w:type="dxa"/>
            <w:noWrap w:val="0"/>
            <w:vAlign w:val="top"/>
          </w:tcPr>
          <w:p w14:paraId="3720056C">
            <w:pPr>
              <w:spacing w:line="440" w:lineRule="exact"/>
              <w:jc w:val="center"/>
              <w:rPr>
                <w:color w:val="auto"/>
                <w:highlight w:val="none"/>
              </w:rPr>
            </w:pPr>
          </w:p>
        </w:tc>
        <w:tc>
          <w:tcPr>
            <w:tcW w:w="2006" w:type="dxa"/>
            <w:noWrap w:val="0"/>
            <w:vAlign w:val="top"/>
          </w:tcPr>
          <w:p w14:paraId="47271E70">
            <w:pPr>
              <w:spacing w:line="440" w:lineRule="exact"/>
              <w:jc w:val="center"/>
              <w:rPr>
                <w:color w:val="auto"/>
                <w:highlight w:val="none"/>
              </w:rPr>
            </w:pPr>
          </w:p>
        </w:tc>
      </w:tr>
    </w:tbl>
    <w:p w14:paraId="5E3F200F">
      <w:pPr>
        <w:spacing w:line="440" w:lineRule="exact"/>
        <w:rPr>
          <w:rFonts w:hint="eastAsia"/>
          <w:color w:val="auto"/>
          <w:highlight w:val="none"/>
          <w:u w:val="single"/>
        </w:rPr>
      </w:pPr>
      <w:r>
        <w:rPr>
          <w:rFonts w:hint="eastAsia"/>
          <w:color w:val="auto"/>
          <w:highlight w:val="none"/>
        </w:rPr>
        <w:t>投标人名称（公章）：</w:t>
      </w:r>
      <w:r>
        <w:rPr>
          <w:rFonts w:hint="eastAsia"/>
          <w:color w:val="auto"/>
          <w:highlight w:val="none"/>
          <w:u w:val="single"/>
        </w:rPr>
        <w:t xml:space="preserve">　　　　　         </w:t>
      </w:r>
    </w:p>
    <w:p w14:paraId="602DB6B0">
      <w:pPr>
        <w:spacing w:line="440" w:lineRule="exact"/>
        <w:rPr>
          <w:color w:val="auto"/>
          <w:highlight w:val="none"/>
        </w:rPr>
      </w:pPr>
      <w:r>
        <w:rPr>
          <w:rFonts w:hint="eastAsia"/>
          <w:color w:val="auto"/>
          <w:highlight w:val="none"/>
        </w:rPr>
        <w:t>投标人代表签字：</w:t>
      </w:r>
    </w:p>
    <w:p w14:paraId="0DE5463B">
      <w:pPr>
        <w:spacing w:line="440" w:lineRule="exact"/>
        <w:rPr>
          <w:color w:val="auto"/>
          <w:highlight w:val="none"/>
        </w:rPr>
      </w:pPr>
      <w:r>
        <w:rPr>
          <w:rFonts w:hint="eastAsia"/>
          <w:color w:val="auto"/>
          <w:highlight w:val="none"/>
        </w:rPr>
        <w:t>日期：</w:t>
      </w:r>
      <w:r>
        <w:rPr>
          <w:color w:val="auto"/>
          <w:highlight w:val="none"/>
        </w:rPr>
        <w:t>20</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　</w:t>
      </w:r>
    </w:p>
    <w:p w14:paraId="3CAD9D5E">
      <w:pPr>
        <w:adjustRightInd w:val="0"/>
        <w:snapToGrid w:val="0"/>
        <w:spacing w:line="440" w:lineRule="exact"/>
        <w:ind w:firstLine="482" w:firstLineChars="200"/>
        <w:rPr>
          <w:b/>
          <w:color w:val="auto"/>
          <w:highlight w:val="none"/>
        </w:rPr>
      </w:pPr>
      <w:r>
        <w:rPr>
          <w:rFonts w:hint="eastAsia"/>
          <w:b/>
          <w:color w:val="auto"/>
          <w:highlight w:val="none"/>
        </w:rPr>
        <w:t>注：后附人员相关资格证书复印件。</w:t>
      </w:r>
    </w:p>
    <w:p w14:paraId="2C70865F">
      <w:pPr>
        <w:spacing w:line="440" w:lineRule="exact"/>
        <w:jc w:val="center"/>
        <w:rPr>
          <w:b/>
          <w:color w:val="auto"/>
          <w:sz w:val="32"/>
          <w:szCs w:val="32"/>
          <w:highlight w:val="none"/>
        </w:rPr>
      </w:pPr>
      <w:r>
        <w:rPr>
          <w:rFonts w:hint="eastAsia"/>
          <w:b/>
          <w:color w:val="auto"/>
          <w:sz w:val="32"/>
          <w:szCs w:val="32"/>
          <w:highlight w:val="none"/>
        </w:rPr>
        <w:br w:type="page"/>
      </w:r>
      <w:r>
        <w:rPr>
          <w:rFonts w:hint="eastAsia"/>
          <w:b/>
          <w:color w:val="auto"/>
          <w:sz w:val="30"/>
          <w:szCs w:val="30"/>
          <w:highlight w:val="none"/>
        </w:rPr>
        <w:t xml:space="preserve">附件3-7  </w:t>
      </w:r>
      <w:r>
        <w:rPr>
          <w:rFonts w:hint="eastAsia"/>
          <w:b/>
          <w:color w:val="auto"/>
          <w:sz w:val="32"/>
          <w:szCs w:val="32"/>
          <w:highlight w:val="none"/>
        </w:rPr>
        <w:t>近</w:t>
      </w:r>
      <w:r>
        <w:rPr>
          <w:rFonts w:hint="eastAsia"/>
          <w:b/>
          <w:color w:val="auto"/>
          <w:sz w:val="32"/>
          <w:szCs w:val="32"/>
          <w:highlight w:val="none"/>
          <w:lang w:eastAsia="zh-CN"/>
        </w:rPr>
        <w:t>五</w:t>
      </w:r>
      <w:r>
        <w:rPr>
          <w:rFonts w:hint="eastAsia"/>
          <w:b/>
          <w:color w:val="auto"/>
          <w:sz w:val="32"/>
          <w:szCs w:val="32"/>
          <w:highlight w:val="none"/>
        </w:rPr>
        <w:t>年经营业绩表</w:t>
      </w:r>
    </w:p>
    <w:p w14:paraId="1E1E7EFD">
      <w:pPr>
        <w:spacing w:line="440" w:lineRule="exact"/>
        <w:rPr>
          <w:rFonts w:hint="eastAsia"/>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14:paraId="006E3091">
      <w:pPr>
        <w:spacing w:line="440" w:lineRule="exact"/>
        <w:rPr>
          <w:color w:val="auto"/>
          <w:highlight w:val="none"/>
          <w:u w:val="single"/>
        </w:rPr>
      </w:pPr>
      <w:r>
        <w:rPr>
          <w:rFonts w:hint="eastAsia"/>
          <w:color w:val="auto"/>
          <w:highlight w:val="none"/>
        </w:rPr>
        <w:t>标项序号、名称：</w:t>
      </w:r>
      <w:r>
        <w:rPr>
          <w:rFonts w:hint="eastAsia"/>
          <w:color w:val="auto"/>
          <w:highlight w:val="none"/>
          <w:u w:val="single"/>
        </w:rPr>
        <w:t xml:space="preserve">　　　　           </w:t>
      </w:r>
      <w:r>
        <w:rPr>
          <w:rFonts w:hint="eastAsia"/>
          <w:color w:val="auto"/>
          <w:highlight w:val="none"/>
        </w:rPr>
        <w:t>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321B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71F9DBB4">
            <w:pPr>
              <w:spacing w:line="440" w:lineRule="exact"/>
              <w:jc w:val="center"/>
              <w:rPr>
                <w:color w:val="auto"/>
                <w:highlight w:val="none"/>
              </w:rPr>
            </w:pPr>
            <w:r>
              <w:rPr>
                <w:rFonts w:hint="eastAsia"/>
                <w:color w:val="auto"/>
                <w:highlight w:val="none"/>
              </w:rPr>
              <w:t>地区</w:t>
            </w:r>
          </w:p>
        </w:tc>
        <w:tc>
          <w:tcPr>
            <w:tcW w:w="3763" w:type="dxa"/>
            <w:noWrap w:val="0"/>
            <w:vAlign w:val="top"/>
          </w:tcPr>
          <w:p w14:paraId="6A8A3764">
            <w:pPr>
              <w:spacing w:line="440" w:lineRule="exact"/>
              <w:jc w:val="center"/>
              <w:rPr>
                <w:color w:val="auto"/>
                <w:highlight w:val="none"/>
              </w:rPr>
            </w:pPr>
            <w:r>
              <w:rPr>
                <w:rFonts w:hint="eastAsia"/>
                <w:color w:val="auto"/>
                <w:highlight w:val="none"/>
              </w:rPr>
              <w:t>项目名称</w:t>
            </w:r>
          </w:p>
        </w:tc>
        <w:tc>
          <w:tcPr>
            <w:tcW w:w="2154" w:type="dxa"/>
            <w:noWrap w:val="0"/>
            <w:vAlign w:val="top"/>
          </w:tcPr>
          <w:p w14:paraId="312DF8C7">
            <w:pPr>
              <w:spacing w:line="440" w:lineRule="exact"/>
              <w:jc w:val="center"/>
              <w:rPr>
                <w:color w:val="auto"/>
                <w:highlight w:val="none"/>
              </w:rPr>
            </w:pPr>
            <w:r>
              <w:rPr>
                <w:rFonts w:hint="eastAsia"/>
                <w:color w:val="auto"/>
                <w:highlight w:val="none"/>
              </w:rPr>
              <w:t>金额</w:t>
            </w:r>
          </w:p>
        </w:tc>
        <w:tc>
          <w:tcPr>
            <w:tcW w:w="1719" w:type="dxa"/>
            <w:noWrap w:val="0"/>
            <w:vAlign w:val="top"/>
          </w:tcPr>
          <w:p w14:paraId="242E06EB">
            <w:pPr>
              <w:spacing w:line="440" w:lineRule="exact"/>
              <w:jc w:val="center"/>
              <w:rPr>
                <w:color w:val="auto"/>
                <w:highlight w:val="none"/>
              </w:rPr>
            </w:pPr>
            <w:r>
              <w:rPr>
                <w:rFonts w:hint="eastAsia"/>
                <w:color w:val="auto"/>
                <w:highlight w:val="none"/>
              </w:rPr>
              <w:t>日期</w:t>
            </w:r>
          </w:p>
        </w:tc>
      </w:tr>
      <w:tr w14:paraId="3839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45C03EDC">
            <w:pPr>
              <w:spacing w:line="440" w:lineRule="exact"/>
              <w:jc w:val="center"/>
              <w:rPr>
                <w:color w:val="auto"/>
                <w:highlight w:val="none"/>
              </w:rPr>
            </w:pPr>
          </w:p>
        </w:tc>
        <w:tc>
          <w:tcPr>
            <w:tcW w:w="3763" w:type="dxa"/>
            <w:noWrap w:val="0"/>
            <w:vAlign w:val="top"/>
          </w:tcPr>
          <w:p w14:paraId="307FF80A">
            <w:pPr>
              <w:spacing w:line="440" w:lineRule="exact"/>
              <w:jc w:val="center"/>
              <w:rPr>
                <w:color w:val="auto"/>
                <w:highlight w:val="none"/>
              </w:rPr>
            </w:pPr>
          </w:p>
        </w:tc>
        <w:tc>
          <w:tcPr>
            <w:tcW w:w="2154" w:type="dxa"/>
            <w:noWrap w:val="0"/>
            <w:vAlign w:val="top"/>
          </w:tcPr>
          <w:p w14:paraId="6ED2ABAA">
            <w:pPr>
              <w:spacing w:line="440" w:lineRule="exact"/>
              <w:jc w:val="center"/>
              <w:rPr>
                <w:color w:val="auto"/>
                <w:highlight w:val="none"/>
              </w:rPr>
            </w:pPr>
          </w:p>
        </w:tc>
        <w:tc>
          <w:tcPr>
            <w:tcW w:w="1719" w:type="dxa"/>
            <w:noWrap w:val="0"/>
            <w:vAlign w:val="top"/>
          </w:tcPr>
          <w:p w14:paraId="36F8A0CC">
            <w:pPr>
              <w:spacing w:line="440" w:lineRule="exact"/>
              <w:jc w:val="center"/>
              <w:rPr>
                <w:color w:val="auto"/>
                <w:highlight w:val="none"/>
              </w:rPr>
            </w:pPr>
          </w:p>
        </w:tc>
      </w:tr>
      <w:tr w14:paraId="0926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4E62652C">
            <w:pPr>
              <w:spacing w:line="440" w:lineRule="exact"/>
              <w:jc w:val="center"/>
              <w:rPr>
                <w:color w:val="auto"/>
                <w:highlight w:val="none"/>
              </w:rPr>
            </w:pPr>
          </w:p>
        </w:tc>
        <w:tc>
          <w:tcPr>
            <w:tcW w:w="3763" w:type="dxa"/>
            <w:noWrap w:val="0"/>
            <w:vAlign w:val="top"/>
          </w:tcPr>
          <w:p w14:paraId="1B340C16">
            <w:pPr>
              <w:spacing w:line="440" w:lineRule="exact"/>
              <w:jc w:val="center"/>
              <w:rPr>
                <w:color w:val="auto"/>
                <w:highlight w:val="none"/>
              </w:rPr>
            </w:pPr>
          </w:p>
        </w:tc>
        <w:tc>
          <w:tcPr>
            <w:tcW w:w="2154" w:type="dxa"/>
            <w:noWrap w:val="0"/>
            <w:vAlign w:val="top"/>
          </w:tcPr>
          <w:p w14:paraId="43B79459">
            <w:pPr>
              <w:spacing w:line="440" w:lineRule="exact"/>
              <w:jc w:val="center"/>
              <w:rPr>
                <w:color w:val="auto"/>
                <w:highlight w:val="none"/>
              </w:rPr>
            </w:pPr>
          </w:p>
        </w:tc>
        <w:tc>
          <w:tcPr>
            <w:tcW w:w="1719" w:type="dxa"/>
            <w:noWrap w:val="0"/>
            <w:vAlign w:val="top"/>
          </w:tcPr>
          <w:p w14:paraId="288CA123">
            <w:pPr>
              <w:spacing w:line="440" w:lineRule="exact"/>
              <w:jc w:val="center"/>
              <w:rPr>
                <w:color w:val="auto"/>
                <w:highlight w:val="none"/>
              </w:rPr>
            </w:pPr>
          </w:p>
        </w:tc>
      </w:tr>
      <w:tr w14:paraId="4D8E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56FED194">
            <w:pPr>
              <w:spacing w:line="440" w:lineRule="exact"/>
              <w:jc w:val="center"/>
              <w:rPr>
                <w:color w:val="auto"/>
                <w:highlight w:val="none"/>
              </w:rPr>
            </w:pPr>
          </w:p>
        </w:tc>
        <w:tc>
          <w:tcPr>
            <w:tcW w:w="3763" w:type="dxa"/>
            <w:noWrap w:val="0"/>
            <w:vAlign w:val="top"/>
          </w:tcPr>
          <w:p w14:paraId="70AAE162">
            <w:pPr>
              <w:spacing w:line="440" w:lineRule="exact"/>
              <w:jc w:val="center"/>
              <w:rPr>
                <w:color w:val="auto"/>
                <w:highlight w:val="none"/>
              </w:rPr>
            </w:pPr>
          </w:p>
        </w:tc>
        <w:tc>
          <w:tcPr>
            <w:tcW w:w="2154" w:type="dxa"/>
            <w:noWrap w:val="0"/>
            <w:vAlign w:val="top"/>
          </w:tcPr>
          <w:p w14:paraId="4C7689B2">
            <w:pPr>
              <w:spacing w:line="440" w:lineRule="exact"/>
              <w:jc w:val="center"/>
              <w:rPr>
                <w:color w:val="auto"/>
                <w:highlight w:val="none"/>
              </w:rPr>
            </w:pPr>
          </w:p>
        </w:tc>
        <w:tc>
          <w:tcPr>
            <w:tcW w:w="1719" w:type="dxa"/>
            <w:noWrap w:val="0"/>
            <w:vAlign w:val="top"/>
          </w:tcPr>
          <w:p w14:paraId="482019B8">
            <w:pPr>
              <w:spacing w:line="440" w:lineRule="exact"/>
              <w:jc w:val="center"/>
              <w:rPr>
                <w:color w:val="auto"/>
                <w:highlight w:val="none"/>
              </w:rPr>
            </w:pPr>
          </w:p>
        </w:tc>
      </w:tr>
      <w:tr w14:paraId="3069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03362C20">
            <w:pPr>
              <w:spacing w:line="440" w:lineRule="exact"/>
              <w:jc w:val="center"/>
              <w:rPr>
                <w:color w:val="auto"/>
                <w:highlight w:val="none"/>
              </w:rPr>
            </w:pPr>
            <w:r>
              <w:rPr>
                <w:rFonts w:hint="eastAsia"/>
                <w:color w:val="auto"/>
                <w:highlight w:val="none"/>
              </w:rPr>
              <w:t>…</w:t>
            </w:r>
          </w:p>
        </w:tc>
        <w:tc>
          <w:tcPr>
            <w:tcW w:w="3763" w:type="dxa"/>
            <w:noWrap w:val="0"/>
            <w:vAlign w:val="top"/>
          </w:tcPr>
          <w:p w14:paraId="152FE1EC">
            <w:pPr>
              <w:spacing w:line="440" w:lineRule="exact"/>
              <w:jc w:val="center"/>
              <w:rPr>
                <w:color w:val="auto"/>
                <w:highlight w:val="none"/>
              </w:rPr>
            </w:pPr>
            <w:r>
              <w:rPr>
                <w:rFonts w:hint="eastAsia"/>
                <w:color w:val="auto"/>
                <w:highlight w:val="none"/>
              </w:rPr>
              <w:t>…</w:t>
            </w:r>
          </w:p>
        </w:tc>
        <w:tc>
          <w:tcPr>
            <w:tcW w:w="2154" w:type="dxa"/>
            <w:noWrap w:val="0"/>
            <w:vAlign w:val="top"/>
          </w:tcPr>
          <w:p w14:paraId="1DCFDAAE">
            <w:pPr>
              <w:spacing w:line="440" w:lineRule="exact"/>
              <w:jc w:val="center"/>
              <w:rPr>
                <w:color w:val="auto"/>
                <w:highlight w:val="none"/>
              </w:rPr>
            </w:pPr>
            <w:r>
              <w:rPr>
                <w:rFonts w:hint="eastAsia"/>
                <w:color w:val="auto"/>
                <w:highlight w:val="none"/>
              </w:rPr>
              <w:t>…</w:t>
            </w:r>
          </w:p>
        </w:tc>
        <w:tc>
          <w:tcPr>
            <w:tcW w:w="1719" w:type="dxa"/>
            <w:noWrap w:val="0"/>
            <w:vAlign w:val="top"/>
          </w:tcPr>
          <w:p w14:paraId="6B4C51AC">
            <w:pPr>
              <w:spacing w:line="440" w:lineRule="exact"/>
              <w:jc w:val="center"/>
              <w:rPr>
                <w:color w:val="auto"/>
                <w:highlight w:val="none"/>
              </w:rPr>
            </w:pPr>
            <w:r>
              <w:rPr>
                <w:rFonts w:hint="eastAsia"/>
                <w:color w:val="auto"/>
                <w:highlight w:val="none"/>
              </w:rPr>
              <w:t>…</w:t>
            </w:r>
          </w:p>
        </w:tc>
      </w:tr>
    </w:tbl>
    <w:p w14:paraId="4D40BC59">
      <w:pPr>
        <w:spacing w:line="440" w:lineRule="exact"/>
        <w:rPr>
          <w:b/>
          <w:color w:val="auto"/>
          <w:highlight w:val="none"/>
        </w:rPr>
      </w:pPr>
      <w:r>
        <w:rPr>
          <w:rFonts w:hint="eastAsia"/>
          <w:b/>
          <w:color w:val="auto"/>
          <w:highlight w:val="none"/>
        </w:rPr>
        <w:t>附合同或中标通知书复印件。</w:t>
      </w:r>
    </w:p>
    <w:p w14:paraId="75BC6A38">
      <w:pPr>
        <w:spacing w:before="166" w:beforeLines="50" w:after="166" w:afterLines="50" w:line="440" w:lineRule="exact"/>
        <w:jc w:val="center"/>
        <w:rPr>
          <w:rFonts w:hint="eastAsia"/>
          <w:b/>
          <w:color w:val="auto"/>
          <w:sz w:val="30"/>
          <w:szCs w:val="30"/>
          <w:highlight w:val="none"/>
        </w:rPr>
      </w:pPr>
    </w:p>
    <w:p w14:paraId="33916559">
      <w:pPr>
        <w:tabs>
          <w:tab w:val="left" w:pos="2880"/>
        </w:tabs>
        <w:spacing w:line="460" w:lineRule="atLeast"/>
        <w:rPr>
          <w:color w:val="auto"/>
          <w:highlight w:val="none"/>
        </w:rPr>
      </w:pPr>
    </w:p>
    <w:p w14:paraId="281F4CC1">
      <w:pPr>
        <w:rPr>
          <w:rFonts w:hint="eastAsia"/>
          <w:b/>
          <w:color w:val="auto"/>
          <w:sz w:val="30"/>
          <w:szCs w:val="30"/>
          <w:highlight w:val="none"/>
        </w:rPr>
      </w:pPr>
      <w:r>
        <w:rPr>
          <w:rFonts w:hint="eastAsia"/>
          <w:color w:val="auto"/>
          <w:highlight w:val="none"/>
        </w:rPr>
        <w:br w:type="page"/>
      </w:r>
    </w:p>
    <w:p w14:paraId="2B7C6C71">
      <w:pPr>
        <w:spacing w:line="440" w:lineRule="exact"/>
        <w:ind w:left="2880" w:hanging="2880"/>
        <w:jc w:val="center"/>
        <w:rPr>
          <w:b/>
          <w:color w:val="auto"/>
          <w:sz w:val="32"/>
          <w:szCs w:val="32"/>
          <w:highlight w:val="none"/>
        </w:rPr>
      </w:pPr>
      <w:r>
        <w:rPr>
          <w:rFonts w:hint="eastAsia"/>
          <w:b/>
          <w:color w:val="auto"/>
          <w:sz w:val="30"/>
          <w:szCs w:val="30"/>
          <w:highlight w:val="none"/>
        </w:rPr>
        <w:t>附件3-</w:t>
      </w:r>
      <w:r>
        <w:rPr>
          <w:rFonts w:hint="eastAsia"/>
          <w:b/>
          <w:color w:val="auto"/>
          <w:sz w:val="30"/>
          <w:szCs w:val="30"/>
          <w:highlight w:val="none"/>
          <w:lang w:val="en-US" w:eastAsia="zh-CN"/>
        </w:rPr>
        <w:t>8</w:t>
      </w:r>
      <w:r>
        <w:rPr>
          <w:rFonts w:hint="eastAsia"/>
          <w:b/>
          <w:color w:val="auto"/>
          <w:sz w:val="30"/>
          <w:szCs w:val="30"/>
          <w:highlight w:val="none"/>
        </w:rPr>
        <w:t xml:space="preserve"> </w:t>
      </w:r>
      <w:r>
        <w:rPr>
          <w:rFonts w:hint="eastAsia"/>
          <w:b/>
          <w:color w:val="auto"/>
          <w:sz w:val="32"/>
          <w:szCs w:val="32"/>
          <w:highlight w:val="none"/>
        </w:rPr>
        <w:t>技术参数偏离表</w:t>
      </w:r>
    </w:p>
    <w:p w14:paraId="2E25658A">
      <w:pPr>
        <w:spacing w:line="440" w:lineRule="exact"/>
        <w:rPr>
          <w:color w:val="auto"/>
          <w:highlight w:val="none"/>
        </w:rPr>
      </w:pPr>
    </w:p>
    <w:p w14:paraId="378301C4">
      <w:pPr>
        <w:spacing w:line="440" w:lineRule="exact"/>
        <w:rPr>
          <w:rFonts w:hint="eastAsia"/>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14:paraId="6AD9EF6C">
      <w:pPr>
        <w:spacing w:line="440" w:lineRule="exact"/>
        <w:rPr>
          <w:color w:val="auto"/>
          <w:highlight w:val="none"/>
          <w:u w:val="single"/>
        </w:rPr>
      </w:pPr>
      <w:r>
        <w:rPr>
          <w:rFonts w:hint="eastAsia"/>
          <w:color w:val="auto"/>
          <w:highlight w:val="none"/>
        </w:rPr>
        <w:t>标项序号、名称：</w:t>
      </w:r>
      <w:r>
        <w:rPr>
          <w:rFonts w:hint="eastAsia"/>
          <w:color w:val="auto"/>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14:paraId="2CD6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14:paraId="5101AC85">
            <w:pPr>
              <w:spacing w:line="440" w:lineRule="exact"/>
              <w:jc w:val="center"/>
              <w:rPr>
                <w:color w:val="auto"/>
                <w:highlight w:val="none"/>
              </w:rPr>
            </w:pPr>
            <w:r>
              <w:rPr>
                <w:rFonts w:hint="eastAsia"/>
                <w:color w:val="auto"/>
                <w:highlight w:val="none"/>
              </w:rPr>
              <w:t>序号</w:t>
            </w:r>
          </w:p>
        </w:tc>
        <w:tc>
          <w:tcPr>
            <w:tcW w:w="1740" w:type="dxa"/>
            <w:noWrap w:val="0"/>
            <w:vAlign w:val="center"/>
          </w:tcPr>
          <w:p w14:paraId="7259865E">
            <w:pPr>
              <w:spacing w:line="440" w:lineRule="exact"/>
              <w:jc w:val="center"/>
              <w:rPr>
                <w:color w:val="auto"/>
                <w:highlight w:val="none"/>
              </w:rPr>
            </w:pPr>
            <w:r>
              <w:rPr>
                <w:rFonts w:hint="eastAsia"/>
                <w:color w:val="auto"/>
                <w:highlight w:val="none"/>
              </w:rPr>
              <w:t>招标文件规格条目号</w:t>
            </w:r>
          </w:p>
        </w:tc>
        <w:tc>
          <w:tcPr>
            <w:tcW w:w="2056" w:type="dxa"/>
            <w:noWrap w:val="0"/>
            <w:vAlign w:val="center"/>
          </w:tcPr>
          <w:p w14:paraId="01E2E09C">
            <w:pPr>
              <w:spacing w:line="440" w:lineRule="exact"/>
              <w:jc w:val="center"/>
              <w:rPr>
                <w:color w:val="auto"/>
                <w:highlight w:val="none"/>
              </w:rPr>
            </w:pPr>
            <w:r>
              <w:rPr>
                <w:rFonts w:hint="eastAsia"/>
                <w:color w:val="auto"/>
                <w:highlight w:val="none"/>
              </w:rPr>
              <w:t>招标规格</w:t>
            </w:r>
          </w:p>
        </w:tc>
        <w:tc>
          <w:tcPr>
            <w:tcW w:w="2393" w:type="dxa"/>
            <w:noWrap w:val="0"/>
            <w:vAlign w:val="center"/>
          </w:tcPr>
          <w:p w14:paraId="40290BE1">
            <w:pPr>
              <w:spacing w:line="440" w:lineRule="exact"/>
              <w:jc w:val="center"/>
              <w:rPr>
                <w:color w:val="auto"/>
                <w:highlight w:val="none"/>
              </w:rPr>
            </w:pPr>
            <w:r>
              <w:rPr>
                <w:rFonts w:hint="eastAsia"/>
                <w:color w:val="auto"/>
                <w:highlight w:val="none"/>
              </w:rPr>
              <w:t>投标规格</w:t>
            </w:r>
          </w:p>
        </w:tc>
        <w:tc>
          <w:tcPr>
            <w:tcW w:w="1721" w:type="dxa"/>
            <w:noWrap w:val="0"/>
            <w:vAlign w:val="center"/>
          </w:tcPr>
          <w:p w14:paraId="6A496772">
            <w:pPr>
              <w:spacing w:line="440" w:lineRule="exact"/>
              <w:jc w:val="center"/>
              <w:rPr>
                <w:color w:val="auto"/>
                <w:highlight w:val="none"/>
              </w:rPr>
            </w:pPr>
            <w:r>
              <w:rPr>
                <w:rFonts w:hint="eastAsia"/>
                <w:color w:val="auto"/>
                <w:highlight w:val="none"/>
              </w:rPr>
              <w:t>偏离</w:t>
            </w:r>
          </w:p>
        </w:tc>
        <w:tc>
          <w:tcPr>
            <w:tcW w:w="1218" w:type="dxa"/>
            <w:noWrap w:val="0"/>
            <w:vAlign w:val="center"/>
          </w:tcPr>
          <w:p w14:paraId="7786A212">
            <w:pPr>
              <w:spacing w:line="440" w:lineRule="exact"/>
              <w:jc w:val="center"/>
              <w:rPr>
                <w:color w:val="auto"/>
                <w:highlight w:val="none"/>
              </w:rPr>
            </w:pPr>
            <w:r>
              <w:rPr>
                <w:rFonts w:hint="eastAsia"/>
                <w:color w:val="auto"/>
                <w:highlight w:val="none"/>
              </w:rPr>
              <w:t>说明</w:t>
            </w:r>
          </w:p>
        </w:tc>
      </w:tr>
      <w:tr w14:paraId="194D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14:paraId="661F2637">
            <w:pPr>
              <w:spacing w:line="440" w:lineRule="exact"/>
              <w:rPr>
                <w:color w:val="auto"/>
                <w:highlight w:val="none"/>
              </w:rPr>
            </w:pPr>
            <w:r>
              <w:rPr>
                <w:color w:val="auto"/>
                <w:highlight w:val="none"/>
              </w:rPr>
              <w:t>1</w:t>
            </w:r>
          </w:p>
        </w:tc>
        <w:tc>
          <w:tcPr>
            <w:tcW w:w="1740" w:type="dxa"/>
            <w:noWrap w:val="0"/>
            <w:vAlign w:val="top"/>
          </w:tcPr>
          <w:p w14:paraId="4B64C8B4">
            <w:pPr>
              <w:spacing w:line="440" w:lineRule="exact"/>
              <w:rPr>
                <w:color w:val="auto"/>
                <w:highlight w:val="none"/>
              </w:rPr>
            </w:pPr>
          </w:p>
        </w:tc>
        <w:tc>
          <w:tcPr>
            <w:tcW w:w="2056" w:type="dxa"/>
            <w:noWrap w:val="0"/>
            <w:vAlign w:val="top"/>
          </w:tcPr>
          <w:p w14:paraId="431C5BB4">
            <w:pPr>
              <w:spacing w:line="440" w:lineRule="exact"/>
              <w:rPr>
                <w:color w:val="auto"/>
                <w:highlight w:val="none"/>
              </w:rPr>
            </w:pPr>
          </w:p>
        </w:tc>
        <w:tc>
          <w:tcPr>
            <w:tcW w:w="2393" w:type="dxa"/>
            <w:noWrap w:val="0"/>
            <w:vAlign w:val="top"/>
          </w:tcPr>
          <w:p w14:paraId="5EBBE6E4">
            <w:pPr>
              <w:spacing w:line="440" w:lineRule="exact"/>
              <w:rPr>
                <w:color w:val="auto"/>
                <w:highlight w:val="none"/>
              </w:rPr>
            </w:pPr>
          </w:p>
        </w:tc>
        <w:tc>
          <w:tcPr>
            <w:tcW w:w="1721" w:type="dxa"/>
            <w:noWrap w:val="0"/>
            <w:vAlign w:val="top"/>
          </w:tcPr>
          <w:p w14:paraId="7F717DA3">
            <w:pPr>
              <w:spacing w:line="440" w:lineRule="exact"/>
              <w:rPr>
                <w:color w:val="auto"/>
                <w:highlight w:val="none"/>
              </w:rPr>
            </w:pPr>
          </w:p>
        </w:tc>
        <w:tc>
          <w:tcPr>
            <w:tcW w:w="1218" w:type="dxa"/>
            <w:noWrap w:val="0"/>
            <w:vAlign w:val="top"/>
          </w:tcPr>
          <w:p w14:paraId="17077F57">
            <w:pPr>
              <w:spacing w:line="440" w:lineRule="exact"/>
              <w:rPr>
                <w:color w:val="auto"/>
                <w:highlight w:val="none"/>
              </w:rPr>
            </w:pPr>
          </w:p>
        </w:tc>
      </w:tr>
      <w:tr w14:paraId="740F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14:paraId="7C0B7C52">
            <w:pPr>
              <w:spacing w:line="440" w:lineRule="exact"/>
              <w:rPr>
                <w:color w:val="auto"/>
                <w:highlight w:val="none"/>
              </w:rPr>
            </w:pPr>
            <w:r>
              <w:rPr>
                <w:color w:val="auto"/>
                <w:highlight w:val="none"/>
              </w:rPr>
              <w:t>2</w:t>
            </w:r>
          </w:p>
        </w:tc>
        <w:tc>
          <w:tcPr>
            <w:tcW w:w="1740" w:type="dxa"/>
            <w:noWrap w:val="0"/>
            <w:vAlign w:val="top"/>
          </w:tcPr>
          <w:p w14:paraId="686C1A45">
            <w:pPr>
              <w:spacing w:line="440" w:lineRule="exact"/>
              <w:rPr>
                <w:color w:val="auto"/>
                <w:highlight w:val="none"/>
              </w:rPr>
            </w:pPr>
          </w:p>
        </w:tc>
        <w:tc>
          <w:tcPr>
            <w:tcW w:w="2056" w:type="dxa"/>
            <w:noWrap w:val="0"/>
            <w:vAlign w:val="top"/>
          </w:tcPr>
          <w:p w14:paraId="3042BD51">
            <w:pPr>
              <w:spacing w:line="440" w:lineRule="exact"/>
              <w:rPr>
                <w:color w:val="auto"/>
                <w:highlight w:val="none"/>
              </w:rPr>
            </w:pPr>
          </w:p>
        </w:tc>
        <w:tc>
          <w:tcPr>
            <w:tcW w:w="2393" w:type="dxa"/>
            <w:noWrap w:val="0"/>
            <w:vAlign w:val="top"/>
          </w:tcPr>
          <w:p w14:paraId="49668870">
            <w:pPr>
              <w:spacing w:line="440" w:lineRule="exact"/>
              <w:rPr>
                <w:color w:val="auto"/>
                <w:highlight w:val="none"/>
              </w:rPr>
            </w:pPr>
          </w:p>
        </w:tc>
        <w:tc>
          <w:tcPr>
            <w:tcW w:w="1721" w:type="dxa"/>
            <w:noWrap w:val="0"/>
            <w:vAlign w:val="top"/>
          </w:tcPr>
          <w:p w14:paraId="39BC40EF">
            <w:pPr>
              <w:spacing w:line="440" w:lineRule="exact"/>
              <w:rPr>
                <w:color w:val="auto"/>
                <w:highlight w:val="none"/>
              </w:rPr>
            </w:pPr>
          </w:p>
        </w:tc>
        <w:tc>
          <w:tcPr>
            <w:tcW w:w="1218" w:type="dxa"/>
            <w:noWrap w:val="0"/>
            <w:vAlign w:val="top"/>
          </w:tcPr>
          <w:p w14:paraId="0E65DFEC">
            <w:pPr>
              <w:spacing w:line="440" w:lineRule="exact"/>
              <w:rPr>
                <w:color w:val="auto"/>
                <w:highlight w:val="none"/>
              </w:rPr>
            </w:pPr>
          </w:p>
        </w:tc>
      </w:tr>
      <w:tr w14:paraId="4C11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14:paraId="6822BA8C">
            <w:pPr>
              <w:spacing w:line="440" w:lineRule="exact"/>
              <w:rPr>
                <w:color w:val="auto"/>
                <w:highlight w:val="none"/>
              </w:rPr>
            </w:pPr>
            <w:r>
              <w:rPr>
                <w:color w:val="auto"/>
                <w:highlight w:val="none"/>
              </w:rPr>
              <w:t>3</w:t>
            </w:r>
          </w:p>
        </w:tc>
        <w:tc>
          <w:tcPr>
            <w:tcW w:w="1740" w:type="dxa"/>
            <w:noWrap w:val="0"/>
            <w:vAlign w:val="top"/>
          </w:tcPr>
          <w:p w14:paraId="4F8DA8CA">
            <w:pPr>
              <w:spacing w:line="440" w:lineRule="exact"/>
              <w:rPr>
                <w:color w:val="auto"/>
                <w:highlight w:val="none"/>
              </w:rPr>
            </w:pPr>
          </w:p>
        </w:tc>
        <w:tc>
          <w:tcPr>
            <w:tcW w:w="2056" w:type="dxa"/>
            <w:noWrap w:val="0"/>
            <w:vAlign w:val="top"/>
          </w:tcPr>
          <w:p w14:paraId="174FE42C">
            <w:pPr>
              <w:spacing w:line="440" w:lineRule="exact"/>
              <w:rPr>
                <w:color w:val="auto"/>
                <w:highlight w:val="none"/>
              </w:rPr>
            </w:pPr>
          </w:p>
        </w:tc>
        <w:tc>
          <w:tcPr>
            <w:tcW w:w="2393" w:type="dxa"/>
            <w:noWrap w:val="0"/>
            <w:vAlign w:val="top"/>
          </w:tcPr>
          <w:p w14:paraId="34487BC7">
            <w:pPr>
              <w:spacing w:line="440" w:lineRule="exact"/>
              <w:rPr>
                <w:color w:val="auto"/>
                <w:highlight w:val="none"/>
              </w:rPr>
            </w:pPr>
          </w:p>
        </w:tc>
        <w:tc>
          <w:tcPr>
            <w:tcW w:w="1721" w:type="dxa"/>
            <w:noWrap w:val="0"/>
            <w:vAlign w:val="top"/>
          </w:tcPr>
          <w:p w14:paraId="22789477">
            <w:pPr>
              <w:spacing w:line="440" w:lineRule="exact"/>
              <w:rPr>
                <w:color w:val="auto"/>
                <w:highlight w:val="none"/>
              </w:rPr>
            </w:pPr>
          </w:p>
        </w:tc>
        <w:tc>
          <w:tcPr>
            <w:tcW w:w="1218" w:type="dxa"/>
            <w:noWrap w:val="0"/>
            <w:vAlign w:val="top"/>
          </w:tcPr>
          <w:p w14:paraId="56DA6F20">
            <w:pPr>
              <w:spacing w:line="440" w:lineRule="exact"/>
              <w:rPr>
                <w:color w:val="auto"/>
                <w:highlight w:val="none"/>
              </w:rPr>
            </w:pPr>
          </w:p>
        </w:tc>
      </w:tr>
      <w:tr w14:paraId="1AEA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14:paraId="281A39AC">
            <w:pPr>
              <w:spacing w:line="440" w:lineRule="exact"/>
              <w:rPr>
                <w:color w:val="auto"/>
                <w:highlight w:val="none"/>
              </w:rPr>
            </w:pPr>
            <w:r>
              <w:rPr>
                <w:rFonts w:hint="eastAsia"/>
                <w:color w:val="auto"/>
                <w:highlight w:val="none"/>
              </w:rPr>
              <w:t>…</w:t>
            </w:r>
          </w:p>
        </w:tc>
        <w:tc>
          <w:tcPr>
            <w:tcW w:w="1740" w:type="dxa"/>
            <w:noWrap w:val="0"/>
            <w:vAlign w:val="top"/>
          </w:tcPr>
          <w:p w14:paraId="036D7AD0">
            <w:pPr>
              <w:spacing w:line="440" w:lineRule="exact"/>
              <w:rPr>
                <w:color w:val="auto"/>
                <w:highlight w:val="none"/>
              </w:rPr>
            </w:pPr>
          </w:p>
        </w:tc>
        <w:tc>
          <w:tcPr>
            <w:tcW w:w="2056" w:type="dxa"/>
            <w:noWrap w:val="0"/>
            <w:vAlign w:val="top"/>
          </w:tcPr>
          <w:p w14:paraId="65D0D58D">
            <w:pPr>
              <w:spacing w:line="440" w:lineRule="exact"/>
              <w:rPr>
                <w:color w:val="auto"/>
                <w:highlight w:val="none"/>
              </w:rPr>
            </w:pPr>
          </w:p>
        </w:tc>
        <w:tc>
          <w:tcPr>
            <w:tcW w:w="2393" w:type="dxa"/>
            <w:noWrap w:val="0"/>
            <w:vAlign w:val="top"/>
          </w:tcPr>
          <w:p w14:paraId="7FF9990F">
            <w:pPr>
              <w:spacing w:line="440" w:lineRule="exact"/>
              <w:rPr>
                <w:color w:val="auto"/>
                <w:highlight w:val="none"/>
              </w:rPr>
            </w:pPr>
          </w:p>
        </w:tc>
        <w:tc>
          <w:tcPr>
            <w:tcW w:w="1721" w:type="dxa"/>
            <w:noWrap w:val="0"/>
            <w:vAlign w:val="top"/>
          </w:tcPr>
          <w:p w14:paraId="68E7C1BA">
            <w:pPr>
              <w:spacing w:line="440" w:lineRule="exact"/>
              <w:rPr>
                <w:color w:val="auto"/>
                <w:highlight w:val="none"/>
              </w:rPr>
            </w:pPr>
          </w:p>
        </w:tc>
        <w:tc>
          <w:tcPr>
            <w:tcW w:w="1218" w:type="dxa"/>
            <w:noWrap w:val="0"/>
            <w:vAlign w:val="top"/>
          </w:tcPr>
          <w:p w14:paraId="372A2374">
            <w:pPr>
              <w:spacing w:line="440" w:lineRule="exact"/>
              <w:rPr>
                <w:color w:val="auto"/>
                <w:highlight w:val="none"/>
              </w:rPr>
            </w:pPr>
          </w:p>
        </w:tc>
      </w:tr>
    </w:tbl>
    <w:p w14:paraId="0C3DA9A4">
      <w:pPr>
        <w:spacing w:line="440" w:lineRule="exact"/>
        <w:rPr>
          <w:color w:val="auto"/>
          <w:highlight w:val="none"/>
        </w:rPr>
      </w:pPr>
      <w:r>
        <w:rPr>
          <w:rFonts w:hint="eastAsia"/>
          <w:color w:val="auto"/>
          <w:highlight w:val="none"/>
        </w:rPr>
        <w:t>注：与招标文件要求逐条对应填写。</w:t>
      </w:r>
    </w:p>
    <w:p w14:paraId="1DCB0305">
      <w:pPr>
        <w:spacing w:line="440" w:lineRule="exact"/>
        <w:rPr>
          <w:color w:val="auto"/>
          <w:highlight w:val="none"/>
          <w:u w:val="single"/>
        </w:rPr>
      </w:pPr>
      <w:r>
        <w:rPr>
          <w:rFonts w:hint="eastAsia"/>
          <w:color w:val="auto"/>
          <w:highlight w:val="none"/>
        </w:rPr>
        <w:t>投标人代表签字：</w:t>
      </w:r>
    </w:p>
    <w:p w14:paraId="6CCC1C49">
      <w:pPr>
        <w:spacing w:line="440" w:lineRule="exact"/>
        <w:rPr>
          <w:b/>
          <w:color w:val="auto"/>
          <w:highlight w:val="none"/>
        </w:rPr>
      </w:pPr>
      <w:r>
        <w:rPr>
          <w:rFonts w:hint="eastAsia"/>
          <w:color w:val="auto"/>
          <w:highlight w:val="none"/>
        </w:rPr>
        <w:t>日期：</w:t>
      </w:r>
      <w:r>
        <w:rPr>
          <w:bCs/>
          <w:color w:val="auto"/>
          <w:highlight w:val="none"/>
        </w:rPr>
        <w:t>20</w:t>
      </w:r>
      <w:r>
        <w:rPr>
          <w:rFonts w:hint="eastAsia"/>
          <w:color w:val="auto"/>
          <w:highlight w:val="none"/>
          <w:u w:val="single"/>
        </w:rPr>
        <w:t xml:space="preserve">　 </w:t>
      </w:r>
      <w:r>
        <w:rPr>
          <w:rFonts w:hint="eastAsia"/>
          <w:bCs/>
          <w:color w:val="auto"/>
          <w:highlight w:val="none"/>
        </w:rPr>
        <w:t>年</w:t>
      </w:r>
      <w:r>
        <w:rPr>
          <w:rFonts w:hint="eastAsia"/>
          <w:bCs/>
          <w:color w:val="auto"/>
          <w:highlight w:val="none"/>
          <w:u w:val="single"/>
        </w:rPr>
        <w:t>　</w:t>
      </w:r>
      <w:r>
        <w:rPr>
          <w:rFonts w:hint="eastAsia"/>
          <w:bCs/>
          <w:color w:val="auto"/>
          <w:highlight w:val="none"/>
        </w:rPr>
        <w:t>月</w:t>
      </w:r>
      <w:r>
        <w:rPr>
          <w:rFonts w:hint="eastAsia"/>
          <w:bCs/>
          <w:color w:val="auto"/>
          <w:highlight w:val="none"/>
          <w:u w:val="single"/>
        </w:rPr>
        <w:t>　</w:t>
      </w:r>
      <w:r>
        <w:rPr>
          <w:rFonts w:hint="eastAsia"/>
          <w:bCs/>
          <w:color w:val="auto"/>
          <w:highlight w:val="none"/>
        </w:rPr>
        <w:t>日</w:t>
      </w:r>
    </w:p>
    <w:p w14:paraId="32030F7D">
      <w:pPr>
        <w:spacing w:line="440" w:lineRule="exact"/>
        <w:rPr>
          <w:rFonts w:hint="eastAsia"/>
          <w:b/>
          <w:color w:val="auto"/>
          <w:sz w:val="32"/>
          <w:szCs w:val="32"/>
          <w:highlight w:val="none"/>
        </w:rPr>
      </w:pPr>
    </w:p>
    <w:p w14:paraId="6CE9A032">
      <w:pPr>
        <w:rPr>
          <w:rFonts w:hint="eastAsia"/>
          <w:color w:val="auto"/>
          <w:highlight w:val="none"/>
        </w:rPr>
      </w:pPr>
    </w:p>
    <w:sectPr>
      <w:footerReference r:id="rId10" w:type="default"/>
      <w:pgSz w:w="11906" w:h="16838"/>
      <w:pgMar w:top="1134" w:right="1134"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610F">
    <w:pPr>
      <w:pStyle w:val="18"/>
      <w:rPr>
        <w:rFonts w:hint="eastAsia"/>
      </w:rPr>
    </w:pPr>
  </w:p>
  <w:p w14:paraId="31A582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D03C">
    <w:pPr>
      <w:pStyle w:val="18"/>
      <w:framePr w:wrap="around" w:vAnchor="text" w:hAnchor="margin" w:xAlign="center" w:y="1"/>
      <w:rPr>
        <w:rStyle w:val="33"/>
      </w:rPr>
    </w:pPr>
    <w:r>
      <w:fldChar w:fldCharType="begin"/>
    </w:r>
    <w:r>
      <w:rPr>
        <w:rStyle w:val="33"/>
      </w:rPr>
      <w:instrText xml:space="preserve">PAGE  </w:instrText>
    </w:r>
    <w:r>
      <w:fldChar w:fldCharType="end"/>
    </w:r>
  </w:p>
  <w:p w14:paraId="54795E0F">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020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D80D">
    <w:pPr>
      <w:spacing w:line="174" w:lineRule="auto"/>
      <w:ind w:left="47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15729">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015729">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E3EB7">
    <w:pPr>
      <w:spacing w:line="167"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CBE02">
                          <w:pPr>
                            <w:pStyle w:val="18"/>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CCBE02">
                    <w:pPr>
                      <w:pStyle w:val="18"/>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61A5">
    <w:pPr>
      <w:pStyle w:val="18"/>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06E63">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E106E63">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001D723">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D484">
    <w:pPr>
      <w:pStyle w:val="19"/>
      <w:jc w:val="both"/>
      <w:rPr>
        <w:rFonts w:hint="eastAsia" w:ascii="黑体" w:hAnsi="黑体" w:eastAsia="黑体" w:cs="黑体"/>
        <w:b w:val="0"/>
        <w:bCs w:val="0"/>
        <w:i w:val="0"/>
        <w:iCs w:val="0"/>
        <w:color w:val="auto"/>
        <w:sz w:val="22"/>
        <w:szCs w:val="22"/>
        <w:u w:val="single"/>
      </w:rPr>
    </w:pPr>
  </w:p>
  <w:p w14:paraId="61EA56E2">
    <w:pPr>
      <w:pStyle w:val="19"/>
      <w:jc w:val="both"/>
      <w:rPr>
        <w:rFonts w:hint="eastAsia" w:ascii="黑体" w:hAnsi="黑体" w:eastAsia="黑体" w:cs="黑体"/>
        <w:b w:val="0"/>
        <w:bCs w:val="0"/>
        <w:i w:val="0"/>
        <w:iCs w:val="0"/>
        <w:color w:val="auto"/>
        <w:sz w:val="22"/>
        <w:szCs w:val="22"/>
        <w:u w:val="single"/>
      </w:rPr>
    </w:pPr>
  </w:p>
  <w:p w14:paraId="12F42666">
    <w:pPr>
      <w:pStyle w:val="19"/>
      <w:jc w:val="both"/>
      <w:rPr>
        <w:rFonts w:hint="default"/>
        <w:lang w:val="en-US"/>
      </w:rPr>
    </w:pPr>
    <w:r>
      <w:rPr>
        <w:rFonts w:hint="eastAsia" w:ascii="黑体" w:hAnsi="黑体" w:eastAsia="黑体" w:cs="黑体"/>
        <w:b w:val="0"/>
        <w:bCs w:val="0"/>
        <w:i w:val="0"/>
        <w:iCs w:val="0"/>
        <w:color w:val="auto"/>
        <w:sz w:val="22"/>
        <w:szCs w:val="22"/>
        <w:u w:val="single"/>
      </w:rPr>
      <w:t>新疆弘伟工程项目管理有限公司</w:t>
    </w:r>
    <w:r>
      <w:rPr>
        <w:rFonts w:hint="eastAsia" w:ascii="黑体" w:hAnsi="黑体" w:eastAsia="黑体" w:cs="黑体"/>
        <w:b w:val="0"/>
        <w:bCs w:val="0"/>
        <w:i w:val="0"/>
        <w:iCs w:val="0"/>
        <w:color w:val="auto"/>
        <w:sz w:val="11"/>
        <w:szCs w:val="11"/>
        <w:u w:val="single"/>
        <w:lang w:val="en-US" w:eastAsia="zh-CN"/>
      </w:rPr>
      <w:t xml:space="preserve">  </w:t>
    </w:r>
    <w:r>
      <w:rPr>
        <w:rFonts w:hint="eastAsia" w:ascii="黑体" w:hAnsi="黑体" w:eastAsia="黑体" w:cs="黑体"/>
        <w:b w:val="0"/>
        <w:bCs w:val="0"/>
        <w:i/>
        <w:iCs/>
        <w:color w:val="auto"/>
        <w:sz w:val="13"/>
        <w:szCs w:val="13"/>
        <w:u w:val="single"/>
        <w:lang w:val="en-US" w:eastAsia="zh-CN"/>
      </w:rPr>
      <w:t xml:space="preserve"> </w:t>
    </w:r>
    <w:r>
      <w:rPr>
        <w:rFonts w:hint="eastAsia" w:ascii="黑体" w:hAnsi="黑体" w:eastAsia="黑体" w:cs="黑体"/>
        <w:b w:val="0"/>
        <w:bCs w:val="0"/>
        <w:i w:val="0"/>
        <w:iCs w:val="0"/>
        <w:color w:val="auto"/>
        <w:sz w:val="22"/>
        <w:szCs w:val="22"/>
        <w:u w:val="single"/>
      </w:rPr>
      <w:drawing>
        <wp:anchor distT="0" distB="0" distL="114300" distR="114300" simplePos="0" relativeHeight="251663360" behindDoc="1" locked="0" layoutInCell="1" allowOverlap="1">
          <wp:simplePos x="0" y="0"/>
          <wp:positionH relativeFrom="column">
            <wp:posOffset>-619125</wp:posOffset>
          </wp:positionH>
          <wp:positionV relativeFrom="paragraph">
            <wp:posOffset>-180975</wp:posOffset>
          </wp:positionV>
          <wp:extent cx="480060" cy="480695"/>
          <wp:effectExtent l="0" t="0" r="15240" b="14605"/>
          <wp:wrapTight wrapText="bothSides">
            <wp:wrapPolygon>
              <wp:start x="4286" y="0"/>
              <wp:lineTo x="0" y="4280"/>
              <wp:lineTo x="0" y="13696"/>
              <wp:lineTo x="3429" y="20544"/>
              <wp:lineTo x="4286" y="20544"/>
              <wp:lineTo x="16286" y="20544"/>
              <wp:lineTo x="20571" y="14552"/>
              <wp:lineTo x="20571" y="4280"/>
              <wp:lineTo x="16286" y="0"/>
              <wp:lineTo x="4286" y="0"/>
            </wp:wrapPolygon>
          </wp:wrapTight>
          <wp:docPr id="6" name="图片 148" descr="C:/Users/李晓龙/Desktop/新疆弘伟logo/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8" descr="C:/Users/李晓龙/Desktop/新疆弘伟logo/111.png111"/>
                  <pic:cNvPicPr>
                    <a:picLocks noChangeAspect="1"/>
                  </pic:cNvPicPr>
                </pic:nvPicPr>
                <pic:blipFill>
                  <a:blip r:embed="rId1"/>
                  <a:srcRect t="974" b="974"/>
                  <a:stretch>
                    <a:fillRect/>
                  </a:stretch>
                </pic:blipFill>
                <pic:spPr>
                  <a:xfrm>
                    <a:off x="0" y="0"/>
                    <a:ext cx="480060" cy="480695"/>
                  </a:xfrm>
                  <a:prstGeom prst="rect">
                    <a:avLst/>
                  </a:prstGeom>
                  <a:noFill/>
                  <a:ln>
                    <a:noFill/>
                  </a:ln>
                </pic:spPr>
              </pic:pic>
            </a:graphicData>
          </a:graphic>
        </wp:anchor>
      </w:drawing>
    </w:r>
    <w:r>
      <w:rPr>
        <w:rFonts w:hint="eastAsia" w:ascii="黑体" w:hAnsi="黑体" w:eastAsia="黑体" w:cs="黑体"/>
        <w:b w:val="0"/>
        <w:bCs w:val="0"/>
        <w:i/>
        <w:iCs/>
        <w:color w:val="auto"/>
        <w:sz w:val="13"/>
        <w:szCs w:val="13"/>
        <w:u w:val="single"/>
        <w:lang w:val="en-US" w:eastAsia="zh-CN"/>
      </w:rPr>
      <w:t xml:space="preserve">                                                                                   </w:t>
    </w:r>
  </w:p>
  <w:p w14:paraId="7238C262">
    <w:pPr>
      <w:pStyle w:val="19"/>
      <w:pBdr>
        <w:bottom w:val="none" w:color="auto" w:sz="0" w:space="1"/>
      </w:pBdr>
      <w:jc w:val="right"/>
      <w:rPr>
        <w:rFonts w:ascii="宋体"/>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158A">
    <w:pPr>
      <w:pStyle w:val="19"/>
      <w:jc w:val="both"/>
      <w:rPr>
        <w:rFonts w:hint="eastAsia" w:ascii="黑体" w:hAnsi="黑体" w:eastAsia="黑体" w:cs="黑体"/>
        <w:b w:val="0"/>
        <w:bCs w:val="0"/>
        <w:i w:val="0"/>
        <w:iCs w:val="0"/>
        <w:color w:val="auto"/>
        <w:sz w:val="22"/>
        <w:szCs w:val="22"/>
        <w:u w:val="single"/>
      </w:rPr>
    </w:pPr>
  </w:p>
  <w:p w14:paraId="4D350824">
    <w:pPr>
      <w:pStyle w:val="19"/>
      <w:jc w:val="both"/>
      <w:rPr>
        <w:rFonts w:hint="default"/>
        <w:lang w:val="en-US"/>
      </w:rPr>
    </w:pPr>
    <w:r>
      <w:rPr>
        <w:rFonts w:hint="eastAsia" w:ascii="黑体" w:hAnsi="黑体" w:eastAsia="黑体" w:cs="黑体"/>
        <w:b w:val="0"/>
        <w:bCs w:val="0"/>
        <w:i w:val="0"/>
        <w:iCs w:val="0"/>
        <w:color w:val="auto"/>
        <w:sz w:val="22"/>
        <w:szCs w:val="22"/>
        <w:u w:val="single"/>
      </w:rPr>
      <w:t>新疆弘伟工程项目管理有限公司</w:t>
    </w:r>
    <w:r>
      <w:rPr>
        <w:rFonts w:hint="eastAsia" w:ascii="黑体" w:hAnsi="黑体" w:eastAsia="黑体" w:cs="黑体"/>
        <w:b w:val="0"/>
        <w:bCs w:val="0"/>
        <w:i w:val="0"/>
        <w:iCs w:val="0"/>
        <w:color w:val="auto"/>
        <w:sz w:val="11"/>
        <w:szCs w:val="11"/>
        <w:u w:val="single"/>
        <w:lang w:val="en-US" w:eastAsia="zh-CN"/>
      </w:rPr>
      <w:t xml:space="preserve">  </w:t>
    </w:r>
    <w:r>
      <w:rPr>
        <w:rFonts w:hint="eastAsia" w:ascii="黑体" w:hAnsi="黑体" w:eastAsia="黑体" w:cs="黑体"/>
        <w:b w:val="0"/>
        <w:bCs w:val="0"/>
        <w:i/>
        <w:iCs/>
        <w:color w:val="auto"/>
        <w:sz w:val="13"/>
        <w:szCs w:val="13"/>
        <w:u w:val="single"/>
        <w:lang w:val="en-US" w:eastAsia="zh-CN"/>
      </w:rPr>
      <w:t xml:space="preserve"> </w:t>
    </w:r>
    <w:r>
      <w:rPr>
        <w:rFonts w:hint="eastAsia" w:ascii="黑体" w:hAnsi="黑体" w:eastAsia="黑体" w:cs="黑体"/>
        <w:b w:val="0"/>
        <w:bCs w:val="0"/>
        <w:i w:val="0"/>
        <w:iCs w:val="0"/>
        <w:color w:val="auto"/>
        <w:sz w:val="22"/>
        <w:szCs w:val="22"/>
        <w:u w:val="single"/>
      </w:rPr>
      <w:drawing>
        <wp:anchor distT="0" distB="0" distL="114300" distR="114300" simplePos="0" relativeHeight="251662336" behindDoc="1" locked="0" layoutInCell="1" allowOverlap="1">
          <wp:simplePos x="0" y="0"/>
          <wp:positionH relativeFrom="column">
            <wp:posOffset>-619125</wp:posOffset>
          </wp:positionH>
          <wp:positionV relativeFrom="paragraph">
            <wp:posOffset>-283845</wp:posOffset>
          </wp:positionV>
          <wp:extent cx="480060" cy="480695"/>
          <wp:effectExtent l="0" t="0" r="15240" b="14605"/>
          <wp:wrapTight wrapText="bothSides">
            <wp:wrapPolygon>
              <wp:start x="4286" y="0"/>
              <wp:lineTo x="0" y="4280"/>
              <wp:lineTo x="0" y="13696"/>
              <wp:lineTo x="3429" y="20544"/>
              <wp:lineTo x="4286" y="20544"/>
              <wp:lineTo x="16286" y="20544"/>
              <wp:lineTo x="20571" y="14552"/>
              <wp:lineTo x="20571" y="4280"/>
              <wp:lineTo x="16286" y="0"/>
              <wp:lineTo x="4286" y="0"/>
            </wp:wrapPolygon>
          </wp:wrapTight>
          <wp:docPr id="8" name="图片 148" descr="C:/Users/李晓龙/Desktop/新疆弘伟logo/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8" descr="C:/Users/李晓龙/Desktop/新疆弘伟logo/111.png111"/>
                  <pic:cNvPicPr>
                    <a:picLocks noChangeAspect="1"/>
                  </pic:cNvPicPr>
                </pic:nvPicPr>
                <pic:blipFill>
                  <a:blip r:embed="rId1"/>
                  <a:srcRect t="974" b="974"/>
                  <a:stretch>
                    <a:fillRect/>
                  </a:stretch>
                </pic:blipFill>
                <pic:spPr>
                  <a:xfrm>
                    <a:off x="0" y="0"/>
                    <a:ext cx="480060" cy="480695"/>
                  </a:xfrm>
                  <a:prstGeom prst="rect">
                    <a:avLst/>
                  </a:prstGeom>
                  <a:noFill/>
                  <a:ln>
                    <a:noFill/>
                  </a:ln>
                </pic:spPr>
              </pic:pic>
            </a:graphicData>
          </a:graphic>
        </wp:anchor>
      </w:drawing>
    </w:r>
    <w:r>
      <w:rPr>
        <w:rFonts w:hint="eastAsia" w:ascii="黑体" w:hAnsi="黑体" w:eastAsia="黑体" w:cs="黑体"/>
        <w:b w:val="0"/>
        <w:bCs w:val="0"/>
        <w:i/>
        <w:iCs/>
        <w:color w:val="auto"/>
        <w:sz w:val="13"/>
        <w:szCs w:val="13"/>
        <w:u w:val="single"/>
        <w:lang w:val="en-US" w:eastAsia="zh-CN"/>
      </w:rPr>
      <w:t xml:space="preserve">                                                                                   </w:t>
    </w:r>
  </w:p>
  <w:p w14:paraId="1473D57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4F3D7"/>
    <w:multiLevelType w:val="singleLevel"/>
    <w:tmpl w:val="9A94F3D7"/>
    <w:lvl w:ilvl="0" w:tentative="0">
      <w:start w:val="1"/>
      <w:numFmt w:val="decimal"/>
      <w:suff w:val="nothing"/>
      <w:lvlText w:val="%1、"/>
      <w:lvlJc w:val="left"/>
    </w:lvl>
  </w:abstractNum>
  <w:abstractNum w:abstractNumId="1">
    <w:nsid w:val="EDD599DF"/>
    <w:multiLevelType w:val="singleLevel"/>
    <w:tmpl w:val="EDD599DF"/>
    <w:lvl w:ilvl="0" w:tentative="0">
      <w:start w:val="2"/>
      <w:numFmt w:val="decimal"/>
      <w:suff w:val="nothing"/>
      <w:lvlText w:val="%1、"/>
      <w:lvlJc w:val="left"/>
    </w:lvl>
  </w:abstractNum>
  <w:abstractNum w:abstractNumId="2">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59769CD"/>
    <w:multiLevelType w:val="singleLevel"/>
    <w:tmpl w:val="159769CD"/>
    <w:lvl w:ilvl="0" w:tentative="0">
      <w:start w:val="1"/>
      <w:numFmt w:val="decimal"/>
      <w:suff w:val="nothing"/>
      <w:lvlText w:val="%1、"/>
      <w:lvlJc w:val="left"/>
    </w:lvl>
  </w:abstractNum>
  <w:abstractNum w:abstractNumId="4">
    <w:nsid w:val="1626A84B"/>
    <w:multiLevelType w:val="singleLevel"/>
    <w:tmpl w:val="1626A84B"/>
    <w:lvl w:ilvl="0" w:tentative="0">
      <w:start w:val="4"/>
      <w:numFmt w:val="chineseCounting"/>
      <w:suff w:val="space"/>
      <w:lvlText w:val="第%1部分"/>
      <w:lvlJc w:val="left"/>
      <w:rPr>
        <w:rFonts w:hint="eastAsia"/>
      </w:rPr>
    </w:lvl>
  </w:abstractNum>
  <w:abstractNum w:abstractNumId="5">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82"/>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6">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757ED0B0"/>
    <w:multiLevelType w:val="singleLevel"/>
    <w:tmpl w:val="757ED0B0"/>
    <w:lvl w:ilvl="0" w:tentative="0">
      <w:start w:val="2"/>
      <w:numFmt w:val="chineseCounting"/>
      <w:suff w:val="nothing"/>
      <w:lvlText w:val="%1、"/>
      <w:lvlJc w:val="left"/>
      <w:rPr>
        <w:rFonts w:hint="eastAsia"/>
      </w:rPr>
    </w:lvl>
  </w:abstractNum>
  <w:num w:numId="1">
    <w:abstractNumId w:val="2"/>
  </w:num>
  <w:num w:numId="2">
    <w:abstractNumId w:val="6"/>
  </w:num>
  <w:num w:numId="3">
    <w:abstractNumId w:val="5"/>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YjM5MWQ2ODA2ZjQwNmEwNDcwNWRiOWEwY2Q5NzIifQ=="/>
  </w:docVars>
  <w:rsids>
    <w:rsidRoot w:val="004178D5"/>
    <w:rsid w:val="000007CA"/>
    <w:rsid w:val="00000946"/>
    <w:rsid w:val="000010C1"/>
    <w:rsid w:val="00001422"/>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5C3"/>
    <w:rsid w:val="00006823"/>
    <w:rsid w:val="000069AD"/>
    <w:rsid w:val="000075D1"/>
    <w:rsid w:val="00010054"/>
    <w:rsid w:val="00010334"/>
    <w:rsid w:val="0001135D"/>
    <w:rsid w:val="000119AC"/>
    <w:rsid w:val="00011BD2"/>
    <w:rsid w:val="0001243B"/>
    <w:rsid w:val="000132BE"/>
    <w:rsid w:val="000140C4"/>
    <w:rsid w:val="00014240"/>
    <w:rsid w:val="00014915"/>
    <w:rsid w:val="000149C7"/>
    <w:rsid w:val="00014C79"/>
    <w:rsid w:val="00014D10"/>
    <w:rsid w:val="000155A1"/>
    <w:rsid w:val="00015752"/>
    <w:rsid w:val="00016851"/>
    <w:rsid w:val="00017272"/>
    <w:rsid w:val="000200EF"/>
    <w:rsid w:val="00020F99"/>
    <w:rsid w:val="000214E5"/>
    <w:rsid w:val="00021580"/>
    <w:rsid w:val="00021826"/>
    <w:rsid w:val="00021D4C"/>
    <w:rsid w:val="00021DD1"/>
    <w:rsid w:val="00022402"/>
    <w:rsid w:val="0002253E"/>
    <w:rsid w:val="00022556"/>
    <w:rsid w:val="00022C5E"/>
    <w:rsid w:val="00023C04"/>
    <w:rsid w:val="00024672"/>
    <w:rsid w:val="00024867"/>
    <w:rsid w:val="00024A4B"/>
    <w:rsid w:val="00024FFD"/>
    <w:rsid w:val="00025182"/>
    <w:rsid w:val="00025333"/>
    <w:rsid w:val="000253B0"/>
    <w:rsid w:val="00025AE3"/>
    <w:rsid w:val="00025BB7"/>
    <w:rsid w:val="0002600E"/>
    <w:rsid w:val="000262D0"/>
    <w:rsid w:val="00026679"/>
    <w:rsid w:val="000272EA"/>
    <w:rsid w:val="00027866"/>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BB1"/>
    <w:rsid w:val="000350BD"/>
    <w:rsid w:val="000359A8"/>
    <w:rsid w:val="00035DC5"/>
    <w:rsid w:val="0003607E"/>
    <w:rsid w:val="00036B10"/>
    <w:rsid w:val="00037343"/>
    <w:rsid w:val="00037572"/>
    <w:rsid w:val="0003795A"/>
    <w:rsid w:val="00037BB5"/>
    <w:rsid w:val="00037CD6"/>
    <w:rsid w:val="000401EE"/>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4D57"/>
    <w:rsid w:val="0004516B"/>
    <w:rsid w:val="00045BD3"/>
    <w:rsid w:val="0004638E"/>
    <w:rsid w:val="00046583"/>
    <w:rsid w:val="00046D90"/>
    <w:rsid w:val="00046F97"/>
    <w:rsid w:val="0004705F"/>
    <w:rsid w:val="00047902"/>
    <w:rsid w:val="00050527"/>
    <w:rsid w:val="000505FF"/>
    <w:rsid w:val="0005094D"/>
    <w:rsid w:val="00050BA5"/>
    <w:rsid w:val="00051638"/>
    <w:rsid w:val="00051D1F"/>
    <w:rsid w:val="00052C72"/>
    <w:rsid w:val="00052C96"/>
    <w:rsid w:val="0005343A"/>
    <w:rsid w:val="00053500"/>
    <w:rsid w:val="00053D48"/>
    <w:rsid w:val="00054621"/>
    <w:rsid w:val="0005521A"/>
    <w:rsid w:val="000554A7"/>
    <w:rsid w:val="00055D55"/>
    <w:rsid w:val="0005650E"/>
    <w:rsid w:val="00056B3D"/>
    <w:rsid w:val="00057081"/>
    <w:rsid w:val="0005777E"/>
    <w:rsid w:val="000578F4"/>
    <w:rsid w:val="00057E72"/>
    <w:rsid w:val="00057FEA"/>
    <w:rsid w:val="00060BC8"/>
    <w:rsid w:val="00061327"/>
    <w:rsid w:val="00062523"/>
    <w:rsid w:val="000632F5"/>
    <w:rsid w:val="000634D5"/>
    <w:rsid w:val="000637E8"/>
    <w:rsid w:val="00063B26"/>
    <w:rsid w:val="00063DCB"/>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F67"/>
    <w:rsid w:val="000720A6"/>
    <w:rsid w:val="000721BF"/>
    <w:rsid w:val="00072CAF"/>
    <w:rsid w:val="00073399"/>
    <w:rsid w:val="000734B0"/>
    <w:rsid w:val="000738D6"/>
    <w:rsid w:val="000739FA"/>
    <w:rsid w:val="000741BF"/>
    <w:rsid w:val="00074525"/>
    <w:rsid w:val="000746DD"/>
    <w:rsid w:val="000750D5"/>
    <w:rsid w:val="00075235"/>
    <w:rsid w:val="0007548F"/>
    <w:rsid w:val="00075A7C"/>
    <w:rsid w:val="000761CC"/>
    <w:rsid w:val="00077B0A"/>
    <w:rsid w:val="00077DCF"/>
    <w:rsid w:val="00077FD2"/>
    <w:rsid w:val="0008015F"/>
    <w:rsid w:val="0008069C"/>
    <w:rsid w:val="0008073B"/>
    <w:rsid w:val="000808F2"/>
    <w:rsid w:val="00080C86"/>
    <w:rsid w:val="00081762"/>
    <w:rsid w:val="00082761"/>
    <w:rsid w:val="000829D6"/>
    <w:rsid w:val="0008303D"/>
    <w:rsid w:val="0008377B"/>
    <w:rsid w:val="00083E84"/>
    <w:rsid w:val="000843CC"/>
    <w:rsid w:val="000852C4"/>
    <w:rsid w:val="00086248"/>
    <w:rsid w:val="00086608"/>
    <w:rsid w:val="000876E0"/>
    <w:rsid w:val="00087AC0"/>
    <w:rsid w:val="00090C90"/>
    <w:rsid w:val="00090C9C"/>
    <w:rsid w:val="00090FCA"/>
    <w:rsid w:val="0009324F"/>
    <w:rsid w:val="00093325"/>
    <w:rsid w:val="0009350F"/>
    <w:rsid w:val="00093540"/>
    <w:rsid w:val="0009380D"/>
    <w:rsid w:val="00093EDC"/>
    <w:rsid w:val="000949D5"/>
    <w:rsid w:val="00094BED"/>
    <w:rsid w:val="00094F63"/>
    <w:rsid w:val="00095A0D"/>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943"/>
    <w:rsid w:val="000A1DC7"/>
    <w:rsid w:val="000A1E2E"/>
    <w:rsid w:val="000A28E1"/>
    <w:rsid w:val="000A2A3D"/>
    <w:rsid w:val="000A3331"/>
    <w:rsid w:val="000A3400"/>
    <w:rsid w:val="000A411F"/>
    <w:rsid w:val="000A4261"/>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F22"/>
    <w:rsid w:val="000B2247"/>
    <w:rsid w:val="000B2E47"/>
    <w:rsid w:val="000B3363"/>
    <w:rsid w:val="000B374D"/>
    <w:rsid w:val="000B3CB5"/>
    <w:rsid w:val="000B4208"/>
    <w:rsid w:val="000B4583"/>
    <w:rsid w:val="000B45BE"/>
    <w:rsid w:val="000B4970"/>
    <w:rsid w:val="000B4974"/>
    <w:rsid w:val="000B4DB0"/>
    <w:rsid w:val="000B50CC"/>
    <w:rsid w:val="000B5270"/>
    <w:rsid w:val="000B556A"/>
    <w:rsid w:val="000B5CCA"/>
    <w:rsid w:val="000B6191"/>
    <w:rsid w:val="000B64FB"/>
    <w:rsid w:val="000B7503"/>
    <w:rsid w:val="000B78B2"/>
    <w:rsid w:val="000B7D7D"/>
    <w:rsid w:val="000C02AC"/>
    <w:rsid w:val="000C0522"/>
    <w:rsid w:val="000C0ABB"/>
    <w:rsid w:val="000C133D"/>
    <w:rsid w:val="000C1669"/>
    <w:rsid w:val="000C1835"/>
    <w:rsid w:val="000C1B36"/>
    <w:rsid w:val="000C1E06"/>
    <w:rsid w:val="000C1F07"/>
    <w:rsid w:val="000C22CB"/>
    <w:rsid w:val="000C2563"/>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25E"/>
    <w:rsid w:val="000D148E"/>
    <w:rsid w:val="000D1C0A"/>
    <w:rsid w:val="000D1E09"/>
    <w:rsid w:val="000D218A"/>
    <w:rsid w:val="000D2298"/>
    <w:rsid w:val="000D3976"/>
    <w:rsid w:val="000D3FB7"/>
    <w:rsid w:val="000D40D3"/>
    <w:rsid w:val="000D4363"/>
    <w:rsid w:val="000D528A"/>
    <w:rsid w:val="000D556E"/>
    <w:rsid w:val="000D575C"/>
    <w:rsid w:val="000D5841"/>
    <w:rsid w:val="000D6560"/>
    <w:rsid w:val="000D658A"/>
    <w:rsid w:val="000D6C43"/>
    <w:rsid w:val="000D6E3C"/>
    <w:rsid w:val="000D6EA4"/>
    <w:rsid w:val="000D78EA"/>
    <w:rsid w:val="000D7F9D"/>
    <w:rsid w:val="000E0701"/>
    <w:rsid w:val="000E0AD9"/>
    <w:rsid w:val="000E10F1"/>
    <w:rsid w:val="000E1D4A"/>
    <w:rsid w:val="000E1F3C"/>
    <w:rsid w:val="000E2ADB"/>
    <w:rsid w:val="000E2DE4"/>
    <w:rsid w:val="000E2EEF"/>
    <w:rsid w:val="000E3E6E"/>
    <w:rsid w:val="000E4136"/>
    <w:rsid w:val="000E4D45"/>
    <w:rsid w:val="000E4F82"/>
    <w:rsid w:val="000E535C"/>
    <w:rsid w:val="000E5EAC"/>
    <w:rsid w:val="000E6A61"/>
    <w:rsid w:val="000E73A7"/>
    <w:rsid w:val="000E76E8"/>
    <w:rsid w:val="000E787A"/>
    <w:rsid w:val="000E7A62"/>
    <w:rsid w:val="000E7B86"/>
    <w:rsid w:val="000E7C05"/>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5295"/>
    <w:rsid w:val="000F5349"/>
    <w:rsid w:val="000F5499"/>
    <w:rsid w:val="000F56DD"/>
    <w:rsid w:val="000F56E3"/>
    <w:rsid w:val="000F58A7"/>
    <w:rsid w:val="000F5B6C"/>
    <w:rsid w:val="000F66AE"/>
    <w:rsid w:val="000F6AB8"/>
    <w:rsid w:val="000F72A5"/>
    <w:rsid w:val="000F74E7"/>
    <w:rsid w:val="000F75DB"/>
    <w:rsid w:val="000F7BAF"/>
    <w:rsid w:val="001007D9"/>
    <w:rsid w:val="00100D1A"/>
    <w:rsid w:val="00101031"/>
    <w:rsid w:val="001012EC"/>
    <w:rsid w:val="00101459"/>
    <w:rsid w:val="00101636"/>
    <w:rsid w:val="0010166E"/>
    <w:rsid w:val="00101678"/>
    <w:rsid w:val="00102470"/>
    <w:rsid w:val="00102507"/>
    <w:rsid w:val="00102883"/>
    <w:rsid w:val="00102A9B"/>
    <w:rsid w:val="00102C4E"/>
    <w:rsid w:val="00103995"/>
    <w:rsid w:val="00103C20"/>
    <w:rsid w:val="00103CB6"/>
    <w:rsid w:val="0010407D"/>
    <w:rsid w:val="00105ED1"/>
    <w:rsid w:val="0010670B"/>
    <w:rsid w:val="00107261"/>
    <w:rsid w:val="00107689"/>
    <w:rsid w:val="001107DE"/>
    <w:rsid w:val="00110CF1"/>
    <w:rsid w:val="00110D2A"/>
    <w:rsid w:val="00111195"/>
    <w:rsid w:val="001123F1"/>
    <w:rsid w:val="00112654"/>
    <w:rsid w:val="00112AD8"/>
    <w:rsid w:val="00114050"/>
    <w:rsid w:val="001148A2"/>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91A"/>
    <w:rsid w:val="00123DFF"/>
    <w:rsid w:val="00123E14"/>
    <w:rsid w:val="00123E6D"/>
    <w:rsid w:val="00124409"/>
    <w:rsid w:val="00124669"/>
    <w:rsid w:val="0012646F"/>
    <w:rsid w:val="0012649E"/>
    <w:rsid w:val="00126E7B"/>
    <w:rsid w:val="00126F36"/>
    <w:rsid w:val="00126FFB"/>
    <w:rsid w:val="001274EF"/>
    <w:rsid w:val="0013017D"/>
    <w:rsid w:val="001304E9"/>
    <w:rsid w:val="00130AAE"/>
    <w:rsid w:val="00130DAF"/>
    <w:rsid w:val="00130F08"/>
    <w:rsid w:val="001310BA"/>
    <w:rsid w:val="00131A58"/>
    <w:rsid w:val="00131B4B"/>
    <w:rsid w:val="00131BAF"/>
    <w:rsid w:val="00131E9F"/>
    <w:rsid w:val="00132146"/>
    <w:rsid w:val="00132CBE"/>
    <w:rsid w:val="0013333E"/>
    <w:rsid w:val="0013422C"/>
    <w:rsid w:val="00134991"/>
    <w:rsid w:val="00135110"/>
    <w:rsid w:val="00135533"/>
    <w:rsid w:val="00135B63"/>
    <w:rsid w:val="00135BFC"/>
    <w:rsid w:val="0013642F"/>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2FED"/>
    <w:rsid w:val="001432EF"/>
    <w:rsid w:val="00143459"/>
    <w:rsid w:val="00143C9A"/>
    <w:rsid w:val="00143EC3"/>
    <w:rsid w:val="001443A5"/>
    <w:rsid w:val="00145272"/>
    <w:rsid w:val="001459B1"/>
    <w:rsid w:val="00145E39"/>
    <w:rsid w:val="001467ED"/>
    <w:rsid w:val="00146E5E"/>
    <w:rsid w:val="00146FE4"/>
    <w:rsid w:val="0014701B"/>
    <w:rsid w:val="00147677"/>
    <w:rsid w:val="00147752"/>
    <w:rsid w:val="00147CF0"/>
    <w:rsid w:val="00150000"/>
    <w:rsid w:val="001500A3"/>
    <w:rsid w:val="001509D2"/>
    <w:rsid w:val="001513FB"/>
    <w:rsid w:val="00152AB5"/>
    <w:rsid w:val="001540D5"/>
    <w:rsid w:val="00154974"/>
    <w:rsid w:val="001549EB"/>
    <w:rsid w:val="00154AD0"/>
    <w:rsid w:val="0015507E"/>
    <w:rsid w:val="001551D1"/>
    <w:rsid w:val="001553B4"/>
    <w:rsid w:val="00155AD7"/>
    <w:rsid w:val="00155D70"/>
    <w:rsid w:val="00155DA6"/>
    <w:rsid w:val="00155DFF"/>
    <w:rsid w:val="00156157"/>
    <w:rsid w:val="001567EB"/>
    <w:rsid w:val="00156C57"/>
    <w:rsid w:val="001572E8"/>
    <w:rsid w:val="00157449"/>
    <w:rsid w:val="00157A9A"/>
    <w:rsid w:val="0016051A"/>
    <w:rsid w:val="00160FD8"/>
    <w:rsid w:val="00161D22"/>
    <w:rsid w:val="0016224C"/>
    <w:rsid w:val="0016363D"/>
    <w:rsid w:val="00163DF0"/>
    <w:rsid w:val="0016532E"/>
    <w:rsid w:val="00165603"/>
    <w:rsid w:val="001662A9"/>
    <w:rsid w:val="001662FB"/>
    <w:rsid w:val="001665E6"/>
    <w:rsid w:val="00166749"/>
    <w:rsid w:val="00166FD1"/>
    <w:rsid w:val="00167245"/>
    <w:rsid w:val="001679F1"/>
    <w:rsid w:val="00167B25"/>
    <w:rsid w:val="0017038C"/>
    <w:rsid w:val="001708BB"/>
    <w:rsid w:val="001715DF"/>
    <w:rsid w:val="001720F2"/>
    <w:rsid w:val="00172588"/>
    <w:rsid w:val="00173415"/>
    <w:rsid w:val="00173791"/>
    <w:rsid w:val="001739E7"/>
    <w:rsid w:val="00173AFC"/>
    <w:rsid w:val="00174151"/>
    <w:rsid w:val="00174167"/>
    <w:rsid w:val="001745C5"/>
    <w:rsid w:val="00174631"/>
    <w:rsid w:val="001758E4"/>
    <w:rsid w:val="001762F3"/>
    <w:rsid w:val="00176C93"/>
    <w:rsid w:val="00176F1D"/>
    <w:rsid w:val="0017756B"/>
    <w:rsid w:val="00177A39"/>
    <w:rsid w:val="00177CD6"/>
    <w:rsid w:val="0018029D"/>
    <w:rsid w:val="00180FEE"/>
    <w:rsid w:val="00182926"/>
    <w:rsid w:val="00182DB5"/>
    <w:rsid w:val="00182FC2"/>
    <w:rsid w:val="001831E9"/>
    <w:rsid w:val="00183AC0"/>
    <w:rsid w:val="00183B2C"/>
    <w:rsid w:val="00184225"/>
    <w:rsid w:val="001843E7"/>
    <w:rsid w:val="00184DAA"/>
    <w:rsid w:val="0018563B"/>
    <w:rsid w:val="00185842"/>
    <w:rsid w:val="00185A3F"/>
    <w:rsid w:val="00185C18"/>
    <w:rsid w:val="0018609B"/>
    <w:rsid w:val="001863FE"/>
    <w:rsid w:val="00186DAF"/>
    <w:rsid w:val="00187035"/>
    <w:rsid w:val="0018785E"/>
    <w:rsid w:val="00187FDF"/>
    <w:rsid w:val="0019057E"/>
    <w:rsid w:val="00190897"/>
    <w:rsid w:val="00190BAC"/>
    <w:rsid w:val="001917CC"/>
    <w:rsid w:val="001920A3"/>
    <w:rsid w:val="00192634"/>
    <w:rsid w:val="00192760"/>
    <w:rsid w:val="001928EC"/>
    <w:rsid w:val="0019302D"/>
    <w:rsid w:val="001938CC"/>
    <w:rsid w:val="00193F6C"/>
    <w:rsid w:val="00193F77"/>
    <w:rsid w:val="00194297"/>
    <w:rsid w:val="001944AA"/>
    <w:rsid w:val="001949A8"/>
    <w:rsid w:val="00194A8B"/>
    <w:rsid w:val="00194D27"/>
    <w:rsid w:val="00194E25"/>
    <w:rsid w:val="001958D6"/>
    <w:rsid w:val="00195963"/>
    <w:rsid w:val="00195BA9"/>
    <w:rsid w:val="00195C30"/>
    <w:rsid w:val="00195C7A"/>
    <w:rsid w:val="00195D34"/>
    <w:rsid w:val="00195E1E"/>
    <w:rsid w:val="0019618D"/>
    <w:rsid w:val="00196684"/>
    <w:rsid w:val="00197082"/>
    <w:rsid w:val="0019779D"/>
    <w:rsid w:val="001A001B"/>
    <w:rsid w:val="001A03E7"/>
    <w:rsid w:val="001A0B55"/>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CAD"/>
    <w:rsid w:val="001B04CF"/>
    <w:rsid w:val="001B0BF3"/>
    <w:rsid w:val="001B1176"/>
    <w:rsid w:val="001B15B2"/>
    <w:rsid w:val="001B1D9D"/>
    <w:rsid w:val="001B424D"/>
    <w:rsid w:val="001B4ACF"/>
    <w:rsid w:val="001B4E01"/>
    <w:rsid w:val="001B55E0"/>
    <w:rsid w:val="001B67EA"/>
    <w:rsid w:val="001B693E"/>
    <w:rsid w:val="001B6FAA"/>
    <w:rsid w:val="001B702F"/>
    <w:rsid w:val="001C0130"/>
    <w:rsid w:val="001C0150"/>
    <w:rsid w:val="001C0480"/>
    <w:rsid w:val="001C159B"/>
    <w:rsid w:val="001C1EC2"/>
    <w:rsid w:val="001C2747"/>
    <w:rsid w:val="001C3D41"/>
    <w:rsid w:val="001C443D"/>
    <w:rsid w:val="001C447A"/>
    <w:rsid w:val="001C4BA1"/>
    <w:rsid w:val="001C4DD6"/>
    <w:rsid w:val="001C4E2C"/>
    <w:rsid w:val="001C579F"/>
    <w:rsid w:val="001C595E"/>
    <w:rsid w:val="001C5AB4"/>
    <w:rsid w:val="001C6190"/>
    <w:rsid w:val="001C7073"/>
    <w:rsid w:val="001C748E"/>
    <w:rsid w:val="001C7728"/>
    <w:rsid w:val="001C7BAF"/>
    <w:rsid w:val="001D02A0"/>
    <w:rsid w:val="001D04A5"/>
    <w:rsid w:val="001D0EF8"/>
    <w:rsid w:val="001D1698"/>
    <w:rsid w:val="001D17C5"/>
    <w:rsid w:val="001D1909"/>
    <w:rsid w:val="001D1CA7"/>
    <w:rsid w:val="001D2283"/>
    <w:rsid w:val="001D23E2"/>
    <w:rsid w:val="001D240B"/>
    <w:rsid w:val="001D2525"/>
    <w:rsid w:val="001D314A"/>
    <w:rsid w:val="001D3441"/>
    <w:rsid w:val="001D35F6"/>
    <w:rsid w:val="001D3B33"/>
    <w:rsid w:val="001D3BC0"/>
    <w:rsid w:val="001D4AF9"/>
    <w:rsid w:val="001D4CD1"/>
    <w:rsid w:val="001D5EFF"/>
    <w:rsid w:val="001D6290"/>
    <w:rsid w:val="001D62BC"/>
    <w:rsid w:val="001D65FC"/>
    <w:rsid w:val="001D6E1B"/>
    <w:rsid w:val="001D7771"/>
    <w:rsid w:val="001E001B"/>
    <w:rsid w:val="001E0931"/>
    <w:rsid w:val="001E0A9A"/>
    <w:rsid w:val="001E0F59"/>
    <w:rsid w:val="001E101F"/>
    <w:rsid w:val="001E128F"/>
    <w:rsid w:val="001E1810"/>
    <w:rsid w:val="001E1B51"/>
    <w:rsid w:val="001E2B5E"/>
    <w:rsid w:val="001E2F1F"/>
    <w:rsid w:val="001E3178"/>
    <w:rsid w:val="001E34ED"/>
    <w:rsid w:val="001E3AA0"/>
    <w:rsid w:val="001E3CDF"/>
    <w:rsid w:val="001E439C"/>
    <w:rsid w:val="001E5064"/>
    <w:rsid w:val="001E513E"/>
    <w:rsid w:val="001E5753"/>
    <w:rsid w:val="001E5CCE"/>
    <w:rsid w:val="001E68C5"/>
    <w:rsid w:val="001E6989"/>
    <w:rsid w:val="001E6FAE"/>
    <w:rsid w:val="001E72FF"/>
    <w:rsid w:val="001E75AE"/>
    <w:rsid w:val="001E78DE"/>
    <w:rsid w:val="001E7B08"/>
    <w:rsid w:val="001E7BC6"/>
    <w:rsid w:val="001E7C2F"/>
    <w:rsid w:val="001F02B7"/>
    <w:rsid w:val="001F074E"/>
    <w:rsid w:val="001F1186"/>
    <w:rsid w:val="001F1694"/>
    <w:rsid w:val="001F1990"/>
    <w:rsid w:val="001F19DB"/>
    <w:rsid w:val="001F1E7B"/>
    <w:rsid w:val="001F217A"/>
    <w:rsid w:val="001F2955"/>
    <w:rsid w:val="001F30D5"/>
    <w:rsid w:val="001F36EA"/>
    <w:rsid w:val="001F3959"/>
    <w:rsid w:val="001F3D15"/>
    <w:rsid w:val="001F42B9"/>
    <w:rsid w:val="001F4807"/>
    <w:rsid w:val="001F4843"/>
    <w:rsid w:val="001F4CBF"/>
    <w:rsid w:val="001F5C7C"/>
    <w:rsid w:val="001F6229"/>
    <w:rsid w:val="001F631E"/>
    <w:rsid w:val="001F65B8"/>
    <w:rsid w:val="001F69A3"/>
    <w:rsid w:val="001F70EF"/>
    <w:rsid w:val="001F7347"/>
    <w:rsid w:val="001F7A61"/>
    <w:rsid w:val="0020014C"/>
    <w:rsid w:val="00200D9D"/>
    <w:rsid w:val="0020183D"/>
    <w:rsid w:val="0020190B"/>
    <w:rsid w:val="002021D9"/>
    <w:rsid w:val="00202602"/>
    <w:rsid w:val="002028CF"/>
    <w:rsid w:val="002030AC"/>
    <w:rsid w:val="002042D4"/>
    <w:rsid w:val="002044E6"/>
    <w:rsid w:val="00204859"/>
    <w:rsid w:val="00205BB7"/>
    <w:rsid w:val="00205BCB"/>
    <w:rsid w:val="00205C29"/>
    <w:rsid w:val="00206190"/>
    <w:rsid w:val="00207476"/>
    <w:rsid w:val="00207F31"/>
    <w:rsid w:val="00210267"/>
    <w:rsid w:val="00210B14"/>
    <w:rsid w:val="00211020"/>
    <w:rsid w:val="0021114C"/>
    <w:rsid w:val="002113FB"/>
    <w:rsid w:val="002120AC"/>
    <w:rsid w:val="0021276E"/>
    <w:rsid w:val="002129E6"/>
    <w:rsid w:val="00212D38"/>
    <w:rsid w:val="00212DC1"/>
    <w:rsid w:val="0021312B"/>
    <w:rsid w:val="002135E5"/>
    <w:rsid w:val="00213D6C"/>
    <w:rsid w:val="0021417A"/>
    <w:rsid w:val="002142A7"/>
    <w:rsid w:val="002149FB"/>
    <w:rsid w:val="002151DA"/>
    <w:rsid w:val="002156C1"/>
    <w:rsid w:val="00215A95"/>
    <w:rsid w:val="00215B8F"/>
    <w:rsid w:val="00215DE0"/>
    <w:rsid w:val="00216523"/>
    <w:rsid w:val="0021682B"/>
    <w:rsid w:val="0021753E"/>
    <w:rsid w:val="002176D8"/>
    <w:rsid w:val="00217928"/>
    <w:rsid w:val="00220835"/>
    <w:rsid w:val="00220E23"/>
    <w:rsid w:val="002210F0"/>
    <w:rsid w:val="00221729"/>
    <w:rsid w:val="0022181E"/>
    <w:rsid w:val="00221AA3"/>
    <w:rsid w:val="00221EF2"/>
    <w:rsid w:val="00221FE1"/>
    <w:rsid w:val="002222B9"/>
    <w:rsid w:val="002233E3"/>
    <w:rsid w:val="00223704"/>
    <w:rsid w:val="00223BD4"/>
    <w:rsid w:val="00223F76"/>
    <w:rsid w:val="002253B8"/>
    <w:rsid w:val="0022558A"/>
    <w:rsid w:val="002259CD"/>
    <w:rsid w:val="00225E89"/>
    <w:rsid w:val="00226930"/>
    <w:rsid w:val="00226E55"/>
    <w:rsid w:val="00230167"/>
    <w:rsid w:val="00230ED0"/>
    <w:rsid w:val="00232335"/>
    <w:rsid w:val="00232613"/>
    <w:rsid w:val="0023278C"/>
    <w:rsid w:val="002328DC"/>
    <w:rsid w:val="00232C82"/>
    <w:rsid w:val="00233E3E"/>
    <w:rsid w:val="002349B4"/>
    <w:rsid w:val="00234C6C"/>
    <w:rsid w:val="00235D45"/>
    <w:rsid w:val="00235E2A"/>
    <w:rsid w:val="002365C4"/>
    <w:rsid w:val="00237398"/>
    <w:rsid w:val="002413C0"/>
    <w:rsid w:val="00242E09"/>
    <w:rsid w:val="00243325"/>
    <w:rsid w:val="00243C04"/>
    <w:rsid w:val="00243ECB"/>
    <w:rsid w:val="00243F60"/>
    <w:rsid w:val="002440DA"/>
    <w:rsid w:val="00244253"/>
    <w:rsid w:val="002442FB"/>
    <w:rsid w:val="0024490B"/>
    <w:rsid w:val="00245078"/>
    <w:rsid w:val="002450F8"/>
    <w:rsid w:val="00245233"/>
    <w:rsid w:val="00246058"/>
    <w:rsid w:val="002460BE"/>
    <w:rsid w:val="00246A84"/>
    <w:rsid w:val="0025022F"/>
    <w:rsid w:val="00250917"/>
    <w:rsid w:val="00251772"/>
    <w:rsid w:val="00251AB8"/>
    <w:rsid w:val="00251CD2"/>
    <w:rsid w:val="00252661"/>
    <w:rsid w:val="00254410"/>
    <w:rsid w:val="00254458"/>
    <w:rsid w:val="00254888"/>
    <w:rsid w:val="00254B5B"/>
    <w:rsid w:val="00254E35"/>
    <w:rsid w:val="0025508B"/>
    <w:rsid w:val="0025525D"/>
    <w:rsid w:val="00255396"/>
    <w:rsid w:val="002557D3"/>
    <w:rsid w:val="00255F08"/>
    <w:rsid w:val="002567FC"/>
    <w:rsid w:val="00256E7C"/>
    <w:rsid w:val="00257A86"/>
    <w:rsid w:val="00257F5C"/>
    <w:rsid w:val="002605A6"/>
    <w:rsid w:val="002606C6"/>
    <w:rsid w:val="00260D0A"/>
    <w:rsid w:val="00261DD9"/>
    <w:rsid w:val="00261F26"/>
    <w:rsid w:val="0026251C"/>
    <w:rsid w:val="00263BBB"/>
    <w:rsid w:val="00263CC0"/>
    <w:rsid w:val="00263DA9"/>
    <w:rsid w:val="002641A0"/>
    <w:rsid w:val="00264773"/>
    <w:rsid w:val="0026482B"/>
    <w:rsid w:val="00264C25"/>
    <w:rsid w:val="002652E6"/>
    <w:rsid w:val="0026652F"/>
    <w:rsid w:val="002674A6"/>
    <w:rsid w:val="002675EC"/>
    <w:rsid w:val="00267CB9"/>
    <w:rsid w:val="0027030D"/>
    <w:rsid w:val="00270420"/>
    <w:rsid w:val="00271F77"/>
    <w:rsid w:val="002724C4"/>
    <w:rsid w:val="00272842"/>
    <w:rsid w:val="00273017"/>
    <w:rsid w:val="002731FA"/>
    <w:rsid w:val="002734D3"/>
    <w:rsid w:val="00273AAB"/>
    <w:rsid w:val="00273AFB"/>
    <w:rsid w:val="002740D3"/>
    <w:rsid w:val="00275020"/>
    <w:rsid w:val="00275291"/>
    <w:rsid w:val="00275811"/>
    <w:rsid w:val="00275AEB"/>
    <w:rsid w:val="00275EDC"/>
    <w:rsid w:val="002762A0"/>
    <w:rsid w:val="00276441"/>
    <w:rsid w:val="00277574"/>
    <w:rsid w:val="00277814"/>
    <w:rsid w:val="00277819"/>
    <w:rsid w:val="00280125"/>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B86"/>
    <w:rsid w:val="002860A7"/>
    <w:rsid w:val="0028649C"/>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BBE"/>
    <w:rsid w:val="00294CDE"/>
    <w:rsid w:val="002955D2"/>
    <w:rsid w:val="00295AC9"/>
    <w:rsid w:val="002960C4"/>
    <w:rsid w:val="00297148"/>
    <w:rsid w:val="002971EE"/>
    <w:rsid w:val="00297651"/>
    <w:rsid w:val="00297C40"/>
    <w:rsid w:val="00297C77"/>
    <w:rsid w:val="002A0BDA"/>
    <w:rsid w:val="002A0C47"/>
    <w:rsid w:val="002A0D2B"/>
    <w:rsid w:val="002A129C"/>
    <w:rsid w:val="002A1AB2"/>
    <w:rsid w:val="002A3036"/>
    <w:rsid w:val="002A332A"/>
    <w:rsid w:val="002A3E87"/>
    <w:rsid w:val="002A423C"/>
    <w:rsid w:val="002A441D"/>
    <w:rsid w:val="002A4C23"/>
    <w:rsid w:val="002A4E1A"/>
    <w:rsid w:val="002A518A"/>
    <w:rsid w:val="002A56A8"/>
    <w:rsid w:val="002A56F8"/>
    <w:rsid w:val="002A6011"/>
    <w:rsid w:val="002A641F"/>
    <w:rsid w:val="002A72B8"/>
    <w:rsid w:val="002A7495"/>
    <w:rsid w:val="002A78B7"/>
    <w:rsid w:val="002A7B5A"/>
    <w:rsid w:val="002B02F7"/>
    <w:rsid w:val="002B0495"/>
    <w:rsid w:val="002B09F8"/>
    <w:rsid w:val="002B1865"/>
    <w:rsid w:val="002B1B4E"/>
    <w:rsid w:val="002B1DC9"/>
    <w:rsid w:val="002B1F1B"/>
    <w:rsid w:val="002B1FE5"/>
    <w:rsid w:val="002B20DD"/>
    <w:rsid w:val="002B2307"/>
    <w:rsid w:val="002B2327"/>
    <w:rsid w:val="002B24DF"/>
    <w:rsid w:val="002B2B08"/>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718"/>
    <w:rsid w:val="002C06AC"/>
    <w:rsid w:val="002C127A"/>
    <w:rsid w:val="002C14F1"/>
    <w:rsid w:val="002C1952"/>
    <w:rsid w:val="002C2195"/>
    <w:rsid w:val="002C2316"/>
    <w:rsid w:val="002C2BC7"/>
    <w:rsid w:val="002C4962"/>
    <w:rsid w:val="002C4B63"/>
    <w:rsid w:val="002C4FC5"/>
    <w:rsid w:val="002C5167"/>
    <w:rsid w:val="002C51AF"/>
    <w:rsid w:val="002C51E3"/>
    <w:rsid w:val="002C524E"/>
    <w:rsid w:val="002C5720"/>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8FC"/>
    <w:rsid w:val="002D5976"/>
    <w:rsid w:val="002D5A0A"/>
    <w:rsid w:val="002D5BA2"/>
    <w:rsid w:val="002D5D0D"/>
    <w:rsid w:val="002D631B"/>
    <w:rsid w:val="002D6836"/>
    <w:rsid w:val="002D6B84"/>
    <w:rsid w:val="002D6D2E"/>
    <w:rsid w:val="002D743E"/>
    <w:rsid w:val="002E00D8"/>
    <w:rsid w:val="002E0284"/>
    <w:rsid w:val="002E0748"/>
    <w:rsid w:val="002E0BDA"/>
    <w:rsid w:val="002E0D6E"/>
    <w:rsid w:val="002E0DD5"/>
    <w:rsid w:val="002E0EC4"/>
    <w:rsid w:val="002E1672"/>
    <w:rsid w:val="002E1EF0"/>
    <w:rsid w:val="002E22CE"/>
    <w:rsid w:val="002E2922"/>
    <w:rsid w:val="002E3506"/>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F6F"/>
    <w:rsid w:val="002F1514"/>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9D7"/>
    <w:rsid w:val="002F51CC"/>
    <w:rsid w:val="002F528B"/>
    <w:rsid w:val="002F5675"/>
    <w:rsid w:val="002F59D6"/>
    <w:rsid w:val="002F5AA3"/>
    <w:rsid w:val="002F72BA"/>
    <w:rsid w:val="002F7529"/>
    <w:rsid w:val="002F752C"/>
    <w:rsid w:val="002F756E"/>
    <w:rsid w:val="002F7626"/>
    <w:rsid w:val="002F7811"/>
    <w:rsid w:val="002F7A6B"/>
    <w:rsid w:val="002F7FEE"/>
    <w:rsid w:val="0030033A"/>
    <w:rsid w:val="0030044D"/>
    <w:rsid w:val="003005BD"/>
    <w:rsid w:val="0030061C"/>
    <w:rsid w:val="00300CB1"/>
    <w:rsid w:val="0030136D"/>
    <w:rsid w:val="00301416"/>
    <w:rsid w:val="00302A6F"/>
    <w:rsid w:val="00302ED5"/>
    <w:rsid w:val="003031F4"/>
    <w:rsid w:val="0030369D"/>
    <w:rsid w:val="00303794"/>
    <w:rsid w:val="003047B3"/>
    <w:rsid w:val="00304E20"/>
    <w:rsid w:val="00304E41"/>
    <w:rsid w:val="00305547"/>
    <w:rsid w:val="003061CF"/>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D12"/>
    <w:rsid w:val="00312128"/>
    <w:rsid w:val="0031240B"/>
    <w:rsid w:val="003125DD"/>
    <w:rsid w:val="003128DE"/>
    <w:rsid w:val="003129A2"/>
    <w:rsid w:val="0031397B"/>
    <w:rsid w:val="00313C3B"/>
    <w:rsid w:val="00314006"/>
    <w:rsid w:val="00314337"/>
    <w:rsid w:val="00314E6D"/>
    <w:rsid w:val="0031545A"/>
    <w:rsid w:val="00315D65"/>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289"/>
    <w:rsid w:val="0032625E"/>
    <w:rsid w:val="0032649F"/>
    <w:rsid w:val="00326830"/>
    <w:rsid w:val="00326BB3"/>
    <w:rsid w:val="00327318"/>
    <w:rsid w:val="00330087"/>
    <w:rsid w:val="00330345"/>
    <w:rsid w:val="0033092D"/>
    <w:rsid w:val="00330AC4"/>
    <w:rsid w:val="003332C4"/>
    <w:rsid w:val="003332E3"/>
    <w:rsid w:val="00333AEA"/>
    <w:rsid w:val="00333FF5"/>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516"/>
    <w:rsid w:val="00341685"/>
    <w:rsid w:val="00341824"/>
    <w:rsid w:val="00341B6B"/>
    <w:rsid w:val="0034271A"/>
    <w:rsid w:val="00342984"/>
    <w:rsid w:val="00342A29"/>
    <w:rsid w:val="00342D26"/>
    <w:rsid w:val="00342F4C"/>
    <w:rsid w:val="00343C0B"/>
    <w:rsid w:val="0034406E"/>
    <w:rsid w:val="003442C9"/>
    <w:rsid w:val="003445E4"/>
    <w:rsid w:val="00344635"/>
    <w:rsid w:val="00344726"/>
    <w:rsid w:val="00344CCF"/>
    <w:rsid w:val="0034528A"/>
    <w:rsid w:val="0034550A"/>
    <w:rsid w:val="00345A4A"/>
    <w:rsid w:val="00345F5B"/>
    <w:rsid w:val="003465B3"/>
    <w:rsid w:val="00346EDC"/>
    <w:rsid w:val="00347053"/>
    <w:rsid w:val="003472C0"/>
    <w:rsid w:val="003474FD"/>
    <w:rsid w:val="003478B0"/>
    <w:rsid w:val="003479FD"/>
    <w:rsid w:val="00347D03"/>
    <w:rsid w:val="00347EF8"/>
    <w:rsid w:val="0035075E"/>
    <w:rsid w:val="0035094D"/>
    <w:rsid w:val="003518A8"/>
    <w:rsid w:val="003526F2"/>
    <w:rsid w:val="00352CDA"/>
    <w:rsid w:val="00352F34"/>
    <w:rsid w:val="00353081"/>
    <w:rsid w:val="003534CF"/>
    <w:rsid w:val="003538EF"/>
    <w:rsid w:val="003548DF"/>
    <w:rsid w:val="00354903"/>
    <w:rsid w:val="0035533B"/>
    <w:rsid w:val="0035568C"/>
    <w:rsid w:val="00355864"/>
    <w:rsid w:val="00355974"/>
    <w:rsid w:val="0035599A"/>
    <w:rsid w:val="00356502"/>
    <w:rsid w:val="00357FE7"/>
    <w:rsid w:val="00360273"/>
    <w:rsid w:val="00360331"/>
    <w:rsid w:val="003606F3"/>
    <w:rsid w:val="00360D9A"/>
    <w:rsid w:val="00360E67"/>
    <w:rsid w:val="00361702"/>
    <w:rsid w:val="0036186D"/>
    <w:rsid w:val="003618C1"/>
    <w:rsid w:val="003619C2"/>
    <w:rsid w:val="003621C7"/>
    <w:rsid w:val="003622DD"/>
    <w:rsid w:val="00363235"/>
    <w:rsid w:val="003633AF"/>
    <w:rsid w:val="00363944"/>
    <w:rsid w:val="00364915"/>
    <w:rsid w:val="00364D4A"/>
    <w:rsid w:val="00364E6E"/>
    <w:rsid w:val="00365BCA"/>
    <w:rsid w:val="0036601D"/>
    <w:rsid w:val="003663C2"/>
    <w:rsid w:val="0036649F"/>
    <w:rsid w:val="00366586"/>
    <w:rsid w:val="00366CD1"/>
    <w:rsid w:val="003670F9"/>
    <w:rsid w:val="003674BE"/>
    <w:rsid w:val="0036763B"/>
    <w:rsid w:val="00367DDB"/>
    <w:rsid w:val="00367E76"/>
    <w:rsid w:val="003719A8"/>
    <w:rsid w:val="003738A4"/>
    <w:rsid w:val="003740E7"/>
    <w:rsid w:val="0037452F"/>
    <w:rsid w:val="003747BD"/>
    <w:rsid w:val="0037488E"/>
    <w:rsid w:val="0037488F"/>
    <w:rsid w:val="00374ABA"/>
    <w:rsid w:val="00374B1E"/>
    <w:rsid w:val="0037520A"/>
    <w:rsid w:val="00375657"/>
    <w:rsid w:val="003758CD"/>
    <w:rsid w:val="00375D46"/>
    <w:rsid w:val="00380106"/>
    <w:rsid w:val="0038047D"/>
    <w:rsid w:val="003805AE"/>
    <w:rsid w:val="00380730"/>
    <w:rsid w:val="00381295"/>
    <w:rsid w:val="003814A7"/>
    <w:rsid w:val="0038183E"/>
    <w:rsid w:val="00381946"/>
    <w:rsid w:val="00382CB4"/>
    <w:rsid w:val="003834D1"/>
    <w:rsid w:val="003841D8"/>
    <w:rsid w:val="003846C9"/>
    <w:rsid w:val="003856EC"/>
    <w:rsid w:val="0038603C"/>
    <w:rsid w:val="00386188"/>
    <w:rsid w:val="003868B8"/>
    <w:rsid w:val="00390532"/>
    <w:rsid w:val="0039070C"/>
    <w:rsid w:val="00390C65"/>
    <w:rsid w:val="00391022"/>
    <w:rsid w:val="0039256D"/>
    <w:rsid w:val="00392C07"/>
    <w:rsid w:val="00392DB3"/>
    <w:rsid w:val="00393E68"/>
    <w:rsid w:val="003942B3"/>
    <w:rsid w:val="0039448A"/>
    <w:rsid w:val="0039448C"/>
    <w:rsid w:val="003944E8"/>
    <w:rsid w:val="00394563"/>
    <w:rsid w:val="00394E90"/>
    <w:rsid w:val="00395146"/>
    <w:rsid w:val="00395317"/>
    <w:rsid w:val="00395474"/>
    <w:rsid w:val="003957F5"/>
    <w:rsid w:val="00396709"/>
    <w:rsid w:val="003977B5"/>
    <w:rsid w:val="003A01CA"/>
    <w:rsid w:val="003A065C"/>
    <w:rsid w:val="003A0B69"/>
    <w:rsid w:val="003A177C"/>
    <w:rsid w:val="003A1D06"/>
    <w:rsid w:val="003A240F"/>
    <w:rsid w:val="003A265F"/>
    <w:rsid w:val="003A2DD4"/>
    <w:rsid w:val="003A3643"/>
    <w:rsid w:val="003A420B"/>
    <w:rsid w:val="003A4353"/>
    <w:rsid w:val="003A4626"/>
    <w:rsid w:val="003A4FD1"/>
    <w:rsid w:val="003A51CC"/>
    <w:rsid w:val="003A58C3"/>
    <w:rsid w:val="003A5938"/>
    <w:rsid w:val="003A6184"/>
    <w:rsid w:val="003A6270"/>
    <w:rsid w:val="003A67D3"/>
    <w:rsid w:val="003A6EA1"/>
    <w:rsid w:val="003A72EC"/>
    <w:rsid w:val="003B0279"/>
    <w:rsid w:val="003B03C7"/>
    <w:rsid w:val="003B067D"/>
    <w:rsid w:val="003B0DD4"/>
    <w:rsid w:val="003B0FA7"/>
    <w:rsid w:val="003B17E8"/>
    <w:rsid w:val="003B1896"/>
    <w:rsid w:val="003B19EF"/>
    <w:rsid w:val="003B1C86"/>
    <w:rsid w:val="003B1E8F"/>
    <w:rsid w:val="003B27FA"/>
    <w:rsid w:val="003B2855"/>
    <w:rsid w:val="003B2D48"/>
    <w:rsid w:val="003B2DC5"/>
    <w:rsid w:val="003B3526"/>
    <w:rsid w:val="003B354C"/>
    <w:rsid w:val="003B38C1"/>
    <w:rsid w:val="003B3D77"/>
    <w:rsid w:val="003B3F62"/>
    <w:rsid w:val="003B487A"/>
    <w:rsid w:val="003B4C24"/>
    <w:rsid w:val="003B4CDF"/>
    <w:rsid w:val="003B4D8D"/>
    <w:rsid w:val="003B4FE5"/>
    <w:rsid w:val="003B5B55"/>
    <w:rsid w:val="003B662E"/>
    <w:rsid w:val="003B778E"/>
    <w:rsid w:val="003B7923"/>
    <w:rsid w:val="003B7933"/>
    <w:rsid w:val="003B7C23"/>
    <w:rsid w:val="003C04F1"/>
    <w:rsid w:val="003C0CC7"/>
    <w:rsid w:val="003C0D11"/>
    <w:rsid w:val="003C180D"/>
    <w:rsid w:val="003C18E7"/>
    <w:rsid w:val="003C19BA"/>
    <w:rsid w:val="003C1F5F"/>
    <w:rsid w:val="003C20EA"/>
    <w:rsid w:val="003C2301"/>
    <w:rsid w:val="003C2584"/>
    <w:rsid w:val="003C2CC4"/>
    <w:rsid w:val="003C306B"/>
    <w:rsid w:val="003C3DCA"/>
    <w:rsid w:val="003C450E"/>
    <w:rsid w:val="003C45F2"/>
    <w:rsid w:val="003C4818"/>
    <w:rsid w:val="003C541E"/>
    <w:rsid w:val="003C57BC"/>
    <w:rsid w:val="003C5A2F"/>
    <w:rsid w:val="003C5D43"/>
    <w:rsid w:val="003C657C"/>
    <w:rsid w:val="003C6D0B"/>
    <w:rsid w:val="003C6DCE"/>
    <w:rsid w:val="003C7D16"/>
    <w:rsid w:val="003C7F5D"/>
    <w:rsid w:val="003D0129"/>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132"/>
    <w:rsid w:val="003F1345"/>
    <w:rsid w:val="003F16DA"/>
    <w:rsid w:val="003F260F"/>
    <w:rsid w:val="003F2B8D"/>
    <w:rsid w:val="003F2FD3"/>
    <w:rsid w:val="003F37EE"/>
    <w:rsid w:val="003F3AC4"/>
    <w:rsid w:val="003F4685"/>
    <w:rsid w:val="003F4A37"/>
    <w:rsid w:val="003F4E8E"/>
    <w:rsid w:val="003F5704"/>
    <w:rsid w:val="003F6E06"/>
    <w:rsid w:val="003F7397"/>
    <w:rsid w:val="003F74CD"/>
    <w:rsid w:val="003F7840"/>
    <w:rsid w:val="003F7E7B"/>
    <w:rsid w:val="003F7ED0"/>
    <w:rsid w:val="003F7FB3"/>
    <w:rsid w:val="004000AE"/>
    <w:rsid w:val="00400DF1"/>
    <w:rsid w:val="00400F56"/>
    <w:rsid w:val="00401AB6"/>
    <w:rsid w:val="00402817"/>
    <w:rsid w:val="00402BCF"/>
    <w:rsid w:val="00402FAA"/>
    <w:rsid w:val="00403527"/>
    <w:rsid w:val="004040DD"/>
    <w:rsid w:val="004042DE"/>
    <w:rsid w:val="00404646"/>
    <w:rsid w:val="0040518B"/>
    <w:rsid w:val="00405217"/>
    <w:rsid w:val="00405E62"/>
    <w:rsid w:val="00405EF8"/>
    <w:rsid w:val="00406C20"/>
    <w:rsid w:val="004072ED"/>
    <w:rsid w:val="004100DF"/>
    <w:rsid w:val="004104A1"/>
    <w:rsid w:val="00411244"/>
    <w:rsid w:val="004115E9"/>
    <w:rsid w:val="00411E04"/>
    <w:rsid w:val="004124AF"/>
    <w:rsid w:val="004128C2"/>
    <w:rsid w:val="004129AB"/>
    <w:rsid w:val="0041324B"/>
    <w:rsid w:val="00413976"/>
    <w:rsid w:val="00413AA7"/>
    <w:rsid w:val="00413B8F"/>
    <w:rsid w:val="00413D20"/>
    <w:rsid w:val="0041422C"/>
    <w:rsid w:val="004143A6"/>
    <w:rsid w:val="0041451F"/>
    <w:rsid w:val="00414ABB"/>
    <w:rsid w:val="00414E2F"/>
    <w:rsid w:val="004151A6"/>
    <w:rsid w:val="00416BC0"/>
    <w:rsid w:val="00416FE6"/>
    <w:rsid w:val="00417094"/>
    <w:rsid w:val="004178D5"/>
    <w:rsid w:val="00420793"/>
    <w:rsid w:val="004211BA"/>
    <w:rsid w:val="0042125E"/>
    <w:rsid w:val="0042149C"/>
    <w:rsid w:val="00421570"/>
    <w:rsid w:val="00421AA7"/>
    <w:rsid w:val="00421DFA"/>
    <w:rsid w:val="00422373"/>
    <w:rsid w:val="0042256A"/>
    <w:rsid w:val="00422BFD"/>
    <w:rsid w:val="00422F36"/>
    <w:rsid w:val="004236FF"/>
    <w:rsid w:val="00423D6A"/>
    <w:rsid w:val="00423DCF"/>
    <w:rsid w:val="004250CC"/>
    <w:rsid w:val="004253D1"/>
    <w:rsid w:val="0042570F"/>
    <w:rsid w:val="004258D4"/>
    <w:rsid w:val="0042645B"/>
    <w:rsid w:val="0042698D"/>
    <w:rsid w:val="00426A18"/>
    <w:rsid w:val="00426A5E"/>
    <w:rsid w:val="004278AA"/>
    <w:rsid w:val="00427D72"/>
    <w:rsid w:val="00430008"/>
    <w:rsid w:val="00430C40"/>
    <w:rsid w:val="00431F8E"/>
    <w:rsid w:val="00431FFE"/>
    <w:rsid w:val="0043236C"/>
    <w:rsid w:val="00432860"/>
    <w:rsid w:val="004331B5"/>
    <w:rsid w:val="004331DF"/>
    <w:rsid w:val="004333C1"/>
    <w:rsid w:val="00433B31"/>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4E9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D3C"/>
    <w:rsid w:val="00452DA6"/>
    <w:rsid w:val="00453533"/>
    <w:rsid w:val="004536AF"/>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C0"/>
    <w:rsid w:val="0046604E"/>
    <w:rsid w:val="00466378"/>
    <w:rsid w:val="004668D0"/>
    <w:rsid w:val="00466A76"/>
    <w:rsid w:val="0046708B"/>
    <w:rsid w:val="004672DE"/>
    <w:rsid w:val="004672F9"/>
    <w:rsid w:val="00467A2A"/>
    <w:rsid w:val="00467BB6"/>
    <w:rsid w:val="0047035C"/>
    <w:rsid w:val="00470958"/>
    <w:rsid w:val="004710EE"/>
    <w:rsid w:val="00471373"/>
    <w:rsid w:val="0047217C"/>
    <w:rsid w:val="00473CEC"/>
    <w:rsid w:val="00475E1A"/>
    <w:rsid w:val="004761E0"/>
    <w:rsid w:val="00476A05"/>
    <w:rsid w:val="00477D57"/>
    <w:rsid w:val="0048029E"/>
    <w:rsid w:val="0048069A"/>
    <w:rsid w:val="00481116"/>
    <w:rsid w:val="0048121F"/>
    <w:rsid w:val="00481719"/>
    <w:rsid w:val="00481F2D"/>
    <w:rsid w:val="00481F9C"/>
    <w:rsid w:val="004831C0"/>
    <w:rsid w:val="00483576"/>
    <w:rsid w:val="0048378A"/>
    <w:rsid w:val="00484617"/>
    <w:rsid w:val="004846E3"/>
    <w:rsid w:val="00484CE2"/>
    <w:rsid w:val="0048547E"/>
    <w:rsid w:val="0048549E"/>
    <w:rsid w:val="00485E05"/>
    <w:rsid w:val="004861E5"/>
    <w:rsid w:val="00486436"/>
    <w:rsid w:val="004866D6"/>
    <w:rsid w:val="00486BB7"/>
    <w:rsid w:val="00486E76"/>
    <w:rsid w:val="00487750"/>
    <w:rsid w:val="00487B68"/>
    <w:rsid w:val="00487B71"/>
    <w:rsid w:val="00487E66"/>
    <w:rsid w:val="00490A0B"/>
    <w:rsid w:val="004913C4"/>
    <w:rsid w:val="00491D1C"/>
    <w:rsid w:val="004926D3"/>
    <w:rsid w:val="00492706"/>
    <w:rsid w:val="00492A3F"/>
    <w:rsid w:val="0049319C"/>
    <w:rsid w:val="00493A85"/>
    <w:rsid w:val="00494237"/>
    <w:rsid w:val="0049514D"/>
    <w:rsid w:val="004959A5"/>
    <w:rsid w:val="00495A07"/>
    <w:rsid w:val="00496308"/>
    <w:rsid w:val="00496647"/>
    <w:rsid w:val="00496DD1"/>
    <w:rsid w:val="004971CE"/>
    <w:rsid w:val="004976C9"/>
    <w:rsid w:val="00497A0B"/>
    <w:rsid w:val="004A0965"/>
    <w:rsid w:val="004A09EB"/>
    <w:rsid w:val="004A1056"/>
    <w:rsid w:val="004A17E9"/>
    <w:rsid w:val="004A1CC7"/>
    <w:rsid w:val="004A20D5"/>
    <w:rsid w:val="004A23D9"/>
    <w:rsid w:val="004A2648"/>
    <w:rsid w:val="004A377B"/>
    <w:rsid w:val="004A3F58"/>
    <w:rsid w:val="004A422A"/>
    <w:rsid w:val="004A4693"/>
    <w:rsid w:val="004A4952"/>
    <w:rsid w:val="004A50F4"/>
    <w:rsid w:val="004A5237"/>
    <w:rsid w:val="004A5330"/>
    <w:rsid w:val="004A5C6F"/>
    <w:rsid w:val="004A5CED"/>
    <w:rsid w:val="004A5CF7"/>
    <w:rsid w:val="004A6782"/>
    <w:rsid w:val="004A6EE7"/>
    <w:rsid w:val="004A76A2"/>
    <w:rsid w:val="004A7E49"/>
    <w:rsid w:val="004B07A5"/>
    <w:rsid w:val="004B0A75"/>
    <w:rsid w:val="004B1898"/>
    <w:rsid w:val="004B1AF3"/>
    <w:rsid w:val="004B1D5A"/>
    <w:rsid w:val="004B2417"/>
    <w:rsid w:val="004B269D"/>
    <w:rsid w:val="004B2983"/>
    <w:rsid w:val="004B2CB2"/>
    <w:rsid w:val="004B317A"/>
    <w:rsid w:val="004B3DBA"/>
    <w:rsid w:val="004B48BA"/>
    <w:rsid w:val="004B4B4C"/>
    <w:rsid w:val="004B5162"/>
    <w:rsid w:val="004B542C"/>
    <w:rsid w:val="004B5695"/>
    <w:rsid w:val="004B58B6"/>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AA7"/>
    <w:rsid w:val="004C6F56"/>
    <w:rsid w:val="004C7ABE"/>
    <w:rsid w:val="004C7E68"/>
    <w:rsid w:val="004D03E9"/>
    <w:rsid w:val="004D07B2"/>
    <w:rsid w:val="004D0D86"/>
    <w:rsid w:val="004D17E7"/>
    <w:rsid w:val="004D1B93"/>
    <w:rsid w:val="004D1EBB"/>
    <w:rsid w:val="004D1EBE"/>
    <w:rsid w:val="004D277E"/>
    <w:rsid w:val="004D3277"/>
    <w:rsid w:val="004D33AA"/>
    <w:rsid w:val="004D3A1D"/>
    <w:rsid w:val="004D4099"/>
    <w:rsid w:val="004D412C"/>
    <w:rsid w:val="004D4467"/>
    <w:rsid w:val="004D48CA"/>
    <w:rsid w:val="004D4B66"/>
    <w:rsid w:val="004D4BFE"/>
    <w:rsid w:val="004D5099"/>
    <w:rsid w:val="004D5340"/>
    <w:rsid w:val="004D5C44"/>
    <w:rsid w:val="004D5CEB"/>
    <w:rsid w:val="004D697A"/>
    <w:rsid w:val="004D7360"/>
    <w:rsid w:val="004D75FC"/>
    <w:rsid w:val="004D7624"/>
    <w:rsid w:val="004D7727"/>
    <w:rsid w:val="004E0356"/>
    <w:rsid w:val="004E0456"/>
    <w:rsid w:val="004E06E9"/>
    <w:rsid w:val="004E0C6D"/>
    <w:rsid w:val="004E0D6F"/>
    <w:rsid w:val="004E12F2"/>
    <w:rsid w:val="004E15BE"/>
    <w:rsid w:val="004E19CA"/>
    <w:rsid w:val="004E1E34"/>
    <w:rsid w:val="004E1E7B"/>
    <w:rsid w:val="004E220E"/>
    <w:rsid w:val="004E28B1"/>
    <w:rsid w:val="004E2DC7"/>
    <w:rsid w:val="004E2E1F"/>
    <w:rsid w:val="004E2F31"/>
    <w:rsid w:val="004E3A59"/>
    <w:rsid w:val="004E3C86"/>
    <w:rsid w:val="004E3EA2"/>
    <w:rsid w:val="004E427C"/>
    <w:rsid w:val="004E45BD"/>
    <w:rsid w:val="004E45D7"/>
    <w:rsid w:val="004E4779"/>
    <w:rsid w:val="004E4912"/>
    <w:rsid w:val="004E4A1E"/>
    <w:rsid w:val="004E4BE5"/>
    <w:rsid w:val="004E4C21"/>
    <w:rsid w:val="004E4EF1"/>
    <w:rsid w:val="004E4FD4"/>
    <w:rsid w:val="004E509E"/>
    <w:rsid w:val="004E50B2"/>
    <w:rsid w:val="004E5A10"/>
    <w:rsid w:val="004E5FBF"/>
    <w:rsid w:val="004E6093"/>
    <w:rsid w:val="004E64AE"/>
    <w:rsid w:val="004E6E66"/>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ED"/>
    <w:rsid w:val="00501143"/>
    <w:rsid w:val="00501BFA"/>
    <w:rsid w:val="0050208A"/>
    <w:rsid w:val="005030D9"/>
    <w:rsid w:val="00504615"/>
    <w:rsid w:val="0050473E"/>
    <w:rsid w:val="00505411"/>
    <w:rsid w:val="00505ADB"/>
    <w:rsid w:val="00506624"/>
    <w:rsid w:val="005066ED"/>
    <w:rsid w:val="005069E4"/>
    <w:rsid w:val="0050730E"/>
    <w:rsid w:val="00507356"/>
    <w:rsid w:val="00507ACB"/>
    <w:rsid w:val="00507B30"/>
    <w:rsid w:val="0051047C"/>
    <w:rsid w:val="005106B8"/>
    <w:rsid w:val="005106F2"/>
    <w:rsid w:val="005107EC"/>
    <w:rsid w:val="0051167E"/>
    <w:rsid w:val="00511AE5"/>
    <w:rsid w:val="0051278C"/>
    <w:rsid w:val="00513D15"/>
    <w:rsid w:val="00513D1A"/>
    <w:rsid w:val="00514267"/>
    <w:rsid w:val="005144A7"/>
    <w:rsid w:val="00514A63"/>
    <w:rsid w:val="00514C0B"/>
    <w:rsid w:val="00514E85"/>
    <w:rsid w:val="005156F2"/>
    <w:rsid w:val="00515AFB"/>
    <w:rsid w:val="00516213"/>
    <w:rsid w:val="005164B5"/>
    <w:rsid w:val="00516520"/>
    <w:rsid w:val="005165A5"/>
    <w:rsid w:val="00516615"/>
    <w:rsid w:val="0051664F"/>
    <w:rsid w:val="005168CE"/>
    <w:rsid w:val="00516917"/>
    <w:rsid w:val="00517C0E"/>
    <w:rsid w:val="00520111"/>
    <w:rsid w:val="005201E4"/>
    <w:rsid w:val="005201F0"/>
    <w:rsid w:val="00520A7E"/>
    <w:rsid w:val="00520E3F"/>
    <w:rsid w:val="00521998"/>
    <w:rsid w:val="00521BC0"/>
    <w:rsid w:val="00522F38"/>
    <w:rsid w:val="005230E0"/>
    <w:rsid w:val="00523B37"/>
    <w:rsid w:val="00523C7D"/>
    <w:rsid w:val="00525C79"/>
    <w:rsid w:val="00525DA4"/>
    <w:rsid w:val="0052608A"/>
    <w:rsid w:val="005264CF"/>
    <w:rsid w:val="00526FFB"/>
    <w:rsid w:val="005272C8"/>
    <w:rsid w:val="00527336"/>
    <w:rsid w:val="00527F08"/>
    <w:rsid w:val="005301D8"/>
    <w:rsid w:val="005305A7"/>
    <w:rsid w:val="005310E2"/>
    <w:rsid w:val="00531439"/>
    <w:rsid w:val="0053181C"/>
    <w:rsid w:val="005321D4"/>
    <w:rsid w:val="00532688"/>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5CF"/>
    <w:rsid w:val="005426E8"/>
    <w:rsid w:val="00542F18"/>
    <w:rsid w:val="0054304E"/>
    <w:rsid w:val="00543308"/>
    <w:rsid w:val="0054341E"/>
    <w:rsid w:val="00543427"/>
    <w:rsid w:val="00543726"/>
    <w:rsid w:val="00543822"/>
    <w:rsid w:val="005440BA"/>
    <w:rsid w:val="00544366"/>
    <w:rsid w:val="005445F7"/>
    <w:rsid w:val="00545257"/>
    <w:rsid w:val="00545ACC"/>
    <w:rsid w:val="00545D06"/>
    <w:rsid w:val="005469BE"/>
    <w:rsid w:val="005470D8"/>
    <w:rsid w:val="00547110"/>
    <w:rsid w:val="00547497"/>
    <w:rsid w:val="00547B66"/>
    <w:rsid w:val="00547F98"/>
    <w:rsid w:val="0055002A"/>
    <w:rsid w:val="0055075F"/>
    <w:rsid w:val="00550DEA"/>
    <w:rsid w:val="00551468"/>
    <w:rsid w:val="00551AAC"/>
    <w:rsid w:val="00551EDC"/>
    <w:rsid w:val="00552DEB"/>
    <w:rsid w:val="005530A2"/>
    <w:rsid w:val="00553291"/>
    <w:rsid w:val="00553375"/>
    <w:rsid w:val="0055354A"/>
    <w:rsid w:val="005538A6"/>
    <w:rsid w:val="005538CF"/>
    <w:rsid w:val="00553CFE"/>
    <w:rsid w:val="00553EE6"/>
    <w:rsid w:val="00554178"/>
    <w:rsid w:val="00554D5D"/>
    <w:rsid w:val="00554EFC"/>
    <w:rsid w:val="00554F87"/>
    <w:rsid w:val="00555A2F"/>
    <w:rsid w:val="00555D32"/>
    <w:rsid w:val="00556D9D"/>
    <w:rsid w:val="005575F9"/>
    <w:rsid w:val="00560866"/>
    <w:rsid w:val="005609F1"/>
    <w:rsid w:val="0056136D"/>
    <w:rsid w:val="0056158D"/>
    <w:rsid w:val="00561AB7"/>
    <w:rsid w:val="00561CDA"/>
    <w:rsid w:val="00562050"/>
    <w:rsid w:val="005620FC"/>
    <w:rsid w:val="00562867"/>
    <w:rsid w:val="00562E84"/>
    <w:rsid w:val="00562EE9"/>
    <w:rsid w:val="00563157"/>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7F1"/>
    <w:rsid w:val="005728CD"/>
    <w:rsid w:val="00572E1F"/>
    <w:rsid w:val="005730AD"/>
    <w:rsid w:val="00573237"/>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795C"/>
    <w:rsid w:val="00577D1D"/>
    <w:rsid w:val="00580191"/>
    <w:rsid w:val="00580580"/>
    <w:rsid w:val="00580F9D"/>
    <w:rsid w:val="005811EF"/>
    <w:rsid w:val="005811F8"/>
    <w:rsid w:val="0058122A"/>
    <w:rsid w:val="005816D3"/>
    <w:rsid w:val="00581A73"/>
    <w:rsid w:val="00581AB2"/>
    <w:rsid w:val="00582E47"/>
    <w:rsid w:val="00582F8B"/>
    <w:rsid w:val="00583945"/>
    <w:rsid w:val="00583B6D"/>
    <w:rsid w:val="00584065"/>
    <w:rsid w:val="0058443C"/>
    <w:rsid w:val="0058458B"/>
    <w:rsid w:val="00584AF3"/>
    <w:rsid w:val="00584B88"/>
    <w:rsid w:val="00585389"/>
    <w:rsid w:val="005858FB"/>
    <w:rsid w:val="0058635E"/>
    <w:rsid w:val="005863C2"/>
    <w:rsid w:val="00586B45"/>
    <w:rsid w:val="00586FE9"/>
    <w:rsid w:val="00587389"/>
    <w:rsid w:val="00587A0E"/>
    <w:rsid w:val="00587D7B"/>
    <w:rsid w:val="00590919"/>
    <w:rsid w:val="00590C24"/>
    <w:rsid w:val="0059126E"/>
    <w:rsid w:val="005912D9"/>
    <w:rsid w:val="0059146F"/>
    <w:rsid w:val="0059162E"/>
    <w:rsid w:val="005916F2"/>
    <w:rsid w:val="00591C33"/>
    <w:rsid w:val="005925C6"/>
    <w:rsid w:val="0059262E"/>
    <w:rsid w:val="00592738"/>
    <w:rsid w:val="00593B60"/>
    <w:rsid w:val="00593B77"/>
    <w:rsid w:val="0059407F"/>
    <w:rsid w:val="00594261"/>
    <w:rsid w:val="005949F7"/>
    <w:rsid w:val="00594C16"/>
    <w:rsid w:val="005953DF"/>
    <w:rsid w:val="0059567F"/>
    <w:rsid w:val="0059613A"/>
    <w:rsid w:val="00596512"/>
    <w:rsid w:val="0059655E"/>
    <w:rsid w:val="005965FB"/>
    <w:rsid w:val="00596850"/>
    <w:rsid w:val="005972C7"/>
    <w:rsid w:val="005973D1"/>
    <w:rsid w:val="005975D2"/>
    <w:rsid w:val="00597954"/>
    <w:rsid w:val="005A056D"/>
    <w:rsid w:val="005A05F1"/>
    <w:rsid w:val="005A13CD"/>
    <w:rsid w:val="005A14B8"/>
    <w:rsid w:val="005A1817"/>
    <w:rsid w:val="005A23AC"/>
    <w:rsid w:val="005A291A"/>
    <w:rsid w:val="005A2A52"/>
    <w:rsid w:val="005A37D9"/>
    <w:rsid w:val="005A3B06"/>
    <w:rsid w:val="005A400A"/>
    <w:rsid w:val="005A4293"/>
    <w:rsid w:val="005A441E"/>
    <w:rsid w:val="005A51CF"/>
    <w:rsid w:val="005A5B86"/>
    <w:rsid w:val="005A6110"/>
    <w:rsid w:val="005A6543"/>
    <w:rsid w:val="005A6F06"/>
    <w:rsid w:val="005A7998"/>
    <w:rsid w:val="005A7A22"/>
    <w:rsid w:val="005B0251"/>
    <w:rsid w:val="005B11D4"/>
    <w:rsid w:val="005B1764"/>
    <w:rsid w:val="005B20D2"/>
    <w:rsid w:val="005B21E9"/>
    <w:rsid w:val="005B22A0"/>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731"/>
    <w:rsid w:val="005B72F0"/>
    <w:rsid w:val="005B7341"/>
    <w:rsid w:val="005B7973"/>
    <w:rsid w:val="005C01FD"/>
    <w:rsid w:val="005C11B7"/>
    <w:rsid w:val="005C1F3E"/>
    <w:rsid w:val="005C260A"/>
    <w:rsid w:val="005C350E"/>
    <w:rsid w:val="005C3829"/>
    <w:rsid w:val="005C3A93"/>
    <w:rsid w:val="005C3ED4"/>
    <w:rsid w:val="005C3F3C"/>
    <w:rsid w:val="005C4884"/>
    <w:rsid w:val="005C503F"/>
    <w:rsid w:val="005C6936"/>
    <w:rsid w:val="005C745C"/>
    <w:rsid w:val="005D0629"/>
    <w:rsid w:val="005D0DD0"/>
    <w:rsid w:val="005D10C2"/>
    <w:rsid w:val="005D131C"/>
    <w:rsid w:val="005D1D3B"/>
    <w:rsid w:val="005D1D94"/>
    <w:rsid w:val="005D2456"/>
    <w:rsid w:val="005D28A0"/>
    <w:rsid w:val="005D2B76"/>
    <w:rsid w:val="005D2C6E"/>
    <w:rsid w:val="005D2D9A"/>
    <w:rsid w:val="005D2E6B"/>
    <w:rsid w:val="005D3396"/>
    <w:rsid w:val="005D3A03"/>
    <w:rsid w:val="005D3B48"/>
    <w:rsid w:val="005D3D7E"/>
    <w:rsid w:val="005D3E2A"/>
    <w:rsid w:val="005D3FB0"/>
    <w:rsid w:val="005D5310"/>
    <w:rsid w:val="005D5480"/>
    <w:rsid w:val="005D5A92"/>
    <w:rsid w:val="005D5D68"/>
    <w:rsid w:val="005D62BC"/>
    <w:rsid w:val="005D73C6"/>
    <w:rsid w:val="005D7988"/>
    <w:rsid w:val="005D7AB3"/>
    <w:rsid w:val="005D7B1A"/>
    <w:rsid w:val="005D7BBA"/>
    <w:rsid w:val="005D7F8B"/>
    <w:rsid w:val="005E03CE"/>
    <w:rsid w:val="005E0E04"/>
    <w:rsid w:val="005E0FC5"/>
    <w:rsid w:val="005E144C"/>
    <w:rsid w:val="005E1522"/>
    <w:rsid w:val="005E1923"/>
    <w:rsid w:val="005E1DB4"/>
    <w:rsid w:val="005E2268"/>
    <w:rsid w:val="005E2AFC"/>
    <w:rsid w:val="005E391E"/>
    <w:rsid w:val="005E3AAC"/>
    <w:rsid w:val="005E3ED4"/>
    <w:rsid w:val="005E3F54"/>
    <w:rsid w:val="005E4889"/>
    <w:rsid w:val="005E4C8A"/>
    <w:rsid w:val="005E4FF6"/>
    <w:rsid w:val="005E5745"/>
    <w:rsid w:val="005E583B"/>
    <w:rsid w:val="005E624E"/>
    <w:rsid w:val="005E6FAD"/>
    <w:rsid w:val="005E7B89"/>
    <w:rsid w:val="005F06FA"/>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68C4"/>
    <w:rsid w:val="005F7437"/>
    <w:rsid w:val="005F7FF0"/>
    <w:rsid w:val="006002E8"/>
    <w:rsid w:val="0060085F"/>
    <w:rsid w:val="006009BF"/>
    <w:rsid w:val="00600E8C"/>
    <w:rsid w:val="0060114F"/>
    <w:rsid w:val="006015CB"/>
    <w:rsid w:val="00601E66"/>
    <w:rsid w:val="00601EB6"/>
    <w:rsid w:val="006020B4"/>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8BD"/>
    <w:rsid w:val="00611A9E"/>
    <w:rsid w:val="00611CAA"/>
    <w:rsid w:val="0061216C"/>
    <w:rsid w:val="006136C9"/>
    <w:rsid w:val="006138B3"/>
    <w:rsid w:val="00613CD9"/>
    <w:rsid w:val="00614127"/>
    <w:rsid w:val="00614442"/>
    <w:rsid w:val="00614A4E"/>
    <w:rsid w:val="00615178"/>
    <w:rsid w:val="006159F3"/>
    <w:rsid w:val="00615BDA"/>
    <w:rsid w:val="00615CB4"/>
    <w:rsid w:val="00616127"/>
    <w:rsid w:val="00616465"/>
    <w:rsid w:val="00616EE7"/>
    <w:rsid w:val="0061727E"/>
    <w:rsid w:val="00617308"/>
    <w:rsid w:val="006173F4"/>
    <w:rsid w:val="00617776"/>
    <w:rsid w:val="0061795C"/>
    <w:rsid w:val="0062009C"/>
    <w:rsid w:val="006202E5"/>
    <w:rsid w:val="006207C8"/>
    <w:rsid w:val="006208C7"/>
    <w:rsid w:val="006213F6"/>
    <w:rsid w:val="00623DC5"/>
    <w:rsid w:val="006250B7"/>
    <w:rsid w:val="006257CD"/>
    <w:rsid w:val="006259E7"/>
    <w:rsid w:val="00626500"/>
    <w:rsid w:val="00626859"/>
    <w:rsid w:val="00626A58"/>
    <w:rsid w:val="00626F2B"/>
    <w:rsid w:val="00630AE7"/>
    <w:rsid w:val="00630D9B"/>
    <w:rsid w:val="00631E52"/>
    <w:rsid w:val="0063254F"/>
    <w:rsid w:val="00632B69"/>
    <w:rsid w:val="00633569"/>
    <w:rsid w:val="00633702"/>
    <w:rsid w:val="00633F06"/>
    <w:rsid w:val="006341A5"/>
    <w:rsid w:val="006348F5"/>
    <w:rsid w:val="00634B0A"/>
    <w:rsid w:val="00634E1C"/>
    <w:rsid w:val="00635113"/>
    <w:rsid w:val="00635F8A"/>
    <w:rsid w:val="00636086"/>
    <w:rsid w:val="006365A4"/>
    <w:rsid w:val="00636823"/>
    <w:rsid w:val="0063755A"/>
    <w:rsid w:val="00640A3C"/>
    <w:rsid w:val="006416A1"/>
    <w:rsid w:val="00641754"/>
    <w:rsid w:val="00641B51"/>
    <w:rsid w:val="00641D43"/>
    <w:rsid w:val="00641F40"/>
    <w:rsid w:val="00642351"/>
    <w:rsid w:val="00642574"/>
    <w:rsid w:val="00643120"/>
    <w:rsid w:val="006436FD"/>
    <w:rsid w:val="0064430F"/>
    <w:rsid w:val="006444EF"/>
    <w:rsid w:val="00644744"/>
    <w:rsid w:val="00644FC7"/>
    <w:rsid w:val="006453F7"/>
    <w:rsid w:val="0064562E"/>
    <w:rsid w:val="0064569F"/>
    <w:rsid w:val="00645CB6"/>
    <w:rsid w:val="00646123"/>
    <w:rsid w:val="00646269"/>
    <w:rsid w:val="00646678"/>
    <w:rsid w:val="006468F2"/>
    <w:rsid w:val="00646DB4"/>
    <w:rsid w:val="006503E2"/>
    <w:rsid w:val="00650A38"/>
    <w:rsid w:val="00650C31"/>
    <w:rsid w:val="00650C6D"/>
    <w:rsid w:val="006514CE"/>
    <w:rsid w:val="00651DA6"/>
    <w:rsid w:val="00651E23"/>
    <w:rsid w:val="006521DA"/>
    <w:rsid w:val="00652545"/>
    <w:rsid w:val="00652A86"/>
    <w:rsid w:val="00653993"/>
    <w:rsid w:val="00654D37"/>
    <w:rsid w:val="00654D64"/>
    <w:rsid w:val="006552D6"/>
    <w:rsid w:val="006563CE"/>
    <w:rsid w:val="00656560"/>
    <w:rsid w:val="00657049"/>
    <w:rsid w:val="00657174"/>
    <w:rsid w:val="00657667"/>
    <w:rsid w:val="00657C40"/>
    <w:rsid w:val="00657F18"/>
    <w:rsid w:val="006601DF"/>
    <w:rsid w:val="0066020C"/>
    <w:rsid w:val="00660618"/>
    <w:rsid w:val="00660F4F"/>
    <w:rsid w:val="0066147F"/>
    <w:rsid w:val="00661D33"/>
    <w:rsid w:val="006626E1"/>
    <w:rsid w:val="00662AE9"/>
    <w:rsid w:val="00663429"/>
    <w:rsid w:val="00663515"/>
    <w:rsid w:val="0066375B"/>
    <w:rsid w:val="00663CCD"/>
    <w:rsid w:val="00664031"/>
    <w:rsid w:val="00664072"/>
    <w:rsid w:val="0066437F"/>
    <w:rsid w:val="0066533B"/>
    <w:rsid w:val="00665A35"/>
    <w:rsid w:val="006663CD"/>
    <w:rsid w:val="00666BFA"/>
    <w:rsid w:val="00666DA4"/>
    <w:rsid w:val="006670B7"/>
    <w:rsid w:val="00667999"/>
    <w:rsid w:val="00667D7B"/>
    <w:rsid w:val="00667DEF"/>
    <w:rsid w:val="00667E93"/>
    <w:rsid w:val="00670212"/>
    <w:rsid w:val="00670A44"/>
    <w:rsid w:val="00670C23"/>
    <w:rsid w:val="0067111A"/>
    <w:rsid w:val="00671DA3"/>
    <w:rsid w:val="006727DF"/>
    <w:rsid w:val="006727F3"/>
    <w:rsid w:val="006734D9"/>
    <w:rsid w:val="00673C6F"/>
    <w:rsid w:val="0067410F"/>
    <w:rsid w:val="006743FE"/>
    <w:rsid w:val="006752C8"/>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C00"/>
    <w:rsid w:val="00690015"/>
    <w:rsid w:val="00690298"/>
    <w:rsid w:val="00690FDF"/>
    <w:rsid w:val="006919B6"/>
    <w:rsid w:val="00691AEF"/>
    <w:rsid w:val="00691C2C"/>
    <w:rsid w:val="00691E72"/>
    <w:rsid w:val="00692EA9"/>
    <w:rsid w:val="006937FE"/>
    <w:rsid w:val="006939E3"/>
    <w:rsid w:val="00693F4C"/>
    <w:rsid w:val="006944F9"/>
    <w:rsid w:val="00694CD5"/>
    <w:rsid w:val="00694DA2"/>
    <w:rsid w:val="00694E7B"/>
    <w:rsid w:val="00695054"/>
    <w:rsid w:val="006953E2"/>
    <w:rsid w:val="006955C2"/>
    <w:rsid w:val="0069578B"/>
    <w:rsid w:val="00695915"/>
    <w:rsid w:val="00695F71"/>
    <w:rsid w:val="006967DF"/>
    <w:rsid w:val="00696AA2"/>
    <w:rsid w:val="00696F65"/>
    <w:rsid w:val="00697008"/>
    <w:rsid w:val="0069769F"/>
    <w:rsid w:val="0069799C"/>
    <w:rsid w:val="00697A4B"/>
    <w:rsid w:val="006A04DA"/>
    <w:rsid w:val="006A0695"/>
    <w:rsid w:val="006A0CDD"/>
    <w:rsid w:val="006A109B"/>
    <w:rsid w:val="006A133E"/>
    <w:rsid w:val="006A1678"/>
    <w:rsid w:val="006A1AF0"/>
    <w:rsid w:val="006A1B53"/>
    <w:rsid w:val="006A23E7"/>
    <w:rsid w:val="006A2401"/>
    <w:rsid w:val="006A282A"/>
    <w:rsid w:val="006A2CED"/>
    <w:rsid w:val="006A3A04"/>
    <w:rsid w:val="006A3AC4"/>
    <w:rsid w:val="006A400A"/>
    <w:rsid w:val="006A412F"/>
    <w:rsid w:val="006A46CB"/>
    <w:rsid w:val="006A539F"/>
    <w:rsid w:val="006A5A39"/>
    <w:rsid w:val="006A5A81"/>
    <w:rsid w:val="006A6BE2"/>
    <w:rsid w:val="006A7856"/>
    <w:rsid w:val="006A794E"/>
    <w:rsid w:val="006A79A1"/>
    <w:rsid w:val="006A7F49"/>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C1"/>
    <w:rsid w:val="006B611B"/>
    <w:rsid w:val="006B6F4E"/>
    <w:rsid w:val="006C04C8"/>
    <w:rsid w:val="006C057F"/>
    <w:rsid w:val="006C07B1"/>
    <w:rsid w:val="006C139C"/>
    <w:rsid w:val="006C1430"/>
    <w:rsid w:val="006C2188"/>
    <w:rsid w:val="006C21B8"/>
    <w:rsid w:val="006C2908"/>
    <w:rsid w:val="006C2CE2"/>
    <w:rsid w:val="006C3598"/>
    <w:rsid w:val="006C375C"/>
    <w:rsid w:val="006C375E"/>
    <w:rsid w:val="006C3D70"/>
    <w:rsid w:val="006C3DE2"/>
    <w:rsid w:val="006C3F98"/>
    <w:rsid w:val="006C496E"/>
    <w:rsid w:val="006C60B0"/>
    <w:rsid w:val="006C6580"/>
    <w:rsid w:val="006C6E6D"/>
    <w:rsid w:val="006C725A"/>
    <w:rsid w:val="006C7BAA"/>
    <w:rsid w:val="006D0043"/>
    <w:rsid w:val="006D0643"/>
    <w:rsid w:val="006D0939"/>
    <w:rsid w:val="006D0A2E"/>
    <w:rsid w:val="006D17BB"/>
    <w:rsid w:val="006D1E6B"/>
    <w:rsid w:val="006D2BC4"/>
    <w:rsid w:val="006D2C52"/>
    <w:rsid w:val="006D2CC4"/>
    <w:rsid w:val="006D2EFE"/>
    <w:rsid w:val="006D33A3"/>
    <w:rsid w:val="006D3499"/>
    <w:rsid w:val="006D38B5"/>
    <w:rsid w:val="006D39E5"/>
    <w:rsid w:val="006D3DA3"/>
    <w:rsid w:val="006D48FF"/>
    <w:rsid w:val="006D4F4D"/>
    <w:rsid w:val="006D5FA3"/>
    <w:rsid w:val="006D6625"/>
    <w:rsid w:val="006D68AB"/>
    <w:rsid w:val="006D69DD"/>
    <w:rsid w:val="006D6D94"/>
    <w:rsid w:val="006D6F71"/>
    <w:rsid w:val="006D6FD8"/>
    <w:rsid w:val="006D7458"/>
    <w:rsid w:val="006D76ED"/>
    <w:rsid w:val="006E0B43"/>
    <w:rsid w:val="006E0FD9"/>
    <w:rsid w:val="006E10FC"/>
    <w:rsid w:val="006E1872"/>
    <w:rsid w:val="006E324D"/>
    <w:rsid w:val="006E33EF"/>
    <w:rsid w:val="006E3CED"/>
    <w:rsid w:val="006E3E0F"/>
    <w:rsid w:val="006E43BB"/>
    <w:rsid w:val="006E4700"/>
    <w:rsid w:val="006E4AD6"/>
    <w:rsid w:val="006E601B"/>
    <w:rsid w:val="006E67BF"/>
    <w:rsid w:val="006E6DD7"/>
    <w:rsid w:val="006E76F0"/>
    <w:rsid w:val="006E7991"/>
    <w:rsid w:val="006F008F"/>
    <w:rsid w:val="006F02C5"/>
    <w:rsid w:val="006F0B89"/>
    <w:rsid w:val="006F1123"/>
    <w:rsid w:val="006F113B"/>
    <w:rsid w:val="006F1C4A"/>
    <w:rsid w:val="006F243B"/>
    <w:rsid w:val="006F252C"/>
    <w:rsid w:val="006F258E"/>
    <w:rsid w:val="006F27B4"/>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DCA"/>
    <w:rsid w:val="006F65EE"/>
    <w:rsid w:val="006F6660"/>
    <w:rsid w:val="006F76AA"/>
    <w:rsid w:val="006F7766"/>
    <w:rsid w:val="006F7CCE"/>
    <w:rsid w:val="00700630"/>
    <w:rsid w:val="0070098F"/>
    <w:rsid w:val="007020AC"/>
    <w:rsid w:val="00703213"/>
    <w:rsid w:val="00703660"/>
    <w:rsid w:val="00703A61"/>
    <w:rsid w:val="00703D9B"/>
    <w:rsid w:val="00703ECF"/>
    <w:rsid w:val="00704053"/>
    <w:rsid w:val="00705082"/>
    <w:rsid w:val="0070594E"/>
    <w:rsid w:val="007059E8"/>
    <w:rsid w:val="007066CC"/>
    <w:rsid w:val="00707127"/>
    <w:rsid w:val="007073B1"/>
    <w:rsid w:val="00707F7A"/>
    <w:rsid w:val="007107F7"/>
    <w:rsid w:val="007110E6"/>
    <w:rsid w:val="00711347"/>
    <w:rsid w:val="00711492"/>
    <w:rsid w:val="007115B3"/>
    <w:rsid w:val="00711DA5"/>
    <w:rsid w:val="0071294D"/>
    <w:rsid w:val="00712B28"/>
    <w:rsid w:val="00713381"/>
    <w:rsid w:val="0071366F"/>
    <w:rsid w:val="00713FC9"/>
    <w:rsid w:val="00714449"/>
    <w:rsid w:val="00715773"/>
    <w:rsid w:val="00715D93"/>
    <w:rsid w:val="0071611B"/>
    <w:rsid w:val="00716154"/>
    <w:rsid w:val="00716830"/>
    <w:rsid w:val="00716969"/>
    <w:rsid w:val="00717315"/>
    <w:rsid w:val="0071749C"/>
    <w:rsid w:val="00717895"/>
    <w:rsid w:val="00717A94"/>
    <w:rsid w:val="00717CA5"/>
    <w:rsid w:val="0072031B"/>
    <w:rsid w:val="007203ED"/>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4"/>
    <w:rsid w:val="007252F1"/>
    <w:rsid w:val="00725EF5"/>
    <w:rsid w:val="00725F1A"/>
    <w:rsid w:val="0072609B"/>
    <w:rsid w:val="0072617D"/>
    <w:rsid w:val="007267D0"/>
    <w:rsid w:val="00726CCC"/>
    <w:rsid w:val="007270D1"/>
    <w:rsid w:val="00727132"/>
    <w:rsid w:val="0072744D"/>
    <w:rsid w:val="007305F3"/>
    <w:rsid w:val="007306B7"/>
    <w:rsid w:val="00730846"/>
    <w:rsid w:val="00730AB4"/>
    <w:rsid w:val="00730DC6"/>
    <w:rsid w:val="00731101"/>
    <w:rsid w:val="00731503"/>
    <w:rsid w:val="007319EB"/>
    <w:rsid w:val="00731B72"/>
    <w:rsid w:val="00731E73"/>
    <w:rsid w:val="00731EAF"/>
    <w:rsid w:val="00732DD1"/>
    <w:rsid w:val="00733A6D"/>
    <w:rsid w:val="00733B3B"/>
    <w:rsid w:val="007348DE"/>
    <w:rsid w:val="00735474"/>
    <w:rsid w:val="00735701"/>
    <w:rsid w:val="00735DA8"/>
    <w:rsid w:val="00736075"/>
    <w:rsid w:val="007362A3"/>
    <w:rsid w:val="00736DB1"/>
    <w:rsid w:val="0073745C"/>
    <w:rsid w:val="00737603"/>
    <w:rsid w:val="00737B47"/>
    <w:rsid w:val="00737F3F"/>
    <w:rsid w:val="007402B4"/>
    <w:rsid w:val="00740606"/>
    <w:rsid w:val="0074084D"/>
    <w:rsid w:val="00741236"/>
    <w:rsid w:val="007416CC"/>
    <w:rsid w:val="00741784"/>
    <w:rsid w:val="0074195D"/>
    <w:rsid w:val="007423B9"/>
    <w:rsid w:val="00742701"/>
    <w:rsid w:val="00742BCA"/>
    <w:rsid w:val="00743829"/>
    <w:rsid w:val="00743A49"/>
    <w:rsid w:val="00744032"/>
    <w:rsid w:val="0074437E"/>
    <w:rsid w:val="00744A00"/>
    <w:rsid w:val="00744E64"/>
    <w:rsid w:val="007455F7"/>
    <w:rsid w:val="00745A7F"/>
    <w:rsid w:val="00745E4D"/>
    <w:rsid w:val="0074623B"/>
    <w:rsid w:val="00746660"/>
    <w:rsid w:val="00746F91"/>
    <w:rsid w:val="007472E3"/>
    <w:rsid w:val="007475BD"/>
    <w:rsid w:val="007476BA"/>
    <w:rsid w:val="00747FC6"/>
    <w:rsid w:val="0075023F"/>
    <w:rsid w:val="00750B7B"/>
    <w:rsid w:val="00750B7D"/>
    <w:rsid w:val="00750F4C"/>
    <w:rsid w:val="0075307F"/>
    <w:rsid w:val="00753518"/>
    <w:rsid w:val="00753799"/>
    <w:rsid w:val="007538AE"/>
    <w:rsid w:val="007538C1"/>
    <w:rsid w:val="0075434C"/>
    <w:rsid w:val="007550BF"/>
    <w:rsid w:val="00755245"/>
    <w:rsid w:val="007557A0"/>
    <w:rsid w:val="0075657B"/>
    <w:rsid w:val="0075687F"/>
    <w:rsid w:val="00756941"/>
    <w:rsid w:val="00756DC7"/>
    <w:rsid w:val="0075716A"/>
    <w:rsid w:val="007600DE"/>
    <w:rsid w:val="0076087C"/>
    <w:rsid w:val="00761151"/>
    <w:rsid w:val="007612EC"/>
    <w:rsid w:val="00761862"/>
    <w:rsid w:val="00761E8C"/>
    <w:rsid w:val="00761F33"/>
    <w:rsid w:val="0076255D"/>
    <w:rsid w:val="00763B71"/>
    <w:rsid w:val="00763FDD"/>
    <w:rsid w:val="00764895"/>
    <w:rsid w:val="007648D0"/>
    <w:rsid w:val="00764981"/>
    <w:rsid w:val="007650F6"/>
    <w:rsid w:val="0076525E"/>
    <w:rsid w:val="00766326"/>
    <w:rsid w:val="007664E3"/>
    <w:rsid w:val="00766820"/>
    <w:rsid w:val="0076682D"/>
    <w:rsid w:val="00766A41"/>
    <w:rsid w:val="007670FD"/>
    <w:rsid w:val="007703CB"/>
    <w:rsid w:val="00770827"/>
    <w:rsid w:val="00770D92"/>
    <w:rsid w:val="00770F03"/>
    <w:rsid w:val="00771842"/>
    <w:rsid w:val="0077274A"/>
    <w:rsid w:val="00772E2E"/>
    <w:rsid w:val="00772F43"/>
    <w:rsid w:val="0077315F"/>
    <w:rsid w:val="00773874"/>
    <w:rsid w:val="00773E45"/>
    <w:rsid w:val="00774158"/>
    <w:rsid w:val="007743C5"/>
    <w:rsid w:val="007747D2"/>
    <w:rsid w:val="007748BF"/>
    <w:rsid w:val="0077545C"/>
    <w:rsid w:val="007754DD"/>
    <w:rsid w:val="0077570E"/>
    <w:rsid w:val="00775DB7"/>
    <w:rsid w:val="00775E11"/>
    <w:rsid w:val="0077623F"/>
    <w:rsid w:val="007766E5"/>
    <w:rsid w:val="00777894"/>
    <w:rsid w:val="007800EE"/>
    <w:rsid w:val="00780A30"/>
    <w:rsid w:val="00780C33"/>
    <w:rsid w:val="007813FC"/>
    <w:rsid w:val="00781ED7"/>
    <w:rsid w:val="007820D4"/>
    <w:rsid w:val="007828F2"/>
    <w:rsid w:val="00782DFE"/>
    <w:rsid w:val="00782F90"/>
    <w:rsid w:val="007831C7"/>
    <w:rsid w:val="00784C44"/>
    <w:rsid w:val="00785136"/>
    <w:rsid w:val="007857C4"/>
    <w:rsid w:val="00786C5C"/>
    <w:rsid w:val="007879FA"/>
    <w:rsid w:val="00787C53"/>
    <w:rsid w:val="00790824"/>
    <w:rsid w:val="00790D73"/>
    <w:rsid w:val="00791BD7"/>
    <w:rsid w:val="00791C1C"/>
    <w:rsid w:val="007921AF"/>
    <w:rsid w:val="007923A4"/>
    <w:rsid w:val="0079258F"/>
    <w:rsid w:val="00792B0B"/>
    <w:rsid w:val="00792FE1"/>
    <w:rsid w:val="00793199"/>
    <w:rsid w:val="007931B2"/>
    <w:rsid w:val="00793545"/>
    <w:rsid w:val="00793EE2"/>
    <w:rsid w:val="00794264"/>
    <w:rsid w:val="00794A23"/>
    <w:rsid w:val="00794FE4"/>
    <w:rsid w:val="00795FDB"/>
    <w:rsid w:val="0079684C"/>
    <w:rsid w:val="00796CB2"/>
    <w:rsid w:val="007A007C"/>
    <w:rsid w:val="007A0121"/>
    <w:rsid w:val="007A022D"/>
    <w:rsid w:val="007A0519"/>
    <w:rsid w:val="007A06D6"/>
    <w:rsid w:val="007A09F2"/>
    <w:rsid w:val="007A0BB9"/>
    <w:rsid w:val="007A0FB9"/>
    <w:rsid w:val="007A1040"/>
    <w:rsid w:val="007A1586"/>
    <w:rsid w:val="007A312C"/>
    <w:rsid w:val="007A357B"/>
    <w:rsid w:val="007A3596"/>
    <w:rsid w:val="007A386C"/>
    <w:rsid w:val="007A3A1E"/>
    <w:rsid w:val="007A46CD"/>
    <w:rsid w:val="007A4D97"/>
    <w:rsid w:val="007A5390"/>
    <w:rsid w:val="007A5BCC"/>
    <w:rsid w:val="007A6031"/>
    <w:rsid w:val="007A6343"/>
    <w:rsid w:val="007A6490"/>
    <w:rsid w:val="007A65FE"/>
    <w:rsid w:val="007A6ACE"/>
    <w:rsid w:val="007A6B79"/>
    <w:rsid w:val="007A76F8"/>
    <w:rsid w:val="007A7C2B"/>
    <w:rsid w:val="007A7D0D"/>
    <w:rsid w:val="007A7D16"/>
    <w:rsid w:val="007B0235"/>
    <w:rsid w:val="007B15A8"/>
    <w:rsid w:val="007B17B2"/>
    <w:rsid w:val="007B1CF4"/>
    <w:rsid w:val="007B1CFC"/>
    <w:rsid w:val="007B212F"/>
    <w:rsid w:val="007B251D"/>
    <w:rsid w:val="007B2A56"/>
    <w:rsid w:val="007B2D04"/>
    <w:rsid w:val="007B2FBF"/>
    <w:rsid w:val="007B37C4"/>
    <w:rsid w:val="007B37D1"/>
    <w:rsid w:val="007B3C9B"/>
    <w:rsid w:val="007B3E9C"/>
    <w:rsid w:val="007B4BA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41C5"/>
    <w:rsid w:val="007C6054"/>
    <w:rsid w:val="007C6196"/>
    <w:rsid w:val="007C6F32"/>
    <w:rsid w:val="007C7311"/>
    <w:rsid w:val="007C73CE"/>
    <w:rsid w:val="007C780B"/>
    <w:rsid w:val="007C7942"/>
    <w:rsid w:val="007C7B44"/>
    <w:rsid w:val="007D0B43"/>
    <w:rsid w:val="007D1058"/>
    <w:rsid w:val="007D14DA"/>
    <w:rsid w:val="007D2252"/>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4F32"/>
    <w:rsid w:val="007D5264"/>
    <w:rsid w:val="007D5385"/>
    <w:rsid w:val="007D5389"/>
    <w:rsid w:val="007D61F4"/>
    <w:rsid w:val="007D6FFD"/>
    <w:rsid w:val="007D7D2F"/>
    <w:rsid w:val="007E093A"/>
    <w:rsid w:val="007E0AC3"/>
    <w:rsid w:val="007E15E8"/>
    <w:rsid w:val="007E1947"/>
    <w:rsid w:val="007E1F5C"/>
    <w:rsid w:val="007E22E6"/>
    <w:rsid w:val="007E2B9C"/>
    <w:rsid w:val="007E2C9B"/>
    <w:rsid w:val="007E3DA3"/>
    <w:rsid w:val="007E411D"/>
    <w:rsid w:val="007E48BC"/>
    <w:rsid w:val="007E565A"/>
    <w:rsid w:val="007E6189"/>
    <w:rsid w:val="007E6227"/>
    <w:rsid w:val="007E6382"/>
    <w:rsid w:val="007E66C2"/>
    <w:rsid w:val="007E6941"/>
    <w:rsid w:val="007E6AC0"/>
    <w:rsid w:val="007E7068"/>
    <w:rsid w:val="007E7950"/>
    <w:rsid w:val="007E7A34"/>
    <w:rsid w:val="007F02AC"/>
    <w:rsid w:val="007F059C"/>
    <w:rsid w:val="007F074E"/>
    <w:rsid w:val="007F0DCC"/>
    <w:rsid w:val="007F16A2"/>
    <w:rsid w:val="007F2225"/>
    <w:rsid w:val="007F34FD"/>
    <w:rsid w:val="007F3E98"/>
    <w:rsid w:val="007F4510"/>
    <w:rsid w:val="007F45C6"/>
    <w:rsid w:val="007F4660"/>
    <w:rsid w:val="007F4768"/>
    <w:rsid w:val="007F49C2"/>
    <w:rsid w:val="007F4A31"/>
    <w:rsid w:val="007F4E01"/>
    <w:rsid w:val="007F4ED3"/>
    <w:rsid w:val="007F5605"/>
    <w:rsid w:val="007F5A97"/>
    <w:rsid w:val="007F5CFC"/>
    <w:rsid w:val="007F610D"/>
    <w:rsid w:val="007F6AC6"/>
    <w:rsid w:val="007F6C6F"/>
    <w:rsid w:val="007F6E8D"/>
    <w:rsid w:val="007F78A4"/>
    <w:rsid w:val="007F7A8D"/>
    <w:rsid w:val="007F7AE3"/>
    <w:rsid w:val="00801649"/>
    <w:rsid w:val="00801879"/>
    <w:rsid w:val="00801C03"/>
    <w:rsid w:val="008028E8"/>
    <w:rsid w:val="00802A65"/>
    <w:rsid w:val="00802ABF"/>
    <w:rsid w:val="00803386"/>
    <w:rsid w:val="0080356C"/>
    <w:rsid w:val="00803D95"/>
    <w:rsid w:val="008041EA"/>
    <w:rsid w:val="0080448B"/>
    <w:rsid w:val="008045D4"/>
    <w:rsid w:val="008047B5"/>
    <w:rsid w:val="00804984"/>
    <w:rsid w:val="00805534"/>
    <w:rsid w:val="00805932"/>
    <w:rsid w:val="00805E53"/>
    <w:rsid w:val="00805F44"/>
    <w:rsid w:val="008065DE"/>
    <w:rsid w:val="008103B9"/>
    <w:rsid w:val="008111B8"/>
    <w:rsid w:val="00811FDD"/>
    <w:rsid w:val="008126D8"/>
    <w:rsid w:val="00812811"/>
    <w:rsid w:val="00813805"/>
    <w:rsid w:val="00813914"/>
    <w:rsid w:val="00813FC6"/>
    <w:rsid w:val="008140FC"/>
    <w:rsid w:val="00814C5D"/>
    <w:rsid w:val="00815420"/>
    <w:rsid w:val="0081669C"/>
    <w:rsid w:val="008203D7"/>
    <w:rsid w:val="008209F6"/>
    <w:rsid w:val="00820A60"/>
    <w:rsid w:val="00820B67"/>
    <w:rsid w:val="00820BB5"/>
    <w:rsid w:val="00820F0A"/>
    <w:rsid w:val="00821B1D"/>
    <w:rsid w:val="00821CFD"/>
    <w:rsid w:val="0082259F"/>
    <w:rsid w:val="00823DF2"/>
    <w:rsid w:val="00823E12"/>
    <w:rsid w:val="00824694"/>
    <w:rsid w:val="00824A62"/>
    <w:rsid w:val="00824E80"/>
    <w:rsid w:val="008254F2"/>
    <w:rsid w:val="008258D5"/>
    <w:rsid w:val="00825C19"/>
    <w:rsid w:val="00825DF9"/>
    <w:rsid w:val="00826319"/>
    <w:rsid w:val="00826917"/>
    <w:rsid w:val="00827964"/>
    <w:rsid w:val="00827ED9"/>
    <w:rsid w:val="00830130"/>
    <w:rsid w:val="00830146"/>
    <w:rsid w:val="008303EA"/>
    <w:rsid w:val="00830D44"/>
    <w:rsid w:val="00831C20"/>
    <w:rsid w:val="00832195"/>
    <w:rsid w:val="008325BC"/>
    <w:rsid w:val="00832CF7"/>
    <w:rsid w:val="00832F73"/>
    <w:rsid w:val="0083300E"/>
    <w:rsid w:val="00833690"/>
    <w:rsid w:val="00833CBB"/>
    <w:rsid w:val="00833CE1"/>
    <w:rsid w:val="00833D40"/>
    <w:rsid w:val="008340DB"/>
    <w:rsid w:val="008346E0"/>
    <w:rsid w:val="00835AD7"/>
    <w:rsid w:val="00835CE6"/>
    <w:rsid w:val="00836329"/>
    <w:rsid w:val="00837224"/>
    <w:rsid w:val="00837D1D"/>
    <w:rsid w:val="00840353"/>
    <w:rsid w:val="008406C8"/>
    <w:rsid w:val="008409C6"/>
    <w:rsid w:val="00840B76"/>
    <w:rsid w:val="00841221"/>
    <w:rsid w:val="00841659"/>
    <w:rsid w:val="008422AD"/>
    <w:rsid w:val="00842CFD"/>
    <w:rsid w:val="008430BB"/>
    <w:rsid w:val="0084457D"/>
    <w:rsid w:val="00844718"/>
    <w:rsid w:val="00845B6D"/>
    <w:rsid w:val="0084605E"/>
    <w:rsid w:val="008465DD"/>
    <w:rsid w:val="00847733"/>
    <w:rsid w:val="0084774F"/>
    <w:rsid w:val="00847EB4"/>
    <w:rsid w:val="00847F40"/>
    <w:rsid w:val="008503D8"/>
    <w:rsid w:val="00850443"/>
    <w:rsid w:val="00850600"/>
    <w:rsid w:val="0085064F"/>
    <w:rsid w:val="00851329"/>
    <w:rsid w:val="0085174F"/>
    <w:rsid w:val="00851814"/>
    <w:rsid w:val="00851B38"/>
    <w:rsid w:val="00851EDF"/>
    <w:rsid w:val="008521F8"/>
    <w:rsid w:val="008526F8"/>
    <w:rsid w:val="00852D02"/>
    <w:rsid w:val="00853269"/>
    <w:rsid w:val="00853401"/>
    <w:rsid w:val="00853FE8"/>
    <w:rsid w:val="00854353"/>
    <w:rsid w:val="0085486A"/>
    <w:rsid w:val="00854B1F"/>
    <w:rsid w:val="008555B8"/>
    <w:rsid w:val="0085669D"/>
    <w:rsid w:val="00856884"/>
    <w:rsid w:val="00856A20"/>
    <w:rsid w:val="00856E5D"/>
    <w:rsid w:val="008570FA"/>
    <w:rsid w:val="00857A42"/>
    <w:rsid w:val="008603C3"/>
    <w:rsid w:val="00860984"/>
    <w:rsid w:val="00861C68"/>
    <w:rsid w:val="00861E8B"/>
    <w:rsid w:val="008628A2"/>
    <w:rsid w:val="00863391"/>
    <w:rsid w:val="00863904"/>
    <w:rsid w:val="00864244"/>
    <w:rsid w:val="00864BF5"/>
    <w:rsid w:val="008655EF"/>
    <w:rsid w:val="00865E7D"/>
    <w:rsid w:val="0086644C"/>
    <w:rsid w:val="00866480"/>
    <w:rsid w:val="0086678C"/>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6AB"/>
    <w:rsid w:val="008756AD"/>
    <w:rsid w:val="00876029"/>
    <w:rsid w:val="0087637C"/>
    <w:rsid w:val="00876E45"/>
    <w:rsid w:val="00877953"/>
    <w:rsid w:val="008779BD"/>
    <w:rsid w:val="00880C5B"/>
    <w:rsid w:val="008813A1"/>
    <w:rsid w:val="00881D05"/>
    <w:rsid w:val="00882258"/>
    <w:rsid w:val="0088252C"/>
    <w:rsid w:val="00882722"/>
    <w:rsid w:val="00882852"/>
    <w:rsid w:val="00882895"/>
    <w:rsid w:val="0088316F"/>
    <w:rsid w:val="008833D3"/>
    <w:rsid w:val="00883771"/>
    <w:rsid w:val="00883876"/>
    <w:rsid w:val="00883A27"/>
    <w:rsid w:val="00883DD9"/>
    <w:rsid w:val="00883DFA"/>
    <w:rsid w:val="00884172"/>
    <w:rsid w:val="00884EBD"/>
    <w:rsid w:val="00885B97"/>
    <w:rsid w:val="00885C4E"/>
    <w:rsid w:val="00885D92"/>
    <w:rsid w:val="00885EF4"/>
    <w:rsid w:val="00886876"/>
    <w:rsid w:val="00886973"/>
    <w:rsid w:val="00887BC4"/>
    <w:rsid w:val="00887DEB"/>
    <w:rsid w:val="00887EAB"/>
    <w:rsid w:val="00890528"/>
    <w:rsid w:val="008909DA"/>
    <w:rsid w:val="00890EAD"/>
    <w:rsid w:val="008910E0"/>
    <w:rsid w:val="00891342"/>
    <w:rsid w:val="008923F0"/>
    <w:rsid w:val="00892B5C"/>
    <w:rsid w:val="0089337E"/>
    <w:rsid w:val="0089374E"/>
    <w:rsid w:val="00893C91"/>
    <w:rsid w:val="008944AD"/>
    <w:rsid w:val="0089472E"/>
    <w:rsid w:val="008952C8"/>
    <w:rsid w:val="008953EA"/>
    <w:rsid w:val="00895F33"/>
    <w:rsid w:val="008966F2"/>
    <w:rsid w:val="0089679D"/>
    <w:rsid w:val="008968E8"/>
    <w:rsid w:val="00897234"/>
    <w:rsid w:val="0089724B"/>
    <w:rsid w:val="0089764D"/>
    <w:rsid w:val="008A037A"/>
    <w:rsid w:val="008A0755"/>
    <w:rsid w:val="008A0813"/>
    <w:rsid w:val="008A0EF5"/>
    <w:rsid w:val="008A154D"/>
    <w:rsid w:val="008A199D"/>
    <w:rsid w:val="008A1D94"/>
    <w:rsid w:val="008A22DA"/>
    <w:rsid w:val="008A2EEB"/>
    <w:rsid w:val="008A3655"/>
    <w:rsid w:val="008A37AA"/>
    <w:rsid w:val="008A3AFB"/>
    <w:rsid w:val="008A3D16"/>
    <w:rsid w:val="008A4DE7"/>
    <w:rsid w:val="008A5B1E"/>
    <w:rsid w:val="008A5BC5"/>
    <w:rsid w:val="008A5F1D"/>
    <w:rsid w:val="008A5FC0"/>
    <w:rsid w:val="008A6011"/>
    <w:rsid w:val="008A63AF"/>
    <w:rsid w:val="008A6509"/>
    <w:rsid w:val="008A6A1C"/>
    <w:rsid w:val="008A6BFB"/>
    <w:rsid w:val="008A773F"/>
    <w:rsid w:val="008A79E7"/>
    <w:rsid w:val="008B11B9"/>
    <w:rsid w:val="008B1273"/>
    <w:rsid w:val="008B1404"/>
    <w:rsid w:val="008B145A"/>
    <w:rsid w:val="008B1DA3"/>
    <w:rsid w:val="008B2271"/>
    <w:rsid w:val="008B4CB0"/>
    <w:rsid w:val="008B50A1"/>
    <w:rsid w:val="008B5114"/>
    <w:rsid w:val="008B64CB"/>
    <w:rsid w:val="008B6D48"/>
    <w:rsid w:val="008B6F53"/>
    <w:rsid w:val="008B6FCC"/>
    <w:rsid w:val="008B7170"/>
    <w:rsid w:val="008C12E9"/>
    <w:rsid w:val="008C180D"/>
    <w:rsid w:val="008C1B42"/>
    <w:rsid w:val="008C1E87"/>
    <w:rsid w:val="008C22CF"/>
    <w:rsid w:val="008C26FF"/>
    <w:rsid w:val="008C3270"/>
    <w:rsid w:val="008C3412"/>
    <w:rsid w:val="008C3474"/>
    <w:rsid w:val="008C4417"/>
    <w:rsid w:val="008C55BB"/>
    <w:rsid w:val="008C5E97"/>
    <w:rsid w:val="008C6450"/>
    <w:rsid w:val="008C74D6"/>
    <w:rsid w:val="008D1837"/>
    <w:rsid w:val="008D1F12"/>
    <w:rsid w:val="008D1FCF"/>
    <w:rsid w:val="008D22B1"/>
    <w:rsid w:val="008D2A7F"/>
    <w:rsid w:val="008D2B70"/>
    <w:rsid w:val="008D3128"/>
    <w:rsid w:val="008D3216"/>
    <w:rsid w:val="008D33A9"/>
    <w:rsid w:val="008D34A3"/>
    <w:rsid w:val="008D36F6"/>
    <w:rsid w:val="008D3DC6"/>
    <w:rsid w:val="008D4557"/>
    <w:rsid w:val="008D4578"/>
    <w:rsid w:val="008D4943"/>
    <w:rsid w:val="008D4A9A"/>
    <w:rsid w:val="008D4C43"/>
    <w:rsid w:val="008D50DF"/>
    <w:rsid w:val="008D5655"/>
    <w:rsid w:val="008D5C8A"/>
    <w:rsid w:val="008D5FD6"/>
    <w:rsid w:val="008D61A7"/>
    <w:rsid w:val="008D6381"/>
    <w:rsid w:val="008D6539"/>
    <w:rsid w:val="008D6949"/>
    <w:rsid w:val="008D6C1B"/>
    <w:rsid w:val="008D710B"/>
    <w:rsid w:val="008D710E"/>
    <w:rsid w:val="008D72F5"/>
    <w:rsid w:val="008D7ACA"/>
    <w:rsid w:val="008D7B3C"/>
    <w:rsid w:val="008E02A6"/>
    <w:rsid w:val="008E0971"/>
    <w:rsid w:val="008E0A1B"/>
    <w:rsid w:val="008E2013"/>
    <w:rsid w:val="008E25B6"/>
    <w:rsid w:val="008E2949"/>
    <w:rsid w:val="008E2BB0"/>
    <w:rsid w:val="008E2DAA"/>
    <w:rsid w:val="008E2F37"/>
    <w:rsid w:val="008E315A"/>
    <w:rsid w:val="008E317C"/>
    <w:rsid w:val="008E356C"/>
    <w:rsid w:val="008E4193"/>
    <w:rsid w:val="008E4871"/>
    <w:rsid w:val="008E4A6D"/>
    <w:rsid w:val="008E4B29"/>
    <w:rsid w:val="008E4D50"/>
    <w:rsid w:val="008E5B4B"/>
    <w:rsid w:val="008E60AB"/>
    <w:rsid w:val="008E63D8"/>
    <w:rsid w:val="008E6673"/>
    <w:rsid w:val="008E6AF2"/>
    <w:rsid w:val="008E7609"/>
    <w:rsid w:val="008F040F"/>
    <w:rsid w:val="008F0EE3"/>
    <w:rsid w:val="008F17A7"/>
    <w:rsid w:val="008F18C5"/>
    <w:rsid w:val="008F1FFE"/>
    <w:rsid w:val="008F2031"/>
    <w:rsid w:val="008F2A11"/>
    <w:rsid w:val="008F2AC4"/>
    <w:rsid w:val="008F50C9"/>
    <w:rsid w:val="008F556A"/>
    <w:rsid w:val="008F5F12"/>
    <w:rsid w:val="008F6046"/>
    <w:rsid w:val="008F6E8D"/>
    <w:rsid w:val="008F722C"/>
    <w:rsid w:val="00900833"/>
    <w:rsid w:val="00900DDD"/>
    <w:rsid w:val="00901128"/>
    <w:rsid w:val="00901B6D"/>
    <w:rsid w:val="00901CE4"/>
    <w:rsid w:val="00902034"/>
    <w:rsid w:val="00902114"/>
    <w:rsid w:val="009022D9"/>
    <w:rsid w:val="009024AC"/>
    <w:rsid w:val="00902693"/>
    <w:rsid w:val="00902961"/>
    <w:rsid w:val="009034C1"/>
    <w:rsid w:val="00903AB4"/>
    <w:rsid w:val="00903BDC"/>
    <w:rsid w:val="00903E74"/>
    <w:rsid w:val="0090439A"/>
    <w:rsid w:val="00904EE6"/>
    <w:rsid w:val="009052EF"/>
    <w:rsid w:val="009053E9"/>
    <w:rsid w:val="00905712"/>
    <w:rsid w:val="0090586C"/>
    <w:rsid w:val="0090596C"/>
    <w:rsid w:val="009068E1"/>
    <w:rsid w:val="00906E2B"/>
    <w:rsid w:val="00907671"/>
    <w:rsid w:val="00907ACF"/>
    <w:rsid w:val="00910A8D"/>
    <w:rsid w:val="00910C40"/>
    <w:rsid w:val="00910D38"/>
    <w:rsid w:val="00910D8A"/>
    <w:rsid w:val="0091105D"/>
    <w:rsid w:val="0091168D"/>
    <w:rsid w:val="0091168F"/>
    <w:rsid w:val="00912179"/>
    <w:rsid w:val="009122D6"/>
    <w:rsid w:val="00912374"/>
    <w:rsid w:val="00912C03"/>
    <w:rsid w:val="00912C95"/>
    <w:rsid w:val="00914CE0"/>
    <w:rsid w:val="009151AE"/>
    <w:rsid w:val="009153CE"/>
    <w:rsid w:val="0091558B"/>
    <w:rsid w:val="00915C50"/>
    <w:rsid w:val="009164FA"/>
    <w:rsid w:val="00916508"/>
    <w:rsid w:val="009166E8"/>
    <w:rsid w:val="00916CD3"/>
    <w:rsid w:val="00916DFF"/>
    <w:rsid w:val="0091713C"/>
    <w:rsid w:val="009176AF"/>
    <w:rsid w:val="00917A22"/>
    <w:rsid w:val="00917BD3"/>
    <w:rsid w:val="00921295"/>
    <w:rsid w:val="00921DF4"/>
    <w:rsid w:val="0092259E"/>
    <w:rsid w:val="00923060"/>
    <w:rsid w:val="00923273"/>
    <w:rsid w:val="009242F4"/>
    <w:rsid w:val="00924B58"/>
    <w:rsid w:val="00924F2C"/>
    <w:rsid w:val="0092575E"/>
    <w:rsid w:val="0092580A"/>
    <w:rsid w:val="00925DA5"/>
    <w:rsid w:val="00925FF4"/>
    <w:rsid w:val="009264FB"/>
    <w:rsid w:val="00927320"/>
    <w:rsid w:val="0092770A"/>
    <w:rsid w:val="00927AA0"/>
    <w:rsid w:val="00930303"/>
    <w:rsid w:val="00931041"/>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D61"/>
    <w:rsid w:val="00945541"/>
    <w:rsid w:val="00946A46"/>
    <w:rsid w:val="00946AAC"/>
    <w:rsid w:val="00946F46"/>
    <w:rsid w:val="00947110"/>
    <w:rsid w:val="00947726"/>
    <w:rsid w:val="00947C91"/>
    <w:rsid w:val="00950420"/>
    <w:rsid w:val="00950682"/>
    <w:rsid w:val="00950C04"/>
    <w:rsid w:val="00950E3A"/>
    <w:rsid w:val="00950FE4"/>
    <w:rsid w:val="009513A2"/>
    <w:rsid w:val="009520F6"/>
    <w:rsid w:val="00952C84"/>
    <w:rsid w:val="00952D0F"/>
    <w:rsid w:val="00953021"/>
    <w:rsid w:val="009532DD"/>
    <w:rsid w:val="009547EF"/>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C9B"/>
    <w:rsid w:val="00962D10"/>
    <w:rsid w:val="00962E94"/>
    <w:rsid w:val="00963560"/>
    <w:rsid w:val="00963620"/>
    <w:rsid w:val="00963A2C"/>
    <w:rsid w:val="0096446E"/>
    <w:rsid w:val="00964A61"/>
    <w:rsid w:val="00964F04"/>
    <w:rsid w:val="009651DF"/>
    <w:rsid w:val="009667E8"/>
    <w:rsid w:val="00966A63"/>
    <w:rsid w:val="009677CB"/>
    <w:rsid w:val="00970369"/>
    <w:rsid w:val="00970A67"/>
    <w:rsid w:val="00970F37"/>
    <w:rsid w:val="00971A16"/>
    <w:rsid w:val="00971BDA"/>
    <w:rsid w:val="00972169"/>
    <w:rsid w:val="009724CF"/>
    <w:rsid w:val="00972EDB"/>
    <w:rsid w:val="00972F08"/>
    <w:rsid w:val="00973C47"/>
    <w:rsid w:val="00973F4A"/>
    <w:rsid w:val="00974228"/>
    <w:rsid w:val="00974580"/>
    <w:rsid w:val="00974C34"/>
    <w:rsid w:val="0097503C"/>
    <w:rsid w:val="009751B8"/>
    <w:rsid w:val="00976592"/>
    <w:rsid w:val="00976712"/>
    <w:rsid w:val="00976D18"/>
    <w:rsid w:val="00976FD1"/>
    <w:rsid w:val="0097734A"/>
    <w:rsid w:val="009776B0"/>
    <w:rsid w:val="0097788E"/>
    <w:rsid w:val="00977EE2"/>
    <w:rsid w:val="009801E0"/>
    <w:rsid w:val="0098024E"/>
    <w:rsid w:val="0098041A"/>
    <w:rsid w:val="00980748"/>
    <w:rsid w:val="00980C19"/>
    <w:rsid w:val="00980CA4"/>
    <w:rsid w:val="009818BA"/>
    <w:rsid w:val="009819A6"/>
    <w:rsid w:val="00981DDD"/>
    <w:rsid w:val="0098210F"/>
    <w:rsid w:val="00982783"/>
    <w:rsid w:val="00984A23"/>
    <w:rsid w:val="00984BDB"/>
    <w:rsid w:val="00984F14"/>
    <w:rsid w:val="009853DC"/>
    <w:rsid w:val="00985A8A"/>
    <w:rsid w:val="00985E05"/>
    <w:rsid w:val="00985ECE"/>
    <w:rsid w:val="0098601F"/>
    <w:rsid w:val="00986569"/>
    <w:rsid w:val="009870DC"/>
    <w:rsid w:val="009875DE"/>
    <w:rsid w:val="00987D6C"/>
    <w:rsid w:val="00987F0E"/>
    <w:rsid w:val="00990422"/>
    <w:rsid w:val="00990576"/>
    <w:rsid w:val="009911B5"/>
    <w:rsid w:val="009911E1"/>
    <w:rsid w:val="009916AD"/>
    <w:rsid w:val="009918FC"/>
    <w:rsid w:val="00991EB4"/>
    <w:rsid w:val="0099264C"/>
    <w:rsid w:val="00992DA5"/>
    <w:rsid w:val="00993435"/>
    <w:rsid w:val="00993B50"/>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61"/>
    <w:rsid w:val="009A0FF0"/>
    <w:rsid w:val="009A1D30"/>
    <w:rsid w:val="009A1F3B"/>
    <w:rsid w:val="009A27F1"/>
    <w:rsid w:val="009A2A5C"/>
    <w:rsid w:val="009A37F9"/>
    <w:rsid w:val="009A3C64"/>
    <w:rsid w:val="009A409F"/>
    <w:rsid w:val="009A4295"/>
    <w:rsid w:val="009A4339"/>
    <w:rsid w:val="009A48D4"/>
    <w:rsid w:val="009A4BD8"/>
    <w:rsid w:val="009A5580"/>
    <w:rsid w:val="009A5ACE"/>
    <w:rsid w:val="009A5D1B"/>
    <w:rsid w:val="009A5D8C"/>
    <w:rsid w:val="009A7881"/>
    <w:rsid w:val="009A79ED"/>
    <w:rsid w:val="009A7D6C"/>
    <w:rsid w:val="009A7E98"/>
    <w:rsid w:val="009A7FFE"/>
    <w:rsid w:val="009B0183"/>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B41"/>
    <w:rsid w:val="009B7435"/>
    <w:rsid w:val="009B79A4"/>
    <w:rsid w:val="009B7C74"/>
    <w:rsid w:val="009B7DFF"/>
    <w:rsid w:val="009C001D"/>
    <w:rsid w:val="009C1196"/>
    <w:rsid w:val="009C19CD"/>
    <w:rsid w:val="009C2996"/>
    <w:rsid w:val="009C2BA6"/>
    <w:rsid w:val="009C3316"/>
    <w:rsid w:val="009C33FF"/>
    <w:rsid w:val="009C371F"/>
    <w:rsid w:val="009C3C62"/>
    <w:rsid w:val="009C4501"/>
    <w:rsid w:val="009C459A"/>
    <w:rsid w:val="009C48D6"/>
    <w:rsid w:val="009C5703"/>
    <w:rsid w:val="009C588E"/>
    <w:rsid w:val="009C5AA5"/>
    <w:rsid w:val="009C5F3B"/>
    <w:rsid w:val="009C6034"/>
    <w:rsid w:val="009C66DD"/>
    <w:rsid w:val="009C6EA6"/>
    <w:rsid w:val="009C73EC"/>
    <w:rsid w:val="009C7500"/>
    <w:rsid w:val="009C7929"/>
    <w:rsid w:val="009C7DD4"/>
    <w:rsid w:val="009C7F73"/>
    <w:rsid w:val="009D0041"/>
    <w:rsid w:val="009D07D6"/>
    <w:rsid w:val="009D0D08"/>
    <w:rsid w:val="009D18BC"/>
    <w:rsid w:val="009D19A2"/>
    <w:rsid w:val="009D2014"/>
    <w:rsid w:val="009D222C"/>
    <w:rsid w:val="009D2556"/>
    <w:rsid w:val="009D2601"/>
    <w:rsid w:val="009D2ABC"/>
    <w:rsid w:val="009D2E14"/>
    <w:rsid w:val="009D4FF8"/>
    <w:rsid w:val="009D5063"/>
    <w:rsid w:val="009D51BE"/>
    <w:rsid w:val="009D542A"/>
    <w:rsid w:val="009D58C6"/>
    <w:rsid w:val="009D5C14"/>
    <w:rsid w:val="009D5F1B"/>
    <w:rsid w:val="009D5FAF"/>
    <w:rsid w:val="009D61F4"/>
    <w:rsid w:val="009D666D"/>
    <w:rsid w:val="009D69BA"/>
    <w:rsid w:val="009D6A78"/>
    <w:rsid w:val="009D6CC3"/>
    <w:rsid w:val="009D773A"/>
    <w:rsid w:val="009D7922"/>
    <w:rsid w:val="009D7A28"/>
    <w:rsid w:val="009E0092"/>
    <w:rsid w:val="009E0724"/>
    <w:rsid w:val="009E0966"/>
    <w:rsid w:val="009E13BF"/>
    <w:rsid w:val="009E29AA"/>
    <w:rsid w:val="009E2F3C"/>
    <w:rsid w:val="009E3167"/>
    <w:rsid w:val="009E3351"/>
    <w:rsid w:val="009E41CB"/>
    <w:rsid w:val="009E4972"/>
    <w:rsid w:val="009E50F5"/>
    <w:rsid w:val="009E5418"/>
    <w:rsid w:val="009E5893"/>
    <w:rsid w:val="009E6D65"/>
    <w:rsid w:val="009E7777"/>
    <w:rsid w:val="009E7C4B"/>
    <w:rsid w:val="009E7CAA"/>
    <w:rsid w:val="009E7FFD"/>
    <w:rsid w:val="009F0166"/>
    <w:rsid w:val="009F0441"/>
    <w:rsid w:val="009F1531"/>
    <w:rsid w:val="009F1B96"/>
    <w:rsid w:val="009F2367"/>
    <w:rsid w:val="009F23EB"/>
    <w:rsid w:val="009F2B76"/>
    <w:rsid w:val="009F2C60"/>
    <w:rsid w:val="009F2DED"/>
    <w:rsid w:val="009F49F3"/>
    <w:rsid w:val="009F4B0E"/>
    <w:rsid w:val="009F4C03"/>
    <w:rsid w:val="009F4D8A"/>
    <w:rsid w:val="009F5603"/>
    <w:rsid w:val="009F5BF5"/>
    <w:rsid w:val="009F65F9"/>
    <w:rsid w:val="009F6D1B"/>
    <w:rsid w:val="009F6E94"/>
    <w:rsid w:val="009F74B8"/>
    <w:rsid w:val="009F78A4"/>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EE1"/>
    <w:rsid w:val="00A050C9"/>
    <w:rsid w:val="00A05835"/>
    <w:rsid w:val="00A05E57"/>
    <w:rsid w:val="00A05EC6"/>
    <w:rsid w:val="00A0689A"/>
    <w:rsid w:val="00A06C12"/>
    <w:rsid w:val="00A071D6"/>
    <w:rsid w:val="00A1020D"/>
    <w:rsid w:val="00A10F8D"/>
    <w:rsid w:val="00A113A5"/>
    <w:rsid w:val="00A11F1C"/>
    <w:rsid w:val="00A12288"/>
    <w:rsid w:val="00A13071"/>
    <w:rsid w:val="00A13474"/>
    <w:rsid w:val="00A138AD"/>
    <w:rsid w:val="00A138F0"/>
    <w:rsid w:val="00A14904"/>
    <w:rsid w:val="00A14DF2"/>
    <w:rsid w:val="00A14ECC"/>
    <w:rsid w:val="00A1571F"/>
    <w:rsid w:val="00A16E5D"/>
    <w:rsid w:val="00A16FD3"/>
    <w:rsid w:val="00A17024"/>
    <w:rsid w:val="00A17567"/>
    <w:rsid w:val="00A20280"/>
    <w:rsid w:val="00A2057A"/>
    <w:rsid w:val="00A20768"/>
    <w:rsid w:val="00A20AE8"/>
    <w:rsid w:val="00A20E49"/>
    <w:rsid w:val="00A21033"/>
    <w:rsid w:val="00A21A78"/>
    <w:rsid w:val="00A2210A"/>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7106"/>
    <w:rsid w:val="00A3077D"/>
    <w:rsid w:val="00A31680"/>
    <w:rsid w:val="00A32C1F"/>
    <w:rsid w:val="00A32EB0"/>
    <w:rsid w:val="00A335DA"/>
    <w:rsid w:val="00A339CA"/>
    <w:rsid w:val="00A33FEB"/>
    <w:rsid w:val="00A3471C"/>
    <w:rsid w:val="00A35111"/>
    <w:rsid w:val="00A354F1"/>
    <w:rsid w:val="00A35565"/>
    <w:rsid w:val="00A3600B"/>
    <w:rsid w:val="00A368BA"/>
    <w:rsid w:val="00A36CF1"/>
    <w:rsid w:val="00A36EA4"/>
    <w:rsid w:val="00A370FB"/>
    <w:rsid w:val="00A375A8"/>
    <w:rsid w:val="00A37797"/>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F9"/>
    <w:rsid w:val="00A44FA3"/>
    <w:rsid w:val="00A45E97"/>
    <w:rsid w:val="00A46385"/>
    <w:rsid w:val="00A46A76"/>
    <w:rsid w:val="00A46B49"/>
    <w:rsid w:val="00A46C84"/>
    <w:rsid w:val="00A46DCA"/>
    <w:rsid w:val="00A47027"/>
    <w:rsid w:val="00A4711D"/>
    <w:rsid w:val="00A47578"/>
    <w:rsid w:val="00A47735"/>
    <w:rsid w:val="00A50E50"/>
    <w:rsid w:val="00A51F46"/>
    <w:rsid w:val="00A5272F"/>
    <w:rsid w:val="00A5295E"/>
    <w:rsid w:val="00A53007"/>
    <w:rsid w:val="00A534A4"/>
    <w:rsid w:val="00A5433C"/>
    <w:rsid w:val="00A546F6"/>
    <w:rsid w:val="00A54AD5"/>
    <w:rsid w:val="00A54B90"/>
    <w:rsid w:val="00A55450"/>
    <w:rsid w:val="00A558B0"/>
    <w:rsid w:val="00A55904"/>
    <w:rsid w:val="00A55EDD"/>
    <w:rsid w:val="00A55F6C"/>
    <w:rsid w:val="00A5624C"/>
    <w:rsid w:val="00A5665D"/>
    <w:rsid w:val="00A5669B"/>
    <w:rsid w:val="00A5697B"/>
    <w:rsid w:val="00A5749A"/>
    <w:rsid w:val="00A576E7"/>
    <w:rsid w:val="00A57D01"/>
    <w:rsid w:val="00A57D25"/>
    <w:rsid w:val="00A57E38"/>
    <w:rsid w:val="00A57F38"/>
    <w:rsid w:val="00A6044B"/>
    <w:rsid w:val="00A60B3B"/>
    <w:rsid w:val="00A60B91"/>
    <w:rsid w:val="00A60D49"/>
    <w:rsid w:val="00A60E46"/>
    <w:rsid w:val="00A61CA5"/>
    <w:rsid w:val="00A61F4A"/>
    <w:rsid w:val="00A620F5"/>
    <w:rsid w:val="00A62C60"/>
    <w:rsid w:val="00A62DDC"/>
    <w:rsid w:val="00A62F48"/>
    <w:rsid w:val="00A63085"/>
    <w:rsid w:val="00A6329A"/>
    <w:rsid w:val="00A633A3"/>
    <w:rsid w:val="00A63416"/>
    <w:rsid w:val="00A63818"/>
    <w:rsid w:val="00A63B54"/>
    <w:rsid w:val="00A6491B"/>
    <w:rsid w:val="00A64EFA"/>
    <w:rsid w:val="00A65093"/>
    <w:rsid w:val="00A65D1C"/>
    <w:rsid w:val="00A67520"/>
    <w:rsid w:val="00A6774B"/>
    <w:rsid w:val="00A67A70"/>
    <w:rsid w:val="00A67FDE"/>
    <w:rsid w:val="00A70045"/>
    <w:rsid w:val="00A709DD"/>
    <w:rsid w:val="00A7161A"/>
    <w:rsid w:val="00A72107"/>
    <w:rsid w:val="00A72154"/>
    <w:rsid w:val="00A721EF"/>
    <w:rsid w:val="00A7310D"/>
    <w:rsid w:val="00A7369C"/>
    <w:rsid w:val="00A73A7C"/>
    <w:rsid w:val="00A74533"/>
    <w:rsid w:val="00A745A0"/>
    <w:rsid w:val="00A749F7"/>
    <w:rsid w:val="00A75169"/>
    <w:rsid w:val="00A752F6"/>
    <w:rsid w:val="00A76099"/>
    <w:rsid w:val="00A76379"/>
    <w:rsid w:val="00A76C53"/>
    <w:rsid w:val="00A7728A"/>
    <w:rsid w:val="00A7749F"/>
    <w:rsid w:val="00A775BF"/>
    <w:rsid w:val="00A77658"/>
    <w:rsid w:val="00A8050B"/>
    <w:rsid w:val="00A81C77"/>
    <w:rsid w:val="00A81CCC"/>
    <w:rsid w:val="00A8260E"/>
    <w:rsid w:val="00A830A2"/>
    <w:rsid w:val="00A83494"/>
    <w:rsid w:val="00A83864"/>
    <w:rsid w:val="00A83B2C"/>
    <w:rsid w:val="00A8406E"/>
    <w:rsid w:val="00A846BB"/>
    <w:rsid w:val="00A85549"/>
    <w:rsid w:val="00A85976"/>
    <w:rsid w:val="00A85D3F"/>
    <w:rsid w:val="00A85D8F"/>
    <w:rsid w:val="00A868CE"/>
    <w:rsid w:val="00A87530"/>
    <w:rsid w:val="00A877D6"/>
    <w:rsid w:val="00A879B3"/>
    <w:rsid w:val="00A87BD4"/>
    <w:rsid w:val="00A87CA0"/>
    <w:rsid w:val="00A900AE"/>
    <w:rsid w:val="00A906F0"/>
    <w:rsid w:val="00A92725"/>
    <w:rsid w:val="00A931CF"/>
    <w:rsid w:val="00A93F1E"/>
    <w:rsid w:val="00A94008"/>
    <w:rsid w:val="00A943BA"/>
    <w:rsid w:val="00A94867"/>
    <w:rsid w:val="00A94F08"/>
    <w:rsid w:val="00A95199"/>
    <w:rsid w:val="00A951AA"/>
    <w:rsid w:val="00A95F3F"/>
    <w:rsid w:val="00A96107"/>
    <w:rsid w:val="00A968B6"/>
    <w:rsid w:val="00A96B48"/>
    <w:rsid w:val="00A97FBB"/>
    <w:rsid w:val="00AA00C8"/>
    <w:rsid w:val="00AA0A8C"/>
    <w:rsid w:val="00AA0D31"/>
    <w:rsid w:val="00AA0D91"/>
    <w:rsid w:val="00AA0EB3"/>
    <w:rsid w:val="00AA10F7"/>
    <w:rsid w:val="00AA14D0"/>
    <w:rsid w:val="00AA1C29"/>
    <w:rsid w:val="00AA3C7C"/>
    <w:rsid w:val="00AA40B2"/>
    <w:rsid w:val="00AA4268"/>
    <w:rsid w:val="00AA4CD8"/>
    <w:rsid w:val="00AA4D41"/>
    <w:rsid w:val="00AA4FB1"/>
    <w:rsid w:val="00AA5CA0"/>
    <w:rsid w:val="00AA5CBE"/>
    <w:rsid w:val="00AA6607"/>
    <w:rsid w:val="00AA6E37"/>
    <w:rsid w:val="00AA7231"/>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5DA"/>
    <w:rsid w:val="00AB5650"/>
    <w:rsid w:val="00AB56C5"/>
    <w:rsid w:val="00AB681A"/>
    <w:rsid w:val="00AB6D6F"/>
    <w:rsid w:val="00AB6E55"/>
    <w:rsid w:val="00AB6FEF"/>
    <w:rsid w:val="00AB72F7"/>
    <w:rsid w:val="00AC00F9"/>
    <w:rsid w:val="00AC043B"/>
    <w:rsid w:val="00AC05A3"/>
    <w:rsid w:val="00AC0626"/>
    <w:rsid w:val="00AC0DEF"/>
    <w:rsid w:val="00AC1787"/>
    <w:rsid w:val="00AC1CF4"/>
    <w:rsid w:val="00AC22CF"/>
    <w:rsid w:val="00AC2E4A"/>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A24"/>
    <w:rsid w:val="00AD36DD"/>
    <w:rsid w:val="00AD41E6"/>
    <w:rsid w:val="00AD4460"/>
    <w:rsid w:val="00AD46A9"/>
    <w:rsid w:val="00AD5349"/>
    <w:rsid w:val="00AD5431"/>
    <w:rsid w:val="00AD5901"/>
    <w:rsid w:val="00AD625B"/>
    <w:rsid w:val="00AD70F7"/>
    <w:rsid w:val="00AD7F56"/>
    <w:rsid w:val="00AE06AF"/>
    <w:rsid w:val="00AE08E2"/>
    <w:rsid w:val="00AE096A"/>
    <w:rsid w:val="00AE103F"/>
    <w:rsid w:val="00AE166C"/>
    <w:rsid w:val="00AE189C"/>
    <w:rsid w:val="00AE2012"/>
    <w:rsid w:val="00AE271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159"/>
    <w:rsid w:val="00AE6204"/>
    <w:rsid w:val="00AF02C6"/>
    <w:rsid w:val="00AF0568"/>
    <w:rsid w:val="00AF065F"/>
    <w:rsid w:val="00AF09BE"/>
    <w:rsid w:val="00AF09E8"/>
    <w:rsid w:val="00AF0B87"/>
    <w:rsid w:val="00AF0C1D"/>
    <w:rsid w:val="00AF1019"/>
    <w:rsid w:val="00AF10A8"/>
    <w:rsid w:val="00AF1647"/>
    <w:rsid w:val="00AF1718"/>
    <w:rsid w:val="00AF1804"/>
    <w:rsid w:val="00AF1D02"/>
    <w:rsid w:val="00AF200C"/>
    <w:rsid w:val="00AF214A"/>
    <w:rsid w:val="00AF2A89"/>
    <w:rsid w:val="00AF2AD7"/>
    <w:rsid w:val="00AF2EA7"/>
    <w:rsid w:val="00AF3484"/>
    <w:rsid w:val="00AF3C95"/>
    <w:rsid w:val="00AF438D"/>
    <w:rsid w:val="00AF452E"/>
    <w:rsid w:val="00AF480C"/>
    <w:rsid w:val="00AF512F"/>
    <w:rsid w:val="00AF57EC"/>
    <w:rsid w:val="00AF5987"/>
    <w:rsid w:val="00AF5B45"/>
    <w:rsid w:val="00AF6036"/>
    <w:rsid w:val="00AF6432"/>
    <w:rsid w:val="00AF7595"/>
    <w:rsid w:val="00AF7898"/>
    <w:rsid w:val="00B002C1"/>
    <w:rsid w:val="00B00BA7"/>
    <w:rsid w:val="00B010DA"/>
    <w:rsid w:val="00B01F36"/>
    <w:rsid w:val="00B02B55"/>
    <w:rsid w:val="00B03212"/>
    <w:rsid w:val="00B0340E"/>
    <w:rsid w:val="00B03F5F"/>
    <w:rsid w:val="00B040CA"/>
    <w:rsid w:val="00B04456"/>
    <w:rsid w:val="00B04BD8"/>
    <w:rsid w:val="00B04F10"/>
    <w:rsid w:val="00B04F9C"/>
    <w:rsid w:val="00B05A49"/>
    <w:rsid w:val="00B07A1F"/>
    <w:rsid w:val="00B07D87"/>
    <w:rsid w:val="00B1004B"/>
    <w:rsid w:val="00B10134"/>
    <w:rsid w:val="00B10CCA"/>
    <w:rsid w:val="00B10D8D"/>
    <w:rsid w:val="00B11941"/>
    <w:rsid w:val="00B11E77"/>
    <w:rsid w:val="00B12043"/>
    <w:rsid w:val="00B124CC"/>
    <w:rsid w:val="00B12F2A"/>
    <w:rsid w:val="00B12FE9"/>
    <w:rsid w:val="00B135FE"/>
    <w:rsid w:val="00B13751"/>
    <w:rsid w:val="00B13F09"/>
    <w:rsid w:val="00B14774"/>
    <w:rsid w:val="00B15285"/>
    <w:rsid w:val="00B15715"/>
    <w:rsid w:val="00B1572D"/>
    <w:rsid w:val="00B160FD"/>
    <w:rsid w:val="00B16753"/>
    <w:rsid w:val="00B2021B"/>
    <w:rsid w:val="00B20905"/>
    <w:rsid w:val="00B209A6"/>
    <w:rsid w:val="00B209C0"/>
    <w:rsid w:val="00B20AA2"/>
    <w:rsid w:val="00B20D90"/>
    <w:rsid w:val="00B20DDB"/>
    <w:rsid w:val="00B21444"/>
    <w:rsid w:val="00B21607"/>
    <w:rsid w:val="00B221C2"/>
    <w:rsid w:val="00B2244B"/>
    <w:rsid w:val="00B237F3"/>
    <w:rsid w:val="00B23B4A"/>
    <w:rsid w:val="00B23B9A"/>
    <w:rsid w:val="00B23F8E"/>
    <w:rsid w:val="00B24454"/>
    <w:rsid w:val="00B24554"/>
    <w:rsid w:val="00B24ECC"/>
    <w:rsid w:val="00B25331"/>
    <w:rsid w:val="00B25780"/>
    <w:rsid w:val="00B2595E"/>
    <w:rsid w:val="00B25E22"/>
    <w:rsid w:val="00B26C64"/>
    <w:rsid w:val="00B26CD5"/>
    <w:rsid w:val="00B26E2F"/>
    <w:rsid w:val="00B2709B"/>
    <w:rsid w:val="00B27364"/>
    <w:rsid w:val="00B2736F"/>
    <w:rsid w:val="00B274F7"/>
    <w:rsid w:val="00B3078A"/>
    <w:rsid w:val="00B30D6B"/>
    <w:rsid w:val="00B30F0A"/>
    <w:rsid w:val="00B31E45"/>
    <w:rsid w:val="00B3333E"/>
    <w:rsid w:val="00B3421A"/>
    <w:rsid w:val="00B342DD"/>
    <w:rsid w:val="00B342FF"/>
    <w:rsid w:val="00B344D8"/>
    <w:rsid w:val="00B3537F"/>
    <w:rsid w:val="00B35659"/>
    <w:rsid w:val="00B35B55"/>
    <w:rsid w:val="00B35CE0"/>
    <w:rsid w:val="00B35D0E"/>
    <w:rsid w:val="00B35E8A"/>
    <w:rsid w:val="00B36272"/>
    <w:rsid w:val="00B365EB"/>
    <w:rsid w:val="00B3709A"/>
    <w:rsid w:val="00B3737C"/>
    <w:rsid w:val="00B37425"/>
    <w:rsid w:val="00B3763E"/>
    <w:rsid w:val="00B3784B"/>
    <w:rsid w:val="00B37850"/>
    <w:rsid w:val="00B378AC"/>
    <w:rsid w:val="00B37D62"/>
    <w:rsid w:val="00B401C2"/>
    <w:rsid w:val="00B403A5"/>
    <w:rsid w:val="00B40696"/>
    <w:rsid w:val="00B40E9B"/>
    <w:rsid w:val="00B415F0"/>
    <w:rsid w:val="00B418C4"/>
    <w:rsid w:val="00B418CB"/>
    <w:rsid w:val="00B41D16"/>
    <w:rsid w:val="00B42006"/>
    <w:rsid w:val="00B425C9"/>
    <w:rsid w:val="00B426FC"/>
    <w:rsid w:val="00B42896"/>
    <w:rsid w:val="00B430E4"/>
    <w:rsid w:val="00B437DC"/>
    <w:rsid w:val="00B43957"/>
    <w:rsid w:val="00B43A2F"/>
    <w:rsid w:val="00B43A93"/>
    <w:rsid w:val="00B43D6C"/>
    <w:rsid w:val="00B43F20"/>
    <w:rsid w:val="00B43F8D"/>
    <w:rsid w:val="00B44010"/>
    <w:rsid w:val="00B441D5"/>
    <w:rsid w:val="00B442BC"/>
    <w:rsid w:val="00B447E7"/>
    <w:rsid w:val="00B4497D"/>
    <w:rsid w:val="00B44C88"/>
    <w:rsid w:val="00B452E3"/>
    <w:rsid w:val="00B452E8"/>
    <w:rsid w:val="00B457B3"/>
    <w:rsid w:val="00B45BD7"/>
    <w:rsid w:val="00B4639C"/>
    <w:rsid w:val="00B467ED"/>
    <w:rsid w:val="00B475E4"/>
    <w:rsid w:val="00B47FA1"/>
    <w:rsid w:val="00B5045E"/>
    <w:rsid w:val="00B50A0A"/>
    <w:rsid w:val="00B50BFA"/>
    <w:rsid w:val="00B50C59"/>
    <w:rsid w:val="00B51389"/>
    <w:rsid w:val="00B51580"/>
    <w:rsid w:val="00B51BCB"/>
    <w:rsid w:val="00B52104"/>
    <w:rsid w:val="00B5253A"/>
    <w:rsid w:val="00B52615"/>
    <w:rsid w:val="00B52BD8"/>
    <w:rsid w:val="00B52F6D"/>
    <w:rsid w:val="00B5363D"/>
    <w:rsid w:val="00B538A6"/>
    <w:rsid w:val="00B538FD"/>
    <w:rsid w:val="00B53974"/>
    <w:rsid w:val="00B542AF"/>
    <w:rsid w:val="00B54FCF"/>
    <w:rsid w:val="00B5566A"/>
    <w:rsid w:val="00B5572D"/>
    <w:rsid w:val="00B55987"/>
    <w:rsid w:val="00B55C21"/>
    <w:rsid w:val="00B55DB6"/>
    <w:rsid w:val="00B56538"/>
    <w:rsid w:val="00B56C8B"/>
    <w:rsid w:val="00B56DCC"/>
    <w:rsid w:val="00B56F8D"/>
    <w:rsid w:val="00B571AC"/>
    <w:rsid w:val="00B576CB"/>
    <w:rsid w:val="00B57A36"/>
    <w:rsid w:val="00B60408"/>
    <w:rsid w:val="00B6062E"/>
    <w:rsid w:val="00B629D8"/>
    <w:rsid w:val="00B63899"/>
    <w:rsid w:val="00B638B8"/>
    <w:rsid w:val="00B63CD4"/>
    <w:rsid w:val="00B645E0"/>
    <w:rsid w:val="00B64BB2"/>
    <w:rsid w:val="00B64CB6"/>
    <w:rsid w:val="00B66447"/>
    <w:rsid w:val="00B664DB"/>
    <w:rsid w:val="00B66AA2"/>
    <w:rsid w:val="00B67CEC"/>
    <w:rsid w:val="00B70D87"/>
    <w:rsid w:val="00B71880"/>
    <w:rsid w:val="00B72278"/>
    <w:rsid w:val="00B73284"/>
    <w:rsid w:val="00B73AEF"/>
    <w:rsid w:val="00B743BB"/>
    <w:rsid w:val="00B74536"/>
    <w:rsid w:val="00B7492B"/>
    <w:rsid w:val="00B74BAA"/>
    <w:rsid w:val="00B7563A"/>
    <w:rsid w:val="00B75750"/>
    <w:rsid w:val="00B75A6C"/>
    <w:rsid w:val="00B76410"/>
    <w:rsid w:val="00B768E9"/>
    <w:rsid w:val="00B76EAA"/>
    <w:rsid w:val="00B775F7"/>
    <w:rsid w:val="00B808A5"/>
    <w:rsid w:val="00B80B46"/>
    <w:rsid w:val="00B80D0F"/>
    <w:rsid w:val="00B8100F"/>
    <w:rsid w:val="00B811FC"/>
    <w:rsid w:val="00B8124D"/>
    <w:rsid w:val="00B8146F"/>
    <w:rsid w:val="00B817B3"/>
    <w:rsid w:val="00B81F29"/>
    <w:rsid w:val="00B8209A"/>
    <w:rsid w:val="00B82D11"/>
    <w:rsid w:val="00B830BD"/>
    <w:rsid w:val="00B832F7"/>
    <w:rsid w:val="00B83B77"/>
    <w:rsid w:val="00B84379"/>
    <w:rsid w:val="00B8473B"/>
    <w:rsid w:val="00B85D1D"/>
    <w:rsid w:val="00B86326"/>
    <w:rsid w:val="00B86377"/>
    <w:rsid w:val="00B8729A"/>
    <w:rsid w:val="00B87408"/>
    <w:rsid w:val="00B87713"/>
    <w:rsid w:val="00B87AE1"/>
    <w:rsid w:val="00B87F02"/>
    <w:rsid w:val="00B914BC"/>
    <w:rsid w:val="00B91E91"/>
    <w:rsid w:val="00B9273B"/>
    <w:rsid w:val="00B9287B"/>
    <w:rsid w:val="00B92E77"/>
    <w:rsid w:val="00B93090"/>
    <w:rsid w:val="00B93FBD"/>
    <w:rsid w:val="00B94084"/>
    <w:rsid w:val="00B94946"/>
    <w:rsid w:val="00B949FA"/>
    <w:rsid w:val="00B94F7D"/>
    <w:rsid w:val="00B953C9"/>
    <w:rsid w:val="00B95713"/>
    <w:rsid w:val="00B95AB7"/>
    <w:rsid w:val="00B9799B"/>
    <w:rsid w:val="00B97C68"/>
    <w:rsid w:val="00B97EE3"/>
    <w:rsid w:val="00BA083C"/>
    <w:rsid w:val="00BA0B93"/>
    <w:rsid w:val="00BA0D49"/>
    <w:rsid w:val="00BA10F8"/>
    <w:rsid w:val="00BA1604"/>
    <w:rsid w:val="00BA1921"/>
    <w:rsid w:val="00BA1EC8"/>
    <w:rsid w:val="00BA2400"/>
    <w:rsid w:val="00BA26BF"/>
    <w:rsid w:val="00BA295F"/>
    <w:rsid w:val="00BA2D0C"/>
    <w:rsid w:val="00BA2F9B"/>
    <w:rsid w:val="00BA39F3"/>
    <w:rsid w:val="00BA417E"/>
    <w:rsid w:val="00BA4C90"/>
    <w:rsid w:val="00BA5A5D"/>
    <w:rsid w:val="00BA5BAD"/>
    <w:rsid w:val="00BA6E5A"/>
    <w:rsid w:val="00BA7451"/>
    <w:rsid w:val="00BA7456"/>
    <w:rsid w:val="00BB051D"/>
    <w:rsid w:val="00BB0B6A"/>
    <w:rsid w:val="00BB0D4B"/>
    <w:rsid w:val="00BB1903"/>
    <w:rsid w:val="00BB2372"/>
    <w:rsid w:val="00BB2E37"/>
    <w:rsid w:val="00BB3600"/>
    <w:rsid w:val="00BB3B3F"/>
    <w:rsid w:val="00BB3DB6"/>
    <w:rsid w:val="00BB42B0"/>
    <w:rsid w:val="00BB44BA"/>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7BC"/>
    <w:rsid w:val="00BC23D7"/>
    <w:rsid w:val="00BC2A5E"/>
    <w:rsid w:val="00BC2ED9"/>
    <w:rsid w:val="00BC2F64"/>
    <w:rsid w:val="00BC3002"/>
    <w:rsid w:val="00BC30DA"/>
    <w:rsid w:val="00BC3AFA"/>
    <w:rsid w:val="00BC3C2D"/>
    <w:rsid w:val="00BC4D09"/>
    <w:rsid w:val="00BC5023"/>
    <w:rsid w:val="00BC524A"/>
    <w:rsid w:val="00BC54ED"/>
    <w:rsid w:val="00BC59F1"/>
    <w:rsid w:val="00BC5B4C"/>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7598"/>
    <w:rsid w:val="00BD77F7"/>
    <w:rsid w:val="00BD781C"/>
    <w:rsid w:val="00BD7B27"/>
    <w:rsid w:val="00BD7CF3"/>
    <w:rsid w:val="00BE027B"/>
    <w:rsid w:val="00BE0714"/>
    <w:rsid w:val="00BE0DFF"/>
    <w:rsid w:val="00BE189B"/>
    <w:rsid w:val="00BE25B9"/>
    <w:rsid w:val="00BE2A29"/>
    <w:rsid w:val="00BE2AC6"/>
    <w:rsid w:val="00BE3740"/>
    <w:rsid w:val="00BE3974"/>
    <w:rsid w:val="00BE3BA8"/>
    <w:rsid w:val="00BE41C7"/>
    <w:rsid w:val="00BE4242"/>
    <w:rsid w:val="00BE42DA"/>
    <w:rsid w:val="00BE4820"/>
    <w:rsid w:val="00BE4BBD"/>
    <w:rsid w:val="00BE4D38"/>
    <w:rsid w:val="00BE516D"/>
    <w:rsid w:val="00BE6FE5"/>
    <w:rsid w:val="00BE7B0A"/>
    <w:rsid w:val="00BE7D0D"/>
    <w:rsid w:val="00BF00B7"/>
    <w:rsid w:val="00BF06E6"/>
    <w:rsid w:val="00BF06FE"/>
    <w:rsid w:val="00BF08C2"/>
    <w:rsid w:val="00BF0DFF"/>
    <w:rsid w:val="00BF2038"/>
    <w:rsid w:val="00BF2280"/>
    <w:rsid w:val="00BF2458"/>
    <w:rsid w:val="00BF2C40"/>
    <w:rsid w:val="00BF2E3E"/>
    <w:rsid w:val="00BF4EF7"/>
    <w:rsid w:val="00BF4F79"/>
    <w:rsid w:val="00BF4F81"/>
    <w:rsid w:val="00BF544D"/>
    <w:rsid w:val="00BF6107"/>
    <w:rsid w:val="00BF6561"/>
    <w:rsid w:val="00BF6626"/>
    <w:rsid w:val="00BF7C03"/>
    <w:rsid w:val="00C00246"/>
    <w:rsid w:val="00C00EFD"/>
    <w:rsid w:val="00C01781"/>
    <w:rsid w:val="00C01F6D"/>
    <w:rsid w:val="00C01FB8"/>
    <w:rsid w:val="00C023C8"/>
    <w:rsid w:val="00C02868"/>
    <w:rsid w:val="00C02971"/>
    <w:rsid w:val="00C02EB7"/>
    <w:rsid w:val="00C02F74"/>
    <w:rsid w:val="00C03137"/>
    <w:rsid w:val="00C04743"/>
    <w:rsid w:val="00C05953"/>
    <w:rsid w:val="00C066DD"/>
    <w:rsid w:val="00C06D0E"/>
    <w:rsid w:val="00C071A9"/>
    <w:rsid w:val="00C073DD"/>
    <w:rsid w:val="00C07C10"/>
    <w:rsid w:val="00C07DF1"/>
    <w:rsid w:val="00C07F7F"/>
    <w:rsid w:val="00C116A2"/>
    <w:rsid w:val="00C11A04"/>
    <w:rsid w:val="00C11A38"/>
    <w:rsid w:val="00C12ECB"/>
    <w:rsid w:val="00C1334F"/>
    <w:rsid w:val="00C1357F"/>
    <w:rsid w:val="00C13A80"/>
    <w:rsid w:val="00C1430A"/>
    <w:rsid w:val="00C14460"/>
    <w:rsid w:val="00C1492C"/>
    <w:rsid w:val="00C15307"/>
    <w:rsid w:val="00C1534E"/>
    <w:rsid w:val="00C155EF"/>
    <w:rsid w:val="00C158F4"/>
    <w:rsid w:val="00C15D17"/>
    <w:rsid w:val="00C161E6"/>
    <w:rsid w:val="00C16386"/>
    <w:rsid w:val="00C1651E"/>
    <w:rsid w:val="00C16836"/>
    <w:rsid w:val="00C16CE3"/>
    <w:rsid w:val="00C1783E"/>
    <w:rsid w:val="00C17890"/>
    <w:rsid w:val="00C17BFA"/>
    <w:rsid w:val="00C17FD8"/>
    <w:rsid w:val="00C21BC0"/>
    <w:rsid w:val="00C220C9"/>
    <w:rsid w:val="00C2293D"/>
    <w:rsid w:val="00C232DC"/>
    <w:rsid w:val="00C237D5"/>
    <w:rsid w:val="00C23968"/>
    <w:rsid w:val="00C24D7B"/>
    <w:rsid w:val="00C2576B"/>
    <w:rsid w:val="00C26715"/>
    <w:rsid w:val="00C271FA"/>
    <w:rsid w:val="00C272B6"/>
    <w:rsid w:val="00C2752C"/>
    <w:rsid w:val="00C303EC"/>
    <w:rsid w:val="00C305D9"/>
    <w:rsid w:val="00C30634"/>
    <w:rsid w:val="00C30D3D"/>
    <w:rsid w:val="00C3138C"/>
    <w:rsid w:val="00C315CD"/>
    <w:rsid w:val="00C31814"/>
    <w:rsid w:val="00C31AB0"/>
    <w:rsid w:val="00C327DB"/>
    <w:rsid w:val="00C3403C"/>
    <w:rsid w:val="00C34766"/>
    <w:rsid w:val="00C34D53"/>
    <w:rsid w:val="00C3568C"/>
    <w:rsid w:val="00C35912"/>
    <w:rsid w:val="00C35C3A"/>
    <w:rsid w:val="00C35ECA"/>
    <w:rsid w:val="00C36104"/>
    <w:rsid w:val="00C3636E"/>
    <w:rsid w:val="00C36C47"/>
    <w:rsid w:val="00C36FE0"/>
    <w:rsid w:val="00C374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458"/>
    <w:rsid w:val="00C45F2B"/>
    <w:rsid w:val="00C4617B"/>
    <w:rsid w:val="00C46F8F"/>
    <w:rsid w:val="00C47C5F"/>
    <w:rsid w:val="00C50428"/>
    <w:rsid w:val="00C510F2"/>
    <w:rsid w:val="00C51199"/>
    <w:rsid w:val="00C5194E"/>
    <w:rsid w:val="00C5219E"/>
    <w:rsid w:val="00C539CF"/>
    <w:rsid w:val="00C53D2D"/>
    <w:rsid w:val="00C53E0C"/>
    <w:rsid w:val="00C54CD9"/>
    <w:rsid w:val="00C55185"/>
    <w:rsid w:val="00C55CAF"/>
    <w:rsid w:val="00C55DDD"/>
    <w:rsid w:val="00C55FFF"/>
    <w:rsid w:val="00C5728A"/>
    <w:rsid w:val="00C573C2"/>
    <w:rsid w:val="00C57C06"/>
    <w:rsid w:val="00C6000C"/>
    <w:rsid w:val="00C603F8"/>
    <w:rsid w:val="00C616D3"/>
    <w:rsid w:val="00C6190B"/>
    <w:rsid w:val="00C61EE3"/>
    <w:rsid w:val="00C62ADF"/>
    <w:rsid w:val="00C62E99"/>
    <w:rsid w:val="00C632BE"/>
    <w:rsid w:val="00C635C6"/>
    <w:rsid w:val="00C635FD"/>
    <w:rsid w:val="00C63ED6"/>
    <w:rsid w:val="00C63FAC"/>
    <w:rsid w:val="00C643C0"/>
    <w:rsid w:val="00C65DFF"/>
    <w:rsid w:val="00C6695A"/>
    <w:rsid w:val="00C669C2"/>
    <w:rsid w:val="00C66CB3"/>
    <w:rsid w:val="00C66D1F"/>
    <w:rsid w:val="00C66DF1"/>
    <w:rsid w:val="00C66EC9"/>
    <w:rsid w:val="00C67153"/>
    <w:rsid w:val="00C678E7"/>
    <w:rsid w:val="00C67B67"/>
    <w:rsid w:val="00C70039"/>
    <w:rsid w:val="00C70B47"/>
    <w:rsid w:val="00C712EE"/>
    <w:rsid w:val="00C7150A"/>
    <w:rsid w:val="00C71C66"/>
    <w:rsid w:val="00C71E8E"/>
    <w:rsid w:val="00C71EDA"/>
    <w:rsid w:val="00C73C68"/>
    <w:rsid w:val="00C73D25"/>
    <w:rsid w:val="00C7483E"/>
    <w:rsid w:val="00C74990"/>
    <w:rsid w:val="00C74A5D"/>
    <w:rsid w:val="00C75565"/>
    <w:rsid w:val="00C7579F"/>
    <w:rsid w:val="00C7599B"/>
    <w:rsid w:val="00C75AD3"/>
    <w:rsid w:val="00C75D90"/>
    <w:rsid w:val="00C7659B"/>
    <w:rsid w:val="00C77839"/>
    <w:rsid w:val="00C805F0"/>
    <w:rsid w:val="00C80707"/>
    <w:rsid w:val="00C808E1"/>
    <w:rsid w:val="00C80B36"/>
    <w:rsid w:val="00C80B59"/>
    <w:rsid w:val="00C80B5E"/>
    <w:rsid w:val="00C81353"/>
    <w:rsid w:val="00C81455"/>
    <w:rsid w:val="00C8215D"/>
    <w:rsid w:val="00C82A01"/>
    <w:rsid w:val="00C83458"/>
    <w:rsid w:val="00C83A03"/>
    <w:rsid w:val="00C83F22"/>
    <w:rsid w:val="00C84C79"/>
    <w:rsid w:val="00C84DD4"/>
    <w:rsid w:val="00C84E9B"/>
    <w:rsid w:val="00C852FF"/>
    <w:rsid w:val="00C856AB"/>
    <w:rsid w:val="00C85B09"/>
    <w:rsid w:val="00C861EE"/>
    <w:rsid w:val="00C86A5F"/>
    <w:rsid w:val="00C870DC"/>
    <w:rsid w:val="00C875BB"/>
    <w:rsid w:val="00C87D14"/>
    <w:rsid w:val="00C90058"/>
    <w:rsid w:val="00C90475"/>
    <w:rsid w:val="00C9058C"/>
    <w:rsid w:val="00C92C55"/>
    <w:rsid w:val="00C92EB8"/>
    <w:rsid w:val="00C93860"/>
    <w:rsid w:val="00C939A3"/>
    <w:rsid w:val="00C9434A"/>
    <w:rsid w:val="00C9436D"/>
    <w:rsid w:val="00C94861"/>
    <w:rsid w:val="00C951D4"/>
    <w:rsid w:val="00C95268"/>
    <w:rsid w:val="00C956A2"/>
    <w:rsid w:val="00C95AB3"/>
    <w:rsid w:val="00C963EE"/>
    <w:rsid w:val="00C964C4"/>
    <w:rsid w:val="00C964C6"/>
    <w:rsid w:val="00C96921"/>
    <w:rsid w:val="00C96B4B"/>
    <w:rsid w:val="00C96BBD"/>
    <w:rsid w:val="00CA123F"/>
    <w:rsid w:val="00CA1259"/>
    <w:rsid w:val="00CA1660"/>
    <w:rsid w:val="00CA1BFB"/>
    <w:rsid w:val="00CA1DC6"/>
    <w:rsid w:val="00CA3276"/>
    <w:rsid w:val="00CA34DE"/>
    <w:rsid w:val="00CA3567"/>
    <w:rsid w:val="00CA3B91"/>
    <w:rsid w:val="00CA4606"/>
    <w:rsid w:val="00CA53EC"/>
    <w:rsid w:val="00CA5AE3"/>
    <w:rsid w:val="00CA5C2D"/>
    <w:rsid w:val="00CA756B"/>
    <w:rsid w:val="00CA7CE7"/>
    <w:rsid w:val="00CB02D1"/>
    <w:rsid w:val="00CB06B0"/>
    <w:rsid w:val="00CB08EA"/>
    <w:rsid w:val="00CB0AB2"/>
    <w:rsid w:val="00CB1066"/>
    <w:rsid w:val="00CB10D6"/>
    <w:rsid w:val="00CB1221"/>
    <w:rsid w:val="00CB12FE"/>
    <w:rsid w:val="00CB18AA"/>
    <w:rsid w:val="00CB1C92"/>
    <w:rsid w:val="00CB2144"/>
    <w:rsid w:val="00CB240A"/>
    <w:rsid w:val="00CB4B23"/>
    <w:rsid w:val="00CB4CB5"/>
    <w:rsid w:val="00CB5180"/>
    <w:rsid w:val="00CB5423"/>
    <w:rsid w:val="00CB550A"/>
    <w:rsid w:val="00CB5663"/>
    <w:rsid w:val="00CB62A8"/>
    <w:rsid w:val="00CB6420"/>
    <w:rsid w:val="00CB6DFF"/>
    <w:rsid w:val="00CB7D9E"/>
    <w:rsid w:val="00CC0C36"/>
    <w:rsid w:val="00CC11FD"/>
    <w:rsid w:val="00CC19BB"/>
    <w:rsid w:val="00CC1BA8"/>
    <w:rsid w:val="00CC22C1"/>
    <w:rsid w:val="00CC2373"/>
    <w:rsid w:val="00CC263C"/>
    <w:rsid w:val="00CC27EA"/>
    <w:rsid w:val="00CC2BF4"/>
    <w:rsid w:val="00CC2E4F"/>
    <w:rsid w:val="00CC2F02"/>
    <w:rsid w:val="00CC369C"/>
    <w:rsid w:val="00CC3EE3"/>
    <w:rsid w:val="00CC42F9"/>
    <w:rsid w:val="00CC542D"/>
    <w:rsid w:val="00CC547F"/>
    <w:rsid w:val="00CC5857"/>
    <w:rsid w:val="00CC6820"/>
    <w:rsid w:val="00CC6876"/>
    <w:rsid w:val="00CC6D75"/>
    <w:rsid w:val="00CC70C7"/>
    <w:rsid w:val="00CC74DE"/>
    <w:rsid w:val="00CD01DA"/>
    <w:rsid w:val="00CD06A6"/>
    <w:rsid w:val="00CD11B2"/>
    <w:rsid w:val="00CD123E"/>
    <w:rsid w:val="00CD12A7"/>
    <w:rsid w:val="00CD187C"/>
    <w:rsid w:val="00CD24E6"/>
    <w:rsid w:val="00CD362C"/>
    <w:rsid w:val="00CD39C8"/>
    <w:rsid w:val="00CD3E5A"/>
    <w:rsid w:val="00CD4452"/>
    <w:rsid w:val="00CD4E81"/>
    <w:rsid w:val="00CD563F"/>
    <w:rsid w:val="00CD5AB2"/>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AEC"/>
    <w:rsid w:val="00CE2E14"/>
    <w:rsid w:val="00CE34EE"/>
    <w:rsid w:val="00CE374B"/>
    <w:rsid w:val="00CE38BB"/>
    <w:rsid w:val="00CE43EF"/>
    <w:rsid w:val="00CE44F2"/>
    <w:rsid w:val="00CE5976"/>
    <w:rsid w:val="00CE5C9B"/>
    <w:rsid w:val="00CE5F02"/>
    <w:rsid w:val="00CE5F33"/>
    <w:rsid w:val="00CE63A3"/>
    <w:rsid w:val="00CE78DF"/>
    <w:rsid w:val="00CF0ABF"/>
    <w:rsid w:val="00CF0F13"/>
    <w:rsid w:val="00CF1343"/>
    <w:rsid w:val="00CF1823"/>
    <w:rsid w:val="00CF2859"/>
    <w:rsid w:val="00CF2CCE"/>
    <w:rsid w:val="00CF3467"/>
    <w:rsid w:val="00CF3C52"/>
    <w:rsid w:val="00CF4A5F"/>
    <w:rsid w:val="00CF546B"/>
    <w:rsid w:val="00CF5695"/>
    <w:rsid w:val="00CF57D5"/>
    <w:rsid w:val="00CF5ED9"/>
    <w:rsid w:val="00CF68B9"/>
    <w:rsid w:val="00CF7073"/>
    <w:rsid w:val="00CF739A"/>
    <w:rsid w:val="00CF7866"/>
    <w:rsid w:val="00CF788E"/>
    <w:rsid w:val="00CF7D0D"/>
    <w:rsid w:val="00D00215"/>
    <w:rsid w:val="00D0068E"/>
    <w:rsid w:val="00D00CD0"/>
    <w:rsid w:val="00D00F88"/>
    <w:rsid w:val="00D01484"/>
    <w:rsid w:val="00D01F00"/>
    <w:rsid w:val="00D02286"/>
    <w:rsid w:val="00D022B3"/>
    <w:rsid w:val="00D0253A"/>
    <w:rsid w:val="00D03A72"/>
    <w:rsid w:val="00D03F5D"/>
    <w:rsid w:val="00D05685"/>
    <w:rsid w:val="00D05B81"/>
    <w:rsid w:val="00D05CBC"/>
    <w:rsid w:val="00D05EEF"/>
    <w:rsid w:val="00D0669C"/>
    <w:rsid w:val="00D06BE4"/>
    <w:rsid w:val="00D06E28"/>
    <w:rsid w:val="00D07BA5"/>
    <w:rsid w:val="00D100FA"/>
    <w:rsid w:val="00D10D2C"/>
    <w:rsid w:val="00D10E21"/>
    <w:rsid w:val="00D11051"/>
    <w:rsid w:val="00D1147E"/>
    <w:rsid w:val="00D12428"/>
    <w:rsid w:val="00D13209"/>
    <w:rsid w:val="00D1335D"/>
    <w:rsid w:val="00D133FC"/>
    <w:rsid w:val="00D139DA"/>
    <w:rsid w:val="00D13CDE"/>
    <w:rsid w:val="00D13EBE"/>
    <w:rsid w:val="00D13F35"/>
    <w:rsid w:val="00D1451C"/>
    <w:rsid w:val="00D15CAC"/>
    <w:rsid w:val="00D16647"/>
    <w:rsid w:val="00D167B7"/>
    <w:rsid w:val="00D16B4F"/>
    <w:rsid w:val="00D16B7E"/>
    <w:rsid w:val="00D17079"/>
    <w:rsid w:val="00D17304"/>
    <w:rsid w:val="00D1777D"/>
    <w:rsid w:val="00D1783F"/>
    <w:rsid w:val="00D178B4"/>
    <w:rsid w:val="00D17E0E"/>
    <w:rsid w:val="00D201D7"/>
    <w:rsid w:val="00D20396"/>
    <w:rsid w:val="00D20427"/>
    <w:rsid w:val="00D20646"/>
    <w:rsid w:val="00D20AF5"/>
    <w:rsid w:val="00D2154E"/>
    <w:rsid w:val="00D21676"/>
    <w:rsid w:val="00D21A2B"/>
    <w:rsid w:val="00D21BCC"/>
    <w:rsid w:val="00D21EB9"/>
    <w:rsid w:val="00D2233A"/>
    <w:rsid w:val="00D22F99"/>
    <w:rsid w:val="00D23160"/>
    <w:rsid w:val="00D231B6"/>
    <w:rsid w:val="00D236FB"/>
    <w:rsid w:val="00D2384F"/>
    <w:rsid w:val="00D23910"/>
    <w:rsid w:val="00D23AF7"/>
    <w:rsid w:val="00D24654"/>
    <w:rsid w:val="00D247E9"/>
    <w:rsid w:val="00D24A4E"/>
    <w:rsid w:val="00D25439"/>
    <w:rsid w:val="00D25F91"/>
    <w:rsid w:val="00D264BE"/>
    <w:rsid w:val="00D267AA"/>
    <w:rsid w:val="00D268DD"/>
    <w:rsid w:val="00D2722D"/>
    <w:rsid w:val="00D2791B"/>
    <w:rsid w:val="00D27BFB"/>
    <w:rsid w:val="00D27DD5"/>
    <w:rsid w:val="00D27FCA"/>
    <w:rsid w:val="00D31453"/>
    <w:rsid w:val="00D31D7B"/>
    <w:rsid w:val="00D3227A"/>
    <w:rsid w:val="00D325B3"/>
    <w:rsid w:val="00D32ACB"/>
    <w:rsid w:val="00D33900"/>
    <w:rsid w:val="00D33B44"/>
    <w:rsid w:val="00D33FA6"/>
    <w:rsid w:val="00D33FB7"/>
    <w:rsid w:val="00D343F3"/>
    <w:rsid w:val="00D347F7"/>
    <w:rsid w:val="00D354C8"/>
    <w:rsid w:val="00D35526"/>
    <w:rsid w:val="00D36E52"/>
    <w:rsid w:val="00D371F2"/>
    <w:rsid w:val="00D3723D"/>
    <w:rsid w:val="00D37282"/>
    <w:rsid w:val="00D3784D"/>
    <w:rsid w:val="00D3796B"/>
    <w:rsid w:val="00D404D8"/>
    <w:rsid w:val="00D40A93"/>
    <w:rsid w:val="00D42993"/>
    <w:rsid w:val="00D4347E"/>
    <w:rsid w:val="00D4369C"/>
    <w:rsid w:val="00D437BF"/>
    <w:rsid w:val="00D43825"/>
    <w:rsid w:val="00D4393A"/>
    <w:rsid w:val="00D43E31"/>
    <w:rsid w:val="00D44302"/>
    <w:rsid w:val="00D44572"/>
    <w:rsid w:val="00D44724"/>
    <w:rsid w:val="00D44881"/>
    <w:rsid w:val="00D45EFA"/>
    <w:rsid w:val="00D4618E"/>
    <w:rsid w:val="00D466F0"/>
    <w:rsid w:val="00D46709"/>
    <w:rsid w:val="00D46B90"/>
    <w:rsid w:val="00D47226"/>
    <w:rsid w:val="00D476E6"/>
    <w:rsid w:val="00D4780A"/>
    <w:rsid w:val="00D50669"/>
    <w:rsid w:val="00D508E2"/>
    <w:rsid w:val="00D52D5D"/>
    <w:rsid w:val="00D52D83"/>
    <w:rsid w:val="00D5353F"/>
    <w:rsid w:val="00D535C2"/>
    <w:rsid w:val="00D5362F"/>
    <w:rsid w:val="00D536B5"/>
    <w:rsid w:val="00D54961"/>
    <w:rsid w:val="00D55080"/>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2A0E"/>
    <w:rsid w:val="00D634A8"/>
    <w:rsid w:val="00D635C1"/>
    <w:rsid w:val="00D64009"/>
    <w:rsid w:val="00D64010"/>
    <w:rsid w:val="00D643C7"/>
    <w:rsid w:val="00D645F1"/>
    <w:rsid w:val="00D64881"/>
    <w:rsid w:val="00D64D68"/>
    <w:rsid w:val="00D64FC5"/>
    <w:rsid w:val="00D65B6A"/>
    <w:rsid w:val="00D66D8B"/>
    <w:rsid w:val="00D67B63"/>
    <w:rsid w:val="00D70090"/>
    <w:rsid w:val="00D704A7"/>
    <w:rsid w:val="00D70650"/>
    <w:rsid w:val="00D70981"/>
    <w:rsid w:val="00D71258"/>
    <w:rsid w:val="00D71651"/>
    <w:rsid w:val="00D7177C"/>
    <w:rsid w:val="00D71788"/>
    <w:rsid w:val="00D726F1"/>
    <w:rsid w:val="00D733A1"/>
    <w:rsid w:val="00D733C5"/>
    <w:rsid w:val="00D73567"/>
    <w:rsid w:val="00D73982"/>
    <w:rsid w:val="00D73D59"/>
    <w:rsid w:val="00D749FC"/>
    <w:rsid w:val="00D74B7E"/>
    <w:rsid w:val="00D74D91"/>
    <w:rsid w:val="00D75E15"/>
    <w:rsid w:val="00D75E7A"/>
    <w:rsid w:val="00D76414"/>
    <w:rsid w:val="00D7649B"/>
    <w:rsid w:val="00D76B6F"/>
    <w:rsid w:val="00D76C6B"/>
    <w:rsid w:val="00D76F75"/>
    <w:rsid w:val="00D77481"/>
    <w:rsid w:val="00D7788D"/>
    <w:rsid w:val="00D779AA"/>
    <w:rsid w:val="00D801F5"/>
    <w:rsid w:val="00D806AA"/>
    <w:rsid w:val="00D80995"/>
    <w:rsid w:val="00D80B54"/>
    <w:rsid w:val="00D80BEE"/>
    <w:rsid w:val="00D80EF0"/>
    <w:rsid w:val="00D816D1"/>
    <w:rsid w:val="00D81D06"/>
    <w:rsid w:val="00D81DBC"/>
    <w:rsid w:val="00D81E73"/>
    <w:rsid w:val="00D827A4"/>
    <w:rsid w:val="00D82C3A"/>
    <w:rsid w:val="00D84436"/>
    <w:rsid w:val="00D84694"/>
    <w:rsid w:val="00D848F2"/>
    <w:rsid w:val="00D84ADC"/>
    <w:rsid w:val="00D84D96"/>
    <w:rsid w:val="00D8522A"/>
    <w:rsid w:val="00D852EA"/>
    <w:rsid w:val="00D85D7E"/>
    <w:rsid w:val="00D86317"/>
    <w:rsid w:val="00D86F7C"/>
    <w:rsid w:val="00D86FE3"/>
    <w:rsid w:val="00D87B9E"/>
    <w:rsid w:val="00D87E95"/>
    <w:rsid w:val="00D902A6"/>
    <w:rsid w:val="00D90488"/>
    <w:rsid w:val="00D906C7"/>
    <w:rsid w:val="00D9107B"/>
    <w:rsid w:val="00D91600"/>
    <w:rsid w:val="00D91810"/>
    <w:rsid w:val="00D91875"/>
    <w:rsid w:val="00D918B4"/>
    <w:rsid w:val="00D918CE"/>
    <w:rsid w:val="00D91A66"/>
    <w:rsid w:val="00D91D1B"/>
    <w:rsid w:val="00D93678"/>
    <w:rsid w:val="00D93C06"/>
    <w:rsid w:val="00D9478F"/>
    <w:rsid w:val="00D948BE"/>
    <w:rsid w:val="00D94BE5"/>
    <w:rsid w:val="00D95AA8"/>
    <w:rsid w:val="00D95D1B"/>
    <w:rsid w:val="00D95D2F"/>
    <w:rsid w:val="00D95E72"/>
    <w:rsid w:val="00DA0257"/>
    <w:rsid w:val="00DA0891"/>
    <w:rsid w:val="00DA14ED"/>
    <w:rsid w:val="00DA26B9"/>
    <w:rsid w:val="00DA2B8E"/>
    <w:rsid w:val="00DA2D63"/>
    <w:rsid w:val="00DA39D6"/>
    <w:rsid w:val="00DA3BBF"/>
    <w:rsid w:val="00DA4FCE"/>
    <w:rsid w:val="00DA5A95"/>
    <w:rsid w:val="00DA60E1"/>
    <w:rsid w:val="00DA610E"/>
    <w:rsid w:val="00DA73E4"/>
    <w:rsid w:val="00DA761F"/>
    <w:rsid w:val="00DB03B0"/>
    <w:rsid w:val="00DB0483"/>
    <w:rsid w:val="00DB0CF9"/>
    <w:rsid w:val="00DB0EF4"/>
    <w:rsid w:val="00DB1037"/>
    <w:rsid w:val="00DB255D"/>
    <w:rsid w:val="00DB2D10"/>
    <w:rsid w:val="00DB2E6F"/>
    <w:rsid w:val="00DB334F"/>
    <w:rsid w:val="00DB35BF"/>
    <w:rsid w:val="00DB36F3"/>
    <w:rsid w:val="00DB3B7B"/>
    <w:rsid w:val="00DB3D6C"/>
    <w:rsid w:val="00DB3FF9"/>
    <w:rsid w:val="00DB48FC"/>
    <w:rsid w:val="00DB51D8"/>
    <w:rsid w:val="00DB54AC"/>
    <w:rsid w:val="00DB5B1C"/>
    <w:rsid w:val="00DB6B98"/>
    <w:rsid w:val="00DB6E8A"/>
    <w:rsid w:val="00DB6E9A"/>
    <w:rsid w:val="00DB6FF3"/>
    <w:rsid w:val="00DB6FFD"/>
    <w:rsid w:val="00DB7AB2"/>
    <w:rsid w:val="00DB7EDE"/>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714"/>
    <w:rsid w:val="00DC5FEA"/>
    <w:rsid w:val="00DC677D"/>
    <w:rsid w:val="00DC6959"/>
    <w:rsid w:val="00DC70EC"/>
    <w:rsid w:val="00DC7E0D"/>
    <w:rsid w:val="00DD0017"/>
    <w:rsid w:val="00DD0555"/>
    <w:rsid w:val="00DD0AE1"/>
    <w:rsid w:val="00DD1A49"/>
    <w:rsid w:val="00DD2A9A"/>
    <w:rsid w:val="00DD3347"/>
    <w:rsid w:val="00DD4320"/>
    <w:rsid w:val="00DD481C"/>
    <w:rsid w:val="00DD49A6"/>
    <w:rsid w:val="00DD4DCE"/>
    <w:rsid w:val="00DD573B"/>
    <w:rsid w:val="00DD57AF"/>
    <w:rsid w:val="00DD5CCA"/>
    <w:rsid w:val="00DD63B1"/>
    <w:rsid w:val="00DD64BA"/>
    <w:rsid w:val="00DD686A"/>
    <w:rsid w:val="00DD727E"/>
    <w:rsid w:val="00DE0127"/>
    <w:rsid w:val="00DE0AFD"/>
    <w:rsid w:val="00DE115C"/>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6FB7"/>
    <w:rsid w:val="00DE7C1E"/>
    <w:rsid w:val="00DE7E08"/>
    <w:rsid w:val="00DE7F61"/>
    <w:rsid w:val="00DF09BC"/>
    <w:rsid w:val="00DF0A51"/>
    <w:rsid w:val="00DF100D"/>
    <w:rsid w:val="00DF1104"/>
    <w:rsid w:val="00DF110A"/>
    <w:rsid w:val="00DF14BE"/>
    <w:rsid w:val="00DF1889"/>
    <w:rsid w:val="00DF1D86"/>
    <w:rsid w:val="00DF2E02"/>
    <w:rsid w:val="00DF3258"/>
    <w:rsid w:val="00DF33E6"/>
    <w:rsid w:val="00DF4677"/>
    <w:rsid w:val="00DF4695"/>
    <w:rsid w:val="00DF47A8"/>
    <w:rsid w:val="00DF47C5"/>
    <w:rsid w:val="00DF4D0C"/>
    <w:rsid w:val="00DF55D9"/>
    <w:rsid w:val="00DF5A35"/>
    <w:rsid w:val="00DF5CEB"/>
    <w:rsid w:val="00DF625C"/>
    <w:rsid w:val="00DF65D4"/>
    <w:rsid w:val="00DF6BE1"/>
    <w:rsid w:val="00DF6D99"/>
    <w:rsid w:val="00DF71AB"/>
    <w:rsid w:val="00DF76AC"/>
    <w:rsid w:val="00DF7718"/>
    <w:rsid w:val="00E00E7E"/>
    <w:rsid w:val="00E027E5"/>
    <w:rsid w:val="00E03B7D"/>
    <w:rsid w:val="00E03FBB"/>
    <w:rsid w:val="00E041E7"/>
    <w:rsid w:val="00E04618"/>
    <w:rsid w:val="00E049BC"/>
    <w:rsid w:val="00E04DBD"/>
    <w:rsid w:val="00E04F07"/>
    <w:rsid w:val="00E04F2B"/>
    <w:rsid w:val="00E059B4"/>
    <w:rsid w:val="00E059F1"/>
    <w:rsid w:val="00E05C01"/>
    <w:rsid w:val="00E05EEC"/>
    <w:rsid w:val="00E062F1"/>
    <w:rsid w:val="00E0716B"/>
    <w:rsid w:val="00E07974"/>
    <w:rsid w:val="00E07B32"/>
    <w:rsid w:val="00E10737"/>
    <w:rsid w:val="00E117D4"/>
    <w:rsid w:val="00E119A0"/>
    <w:rsid w:val="00E11D0B"/>
    <w:rsid w:val="00E11FEC"/>
    <w:rsid w:val="00E12113"/>
    <w:rsid w:val="00E12849"/>
    <w:rsid w:val="00E128E2"/>
    <w:rsid w:val="00E12B5D"/>
    <w:rsid w:val="00E12EE2"/>
    <w:rsid w:val="00E1382D"/>
    <w:rsid w:val="00E142F7"/>
    <w:rsid w:val="00E14D3D"/>
    <w:rsid w:val="00E152B2"/>
    <w:rsid w:val="00E1534F"/>
    <w:rsid w:val="00E15A11"/>
    <w:rsid w:val="00E15DC0"/>
    <w:rsid w:val="00E15F19"/>
    <w:rsid w:val="00E16152"/>
    <w:rsid w:val="00E16987"/>
    <w:rsid w:val="00E16A14"/>
    <w:rsid w:val="00E17312"/>
    <w:rsid w:val="00E17611"/>
    <w:rsid w:val="00E176BD"/>
    <w:rsid w:val="00E17976"/>
    <w:rsid w:val="00E17CF4"/>
    <w:rsid w:val="00E202ED"/>
    <w:rsid w:val="00E2036C"/>
    <w:rsid w:val="00E205AC"/>
    <w:rsid w:val="00E212BE"/>
    <w:rsid w:val="00E2189E"/>
    <w:rsid w:val="00E2254C"/>
    <w:rsid w:val="00E228FA"/>
    <w:rsid w:val="00E22A71"/>
    <w:rsid w:val="00E233DD"/>
    <w:rsid w:val="00E238C1"/>
    <w:rsid w:val="00E238C7"/>
    <w:rsid w:val="00E23917"/>
    <w:rsid w:val="00E23F9C"/>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892"/>
    <w:rsid w:val="00E34A57"/>
    <w:rsid w:val="00E351F6"/>
    <w:rsid w:val="00E355EF"/>
    <w:rsid w:val="00E36208"/>
    <w:rsid w:val="00E36353"/>
    <w:rsid w:val="00E36C6C"/>
    <w:rsid w:val="00E40187"/>
    <w:rsid w:val="00E402F3"/>
    <w:rsid w:val="00E40985"/>
    <w:rsid w:val="00E418EA"/>
    <w:rsid w:val="00E41A8F"/>
    <w:rsid w:val="00E41E62"/>
    <w:rsid w:val="00E420AF"/>
    <w:rsid w:val="00E4219B"/>
    <w:rsid w:val="00E42C59"/>
    <w:rsid w:val="00E430FA"/>
    <w:rsid w:val="00E4325F"/>
    <w:rsid w:val="00E438DE"/>
    <w:rsid w:val="00E439DB"/>
    <w:rsid w:val="00E43E2C"/>
    <w:rsid w:val="00E44C6C"/>
    <w:rsid w:val="00E451E0"/>
    <w:rsid w:val="00E45FB6"/>
    <w:rsid w:val="00E46699"/>
    <w:rsid w:val="00E46839"/>
    <w:rsid w:val="00E46DEE"/>
    <w:rsid w:val="00E474FB"/>
    <w:rsid w:val="00E50251"/>
    <w:rsid w:val="00E503B1"/>
    <w:rsid w:val="00E50A41"/>
    <w:rsid w:val="00E50CAE"/>
    <w:rsid w:val="00E5171F"/>
    <w:rsid w:val="00E525AC"/>
    <w:rsid w:val="00E52631"/>
    <w:rsid w:val="00E52F93"/>
    <w:rsid w:val="00E53478"/>
    <w:rsid w:val="00E53D0E"/>
    <w:rsid w:val="00E53FB1"/>
    <w:rsid w:val="00E54BE4"/>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A35"/>
    <w:rsid w:val="00E62A82"/>
    <w:rsid w:val="00E62BCC"/>
    <w:rsid w:val="00E6338F"/>
    <w:rsid w:val="00E63535"/>
    <w:rsid w:val="00E63DDD"/>
    <w:rsid w:val="00E6404D"/>
    <w:rsid w:val="00E645C9"/>
    <w:rsid w:val="00E64658"/>
    <w:rsid w:val="00E64835"/>
    <w:rsid w:val="00E64C3F"/>
    <w:rsid w:val="00E65B9F"/>
    <w:rsid w:val="00E65C8C"/>
    <w:rsid w:val="00E65F67"/>
    <w:rsid w:val="00E66206"/>
    <w:rsid w:val="00E66B92"/>
    <w:rsid w:val="00E66EA5"/>
    <w:rsid w:val="00E67193"/>
    <w:rsid w:val="00E677BE"/>
    <w:rsid w:val="00E70117"/>
    <w:rsid w:val="00E7014E"/>
    <w:rsid w:val="00E70919"/>
    <w:rsid w:val="00E7091D"/>
    <w:rsid w:val="00E70E1F"/>
    <w:rsid w:val="00E7188F"/>
    <w:rsid w:val="00E71CF4"/>
    <w:rsid w:val="00E724B1"/>
    <w:rsid w:val="00E726F8"/>
    <w:rsid w:val="00E72D54"/>
    <w:rsid w:val="00E73834"/>
    <w:rsid w:val="00E73F0A"/>
    <w:rsid w:val="00E741ED"/>
    <w:rsid w:val="00E747E3"/>
    <w:rsid w:val="00E74AA4"/>
    <w:rsid w:val="00E75125"/>
    <w:rsid w:val="00E75171"/>
    <w:rsid w:val="00E7521D"/>
    <w:rsid w:val="00E75B03"/>
    <w:rsid w:val="00E75EF2"/>
    <w:rsid w:val="00E76A0E"/>
    <w:rsid w:val="00E76C24"/>
    <w:rsid w:val="00E77B7F"/>
    <w:rsid w:val="00E80044"/>
    <w:rsid w:val="00E80160"/>
    <w:rsid w:val="00E807DC"/>
    <w:rsid w:val="00E81B82"/>
    <w:rsid w:val="00E81BAA"/>
    <w:rsid w:val="00E81D65"/>
    <w:rsid w:val="00E82B27"/>
    <w:rsid w:val="00E83406"/>
    <w:rsid w:val="00E835C3"/>
    <w:rsid w:val="00E83E27"/>
    <w:rsid w:val="00E84796"/>
    <w:rsid w:val="00E847B6"/>
    <w:rsid w:val="00E84C3F"/>
    <w:rsid w:val="00E85ADF"/>
    <w:rsid w:val="00E85BC2"/>
    <w:rsid w:val="00E85BDC"/>
    <w:rsid w:val="00E85D5E"/>
    <w:rsid w:val="00E85D77"/>
    <w:rsid w:val="00E86127"/>
    <w:rsid w:val="00E86579"/>
    <w:rsid w:val="00E86D5D"/>
    <w:rsid w:val="00E87105"/>
    <w:rsid w:val="00E8779D"/>
    <w:rsid w:val="00E87A43"/>
    <w:rsid w:val="00E87CDE"/>
    <w:rsid w:val="00E87D0F"/>
    <w:rsid w:val="00E87E8E"/>
    <w:rsid w:val="00E87EC0"/>
    <w:rsid w:val="00E902F3"/>
    <w:rsid w:val="00E90715"/>
    <w:rsid w:val="00E907AA"/>
    <w:rsid w:val="00E90989"/>
    <w:rsid w:val="00E909F3"/>
    <w:rsid w:val="00E90CCD"/>
    <w:rsid w:val="00E91AE2"/>
    <w:rsid w:val="00E91D47"/>
    <w:rsid w:val="00E92020"/>
    <w:rsid w:val="00E9355E"/>
    <w:rsid w:val="00E93FA3"/>
    <w:rsid w:val="00E941BA"/>
    <w:rsid w:val="00E94C2B"/>
    <w:rsid w:val="00E94DB3"/>
    <w:rsid w:val="00E94F29"/>
    <w:rsid w:val="00E95671"/>
    <w:rsid w:val="00E958C7"/>
    <w:rsid w:val="00E959B3"/>
    <w:rsid w:val="00E95E52"/>
    <w:rsid w:val="00E963EA"/>
    <w:rsid w:val="00E96815"/>
    <w:rsid w:val="00E96A0B"/>
    <w:rsid w:val="00E96B40"/>
    <w:rsid w:val="00E96D43"/>
    <w:rsid w:val="00E97DBD"/>
    <w:rsid w:val="00EA0764"/>
    <w:rsid w:val="00EA108A"/>
    <w:rsid w:val="00EA168D"/>
    <w:rsid w:val="00EA1719"/>
    <w:rsid w:val="00EA1DAD"/>
    <w:rsid w:val="00EA28CD"/>
    <w:rsid w:val="00EA420A"/>
    <w:rsid w:val="00EA48B2"/>
    <w:rsid w:val="00EA55D0"/>
    <w:rsid w:val="00EA685A"/>
    <w:rsid w:val="00EA72CB"/>
    <w:rsid w:val="00EA765A"/>
    <w:rsid w:val="00EA76BE"/>
    <w:rsid w:val="00EA779E"/>
    <w:rsid w:val="00EA7B45"/>
    <w:rsid w:val="00EA7D78"/>
    <w:rsid w:val="00EA7E09"/>
    <w:rsid w:val="00EB1EC1"/>
    <w:rsid w:val="00EB2036"/>
    <w:rsid w:val="00EB2B60"/>
    <w:rsid w:val="00EB2C3D"/>
    <w:rsid w:val="00EB2CD4"/>
    <w:rsid w:val="00EB3331"/>
    <w:rsid w:val="00EB51AF"/>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EC0"/>
    <w:rsid w:val="00EC2489"/>
    <w:rsid w:val="00EC24B2"/>
    <w:rsid w:val="00EC2635"/>
    <w:rsid w:val="00EC2A7E"/>
    <w:rsid w:val="00EC3375"/>
    <w:rsid w:val="00EC3BA2"/>
    <w:rsid w:val="00EC3BDE"/>
    <w:rsid w:val="00EC3EE2"/>
    <w:rsid w:val="00EC42DE"/>
    <w:rsid w:val="00EC476A"/>
    <w:rsid w:val="00EC60B9"/>
    <w:rsid w:val="00EC66DA"/>
    <w:rsid w:val="00EC68FA"/>
    <w:rsid w:val="00EC7370"/>
    <w:rsid w:val="00EC74D0"/>
    <w:rsid w:val="00EC7B89"/>
    <w:rsid w:val="00EC7F67"/>
    <w:rsid w:val="00ED05AD"/>
    <w:rsid w:val="00ED1690"/>
    <w:rsid w:val="00ED1D30"/>
    <w:rsid w:val="00ED2744"/>
    <w:rsid w:val="00ED2B32"/>
    <w:rsid w:val="00ED3F69"/>
    <w:rsid w:val="00ED4172"/>
    <w:rsid w:val="00ED4416"/>
    <w:rsid w:val="00ED483D"/>
    <w:rsid w:val="00ED485F"/>
    <w:rsid w:val="00ED58AD"/>
    <w:rsid w:val="00ED5940"/>
    <w:rsid w:val="00ED71B4"/>
    <w:rsid w:val="00EE0A39"/>
    <w:rsid w:val="00EE213A"/>
    <w:rsid w:val="00EE2428"/>
    <w:rsid w:val="00EE2719"/>
    <w:rsid w:val="00EE28A1"/>
    <w:rsid w:val="00EE2DF4"/>
    <w:rsid w:val="00EE2FCD"/>
    <w:rsid w:val="00EE343F"/>
    <w:rsid w:val="00EE52D0"/>
    <w:rsid w:val="00EE5407"/>
    <w:rsid w:val="00EE69D2"/>
    <w:rsid w:val="00EE6DF7"/>
    <w:rsid w:val="00EE6FCD"/>
    <w:rsid w:val="00EE7143"/>
    <w:rsid w:val="00EE7250"/>
    <w:rsid w:val="00EE72D1"/>
    <w:rsid w:val="00EE737B"/>
    <w:rsid w:val="00EE7534"/>
    <w:rsid w:val="00EE762D"/>
    <w:rsid w:val="00EF00CE"/>
    <w:rsid w:val="00EF03B1"/>
    <w:rsid w:val="00EF0C17"/>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3BC"/>
    <w:rsid w:val="00F06867"/>
    <w:rsid w:val="00F0748A"/>
    <w:rsid w:val="00F07F5B"/>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819"/>
    <w:rsid w:val="00F210AE"/>
    <w:rsid w:val="00F21B26"/>
    <w:rsid w:val="00F21DF4"/>
    <w:rsid w:val="00F21F3A"/>
    <w:rsid w:val="00F21FFA"/>
    <w:rsid w:val="00F22262"/>
    <w:rsid w:val="00F228A1"/>
    <w:rsid w:val="00F24504"/>
    <w:rsid w:val="00F246B3"/>
    <w:rsid w:val="00F24C2F"/>
    <w:rsid w:val="00F25038"/>
    <w:rsid w:val="00F25DDD"/>
    <w:rsid w:val="00F25F4E"/>
    <w:rsid w:val="00F276FB"/>
    <w:rsid w:val="00F27EDC"/>
    <w:rsid w:val="00F30470"/>
    <w:rsid w:val="00F305E6"/>
    <w:rsid w:val="00F3128C"/>
    <w:rsid w:val="00F314B8"/>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EF3"/>
    <w:rsid w:val="00F37F54"/>
    <w:rsid w:val="00F4037C"/>
    <w:rsid w:val="00F410DA"/>
    <w:rsid w:val="00F418A9"/>
    <w:rsid w:val="00F41ABB"/>
    <w:rsid w:val="00F424BE"/>
    <w:rsid w:val="00F42CF2"/>
    <w:rsid w:val="00F42CF7"/>
    <w:rsid w:val="00F43559"/>
    <w:rsid w:val="00F436FF"/>
    <w:rsid w:val="00F4614F"/>
    <w:rsid w:val="00F475B2"/>
    <w:rsid w:val="00F475D8"/>
    <w:rsid w:val="00F47EBF"/>
    <w:rsid w:val="00F52324"/>
    <w:rsid w:val="00F52C22"/>
    <w:rsid w:val="00F53249"/>
    <w:rsid w:val="00F535EA"/>
    <w:rsid w:val="00F537BF"/>
    <w:rsid w:val="00F53D1F"/>
    <w:rsid w:val="00F54921"/>
    <w:rsid w:val="00F5593D"/>
    <w:rsid w:val="00F55CDB"/>
    <w:rsid w:val="00F562FC"/>
    <w:rsid w:val="00F56427"/>
    <w:rsid w:val="00F5654C"/>
    <w:rsid w:val="00F5745C"/>
    <w:rsid w:val="00F60577"/>
    <w:rsid w:val="00F60D06"/>
    <w:rsid w:val="00F60EFB"/>
    <w:rsid w:val="00F614DF"/>
    <w:rsid w:val="00F615D4"/>
    <w:rsid w:val="00F61D28"/>
    <w:rsid w:val="00F6355C"/>
    <w:rsid w:val="00F63FCC"/>
    <w:rsid w:val="00F64D9D"/>
    <w:rsid w:val="00F64E27"/>
    <w:rsid w:val="00F64FFD"/>
    <w:rsid w:val="00F65285"/>
    <w:rsid w:val="00F655CF"/>
    <w:rsid w:val="00F65AC3"/>
    <w:rsid w:val="00F667AF"/>
    <w:rsid w:val="00F67310"/>
    <w:rsid w:val="00F67740"/>
    <w:rsid w:val="00F67805"/>
    <w:rsid w:val="00F67888"/>
    <w:rsid w:val="00F6798F"/>
    <w:rsid w:val="00F70096"/>
    <w:rsid w:val="00F704BF"/>
    <w:rsid w:val="00F706E7"/>
    <w:rsid w:val="00F71280"/>
    <w:rsid w:val="00F72306"/>
    <w:rsid w:val="00F72759"/>
    <w:rsid w:val="00F72CA1"/>
    <w:rsid w:val="00F72F37"/>
    <w:rsid w:val="00F73BBD"/>
    <w:rsid w:val="00F73EAB"/>
    <w:rsid w:val="00F7426D"/>
    <w:rsid w:val="00F746C2"/>
    <w:rsid w:val="00F747DD"/>
    <w:rsid w:val="00F752DE"/>
    <w:rsid w:val="00F753AA"/>
    <w:rsid w:val="00F75D34"/>
    <w:rsid w:val="00F75F02"/>
    <w:rsid w:val="00F7681E"/>
    <w:rsid w:val="00F768C9"/>
    <w:rsid w:val="00F76A22"/>
    <w:rsid w:val="00F77F66"/>
    <w:rsid w:val="00F80371"/>
    <w:rsid w:val="00F806FF"/>
    <w:rsid w:val="00F80D13"/>
    <w:rsid w:val="00F80D49"/>
    <w:rsid w:val="00F80F0D"/>
    <w:rsid w:val="00F8134E"/>
    <w:rsid w:val="00F81C79"/>
    <w:rsid w:val="00F81E1F"/>
    <w:rsid w:val="00F82D2A"/>
    <w:rsid w:val="00F82D6A"/>
    <w:rsid w:val="00F83160"/>
    <w:rsid w:val="00F8379E"/>
    <w:rsid w:val="00F8438C"/>
    <w:rsid w:val="00F844DB"/>
    <w:rsid w:val="00F84EC2"/>
    <w:rsid w:val="00F84ECF"/>
    <w:rsid w:val="00F85045"/>
    <w:rsid w:val="00F861B3"/>
    <w:rsid w:val="00F86495"/>
    <w:rsid w:val="00F86F6B"/>
    <w:rsid w:val="00F86F89"/>
    <w:rsid w:val="00F87516"/>
    <w:rsid w:val="00F87682"/>
    <w:rsid w:val="00F87D66"/>
    <w:rsid w:val="00F9041F"/>
    <w:rsid w:val="00F90E73"/>
    <w:rsid w:val="00F91279"/>
    <w:rsid w:val="00F9132B"/>
    <w:rsid w:val="00F91426"/>
    <w:rsid w:val="00F922E4"/>
    <w:rsid w:val="00F92638"/>
    <w:rsid w:val="00F927EE"/>
    <w:rsid w:val="00F92C95"/>
    <w:rsid w:val="00F931B9"/>
    <w:rsid w:val="00F95063"/>
    <w:rsid w:val="00F9509F"/>
    <w:rsid w:val="00F95551"/>
    <w:rsid w:val="00F9629D"/>
    <w:rsid w:val="00F96AC6"/>
    <w:rsid w:val="00F96F92"/>
    <w:rsid w:val="00F96F93"/>
    <w:rsid w:val="00F970C6"/>
    <w:rsid w:val="00F97754"/>
    <w:rsid w:val="00F97931"/>
    <w:rsid w:val="00F97A23"/>
    <w:rsid w:val="00F97BC2"/>
    <w:rsid w:val="00FA0891"/>
    <w:rsid w:val="00FA1851"/>
    <w:rsid w:val="00FA230C"/>
    <w:rsid w:val="00FA26CB"/>
    <w:rsid w:val="00FA2BE3"/>
    <w:rsid w:val="00FA3109"/>
    <w:rsid w:val="00FA32B7"/>
    <w:rsid w:val="00FA3706"/>
    <w:rsid w:val="00FA3766"/>
    <w:rsid w:val="00FA3A2E"/>
    <w:rsid w:val="00FA3CAC"/>
    <w:rsid w:val="00FA464E"/>
    <w:rsid w:val="00FA491D"/>
    <w:rsid w:val="00FA4BC0"/>
    <w:rsid w:val="00FA55D7"/>
    <w:rsid w:val="00FA56C1"/>
    <w:rsid w:val="00FA572F"/>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84E"/>
    <w:rsid w:val="00FB3900"/>
    <w:rsid w:val="00FB3B6A"/>
    <w:rsid w:val="00FB3E62"/>
    <w:rsid w:val="00FB3F1F"/>
    <w:rsid w:val="00FB440E"/>
    <w:rsid w:val="00FB4557"/>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7B0"/>
    <w:rsid w:val="00FC6A45"/>
    <w:rsid w:val="00FC7512"/>
    <w:rsid w:val="00FC7833"/>
    <w:rsid w:val="00FD09E8"/>
    <w:rsid w:val="00FD1615"/>
    <w:rsid w:val="00FD1731"/>
    <w:rsid w:val="00FD1798"/>
    <w:rsid w:val="00FD1AAD"/>
    <w:rsid w:val="00FD1AD2"/>
    <w:rsid w:val="00FD2540"/>
    <w:rsid w:val="00FD2A79"/>
    <w:rsid w:val="00FD2BDB"/>
    <w:rsid w:val="00FD2D8A"/>
    <w:rsid w:val="00FD2DC5"/>
    <w:rsid w:val="00FD331F"/>
    <w:rsid w:val="00FD338B"/>
    <w:rsid w:val="00FD34B1"/>
    <w:rsid w:val="00FD37A1"/>
    <w:rsid w:val="00FD436B"/>
    <w:rsid w:val="00FD469B"/>
    <w:rsid w:val="00FD46BF"/>
    <w:rsid w:val="00FD5695"/>
    <w:rsid w:val="00FD62EE"/>
    <w:rsid w:val="00FD6BD7"/>
    <w:rsid w:val="00FD7082"/>
    <w:rsid w:val="00FD708C"/>
    <w:rsid w:val="00FD7390"/>
    <w:rsid w:val="00FD76B8"/>
    <w:rsid w:val="00FE1CAA"/>
    <w:rsid w:val="00FE1D4B"/>
    <w:rsid w:val="00FE2B13"/>
    <w:rsid w:val="00FE30AE"/>
    <w:rsid w:val="00FE33D5"/>
    <w:rsid w:val="00FE3561"/>
    <w:rsid w:val="00FE3578"/>
    <w:rsid w:val="00FE38CB"/>
    <w:rsid w:val="00FE3902"/>
    <w:rsid w:val="00FE3C50"/>
    <w:rsid w:val="00FE3FFE"/>
    <w:rsid w:val="00FE4060"/>
    <w:rsid w:val="00FE427F"/>
    <w:rsid w:val="00FE439F"/>
    <w:rsid w:val="00FE4540"/>
    <w:rsid w:val="00FE4B5A"/>
    <w:rsid w:val="00FE4BC4"/>
    <w:rsid w:val="00FE5594"/>
    <w:rsid w:val="00FE578B"/>
    <w:rsid w:val="00FE5EB3"/>
    <w:rsid w:val="00FE6268"/>
    <w:rsid w:val="00FE643C"/>
    <w:rsid w:val="00FE680D"/>
    <w:rsid w:val="00FE69A6"/>
    <w:rsid w:val="00FE71DB"/>
    <w:rsid w:val="00FE7200"/>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664A"/>
    <w:rsid w:val="00FF67F1"/>
    <w:rsid w:val="00FF6C0B"/>
    <w:rsid w:val="00FF6D56"/>
    <w:rsid w:val="00FF7393"/>
    <w:rsid w:val="00FF78D1"/>
    <w:rsid w:val="00FF7CD8"/>
    <w:rsid w:val="0115724E"/>
    <w:rsid w:val="012364C0"/>
    <w:rsid w:val="01261DF4"/>
    <w:rsid w:val="01282AC9"/>
    <w:rsid w:val="012C20C2"/>
    <w:rsid w:val="012F63B3"/>
    <w:rsid w:val="01307EB3"/>
    <w:rsid w:val="014C1835"/>
    <w:rsid w:val="0154579F"/>
    <w:rsid w:val="01545C7A"/>
    <w:rsid w:val="015D72CF"/>
    <w:rsid w:val="017E34AF"/>
    <w:rsid w:val="01823E2F"/>
    <w:rsid w:val="018E528C"/>
    <w:rsid w:val="01B05BEC"/>
    <w:rsid w:val="01C71BCB"/>
    <w:rsid w:val="01C76DD0"/>
    <w:rsid w:val="01D3575B"/>
    <w:rsid w:val="01D76D14"/>
    <w:rsid w:val="01EC181B"/>
    <w:rsid w:val="01FD2BD3"/>
    <w:rsid w:val="020642DF"/>
    <w:rsid w:val="020A74DC"/>
    <w:rsid w:val="025B66B0"/>
    <w:rsid w:val="02694276"/>
    <w:rsid w:val="026A48A0"/>
    <w:rsid w:val="026F0EF3"/>
    <w:rsid w:val="02843866"/>
    <w:rsid w:val="02885E3F"/>
    <w:rsid w:val="02C34C32"/>
    <w:rsid w:val="02DC5C6E"/>
    <w:rsid w:val="02E1776D"/>
    <w:rsid w:val="02E56273"/>
    <w:rsid w:val="02F3329B"/>
    <w:rsid w:val="030A3E8E"/>
    <w:rsid w:val="032A3E24"/>
    <w:rsid w:val="036A090C"/>
    <w:rsid w:val="03B918CD"/>
    <w:rsid w:val="03D930DC"/>
    <w:rsid w:val="03EF6AFF"/>
    <w:rsid w:val="03FA61DE"/>
    <w:rsid w:val="040D16F1"/>
    <w:rsid w:val="044B7BFD"/>
    <w:rsid w:val="045252D6"/>
    <w:rsid w:val="04564960"/>
    <w:rsid w:val="04665C3A"/>
    <w:rsid w:val="047250EC"/>
    <w:rsid w:val="047D13CF"/>
    <w:rsid w:val="049E4585"/>
    <w:rsid w:val="04B541C1"/>
    <w:rsid w:val="04BF3AE0"/>
    <w:rsid w:val="04C55DF6"/>
    <w:rsid w:val="04C74AFA"/>
    <w:rsid w:val="04E109C1"/>
    <w:rsid w:val="04E14477"/>
    <w:rsid w:val="04EC7BDB"/>
    <w:rsid w:val="0519043B"/>
    <w:rsid w:val="052149F2"/>
    <w:rsid w:val="0538081D"/>
    <w:rsid w:val="054B3BAF"/>
    <w:rsid w:val="054D112F"/>
    <w:rsid w:val="05583DCD"/>
    <w:rsid w:val="05642A90"/>
    <w:rsid w:val="05696C71"/>
    <w:rsid w:val="056B5EA8"/>
    <w:rsid w:val="056F4B14"/>
    <w:rsid w:val="05732D59"/>
    <w:rsid w:val="057C5715"/>
    <w:rsid w:val="058553A7"/>
    <w:rsid w:val="05A520C4"/>
    <w:rsid w:val="05B90DCA"/>
    <w:rsid w:val="05C50BAC"/>
    <w:rsid w:val="05C519E7"/>
    <w:rsid w:val="05E037E5"/>
    <w:rsid w:val="05E727A2"/>
    <w:rsid w:val="06027AF8"/>
    <w:rsid w:val="060D42B3"/>
    <w:rsid w:val="06A32593"/>
    <w:rsid w:val="06A62830"/>
    <w:rsid w:val="06BC02D5"/>
    <w:rsid w:val="06BE2160"/>
    <w:rsid w:val="06D52905"/>
    <w:rsid w:val="06D927B0"/>
    <w:rsid w:val="06E07F64"/>
    <w:rsid w:val="06FC5FDB"/>
    <w:rsid w:val="07150D27"/>
    <w:rsid w:val="071A19A8"/>
    <w:rsid w:val="071C6ABF"/>
    <w:rsid w:val="07247761"/>
    <w:rsid w:val="07336968"/>
    <w:rsid w:val="07345668"/>
    <w:rsid w:val="075458AE"/>
    <w:rsid w:val="075C17CC"/>
    <w:rsid w:val="077944B2"/>
    <w:rsid w:val="0785361D"/>
    <w:rsid w:val="07895ED1"/>
    <w:rsid w:val="078A46B0"/>
    <w:rsid w:val="07924C4B"/>
    <w:rsid w:val="07991CB6"/>
    <w:rsid w:val="079A7D2C"/>
    <w:rsid w:val="079B6D92"/>
    <w:rsid w:val="079F19D2"/>
    <w:rsid w:val="07AF70B7"/>
    <w:rsid w:val="07B84256"/>
    <w:rsid w:val="07C04DAB"/>
    <w:rsid w:val="07C56682"/>
    <w:rsid w:val="07D93028"/>
    <w:rsid w:val="07DD321B"/>
    <w:rsid w:val="080B577B"/>
    <w:rsid w:val="08453DDF"/>
    <w:rsid w:val="084747A1"/>
    <w:rsid w:val="08572CA3"/>
    <w:rsid w:val="085A5B41"/>
    <w:rsid w:val="08636FD1"/>
    <w:rsid w:val="08B601FC"/>
    <w:rsid w:val="08BC7C00"/>
    <w:rsid w:val="08C55CC6"/>
    <w:rsid w:val="08D079C2"/>
    <w:rsid w:val="08D80EA8"/>
    <w:rsid w:val="08E5320F"/>
    <w:rsid w:val="08E95466"/>
    <w:rsid w:val="09024423"/>
    <w:rsid w:val="0909653C"/>
    <w:rsid w:val="090C4D29"/>
    <w:rsid w:val="09216DE3"/>
    <w:rsid w:val="092F65C5"/>
    <w:rsid w:val="09336C26"/>
    <w:rsid w:val="09361C78"/>
    <w:rsid w:val="093C1DC8"/>
    <w:rsid w:val="095701C5"/>
    <w:rsid w:val="09873A46"/>
    <w:rsid w:val="0997570E"/>
    <w:rsid w:val="09A100F4"/>
    <w:rsid w:val="09FE10BE"/>
    <w:rsid w:val="0A1C4694"/>
    <w:rsid w:val="0A463B01"/>
    <w:rsid w:val="0A4F45AA"/>
    <w:rsid w:val="0A6C1AB8"/>
    <w:rsid w:val="0A8B1F94"/>
    <w:rsid w:val="0A9B408E"/>
    <w:rsid w:val="0AA76432"/>
    <w:rsid w:val="0AC322D0"/>
    <w:rsid w:val="0AD50A25"/>
    <w:rsid w:val="0AF55441"/>
    <w:rsid w:val="0AFF02E3"/>
    <w:rsid w:val="0B362A71"/>
    <w:rsid w:val="0B5821EF"/>
    <w:rsid w:val="0B711092"/>
    <w:rsid w:val="0B904371"/>
    <w:rsid w:val="0BA7412C"/>
    <w:rsid w:val="0BBB552C"/>
    <w:rsid w:val="0BC01EEC"/>
    <w:rsid w:val="0BC62D73"/>
    <w:rsid w:val="0BE64483"/>
    <w:rsid w:val="0BEB1BE2"/>
    <w:rsid w:val="0BF24052"/>
    <w:rsid w:val="0C0D4E12"/>
    <w:rsid w:val="0C29520D"/>
    <w:rsid w:val="0C4452AF"/>
    <w:rsid w:val="0C6041D7"/>
    <w:rsid w:val="0C9646E6"/>
    <w:rsid w:val="0CB11A6E"/>
    <w:rsid w:val="0CC5444A"/>
    <w:rsid w:val="0CCD50C2"/>
    <w:rsid w:val="0CCE2357"/>
    <w:rsid w:val="0CD176A9"/>
    <w:rsid w:val="0CD2583A"/>
    <w:rsid w:val="0CE02B10"/>
    <w:rsid w:val="0CF81F94"/>
    <w:rsid w:val="0D006F28"/>
    <w:rsid w:val="0D0425E8"/>
    <w:rsid w:val="0D0B2D8B"/>
    <w:rsid w:val="0D100489"/>
    <w:rsid w:val="0D4E0435"/>
    <w:rsid w:val="0D576367"/>
    <w:rsid w:val="0D5B77B4"/>
    <w:rsid w:val="0D6425A0"/>
    <w:rsid w:val="0D760F3D"/>
    <w:rsid w:val="0D7F205C"/>
    <w:rsid w:val="0DC05222"/>
    <w:rsid w:val="0DE7731A"/>
    <w:rsid w:val="0E032869"/>
    <w:rsid w:val="0E092BAA"/>
    <w:rsid w:val="0E207165"/>
    <w:rsid w:val="0E227310"/>
    <w:rsid w:val="0E3C4A15"/>
    <w:rsid w:val="0E400BA7"/>
    <w:rsid w:val="0E43255A"/>
    <w:rsid w:val="0E48519E"/>
    <w:rsid w:val="0E4B72F0"/>
    <w:rsid w:val="0E681C61"/>
    <w:rsid w:val="0E745A31"/>
    <w:rsid w:val="0E793ED0"/>
    <w:rsid w:val="0E873F25"/>
    <w:rsid w:val="0EA17CF6"/>
    <w:rsid w:val="0EB93716"/>
    <w:rsid w:val="0EBF1D67"/>
    <w:rsid w:val="0EC11897"/>
    <w:rsid w:val="0ECF52BA"/>
    <w:rsid w:val="0ED11AE2"/>
    <w:rsid w:val="0EF31BA3"/>
    <w:rsid w:val="0EF83E7E"/>
    <w:rsid w:val="0F00644B"/>
    <w:rsid w:val="0F0D6E3B"/>
    <w:rsid w:val="0F153488"/>
    <w:rsid w:val="0F285006"/>
    <w:rsid w:val="0F2B0758"/>
    <w:rsid w:val="0F316BF8"/>
    <w:rsid w:val="0F3518AE"/>
    <w:rsid w:val="0F5F46C6"/>
    <w:rsid w:val="0F8C599A"/>
    <w:rsid w:val="0F9851A1"/>
    <w:rsid w:val="0FA55EF4"/>
    <w:rsid w:val="0FCC35F8"/>
    <w:rsid w:val="0FD7617F"/>
    <w:rsid w:val="0FF0519C"/>
    <w:rsid w:val="100C000E"/>
    <w:rsid w:val="10204914"/>
    <w:rsid w:val="102155E7"/>
    <w:rsid w:val="103477D8"/>
    <w:rsid w:val="105B5567"/>
    <w:rsid w:val="1075164B"/>
    <w:rsid w:val="1076073D"/>
    <w:rsid w:val="10892D4C"/>
    <w:rsid w:val="108F1247"/>
    <w:rsid w:val="10900FB4"/>
    <w:rsid w:val="109A38A1"/>
    <w:rsid w:val="10A95C97"/>
    <w:rsid w:val="10DE3231"/>
    <w:rsid w:val="11010513"/>
    <w:rsid w:val="11142556"/>
    <w:rsid w:val="112204FD"/>
    <w:rsid w:val="1123072D"/>
    <w:rsid w:val="113E5F4E"/>
    <w:rsid w:val="11566600"/>
    <w:rsid w:val="116E2B13"/>
    <w:rsid w:val="11703917"/>
    <w:rsid w:val="117D7500"/>
    <w:rsid w:val="117F372B"/>
    <w:rsid w:val="1191134C"/>
    <w:rsid w:val="11974CDA"/>
    <w:rsid w:val="11A924C3"/>
    <w:rsid w:val="11AF134F"/>
    <w:rsid w:val="11BA5AED"/>
    <w:rsid w:val="11BA660F"/>
    <w:rsid w:val="11C41A8B"/>
    <w:rsid w:val="11FD295C"/>
    <w:rsid w:val="11FF7687"/>
    <w:rsid w:val="12091A56"/>
    <w:rsid w:val="122A7647"/>
    <w:rsid w:val="12315C07"/>
    <w:rsid w:val="123861CF"/>
    <w:rsid w:val="12441522"/>
    <w:rsid w:val="12567919"/>
    <w:rsid w:val="126A58E8"/>
    <w:rsid w:val="126F67BB"/>
    <w:rsid w:val="12AB31BE"/>
    <w:rsid w:val="12AC5B5E"/>
    <w:rsid w:val="12B92BE2"/>
    <w:rsid w:val="12C83AF2"/>
    <w:rsid w:val="12EA33B0"/>
    <w:rsid w:val="12F66918"/>
    <w:rsid w:val="130B428D"/>
    <w:rsid w:val="131720F5"/>
    <w:rsid w:val="13175349"/>
    <w:rsid w:val="13186551"/>
    <w:rsid w:val="13210C75"/>
    <w:rsid w:val="13302411"/>
    <w:rsid w:val="13313B1F"/>
    <w:rsid w:val="1372255A"/>
    <w:rsid w:val="138C6D10"/>
    <w:rsid w:val="139B5526"/>
    <w:rsid w:val="13B36968"/>
    <w:rsid w:val="13D43164"/>
    <w:rsid w:val="13D81B1B"/>
    <w:rsid w:val="13D83FA3"/>
    <w:rsid w:val="13D86FB5"/>
    <w:rsid w:val="13E94124"/>
    <w:rsid w:val="140A7915"/>
    <w:rsid w:val="141F3619"/>
    <w:rsid w:val="144A442B"/>
    <w:rsid w:val="144C7774"/>
    <w:rsid w:val="144F60D5"/>
    <w:rsid w:val="14525264"/>
    <w:rsid w:val="145F58B7"/>
    <w:rsid w:val="14611295"/>
    <w:rsid w:val="14691370"/>
    <w:rsid w:val="14744002"/>
    <w:rsid w:val="1497412F"/>
    <w:rsid w:val="14AF753B"/>
    <w:rsid w:val="14B70FA6"/>
    <w:rsid w:val="14F902C4"/>
    <w:rsid w:val="15155E8D"/>
    <w:rsid w:val="15346BF9"/>
    <w:rsid w:val="153B4ABB"/>
    <w:rsid w:val="154233AB"/>
    <w:rsid w:val="154346AE"/>
    <w:rsid w:val="154B7996"/>
    <w:rsid w:val="154D5449"/>
    <w:rsid w:val="15530EA1"/>
    <w:rsid w:val="155B6F0B"/>
    <w:rsid w:val="15734C41"/>
    <w:rsid w:val="158E1C7F"/>
    <w:rsid w:val="158F4387"/>
    <w:rsid w:val="15993CD6"/>
    <w:rsid w:val="159F5618"/>
    <w:rsid w:val="15A532F4"/>
    <w:rsid w:val="15AF0A97"/>
    <w:rsid w:val="15B61E4D"/>
    <w:rsid w:val="15B659D1"/>
    <w:rsid w:val="15D020F7"/>
    <w:rsid w:val="15D56B63"/>
    <w:rsid w:val="15D9760E"/>
    <w:rsid w:val="15DF6355"/>
    <w:rsid w:val="15F45A28"/>
    <w:rsid w:val="15F64F4F"/>
    <w:rsid w:val="160B3ACD"/>
    <w:rsid w:val="161A6097"/>
    <w:rsid w:val="16293958"/>
    <w:rsid w:val="16455959"/>
    <w:rsid w:val="164E01C4"/>
    <w:rsid w:val="16520905"/>
    <w:rsid w:val="16561D62"/>
    <w:rsid w:val="165F41E8"/>
    <w:rsid w:val="166A683C"/>
    <w:rsid w:val="167A7FCF"/>
    <w:rsid w:val="1682519A"/>
    <w:rsid w:val="16886596"/>
    <w:rsid w:val="16893923"/>
    <w:rsid w:val="16925F32"/>
    <w:rsid w:val="169A3D27"/>
    <w:rsid w:val="16B470F6"/>
    <w:rsid w:val="16BC78A7"/>
    <w:rsid w:val="16F455B8"/>
    <w:rsid w:val="16F93A36"/>
    <w:rsid w:val="1711335A"/>
    <w:rsid w:val="173673FB"/>
    <w:rsid w:val="174D4192"/>
    <w:rsid w:val="17593529"/>
    <w:rsid w:val="175A5714"/>
    <w:rsid w:val="176C00A9"/>
    <w:rsid w:val="177A5B4D"/>
    <w:rsid w:val="177C0E0D"/>
    <w:rsid w:val="17984F13"/>
    <w:rsid w:val="179F1F5F"/>
    <w:rsid w:val="17AE5734"/>
    <w:rsid w:val="17B21F05"/>
    <w:rsid w:val="17CE79E0"/>
    <w:rsid w:val="17CF5769"/>
    <w:rsid w:val="17EB1734"/>
    <w:rsid w:val="17F53F70"/>
    <w:rsid w:val="17FC632A"/>
    <w:rsid w:val="180D3276"/>
    <w:rsid w:val="18356E46"/>
    <w:rsid w:val="1836548E"/>
    <w:rsid w:val="1865431D"/>
    <w:rsid w:val="18687698"/>
    <w:rsid w:val="18705C65"/>
    <w:rsid w:val="18733984"/>
    <w:rsid w:val="18856EF4"/>
    <w:rsid w:val="188C2D86"/>
    <w:rsid w:val="18B01FB1"/>
    <w:rsid w:val="18BC33AF"/>
    <w:rsid w:val="18BE1E46"/>
    <w:rsid w:val="18C03177"/>
    <w:rsid w:val="18D42B86"/>
    <w:rsid w:val="18E1425F"/>
    <w:rsid w:val="18F85838"/>
    <w:rsid w:val="191726EF"/>
    <w:rsid w:val="19191807"/>
    <w:rsid w:val="19270E66"/>
    <w:rsid w:val="192A3F5F"/>
    <w:rsid w:val="193041A6"/>
    <w:rsid w:val="193825F3"/>
    <w:rsid w:val="19471213"/>
    <w:rsid w:val="19496598"/>
    <w:rsid w:val="19575A59"/>
    <w:rsid w:val="195D25EA"/>
    <w:rsid w:val="19696C70"/>
    <w:rsid w:val="198E3E8D"/>
    <w:rsid w:val="1991777E"/>
    <w:rsid w:val="199610E2"/>
    <w:rsid w:val="19A76BC3"/>
    <w:rsid w:val="19A86D33"/>
    <w:rsid w:val="19BB20AC"/>
    <w:rsid w:val="19C254CC"/>
    <w:rsid w:val="19E75799"/>
    <w:rsid w:val="19EC047C"/>
    <w:rsid w:val="19FF1DD7"/>
    <w:rsid w:val="1A031A5B"/>
    <w:rsid w:val="1A092452"/>
    <w:rsid w:val="1A1A4BE8"/>
    <w:rsid w:val="1A5D4669"/>
    <w:rsid w:val="1A7928BB"/>
    <w:rsid w:val="1A8617A7"/>
    <w:rsid w:val="1A917586"/>
    <w:rsid w:val="1A9D09F7"/>
    <w:rsid w:val="1AA2252A"/>
    <w:rsid w:val="1AAB69C1"/>
    <w:rsid w:val="1AB265A4"/>
    <w:rsid w:val="1AFC5B3B"/>
    <w:rsid w:val="1AFE75E7"/>
    <w:rsid w:val="1B023B85"/>
    <w:rsid w:val="1B041579"/>
    <w:rsid w:val="1B0C32F4"/>
    <w:rsid w:val="1B0D03FF"/>
    <w:rsid w:val="1B0E0CFF"/>
    <w:rsid w:val="1B280433"/>
    <w:rsid w:val="1B3E60F6"/>
    <w:rsid w:val="1B43291B"/>
    <w:rsid w:val="1B497B97"/>
    <w:rsid w:val="1B6932B2"/>
    <w:rsid w:val="1B90704D"/>
    <w:rsid w:val="1BA417FD"/>
    <w:rsid w:val="1BB328A2"/>
    <w:rsid w:val="1BC80D3E"/>
    <w:rsid w:val="1BDA0D0E"/>
    <w:rsid w:val="1BDC1FDC"/>
    <w:rsid w:val="1BED0061"/>
    <w:rsid w:val="1BEE2CA0"/>
    <w:rsid w:val="1BF85770"/>
    <w:rsid w:val="1C0B157D"/>
    <w:rsid w:val="1C1330FC"/>
    <w:rsid w:val="1C1639D1"/>
    <w:rsid w:val="1C1C078A"/>
    <w:rsid w:val="1C20601B"/>
    <w:rsid w:val="1C212035"/>
    <w:rsid w:val="1C2A348E"/>
    <w:rsid w:val="1C4908BE"/>
    <w:rsid w:val="1C4E2B50"/>
    <w:rsid w:val="1C531CA1"/>
    <w:rsid w:val="1C67619F"/>
    <w:rsid w:val="1C74182F"/>
    <w:rsid w:val="1C8C31EA"/>
    <w:rsid w:val="1CA176D3"/>
    <w:rsid w:val="1CB62F1E"/>
    <w:rsid w:val="1CB663FF"/>
    <w:rsid w:val="1CBB75C1"/>
    <w:rsid w:val="1CBC04BE"/>
    <w:rsid w:val="1CD42FEA"/>
    <w:rsid w:val="1CD86A66"/>
    <w:rsid w:val="1CF437FC"/>
    <w:rsid w:val="1D0B1FD1"/>
    <w:rsid w:val="1D1C619B"/>
    <w:rsid w:val="1D20453B"/>
    <w:rsid w:val="1D2C37A6"/>
    <w:rsid w:val="1D397DA4"/>
    <w:rsid w:val="1D5F7976"/>
    <w:rsid w:val="1D7272C4"/>
    <w:rsid w:val="1D7D5933"/>
    <w:rsid w:val="1D853B81"/>
    <w:rsid w:val="1D9E1F6B"/>
    <w:rsid w:val="1DA13A44"/>
    <w:rsid w:val="1DA40988"/>
    <w:rsid w:val="1DA51B09"/>
    <w:rsid w:val="1DBE3095"/>
    <w:rsid w:val="1E2F4B2E"/>
    <w:rsid w:val="1E322924"/>
    <w:rsid w:val="1E330118"/>
    <w:rsid w:val="1E344191"/>
    <w:rsid w:val="1E3E7A89"/>
    <w:rsid w:val="1E441BE0"/>
    <w:rsid w:val="1E7D33CA"/>
    <w:rsid w:val="1E894975"/>
    <w:rsid w:val="1E932086"/>
    <w:rsid w:val="1E991BE3"/>
    <w:rsid w:val="1EA768CB"/>
    <w:rsid w:val="1EC24432"/>
    <w:rsid w:val="1ECA4751"/>
    <w:rsid w:val="1EF52C4F"/>
    <w:rsid w:val="1F151F89"/>
    <w:rsid w:val="1F2175F8"/>
    <w:rsid w:val="1F2454AE"/>
    <w:rsid w:val="1F2730A0"/>
    <w:rsid w:val="1F290EB1"/>
    <w:rsid w:val="1F6979E7"/>
    <w:rsid w:val="1F750A08"/>
    <w:rsid w:val="1F870F59"/>
    <w:rsid w:val="1F967D7C"/>
    <w:rsid w:val="1FA244B0"/>
    <w:rsid w:val="1FA642C4"/>
    <w:rsid w:val="1FA772D7"/>
    <w:rsid w:val="1FB17124"/>
    <w:rsid w:val="1FD93C9C"/>
    <w:rsid w:val="1FDA60AB"/>
    <w:rsid w:val="1FE25FB2"/>
    <w:rsid w:val="1FE86F66"/>
    <w:rsid w:val="1FFB537F"/>
    <w:rsid w:val="200E6725"/>
    <w:rsid w:val="20101323"/>
    <w:rsid w:val="201802C8"/>
    <w:rsid w:val="20185CB3"/>
    <w:rsid w:val="203057FA"/>
    <w:rsid w:val="20572ABF"/>
    <w:rsid w:val="20785B47"/>
    <w:rsid w:val="207C5CB0"/>
    <w:rsid w:val="20847244"/>
    <w:rsid w:val="20C924EF"/>
    <w:rsid w:val="20E81797"/>
    <w:rsid w:val="20F35F51"/>
    <w:rsid w:val="20FE78BC"/>
    <w:rsid w:val="2111797A"/>
    <w:rsid w:val="21135FB9"/>
    <w:rsid w:val="21146FE2"/>
    <w:rsid w:val="21390F39"/>
    <w:rsid w:val="214E0604"/>
    <w:rsid w:val="215964F0"/>
    <w:rsid w:val="215F5FD5"/>
    <w:rsid w:val="21773215"/>
    <w:rsid w:val="21790498"/>
    <w:rsid w:val="218623EB"/>
    <w:rsid w:val="21936CA6"/>
    <w:rsid w:val="21A50C86"/>
    <w:rsid w:val="21A76CC7"/>
    <w:rsid w:val="21CD43B4"/>
    <w:rsid w:val="21E42FCC"/>
    <w:rsid w:val="21E863F5"/>
    <w:rsid w:val="22500EBE"/>
    <w:rsid w:val="22502B2A"/>
    <w:rsid w:val="225932F2"/>
    <w:rsid w:val="226700F4"/>
    <w:rsid w:val="226811A2"/>
    <w:rsid w:val="226D3609"/>
    <w:rsid w:val="228E4DC3"/>
    <w:rsid w:val="22914175"/>
    <w:rsid w:val="22946AD2"/>
    <w:rsid w:val="22A83BA9"/>
    <w:rsid w:val="22B429D5"/>
    <w:rsid w:val="22C14F31"/>
    <w:rsid w:val="22CC2F6D"/>
    <w:rsid w:val="22D07767"/>
    <w:rsid w:val="22DD01BB"/>
    <w:rsid w:val="22E33556"/>
    <w:rsid w:val="22E43639"/>
    <w:rsid w:val="23051183"/>
    <w:rsid w:val="231231EE"/>
    <w:rsid w:val="232F021E"/>
    <w:rsid w:val="2331282E"/>
    <w:rsid w:val="234562F1"/>
    <w:rsid w:val="23486D36"/>
    <w:rsid w:val="234E5CB7"/>
    <w:rsid w:val="235A1CD8"/>
    <w:rsid w:val="23876C72"/>
    <w:rsid w:val="23891729"/>
    <w:rsid w:val="238D38E8"/>
    <w:rsid w:val="23921869"/>
    <w:rsid w:val="23C5158E"/>
    <w:rsid w:val="23D13001"/>
    <w:rsid w:val="23D3233D"/>
    <w:rsid w:val="23D50586"/>
    <w:rsid w:val="23DB4E2F"/>
    <w:rsid w:val="23DF7FD7"/>
    <w:rsid w:val="23E43860"/>
    <w:rsid w:val="23E71412"/>
    <w:rsid w:val="23EF304F"/>
    <w:rsid w:val="23FF0E40"/>
    <w:rsid w:val="240208DB"/>
    <w:rsid w:val="240F68C8"/>
    <w:rsid w:val="241402C2"/>
    <w:rsid w:val="241F3F92"/>
    <w:rsid w:val="243139AD"/>
    <w:rsid w:val="244E3D1D"/>
    <w:rsid w:val="245B624B"/>
    <w:rsid w:val="245F0141"/>
    <w:rsid w:val="245F335F"/>
    <w:rsid w:val="246A78E6"/>
    <w:rsid w:val="246E2507"/>
    <w:rsid w:val="247F3D0C"/>
    <w:rsid w:val="248144B4"/>
    <w:rsid w:val="24887B76"/>
    <w:rsid w:val="249A4DDB"/>
    <w:rsid w:val="24A36EFF"/>
    <w:rsid w:val="24A42E1B"/>
    <w:rsid w:val="24A86547"/>
    <w:rsid w:val="24BB5441"/>
    <w:rsid w:val="24BF7F92"/>
    <w:rsid w:val="24D40F20"/>
    <w:rsid w:val="24E56E85"/>
    <w:rsid w:val="24EB561C"/>
    <w:rsid w:val="2504140C"/>
    <w:rsid w:val="25463823"/>
    <w:rsid w:val="254A257D"/>
    <w:rsid w:val="25612DE4"/>
    <w:rsid w:val="258256A6"/>
    <w:rsid w:val="25853F3A"/>
    <w:rsid w:val="259F0776"/>
    <w:rsid w:val="25A03F9F"/>
    <w:rsid w:val="25B23C6B"/>
    <w:rsid w:val="25BD2AAB"/>
    <w:rsid w:val="25C10F8D"/>
    <w:rsid w:val="25DC42C5"/>
    <w:rsid w:val="25DD2180"/>
    <w:rsid w:val="2607160F"/>
    <w:rsid w:val="26097847"/>
    <w:rsid w:val="260A5A93"/>
    <w:rsid w:val="260D1935"/>
    <w:rsid w:val="26142CF6"/>
    <w:rsid w:val="262E23AE"/>
    <w:rsid w:val="262E7F2A"/>
    <w:rsid w:val="263B3A3D"/>
    <w:rsid w:val="263F18AE"/>
    <w:rsid w:val="2641772D"/>
    <w:rsid w:val="264D74B0"/>
    <w:rsid w:val="269F6BAF"/>
    <w:rsid w:val="26B667D3"/>
    <w:rsid w:val="26B91CCC"/>
    <w:rsid w:val="26C47F67"/>
    <w:rsid w:val="26C71330"/>
    <w:rsid w:val="26C731FF"/>
    <w:rsid w:val="26D201D7"/>
    <w:rsid w:val="26EF0006"/>
    <w:rsid w:val="26F03C43"/>
    <w:rsid w:val="27286FB7"/>
    <w:rsid w:val="272E6E29"/>
    <w:rsid w:val="27507456"/>
    <w:rsid w:val="276E2D59"/>
    <w:rsid w:val="278609DD"/>
    <w:rsid w:val="279803ED"/>
    <w:rsid w:val="27AA1A6E"/>
    <w:rsid w:val="27AC786C"/>
    <w:rsid w:val="27AF714A"/>
    <w:rsid w:val="27B212DD"/>
    <w:rsid w:val="28147F8F"/>
    <w:rsid w:val="281A59A3"/>
    <w:rsid w:val="28212E22"/>
    <w:rsid w:val="28217C2E"/>
    <w:rsid w:val="28712EEB"/>
    <w:rsid w:val="2874419E"/>
    <w:rsid w:val="288A498F"/>
    <w:rsid w:val="288D1E6A"/>
    <w:rsid w:val="28B05A8E"/>
    <w:rsid w:val="28D03B04"/>
    <w:rsid w:val="28F14F66"/>
    <w:rsid w:val="290D291B"/>
    <w:rsid w:val="291017C1"/>
    <w:rsid w:val="29266367"/>
    <w:rsid w:val="29365433"/>
    <w:rsid w:val="294C1054"/>
    <w:rsid w:val="295A6FEB"/>
    <w:rsid w:val="295E42C2"/>
    <w:rsid w:val="29762802"/>
    <w:rsid w:val="29950374"/>
    <w:rsid w:val="29A2407B"/>
    <w:rsid w:val="29F456B3"/>
    <w:rsid w:val="2A2131CB"/>
    <w:rsid w:val="2A247E66"/>
    <w:rsid w:val="2A265B00"/>
    <w:rsid w:val="2A4A5C57"/>
    <w:rsid w:val="2A6A1E08"/>
    <w:rsid w:val="2A6A38F4"/>
    <w:rsid w:val="2A732EBC"/>
    <w:rsid w:val="2A992FD3"/>
    <w:rsid w:val="2AA76CB7"/>
    <w:rsid w:val="2AB05831"/>
    <w:rsid w:val="2AB86B60"/>
    <w:rsid w:val="2ABA2946"/>
    <w:rsid w:val="2AC444DE"/>
    <w:rsid w:val="2AC526B5"/>
    <w:rsid w:val="2AE64553"/>
    <w:rsid w:val="2AEF34B7"/>
    <w:rsid w:val="2AF668CA"/>
    <w:rsid w:val="2AF915A0"/>
    <w:rsid w:val="2B1E6E7A"/>
    <w:rsid w:val="2B203F1D"/>
    <w:rsid w:val="2B220DB0"/>
    <w:rsid w:val="2B2F508E"/>
    <w:rsid w:val="2B326508"/>
    <w:rsid w:val="2B35697F"/>
    <w:rsid w:val="2B475C62"/>
    <w:rsid w:val="2B506A3E"/>
    <w:rsid w:val="2B56796D"/>
    <w:rsid w:val="2B5C50BE"/>
    <w:rsid w:val="2B5E56EA"/>
    <w:rsid w:val="2B7679D2"/>
    <w:rsid w:val="2B7A53A6"/>
    <w:rsid w:val="2B9427F4"/>
    <w:rsid w:val="2BA218CA"/>
    <w:rsid w:val="2BAF1C78"/>
    <w:rsid w:val="2BC94A03"/>
    <w:rsid w:val="2BCD1D0F"/>
    <w:rsid w:val="2BEA79C9"/>
    <w:rsid w:val="2C096623"/>
    <w:rsid w:val="2C0C3BED"/>
    <w:rsid w:val="2C144DE1"/>
    <w:rsid w:val="2C3306E6"/>
    <w:rsid w:val="2C3E1E2A"/>
    <w:rsid w:val="2C401FD2"/>
    <w:rsid w:val="2C5D7C5E"/>
    <w:rsid w:val="2C60361F"/>
    <w:rsid w:val="2C683B4E"/>
    <w:rsid w:val="2C8310B8"/>
    <w:rsid w:val="2C932114"/>
    <w:rsid w:val="2CF47F19"/>
    <w:rsid w:val="2CF83235"/>
    <w:rsid w:val="2CFE724A"/>
    <w:rsid w:val="2D064E55"/>
    <w:rsid w:val="2D114F87"/>
    <w:rsid w:val="2D1F5542"/>
    <w:rsid w:val="2D293BE4"/>
    <w:rsid w:val="2D311C05"/>
    <w:rsid w:val="2D446F31"/>
    <w:rsid w:val="2D532463"/>
    <w:rsid w:val="2D7A6682"/>
    <w:rsid w:val="2D894935"/>
    <w:rsid w:val="2D8E6186"/>
    <w:rsid w:val="2D9D677F"/>
    <w:rsid w:val="2DA15DC0"/>
    <w:rsid w:val="2DA502A0"/>
    <w:rsid w:val="2DDD5FBB"/>
    <w:rsid w:val="2DE169D1"/>
    <w:rsid w:val="2DE74F0A"/>
    <w:rsid w:val="2E1027A6"/>
    <w:rsid w:val="2E2F7D36"/>
    <w:rsid w:val="2E505D63"/>
    <w:rsid w:val="2E7715BC"/>
    <w:rsid w:val="2E8807F2"/>
    <w:rsid w:val="2E8D3E69"/>
    <w:rsid w:val="2EB551DE"/>
    <w:rsid w:val="2EBC64B1"/>
    <w:rsid w:val="2ECB2DF5"/>
    <w:rsid w:val="2EEB2EDF"/>
    <w:rsid w:val="2EEC2C79"/>
    <w:rsid w:val="2F022A12"/>
    <w:rsid w:val="2F245485"/>
    <w:rsid w:val="2F394E77"/>
    <w:rsid w:val="2F492B7F"/>
    <w:rsid w:val="2F496FDA"/>
    <w:rsid w:val="2F4F3FB1"/>
    <w:rsid w:val="2F5E1713"/>
    <w:rsid w:val="2F6F7F88"/>
    <w:rsid w:val="2F930E45"/>
    <w:rsid w:val="2FA41E72"/>
    <w:rsid w:val="2FBC1458"/>
    <w:rsid w:val="2FCB1E7C"/>
    <w:rsid w:val="2FD71F56"/>
    <w:rsid w:val="2FDE5A18"/>
    <w:rsid w:val="2FF62D4B"/>
    <w:rsid w:val="30017A92"/>
    <w:rsid w:val="3027114F"/>
    <w:rsid w:val="302952A0"/>
    <w:rsid w:val="30485C58"/>
    <w:rsid w:val="30953952"/>
    <w:rsid w:val="30AC30EB"/>
    <w:rsid w:val="30B4526C"/>
    <w:rsid w:val="30C45BA8"/>
    <w:rsid w:val="30CA204C"/>
    <w:rsid w:val="30CF5403"/>
    <w:rsid w:val="30D061CB"/>
    <w:rsid w:val="3104177B"/>
    <w:rsid w:val="310A72C9"/>
    <w:rsid w:val="31471D12"/>
    <w:rsid w:val="31504453"/>
    <w:rsid w:val="31825227"/>
    <w:rsid w:val="319C5DF0"/>
    <w:rsid w:val="319F7BF1"/>
    <w:rsid w:val="31B27E74"/>
    <w:rsid w:val="31BC000C"/>
    <w:rsid w:val="320A67AD"/>
    <w:rsid w:val="322E73BC"/>
    <w:rsid w:val="3245283E"/>
    <w:rsid w:val="32471520"/>
    <w:rsid w:val="325A75B2"/>
    <w:rsid w:val="32834F3D"/>
    <w:rsid w:val="328F681A"/>
    <w:rsid w:val="329426D1"/>
    <w:rsid w:val="329A4722"/>
    <w:rsid w:val="32A24DB8"/>
    <w:rsid w:val="32BB49C7"/>
    <w:rsid w:val="32C125DE"/>
    <w:rsid w:val="32D07243"/>
    <w:rsid w:val="32D914DA"/>
    <w:rsid w:val="32E350C4"/>
    <w:rsid w:val="32F553A9"/>
    <w:rsid w:val="32F84244"/>
    <w:rsid w:val="32F95E2F"/>
    <w:rsid w:val="32FD2F62"/>
    <w:rsid w:val="32FE4155"/>
    <w:rsid w:val="33286A58"/>
    <w:rsid w:val="332D4488"/>
    <w:rsid w:val="33387A80"/>
    <w:rsid w:val="334B2072"/>
    <w:rsid w:val="335E60EC"/>
    <w:rsid w:val="33664CA0"/>
    <w:rsid w:val="33807E59"/>
    <w:rsid w:val="33A82684"/>
    <w:rsid w:val="33C96253"/>
    <w:rsid w:val="33D11142"/>
    <w:rsid w:val="33D11A1E"/>
    <w:rsid w:val="33DE722D"/>
    <w:rsid w:val="33E91882"/>
    <w:rsid w:val="33F8070C"/>
    <w:rsid w:val="3404068C"/>
    <w:rsid w:val="343C24E1"/>
    <w:rsid w:val="34457564"/>
    <w:rsid w:val="34553D29"/>
    <w:rsid w:val="346415A6"/>
    <w:rsid w:val="346C2AF7"/>
    <w:rsid w:val="34811922"/>
    <w:rsid w:val="34917CAB"/>
    <w:rsid w:val="349B0265"/>
    <w:rsid w:val="34A36B6F"/>
    <w:rsid w:val="34B13DF2"/>
    <w:rsid w:val="34B96BDC"/>
    <w:rsid w:val="34D203FA"/>
    <w:rsid w:val="34D6134E"/>
    <w:rsid w:val="34D813D8"/>
    <w:rsid w:val="34DB685E"/>
    <w:rsid w:val="34E658C5"/>
    <w:rsid w:val="34EC1397"/>
    <w:rsid w:val="34FA72AC"/>
    <w:rsid w:val="350E11D3"/>
    <w:rsid w:val="3512485D"/>
    <w:rsid w:val="35207836"/>
    <w:rsid w:val="353B53F1"/>
    <w:rsid w:val="35511EF0"/>
    <w:rsid w:val="355C6381"/>
    <w:rsid w:val="356C4852"/>
    <w:rsid w:val="36184525"/>
    <w:rsid w:val="361A0FA2"/>
    <w:rsid w:val="36655CAB"/>
    <w:rsid w:val="366E244F"/>
    <w:rsid w:val="36727CC7"/>
    <w:rsid w:val="36740F40"/>
    <w:rsid w:val="369055B0"/>
    <w:rsid w:val="369B18B9"/>
    <w:rsid w:val="36A26C14"/>
    <w:rsid w:val="36A93383"/>
    <w:rsid w:val="36AA5201"/>
    <w:rsid w:val="36AC5AB1"/>
    <w:rsid w:val="36BC5B6B"/>
    <w:rsid w:val="36D34894"/>
    <w:rsid w:val="36DD737D"/>
    <w:rsid w:val="36F4428E"/>
    <w:rsid w:val="37011180"/>
    <w:rsid w:val="37011845"/>
    <w:rsid w:val="3709016E"/>
    <w:rsid w:val="3715322A"/>
    <w:rsid w:val="37153B3A"/>
    <w:rsid w:val="37166D54"/>
    <w:rsid w:val="3727419D"/>
    <w:rsid w:val="372C13D9"/>
    <w:rsid w:val="37463FF3"/>
    <w:rsid w:val="374E715A"/>
    <w:rsid w:val="376527CB"/>
    <w:rsid w:val="376A2CC1"/>
    <w:rsid w:val="37812B9D"/>
    <w:rsid w:val="37884EA7"/>
    <w:rsid w:val="3795570B"/>
    <w:rsid w:val="37A500F2"/>
    <w:rsid w:val="37F46DA2"/>
    <w:rsid w:val="380217E9"/>
    <w:rsid w:val="3805642C"/>
    <w:rsid w:val="382656F6"/>
    <w:rsid w:val="3852030E"/>
    <w:rsid w:val="38545F3D"/>
    <w:rsid w:val="385639A3"/>
    <w:rsid w:val="38710670"/>
    <w:rsid w:val="38872AC5"/>
    <w:rsid w:val="38B03021"/>
    <w:rsid w:val="38C519CF"/>
    <w:rsid w:val="38EA0422"/>
    <w:rsid w:val="392E366E"/>
    <w:rsid w:val="39371642"/>
    <w:rsid w:val="394C1291"/>
    <w:rsid w:val="39580E43"/>
    <w:rsid w:val="399824E9"/>
    <w:rsid w:val="399D57D2"/>
    <w:rsid w:val="39A22631"/>
    <w:rsid w:val="39A6412A"/>
    <w:rsid w:val="39DE6AFE"/>
    <w:rsid w:val="39E07271"/>
    <w:rsid w:val="39E724B2"/>
    <w:rsid w:val="39FD348B"/>
    <w:rsid w:val="3A1E6E1F"/>
    <w:rsid w:val="3A2B0C62"/>
    <w:rsid w:val="3A3A12F7"/>
    <w:rsid w:val="3A404C6B"/>
    <w:rsid w:val="3A8B6D97"/>
    <w:rsid w:val="3A8E088F"/>
    <w:rsid w:val="3AC46B2F"/>
    <w:rsid w:val="3ADA0F97"/>
    <w:rsid w:val="3ADA4E5D"/>
    <w:rsid w:val="3B041523"/>
    <w:rsid w:val="3B0F0176"/>
    <w:rsid w:val="3B4712F0"/>
    <w:rsid w:val="3B4C7454"/>
    <w:rsid w:val="3B516F33"/>
    <w:rsid w:val="3B572FA7"/>
    <w:rsid w:val="3B916482"/>
    <w:rsid w:val="3B95144C"/>
    <w:rsid w:val="3BB275DB"/>
    <w:rsid w:val="3BB358D4"/>
    <w:rsid w:val="3BB74D38"/>
    <w:rsid w:val="3BB96CDC"/>
    <w:rsid w:val="3BBF0321"/>
    <w:rsid w:val="3BD02D4C"/>
    <w:rsid w:val="3BDF73F8"/>
    <w:rsid w:val="3BF027DE"/>
    <w:rsid w:val="3C4960AA"/>
    <w:rsid w:val="3C566572"/>
    <w:rsid w:val="3C62760B"/>
    <w:rsid w:val="3C651E77"/>
    <w:rsid w:val="3C7559B6"/>
    <w:rsid w:val="3C767C8E"/>
    <w:rsid w:val="3C8574F8"/>
    <w:rsid w:val="3C8C6973"/>
    <w:rsid w:val="3CA26136"/>
    <w:rsid w:val="3CCF7E30"/>
    <w:rsid w:val="3CD05BA2"/>
    <w:rsid w:val="3CE70BE7"/>
    <w:rsid w:val="3CE75975"/>
    <w:rsid w:val="3CFA4AC8"/>
    <w:rsid w:val="3D091EED"/>
    <w:rsid w:val="3D1C42B4"/>
    <w:rsid w:val="3D3046CF"/>
    <w:rsid w:val="3D432C51"/>
    <w:rsid w:val="3D5E0746"/>
    <w:rsid w:val="3D6A209F"/>
    <w:rsid w:val="3D96772E"/>
    <w:rsid w:val="3D9F5DA2"/>
    <w:rsid w:val="3DA71D61"/>
    <w:rsid w:val="3DB50FFF"/>
    <w:rsid w:val="3DEA460C"/>
    <w:rsid w:val="3E0569D8"/>
    <w:rsid w:val="3E18333B"/>
    <w:rsid w:val="3E22580F"/>
    <w:rsid w:val="3E4608B3"/>
    <w:rsid w:val="3E497999"/>
    <w:rsid w:val="3E646DF3"/>
    <w:rsid w:val="3E7036C1"/>
    <w:rsid w:val="3E805F39"/>
    <w:rsid w:val="3E8D60F8"/>
    <w:rsid w:val="3E9A5CCE"/>
    <w:rsid w:val="3E9C5AA9"/>
    <w:rsid w:val="3EA044E7"/>
    <w:rsid w:val="3EAD7215"/>
    <w:rsid w:val="3ECB22DC"/>
    <w:rsid w:val="3ED71A22"/>
    <w:rsid w:val="3EE11BF9"/>
    <w:rsid w:val="3EEE74A7"/>
    <w:rsid w:val="3F005F77"/>
    <w:rsid w:val="3F0A48B4"/>
    <w:rsid w:val="3F150776"/>
    <w:rsid w:val="3F475C17"/>
    <w:rsid w:val="3F484CE3"/>
    <w:rsid w:val="3F572D6A"/>
    <w:rsid w:val="3F665E1E"/>
    <w:rsid w:val="3F6E4AFF"/>
    <w:rsid w:val="3F744824"/>
    <w:rsid w:val="3F7C6630"/>
    <w:rsid w:val="3F8811D3"/>
    <w:rsid w:val="3F896A3F"/>
    <w:rsid w:val="3FA22F1C"/>
    <w:rsid w:val="3FB51764"/>
    <w:rsid w:val="3FCE4814"/>
    <w:rsid w:val="3FDA3396"/>
    <w:rsid w:val="3FE60119"/>
    <w:rsid w:val="400010CF"/>
    <w:rsid w:val="4007456B"/>
    <w:rsid w:val="400C6A15"/>
    <w:rsid w:val="401914D7"/>
    <w:rsid w:val="4022617C"/>
    <w:rsid w:val="40441617"/>
    <w:rsid w:val="4066762F"/>
    <w:rsid w:val="40687C0A"/>
    <w:rsid w:val="40694322"/>
    <w:rsid w:val="406C4F6B"/>
    <w:rsid w:val="406E215E"/>
    <w:rsid w:val="407077FC"/>
    <w:rsid w:val="40885CFC"/>
    <w:rsid w:val="408A04C2"/>
    <w:rsid w:val="40A66866"/>
    <w:rsid w:val="40C444AC"/>
    <w:rsid w:val="40CB7559"/>
    <w:rsid w:val="40D8005F"/>
    <w:rsid w:val="40D81BCC"/>
    <w:rsid w:val="40E3605B"/>
    <w:rsid w:val="40EA2AC6"/>
    <w:rsid w:val="40F301A1"/>
    <w:rsid w:val="40F81C84"/>
    <w:rsid w:val="41025F50"/>
    <w:rsid w:val="412935A8"/>
    <w:rsid w:val="412D25B6"/>
    <w:rsid w:val="413E65A9"/>
    <w:rsid w:val="414002E4"/>
    <w:rsid w:val="41601239"/>
    <w:rsid w:val="416C18D4"/>
    <w:rsid w:val="416D0FF6"/>
    <w:rsid w:val="418C2B90"/>
    <w:rsid w:val="41923943"/>
    <w:rsid w:val="41A55381"/>
    <w:rsid w:val="41A945C9"/>
    <w:rsid w:val="41C85B0C"/>
    <w:rsid w:val="41CD0A97"/>
    <w:rsid w:val="41D20116"/>
    <w:rsid w:val="420E6542"/>
    <w:rsid w:val="420F5F84"/>
    <w:rsid w:val="4212697D"/>
    <w:rsid w:val="42235F66"/>
    <w:rsid w:val="425655B2"/>
    <w:rsid w:val="42620EA3"/>
    <w:rsid w:val="427054CC"/>
    <w:rsid w:val="427767A6"/>
    <w:rsid w:val="42832766"/>
    <w:rsid w:val="42A130FB"/>
    <w:rsid w:val="42A62905"/>
    <w:rsid w:val="42B2542B"/>
    <w:rsid w:val="42C82D73"/>
    <w:rsid w:val="42D15918"/>
    <w:rsid w:val="42D77676"/>
    <w:rsid w:val="42D97164"/>
    <w:rsid w:val="42DB29E8"/>
    <w:rsid w:val="42DD5DF7"/>
    <w:rsid w:val="42DE01FF"/>
    <w:rsid w:val="42E53166"/>
    <w:rsid w:val="42E629D6"/>
    <w:rsid w:val="42F00837"/>
    <w:rsid w:val="430171B0"/>
    <w:rsid w:val="4308107D"/>
    <w:rsid w:val="43137895"/>
    <w:rsid w:val="432423CA"/>
    <w:rsid w:val="432B58BF"/>
    <w:rsid w:val="43306B09"/>
    <w:rsid w:val="43317C5A"/>
    <w:rsid w:val="433A234A"/>
    <w:rsid w:val="433C7294"/>
    <w:rsid w:val="43471255"/>
    <w:rsid w:val="43492730"/>
    <w:rsid w:val="43612C17"/>
    <w:rsid w:val="436335C1"/>
    <w:rsid w:val="437A03B0"/>
    <w:rsid w:val="43A309ED"/>
    <w:rsid w:val="43B52EB0"/>
    <w:rsid w:val="43BC74FF"/>
    <w:rsid w:val="43C505C7"/>
    <w:rsid w:val="43D50AAC"/>
    <w:rsid w:val="4403419F"/>
    <w:rsid w:val="440D3DE2"/>
    <w:rsid w:val="441311AD"/>
    <w:rsid w:val="44184399"/>
    <w:rsid w:val="441B033A"/>
    <w:rsid w:val="441F48E6"/>
    <w:rsid w:val="44206DF4"/>
    <w:rsid w:val="445631E2"/>
    <w:rsid w:val="44687E01"/>
    <w:rsid w:val="44800C70"/>
    <w:rsid w:val="44866B62"/>
    <w:rsid w:val="448A0CEA"/>
    <w:rsid w:val="44911E58"/>
    <w:rsid w:val="44BA2889"/>
    <w:rsid w:val="44D00F78"/>
    <w:rsid w:val="44D9608F"/>
    <w:rsid w:val="44DD79AD"/>
    <w:rsid w:val="44F6411C"/>
    <w:rsid w:val="44FB7075"/>
    <w:rsid w:val="44FE579E"/>
    <w:rsid w:val="45095F8B"/>
    <w:rsid w:val="45177397"/>
    <w:rsid w:val="451C7A07"/>
    <w:rsid w:val="451D3D48"/>
    <w:rsid w:val="452F6DA5"/>
    <w:rsid w:val="45326C04"/>
    <w:rsid w:val="453D0A05"/>
    <w:rsid w:val="45470A25"/>
    <w:rsid w:val="455117BC"/>
    <w:rsid w:val="45826D5F"/>
    <w:rsid w:val="45922F2E"/>
    <w:rsid w:val="459C154F"/>
    <w:rsid w:val="45B730F5"/>
    <w:rsid w:val="45DF0041"/>
    <w:rsid w:val="45ED14D1"/>
    <w:rsid w:val="460F4C9E"/>
    <w:rsid w:val="46183AC4"/>
    <w:rsid w:val="461F061C"/>
    <w:rsid w:val="461F626B"/>
    <w:rsid w:val="46233ABA"/>
    <w:rsid w:val="4624161A"/>
    <w:rsid w:val="46325936"/>
    <w:rsid w:val="463D6EAB"/>
    <w:rsid w:val="466C3676"/>
    <w:rsid w:val="467A0A80"/>
    <w:rsid w:val="468C783F"/>
    <w:rsid w:val="469E0B1C"/>
    <w:rsid w:val="46C43DFD"/>
    <w:rsid w:val="46C658DD"/>
    <w:rsid w:val="46F71572"/>
    <w:rsid w:val="470003BA"/>
    <w:rsid w:val="47231559"/>
    <w:rsid w:val="472E6612"/>
    <w:rsid w:val="47336D14"/>
    <w:rsid w:val="474C15B1"/>
    <w:rsid w:val="474F4857"/>
    <w:rsid w:val="4759118F"/>
    <w:rsid w:val="475C70B8"/>
    <w:rsid w:val="478101A3"/>
    <w:rsid w:val="47854E26"/>
    <w:rsid w:val="4786218B"/>
    <w:rsid w:val="4789404B"/>
    <w:rsid w:val="478A66E1"/>
    <w:rsid w:val="478B0235"/>
    <w:rsid w:val="479D2478"/>
    <w:rsid w:val="47AD4BE7"/>
    <w:rsid w:val="47C014D4"/>
    <w:rsid w:val="47C912A4"/>
    <w:rsid w:val="47EC0B8D"/>
    <w:rsid w:val="47F14A01"/>
    <w:rsid w:val="48147D66"/>
    <w:rsid w:val="481B1237"/>
    <w:rsid w:val="481F46B4"/>
    <w:rsid w:val="482D61EC"/>
    <w:rsid w:val="48461E99"/>
    <w:rsid w:val="48692623"/>
    <w:rsid w:val="486C5637"/>
    <w:rsid w:val="487440EF"/>
    <w:rsid w:val="487D1316"/>
    <w:rsid w:val="48930CED"/>
    <w:rsid w:val="48B53457"/>
    <w:rsid w:val="48D163DC"/>
    <w:rsid w:val="48D502BA"/>
    <w:rsid w:val="48DB397A"/>
    <w:rsid w:val="490512C2"/>
    <w:rsid w:val="490F253E"/>
    <w:rsid w:val="491B39F4"/>
    <w:rsid w:val="49305983"/>
    <w:rsid w:val="49393C16"/>
    <w:rsid w:val="49492F43"/>
    <w:rsid w:val="4960577A"/>
    <w:rsid w:val="497118A5"/>
    <w:rsid w:val="49714FD0"/>
    <w:rsid w:val="497B202F"/>
    <w:rsid w:val="497B6643"/>
    <w:rsid w:val="497D6D2B"/>
    <w:rsid w:val="49983070"/>
    <w:rsid w:val="499A379E"/>
    <w:rsid w:val="49AD60D6"/>
    <w:rsid w:val="49CB2AAA"/>
    <w:rsid w:val="49D96D5F"/>
    <w:rsid w:val="49DE3869"/>
    <w:rsid w:val="49E13CAB"/>
    <w:rsid w:val="4A2B69D7"/>
    <w:rsid w:val="4A3B0DB6"/>
    <w:rsid w:val="4A413409"/>
    <w:rsid w:val="4A432B78"/>
    <w:rsid w:val="4A4F3F6E"/>
    <w:rsid w:val="4A5D6850"/>
    <w:rsid w:val="4A6C14BA"/>
    <w:rsid w:val="4A6F4ABD"/>
    <w:rsid w:val="4A7F6351"/>
    <w:rsid w:val="4A7F7F08"/>
    <w:rsid w:val="4A8A0B14"/>
    <w:rsid w:val="4AA159FA"/>
    <w:rsid w:val="4AA8740F"/>
    <w:rsid w:val="4ABD0B17"/>
    <w:rsid w:val="4AC77230"/>
    <w:rsid w:val="4ACF1E78"/>
    <w:rsid w:val="4AF072E3"/>
    <w:rsid w:val="4B035255"/>
    <w:rsid w:val="4B044DE2"/>
    <w:rsid w:val="4B0503A5"/>
    <w:rsid w:val="4B061E6B"/>
    <w:rsid w:val="4B062BFE"/>
    <w:rsid w:val="4B421A54"/>
    <w:rsid w:val="4B431732"/>
    <w:rsid w:val="4B4E04D0"/>
    <w:rsid w:val="4B4F0BFF"/>
    <w:rsid w:val="4B6D1217"/>
    <w:rsid w:val="4B7E0D23"/>
    <w:rsid w:val="4B9E6EE0"/>
    <w:rsid w:val="4BA546C2"/>
    <w:rsid w:val="4BA54A8E"/>
    <w:rsid w:val="4BC46989"/>
    <w:rsid w:val="4BE90A20"/>
    <w:rsid w:val="4C015B4F"/>
    <w:rsid w:val="4C0356AB"/>
    <w:rsid w:val="4C385C4C"/>
    <w:rsid w:val="4C4C72A5"/>
    <w:rsid w:val="4C61748B"/>
    <w:rsid w:val="4C763CF9"/>
    <w:rsid w:val="4C8D502F"/>
    <w:rsid w:val="4C8E0C2E"/>
    <w:rsid w:val="4CA36A56"/>
    <w:rsid w:val="4CA55CB8"/>
    <w:rsid w:val="4CAD452A"/>
    <w:rsid w:val="4CB21034"/>
    <w:rsid w:val="4CB30B50"/>
    <w:rsid w:val="4CC03C95"/>
    <w:rsid w:val="4CD06E80"/>
    <w:rsid w:val="4CE639B0"/>
    <w:rsid w:val="4CF748BC"/>
    <w:rsid w:val="4D0E3C26"/>
    <w:rsid w:val="4D104631"/>
    <w:rsid w:val="4D1566DC"/>
    <w:rsid w:val="4D357D25"/>
    <w:rsid w:val="4D3A3E8E"/>
    <w:rsid w:val="4D5511F8"/>
    <w:rsid w:val="4D6B51CA"/>
    <w:rsid w:val="4D8551EB"/>
    <w:rsid w:val="4D8834DB"/>
    <w:rsid w:val="4DA53207"/>
    <w:rsid w:val="4DB071FA"/>
    <w:rsid w:val="4DC64B94"/>
    <w:rsid w:val="4DD82F7A"/>
    <w:rsid w:val="4DF07467"/>
    <w:rsid w:val="4DF456D0"/>
    <w:rsid w:val="4E1124EE"/>
    <w:rsid w:val="4E1847E7"/>
    <w:rsid w:val="4E26294E"/>
    <w:rsid w:val="4E2A1640"/>
    <w:rsid w:val="4E865377"/>
    <w:rsid w:val="4E8866DA"/>
    <w:rsid w:val="4E9F3141"/>
    <w:rsid w:val="4EA54031"/>
    <w:rsid w:val="4EBC274F"/>
    <w:rsid w:val="4EBF1486"/>
    <w:rsid w:val="4EC062D0"/>
    <w:rsid w:val="4EC460E2"/>
    <w:rsid w:val="4EE346C3"/>
    <w:rsid w:val="4EED234D"/>
    <w:rsid w:val="4EF61477"/>
    <w:rsid w:val="4F0168BF"/>
    <w:rsid w:val="4F1A3BDC"/>
    <w:rsid w:val="4F2064F4"/>
    <w:rsid w:val="4F2C4E99"/>
    <w:rsid w:val="4F332BAD"/>
    <w:rsid w:val="4F36695D"/>
    <w:rsid w:val="4F3E5630"/>
    <w:rsid w:val="4F632C03"/>
    <w:rsid w:val="4F8D40DB"/>
    <w:rsid w:val="4F977ABB"/>
    <w:rsid w:val="4FA5315B"/>
    <w:rsid w:val="4FB04568"/>
    <w:rsid w:val="4FBC72F1"/>
    <w:rsid w:val="4FC1002A"/>
    <w:rsid w:val="4FC7054C"/>
    <w:rsid w:val="4FD91CEC"/>
    <w:rsid w:val="4FF87792"/>
    <w:rsid w:val="50461F8A"/>
    <w:rsid w:val="504C0A3B"/>
    <w:rsid w:val="50753D27"/>
    <w:rsid w:val="507A3DB4"/>
    <w:rsid w:val="50831B21"/>
    <w:rsid w:val="509542A0"/>
    <w:rsid w:val="50A845CE"/>
    <w:rsid w:val="50AE5BBD"/>
    <w:rsid w:val="50BD7E7B"/>
    <w:rsid w:val="50F85490"/>
    <w:rsid w:val="511621A9"/>
    <w:rsid w:val="511D7CAD"/>
    <w:rsid w:val="512A7764"/>
    <w:rsid w:val="513D6936"/>
    <w:rsid w:val="513D7062"/>
    <w:rsid w:val="51431C53"/>
    <w:rsid w:val="516C6A0D"/>
    <w:rsid w:val="517A634E"/>
    <w:rsid w:val="51AD129E"/>
    <w:rsid w:val="51C70402"/>
    <w:rsid w:val="51F467CB"/>
    <w:rsid w:val="52096BB8"/>
    <w:rsid w:val="52120A08"/>
    <w:rsid w:val="521F007E"/>
    <w:rsid w:val="523F1E03"/>
    <w:rsid w:val="5261734A"/>
    <w:rsid w:val="526C43DD"/>
    <w:rsid w:val="52752A4F"/>
    <w:rsid w:val="52877D04"/>
    <w:rsid w:val="52B20616"/>
    <w:rsid w:val="52BA5F77"/>
    <w:rsid w:val="52C726B0"/>
    <w:rsid w:val="52DF533E"/>
    <w:rsid w:val="52E066CA"/>
    <w:rsid w:val="52E62FCC"/>
    <w:rsid w:val="53023555"/>
    <w:rsid w:val="531766E5"/>
    <w:rsid w:val="5318425C"/>
    <w:rsid w:val="533508A0"/>
    <w:rsid w:val="53510A02"/>
    <w:rsid w:val="53591993"/>
    <w:rsid w:val="535F0552"/>
    <w:rsid w:val="5370018E"/>
    <w:rsid w:val="53801621"/>
    <w:rsid w:val="538B0BC7"/>
    <w:rsid w:val="538B40CF"/>
    <w:rsid w:val="53A72B6C"/>
    <w:rsid w:val="53B51196"/>
    <w:rsid w:val="53BF3746"/>
    <w:rsid w:val="53D119A7"/>
    <w:rsid w:val="53E06DED"/>
    <w:rsid w:val="540C56E6"/>
    <w:rsid w:val="54177F2A"/>
    <w:rsid w:val="542E67D7"/>
    <w:rsid w:val="54305749"/>
    <w:rsid w:val="54401F05"/>
    <w:rsid w:val="547F3CBD"/>
    <w:rsid w:val="54A67364"/>
    <w:rsid w:val="54B425B4"/>
    <w:rsid w:val="54B716A8"/>
    <w:rsid w:val="54BB65B7"/>
    <w:rsid w:val="54BD22F6"/>
    <w:rsid w:val="54C55B73"/>
    <w:rsid w:val="54C6369A"/>
    <w:rsid w:val="54CD2479"/>
    <w:rsid w:val="54CD2A46"/>
    <w:rsid w:val="54E310D2"/>
    <w:rsid w:val="54ED446D"/>
    <w:rsid w:val="54EE3D97"/>
    <w:rsid w:val="54F104AF"/>
    <w:rsid w:val="54FD6CAA"/>
    <w:rsid w:val="5517753C"/>
    <w:rsid w:val="55345D87"/>
    <w:rsid w:val="556526ED"/>
    <w:rsid w:val="55A60FB5"/>
    <w:rsid w:val="55A76503"/>
    <w:rsid w:val="55A87A53"/>
    <w:rsid w:val="55B670AB"/>
    <w:rsid w:val="55D56DC0"/>
    <w:rsid w:val="55D81FF1"/>
    <w:rsid w:val="56062000"/>
    <w:rsid w:val="560C7765"/>
    <w:rsid w:val="56166407"/>
    <w:rsid w:val="56182109"/>
    <w:rsid w:val="56193E1A"/>
    <w:rsid w:val="562123F5"/>
    <w:rsid w:val="562855F0"/>
    <w:rsid w:val="56361813"/>
    <w:rsid w:val="564B7885"/>
    <w:rsid w:val="56521689"/>
    <w:rsid w:val="56557F2A"/>
    <w:rsid w:val="5664269D"/>
    <w:rsid w:val="56652877"/>
    <w:rsid w:val="566C2061"/>
    <w:rsid w:val="566E5C93"/>
    <w:rsid w:val="5680063F"/>
    <w:rsid w:val="568216F5"/>
    <w:rsid w:val="56944FF7"/>
    <w:rsid w:val="569C78AC"/>
    <w:rsid w:val="56A40851"/>
    <w:rsid w:val="56A53E28"/>
    <w:rsid w:val="56B3209D"/>
    <w:rsid w:val="56B50B18"/>
    <w:rsid w:val="56D730D8"/>
    <w:rsid w:val="56D872FE"/>
    <w:rsid w:val="56EF559C"/>
    <w:rsid w:val="56F05E75"/>
    <w:rsid w:val="572B6068"/>
    <w:rsid w:val="572C75A3"/>
    <w:rsid w:val="575572FA"/>
    <w:rsid w:val="57585553"/>
    <w:rsid w:val="57813D4D"/>
    <w:rsid w:val="57884098"/>
    <w:rsid w:val="578B2830"/>
    <w:rsid w:val="578F038A"/>
    <w:rsid w:val="579B51E2"/>
    <w:rsid w:val="57A71098"/>
    <w:rsid w:val="57A96060"/>
    <w:rsid w:val="57AC622D"/>
    <w:rsid w:val="57E12249"/>
    <w:rsid w:val="57EE3AD2"/>
    <w:rsid w:val="57F81EB5"/>
    <w:rsid w:val="5820641F"/>
    <w:rsid w:val="58367653"/>
    <w:rsid w:val="584F7701"/>
    <w:rsid w:val="585A1E2F"/>
    <w:rsid w:val="58671210"/>
    <w:rsid w:val="589950B6"/>
    <w:rsid w:val="58A1428B"/>
    <w:rsid w:val="58A36AD4"/>
    <w:rsid w:val="58C04415"/>
    <w:rsid w:val="58EE5B7D"/>
    <w:rsid w:val="58F453D4"/>
    <w:rsid w:val="58FF103C"/>
    <w:rsid w:val="58FF12EC"/>
    <w:rsid w:val="59182A41"/>
    <w:rsid w:val="591A273A"/>
    <w:rsid w:val="59321999"/>
    <w:rsid w:val="596610AC"/>
    <w:rsid w:val="59670D9F"/>
    <w:rsid w:val="597441DC"/>
    <w:rsid w:val="599C6F14"/>
    <w:rsid w:val="59BB461D"/>
    <w:rsid w:val="59DF580C"/>
    <w:rsid w:val="59E04C73"/>
    <w:rsid w:val="59E26AC7"/>
    <w:rsid w:val="59EF059B"/>
    <w:rsid w:val="59F24B99"/>
    <w:rsid w:val="59FC23B2"/>
    <w:rsid w:val="59FC44A4"/>
    <w:rsid w:val="5A36511C"/>
    <w:rsid w:val="5A416DDE"/>
    <w:rsid w:val="5A4246F1"/>
    <w:rsid w:val="5A4969BC"/>
    <w:rsid w:val="5A962961"/>
    <w:rsid w:val="5A9D308F"/>
    <w:rsid w:val="5AA84DCF"/>
    <w:rsid w:val="5AAF563E"/>
    <w:rsid w:val="5ABF7882"/>
    <w:rsid w:val="5AC16DDD"/>
    <w:rsid w:val="5AD3593E"/>
    <w:rsid w:val="5AE54EB9"/>
    <w:rsid w:val="5AEA5B1B"/>
    <w:rsid w:val="5AFD6FDA"/>
    <w:rsid w:val="5B0C17A4"/>
    <w:rsid w:val="5B2714AA"/>
    <w:rsid w:val="5B337221"/>
    <w:rsid w:val="5B4938C7"/>
    <w:rsid w:val="5B5A58B4"/>
    <w:rsid w:val="5B62245C"/>
    <w:rsid w:val="5B73308B"/>
    <w:rsid w:val="5B786E37"/>
    <w:rsid w:val="5B881FF3"/>
    <w:rsid w:val="5B9849BD"/>
    <w:rsid w:val="5BDC19F5"/>
    <w:rsid w:val="5BE54CA1"/>
    <w:rsid w:val="5C0C3140"/>
    <w:rsid w:val="5C1543A0"/>
    <w:rsid w:val="5C194941"/>
    <w:rsid w:val="5C197DE1"/>
    <w:rsid w:val="5C2B4F30"/>
    <w:rsid w:val="5C637FF5"/>
    <w:rsid w:val="5C6778DA"/>
    <w:rsid w:val="5C807DFE"/>
    <w:rsid w:val="5C822DE4"/>
    <w:rsid w:val="5C887487"/>
    <w:rsid w:val="5C9A2DCD"/>
    <w:rsid w:val="5C9C75B0"/>
    <w:rsid w:val="5CA32680"/>
    <w:rsid w:val="5CA52976"/>
    <w:rsid w:val="5CBA121E"/>
    <w:rsid w:val="5CC17175"/>
    <w:rsid w:val="5CCE5B09"/>
    <w:rsid w:val="5CD40AD7"/>
    <w:rsid w:val="5CE0071B"/>
    <w:rsid w:val="5CE13DD7"/>
    <w:rsid w:val="5CF33FCE"/>
    <w:rsid w:val="5CFA704D"/>
    <w:rsid w:val="5D0D0126"/>
    <w:rsid w:val="5D186C36"/>
    <w:rsid w:val="5D1D26EC"/>
    <w:rsid w:val="5D1E00BD"/>
    <w:rsid w:val="5D1F1498"/>
    <w:rsid w:val="5D4E75ED"/>
    <w:rsid w:val="5D55562F"/>
    <w:rsid w:val="5D573BC5"/>
    <w:rsid w:val="5D5B768C"/>
    <w:rsid w:val="5D6F0C92"/>
    <w:rsid w:val="5D723A12"/>
    <w:rsid w:val="5D881E89"/>
    <w:rsid w:val="5D8F42F6"/>
    <w:rsid w:val="5DA50A7F"/>
    <w:rsid w:val="5DBE58B9"/>
    <w:rsid w:val="5DC2330E"/>
    <w:rsid w:val="5DC2343A"/>
    <w:rsid w:val="5DCE7DB0"/>
    <w:rsid w:val="5DDA01AF"/>
    <w:rsid w:val="5DDF3501"/>
    <w:rsid w:val="5E2B7E4B"/>
    <w:rsid w:val="5E392107"/>
    <w:rsid w:val="5E4D08AF"/>
    <w:rsid w:val="5E653F23"/>
    <w:rsid w:val="5E696A39"/>
    <w:rsid w:val="5E714572"/>
    <w:rsid w:val="5E802A0E"/>
    <w:rsid w:val="5E856C09"/>
    <w:rsid w:val="5E8B6D01"/>
    <w:rsid w:val="5EAD16FA"/>
    <w:rsid w:val="5EAE3550"/>
    <w:rsid w:val="5ECA608F"/>
    <w:rsid w:val="5ED517DA"/>
    <w:rsid w:val="5EE77A68"/>
    <w:rsid w:val="5EF138BE"/>
    <w:rsid w:val="5F046678"/>
    <w:rsid w:val="5F136AD1"/>
    <w:rsid w:val="5F2D65DF"/>
    <w:rsid w:val="5F3B175D"/>
    <w:rsid w:val="5F4366D9"/>
    <w:rsid w:val="5F494F25"/>
    <w:rsid w:val="5F4960EB"/>
    <w:rsid w:val="5F540F75"/>
    <w:rsid w:val="5F5D012D"/>
    <w:rsid w:val="5F7A657A"/>
    <w:rsid w:val="5F7B6664"/>
    <w:rsid w:val="5F922B50"/>
    <w:rsid w:val="5F977F6F"/>
    <w:rsid w:val="5F9B4D6E"/>
    <w:rsid w:val="5FA21AE6"/>
    <w:rsid w:val="5FBA69EA"/>
    <w:rsid w:val="5FDA18C8"/>
    <w:rsid w:val="5FE265EC"/>
    <w:rsid w:val="5FF75C40"/>
    <w:rsid w:val="601278F7"/>
    <w:rsid w:val="601C4D80"/>
    <w:rsid w:val="60216DC4"/>
    <w:rsid w:val="602A0293"/>
    <w:rsid w:val="60342CC3"/>
    <w:rsid w:val="60364739"/>
    <w:rsid w:val="603B5FDD"/>
    <w:rsid w:val="60415BBE"/>
    <w:rsid w:val="605E171C"/>
    <w:rsid w:val="606325BD"/>
    <w:rsid w:val="606975D5"/>
    <w:rsid w:val="606F3BD7"/>
    <w:rsid w:val="6077748F"/>
    <w:rsid w:val="60A145E6"/>
    <w:rsid w:val="60AA20C1"/>
    <w:rsid w:val="60B54DEB"/>
    <w:rsid w:val="60C1235D"/>
    <w:rsid w:val="60D70F73"/>
    <w:rsid w:val="60DF7711"/>
    <w:rsid w:val="60F566C0"/>
    <w:rsid w:val="610466BA"/>
    <w:rsid w:val="611F37ED"/>
    <w:rsid w:val="61266A8A"/>
    <w:rsid w:val="613C2129"/>
    <w:rsid w:val="61466780"/>
    <w:rsid w:val="614D4202"/>
    <w:rsid w:val="6158338D"/>
    <w:rsid w:val="61AE6F66"/>
    <w:rsid w:val="61B53C02"/>
    <w:rsid w:val="61B81119"/>
    <w:rsid w:val="61C34ED2"/>
    <w:rsid w:val="61CE33AD"/>
    <w:rsid w:val="61EF0DEA"/>
    <w:rsid w:val="620411E4"/>
    <w:rsid w:val="622321E7"/>
    <w:rsid w:val="622A50E5"/>
    <w:rsid w:val="625F4B1E"/>
    <w:rsid w:val="627073D3"/>
    <w:rsid w:val="62AF53E2"/>
    <w:rsid w:val="62C77975"/>
    <w:rsid w:val="62EA7212"/>
    <w:rsid w:val="63046813"/>
    <w:rsid w:val="63070E9E"/>
    <w:rsid w:val="631204B6"/>
    <w:rsid w:val="6313722F"/>
    <w:rsid w:val="63170E8C"/>
    <w:rsid w:val="63293771"/>
    <w:rsid w:val="6329733C"/>
    <w:rsid w:val="63360512"/>
    <w:rsid w:val="63477CB5"/>
    <w:rsid w:val="636F6295"/>
    <w:rsid w:val="63703B3A"/>
    <w:rsid w:val="638D2401"/>
    <w:rsid w:val="63CC090D"/>
    <w:rsid w:val="64004E9D"/>
    <w:rsid w:val="6401649C"/>
    <w:rsid w:val="642204A6"/>
    <w:rsid w:val="647F701D"/>
    <w:rsid w:val="64806903"/>
    <w:rsid w:val="64895B6A"/>
    <w:rsid w:val="64955AF1"/>
    <w:rsid w:val="649E1243"/>
    <w:rsid w:val="64A93764"/>
    <w:rsid w:val="64AE7CC1"/>
    <w:rsid w:val="64B235A1"/>
    <w:rsid w:val="64DA0078"/>
    <w:rsid w:val="64DF291C"/>
    <w:rsid w:val="65190F15"/>
    <w:rsid w:val="654B6900"/>
    <w:rsid w:val="654B7F90"/>
    <w:rsid w:val="65537BAD"/>
    <w:rsid w:val="6554040F"/>
    <w:rsid w:val="659747BC"/>
    <w:rsid w:val="659A297A"/>
    <w:rsid w:val="65A04FC1"/>
    <w:rsid w:val="65A06F70"/>
    <w:rsid w:val="65A56818"/>
    <w:rsid w:val="65BE1C41"/>
    <w:rsid w:val="65BF482E"/>
    <w:rsid w:val="65C8588F"/>
    <w:rsid w:val="65DB18AB"/>
    <w:rsid w:val="65E848A4"/>
    <w:rsid w:val="660A5D1F"/>
    <w:rsid w:val="660E6469"/>
    <w:rsid w:val="66346157"/>
    <w:rsid w:val="663E127E"/>
    <w:rsid w:val="665E593F"/>
    <w:rsid w:val="66706BBF"/>
    <w:rsid w:val="66794BD4"/>
    <w:rsid w:val="668D3420"/>
    <w:rsid w:val="668E14E8"/>
    <w:rsid w:val="66975A5D"/>
    <w:rsid w:val="669A771F"/>
    <w:rsid w:val="66A741D3"/>
    <w:rsid w:val="66A93337"/>
    <w:rsid w:val="66A94687"/>
    <w:rsid w:val="66CA30F0"/>
    <w:rsid w:val="66CC6C3E"/>
    <w:rsid w:val="66D159E2"/>
    <w:rsid w:val="66DC2EB5"/>
    <w:rsid w:val="66EB2A4D"/>
    <w:rsid w:val="670A18CB"/>
    <w:rsid w:val="672359CC"/>
    <w:rsid w:val="672B2964"/>
    <w:rsid w:val="6736552B"/>
    <w:rsid w:val="674C7B54"/>
    <w:rsid w:val="67775419"/>
    <w:rsid w:val="67B55745"/>
    <w:rsid w:val="67C9559A"/>
    <w:rsid w:val="680C1862"/>
    <w:rsid w:val="681F32D6"/>
    <w:rsid w:val="68314B08"/>
    <w:rsid w:val="68384926"/>
    <w:rsid w:val="683A0669"/>
    <w:rsid w:val="6845444C"/>
    <w:rsid w:val="68497650"/>
    <w:rsid w:val="684A4382"/>
    <w:rsid w:val="685D33B6"/>
    <w:rsid w:val="68804E18"/>
    <w:rsid w:val="68937C8E"/>
    <w:rsid w:val="689515AF"/>
    <w:rsid w:val="68A73BCC"/>
    <w:rsid w:val="68A82714"/>
    <w:rsid w:val="68BF0F67"/>
    <w:rsid w:val="68D15539"/>
    <w:rsid w:val="68D369A9"/>
    <w:rsid w:val="690752FD"/>
    <w:rsid w:val="6908207B"/>
    <w:rsid w:val="691C0834"/>
    <w:rsid w:val="692847E5"/>
    <w:rsid w:val="692B3234"/>
    <w:rsid w:val="69301D54"/>
    <w:rsid w:val="69390362"/>
    <w:rsid w:val="693929E7"/>
    <w:rsid w:val="69446A2C"/>
    <w:rsid w:val="69457B4F"/>
    <w:rsid w:val="69522FF3"/>
    <w:rsid w:val="6959726F"/>
    <w:rsid w:val="695A1B59"/>
    <w:rsid w:val="695B242B"/>
    <w:rsid w:val="69612943"/>
    <w:rsid w:val="69692B50"/>
    <w:rsid w:val="69B4572C"/>
    <w:rsid w:val="69B71BB3"/>
    <w:rsid w:val="69B90741"/>
    <w:rsid w:val="69C85E70"/>
    <w:rsid w:val="69DB4916"/>
    <w:rsid w:val="69DC4E32"/>
    <w:rsid w:val="69DF0998"/>
    <w:rsid w:val="69ED61B3"/>
    <w:rsid w:val="69FB18C4"/>
    <w:rsid w:val="69FB472F"/>
    <w:rsid w:val="6A074546"/>
    <w:rsid w:val="6A0D2AE1"/>
    <w:rsid w:val="6A101BBF"/>
    <w:rsid w:val="6A3203AA"/>
    <w:rsid w:val="6A4F638F"/>
    <w:rsid w:val="6A537BB9"/>
    <w:rsid w:val="6A7225D6"/>
    <w:rsid w:val="6A7A54D2"/>
    <w:rsid w:val="6A7E5B95"/>
    <w:rsid w:val="6A9852BA"/>
    <w:rsid w:val="6AAF488C"/>
    <w:rsid w:val="6AB61B89"/>
    <w:rsid w:val="6AC56AEC"/>
    <w:rsid w:val="6AD766C4"/>
    <w:rsid w:val="6B1603AC"/>
    <w:rsid w:val="6B1747F7"/>
    <w:rsid w:val="6B22027F"/>
    <w:rsid w:val="6B235CC5"/>
    <w:rsid w:val="6B3B477B"/>
    <w:rsid w:val="6B3D5797"/>
    <w:rsid w:val="6B402405"/>
    <w:rsid w:val="6B420AA7"/>
    <w:rsid w:val="6B75439B"/>
    <w:rsid w:val="6B790AC3"/>
    <w:rsid w:val="6BAB4F7E"/>
    <w:rsid w:val="6BB21E96"/>
    <w:rsid w:val="6BDA710A"/>
    <w:rsid w:val="6BE0669F"/>
    <w:rsid w:val="6BF22B79"/>
    <w:rsid w:val="6C006D65"/>
    <w:rsid w:val="6C1D1142"/>
    <w:rsid w:val="6C1F721A"/>
    <w:rsid w:val="6C2207BC"/>
    <w:rsid w:val="6C5246E2"/>
    <w:rsid w:val="6C533A14"/>
    <w:rsid w:val="6C5E099A"/>
    <w:rsid w:val="6CA5434E"/>
    <w:rsid w:val="6CC13AB5"/>
    <w:rsid w:val="6CC60283"/>
    <w:rsid w:val="6CCC5030"/>
    <w:rsid w:val="6CD22E0C"/>
    <w:rsid w:val="6CE94789"/>
    <w:rsid w:val="6CEC2DC5"/>
    <w:rsid w:val="6D0B4266"/>
    <w:rsid w:val="6D1D6CAA"/>
    <w:rsid w:val="6D2732D1"/>
    <w:rsid w:val="6D2A2539"/>
    <w:rsid w:val="6D2B1EBD"/>
    <w:rsid w:val="6D341E16"/>
    <w:rsid w:val="6D4718E5"/>
    <w:rsid w:val="6D51468F"/>
    <w:rsid w:val="6D5A0950"/>
    <w:rsid w:val="6D5B61B5"/>
    <w:rsid w:val="6D5D0B1B"/>
    <w:rsid w:val="6D7666D7"/>
    <w:rsid w:val="6D804E9C"/>
    <w:rsid w:val="6D8B377D"/>
    <w:rsid w:val="6D9967C3"/>
    <w:rsid w:val="6DD31ABA"/>
    <w:rsid w:val="6DD84F03"/>
    <w:rsid w:val="6DE3151D"/>
    <w:rsid w:val="6DF433CA"/>
    <w:rsid w:val="6DF50BB5"/>
    <w:rsid w:val="6E027991"/>
    <w:rsid w:val="6E05419B"/>
    <w:rsid w:val="6E084776"/>
    <w:rsid w:val="6E4D16C2"/>
    <w:rsid w:val="6E945FAA"/>
    <w:rsid w:val="6E9466F2"/>
    <w:rsid w:val="6E9F2F12"/>
    <w:rsid w:val="6EB6244A"/>
    <w:rsid w:val="6EE93066"/>
    <w:rsid w:val="6F0F23A5"/>
    <w:rsid w:val="6F3323B6"/>
    <w:rsid w:val="6F71208D"/>
    <w:rsid w:val="6F8B486A"/>
    <w:rsid w:val="6F8D3411"/>
    <w:rsid w:val="6FB47548"/>
    <w:rsid w:val="6FCC6779"/>
    <w:rsid w:val="6FCF4500"/>
    <w:rsid w:val="6FDB0845"/>
    <w:rsid w:val="6FE609DE"/>
    <w:rsid w:val="6FF11FF9"/>
    <w:rsid w:val="70433998"/>
    <w:rsid w:val="70633D8A"/>
    <w:rsid w:val="70692127"/>
    <w:rsid w:val="70891CF3"/>
    <w:rsid w:val="70BE10E3"/>
    <w:rsid w:val="70D74143"/>
    <w:rsid w:val="70DC48F6"/>
    <w:rsid w:val="70E518FD"/>
    <w:rsid w:val="70F1652D"/>
    <w:rsid w:val="70FF65BA"/>
    <w:rsid w:val="7119570C"/>
    <w:rsid w:val="714902CF"/>
    <w:rsid w:val="715C2428"/>
    <w:rsid w:val="71605F43"/>
    <w:rsid w:val="7165112A"/>
    <w:rsid w:val="716B0037"/>
    <w:rsid w:val="71706FA5"/>
    <w:rsid w:val="71766319"/>
    <w:rsid w:val="717F2180"/>
    <w:rsid w:val="718970FD"/>
    <w:rsid w:val="7190209C"/>
    <w:rsid w:val="71B52622"/>
    <w:rsid w:val="71C06E4D"/>
    <w:rsid w:val="71C203D6"/>
    <w:rsid w:val="71EB194C"/>
    <w:rsid w:val="720B00EB"/>
    <w:rsid w:val="720B4242"/>
    <w:rsid w:val="720E5B23"/>
    <w:rsid w:val="721E3A1D"/>
    <w:rsid w:val="724C453E"/>
    <w:rsid w:val="7267428F"/>
    <w:rsid w:val="726C1982"/>
    <w:rsid w:val="72891276"/>
    <w:rsid w:val="728958FF"/>
    <w:rsid w:val="72AE2CC2"/>
    <w:rsid w:val="72B33F37"/>
    <w:rsid w:val="72BC737C"/>
    <w:rsid w:val="72D57684"/>
    <w:rsid w:val="72DA273B"/>
    <w:rsid w:val="72F8158D"/>
    <w:rsid w:val="730978F7"/>
    <w:rsid w:val="730F28E3"/>
    <w:rsid w:val="731062CF"/>
    <w:rsid w:val="731358A4"/>
    <w:rsid w:val="731B4952"/>
    <w:rsid w:val="731D363B"/>
    <w:rsid w:val="73263700"/>
    <w:rsid w:val="733910D4"/>
    <w:rsid w:val="73583909"/>
    <w:rsid w:val="735F1462"/>
    <w:rsid w:val="735F55B9"/>
    <w:rsid w:val="7365703A"/>
    <w:rsid w:val="737607CF"/>
    <w:rsid w:val="73797119"/>
    <w:rsid w:val="73946613"/>
    <w:rsid w:val="739B263D"/>
    <w:rsid w:val="739D5609"/>
    <w:rsid w:val="73CD50B4"/>
    <w:rsid w:val="73D15BEA"/>
    <w:rsid w:val="73E0625D"/>
    <w:rsid w:val="73E066D1"/>
    <w:rsid w:val="74454A0F"/>
    <w:rsid w:val="747319F0"/>
    <w:rsid w:val="74765304"/>
    <w:rsid w:val="747E5C62"/>
    <w:rsid w:val="748A5F46"/>
    <w:rsid w:val="748C68F6"/>
    <w:rsid w:val="749F6C81"/>
    <w:rsid w:val="74A36984"/>
    <w:rsid w:val="74CA1ECD"/>
    <w:rsid w:val="751F65C6"/>
    <w:rsid w:val="752601BF"/>
    <w:rsid w:val="757604F5"/>
    <w:rsid w:val="758953DE"/>
    <w:rsid w:val="75EB43D9"/>
    <w:rsid w:val="75ED2F6B"/>
    <w:rsid w:val="75F34139"/>
    <w:rsid w:val="76046FA0"/>
    <w:rsid w:val="760D5704"/>
    <w:rsid w:val="760E16C9"/>
    <w:rsid w:val="76116A13"/>
    <w:rsid w:val="762F11A7"/>
    <w:rsid w:val="7632699E"/>
    <w:rsid w:val="765663C5"/>
    <w:rsid w:val="765D14BF"/>
    <w:rsid w:val="765F132E"/>
    <w:rsid w:val="76741C80"/>
    <w:rsid w:val="767F76FC"/>
    <w:rsid w:val="768426B8"/>
    <w:rsid w:val="76AB29FA"/>
    <w:rsid w:val="76AD50E0"/>
    <w:rsid w:val="76B55226"/>
    <w:rsid w:val="76B73B3C"/>
    <w:rsid w:val="76BA06C1"/>
    <w:rsid w:val="76CC515E"/>
    <w:rsid w:val="76EC2476"/>
    <w:rsid w:val="772C6881"/>
    <w:rsid w:val="775D78F8"/>
    <w:rsid w:val="776542B9"/>
    <w:rsid w:val="776C5C24"/>
    <w:rsid w:val="777347E3"/>
    <w:rsid w:val="77842EE5"/>
    <w:rsid w:val="77A143A8"/>
    <w:rsid w:val="77AB7B50"/>
    <w:rsid w:val="77B55006"/>
    <w:rsid w:val="77B57B7F"/>
    <w:rsid w:val="77C07203"/>
    <w:rsid w:val="77C23DE8"/>
    <w:rsid w:val="77C83738"/>
    <w:rsid w:val="77E05A47"/>
    <w:rsid w:val="77E46236"/>
    <w:rsid w:val="77EE43BD"/>
    <w:rsid w:val="78090E1B"/>
    <w:rsid w:val="78157D47"/>
    <w:rsid w:val="78173C4D"/>
    <w:rsid w:val="782109E6"/>
    <w:rsid w:val="782761A7"/>
    <w:rsid w:val="78457910"/>
    <w:rsid w:val="784E798A"/>
    <w:rsid w:val="785034EF"/>
    <w:rsid w:val="78504319"/>
    <w:rsid w:val="786A377A"/>
    <w:rsid w:val="786E2B2A"/>
    <w:rsid w:val="78774EF8"/>
    <w:rsid w:val="78884EAA"/>
    <w:rsid w:val="7891176D"/>
    <w:rsid w:val="789574FE"/>
    <w:rsid w:val="789B1F8F"/>
    <w:rsid w:val="78A93894"/>
    <w:rsid w:val="78BB045C"/>
    <w:rsid w:val="78BC336B"/>
    <w:rsid w:val="78DE5352"/>
    <w:rsid w:val="78DE7370"/>
    <w:rsid w:val="7907622C"/>
    <w:rsid w:val="790C3192"/>
    <w:rsid w:val="795137A9"/>
    <w:rsid w:val="7972072A"/>
    <w:rsid w:val="797A1559"/>
    <w:rsid w:val="797E4D4C"/>
    <w:rsid w:val="79F32939"/>
    <w:rsid w:val="7A0954CF"/>
    <w:rsid w:val="7A184A3A"/>
    <w:rsid w:val="7A293C54"/>
    <w:rsid w:val="7A2E48EE"/>
    <w:rsid w:val="7A323FBD"/>
    <w:rsid w:val="7A357810"/>
    <w:rsid w:val="7A3909ED"/>
    <w:rsid w:val="7A3D10D0"/>
    <w:rsid w:val="7A3F4A14"/>
    <w:rsid w:val="7A627DA8"/>
    <w:rsid w:val="7A682EC6"/>
    <w:rsid w:val="7A6D5E2E"/>
    <w:rsid w:val="7A8A3819"/>
    <w:rsid w:val="7A8B30C7"/>
    <w:rsid w:val="7AA17661"/>
    <w:rsid w:val="7B044E14"/>
    <w:rsid w:val="7B10410F"/>
    <w:rsid w:val="7B3676A2"/>
    <w:rsid w:val="7B497194"/>
    <w:rsid w:val="7B50011C"/>
    <w:rsid w:val="7B52292A"/>
    <w:rsid w:val="7B555510"/>
    <w:rsid w:val="7B5A6766"/>
    <w:rsid w:val="7B6D5D26"/>
    <w:rsid w:val="7B724867"/>
    <w:rsid w:val="7B804440"/>
    <w:rsid w:val="7BAD23D9"/>
    <w:rsid w:val="7BB2430D"/>
    <w:rsid w:val="7BB33CCD"/>
    <w:rsid w:val="7BCA7B8D"/>
    <w:rsid w:val="7BE002A5"/>
    <w:rsid w:val="7BE54C28"/>
    <w:rsid w:val="7BE979FE"/>
    <w:rsid w:val="7BEA38CA"/>
    <w:rsid w:val="7BFE5868"/>
    <w:rsid w:val="7C04043D"/>
    <w:rsid w:val="7C1B2C50"/>
    <w:rsid w:val="7C203F33"/>
    <w:rsid w:val="7C507B69"/>
    <w:rsid w:val="7C53562A"/>
    <w:rsid w:val="7C5C153A"/>
    <w:rsid w:val="7C660C1B"/>
    <w:rsid w:val="7C776D68"/>
    <w:rsid w:val="7C80688E"/>
    <w:rsid w:val="7C9B47B2"/>
    <w:rsid w:val="7CA50AAA"/>
    <w:rsid w:val="7CAE0A0F"/>
    <w:rsid w:val="7CBB3364"/>
    <w:rsid w:val="7CF20C20"/>
    <w:rsid w:val="7CFC2730"/>
    <w:rsid w:val="7D1924C1"/>
    <w:rsid w:val="7D1E01AA"/>
    <w:rsid w:val="7D2F3E0A"/>
    <w:rsid w:val="7D3035F3"/>
    <w:rsid w:val="7D360E0D"/>
    <w:rsid w:val="7D902D92"/>
    <w:rsid w:val="7D9926E7"/>
    <w:rsid w:val="7D9C5444"/>
    <w:rsid w:val="7DBA210A"/>
    <w:rsid w:val="7DFA3120"/>
    <w:rsid w:val="7DFD433F"/>
    <w:rsid w:val="7E007EB0"/>
    <w:rsid w:val="7E18353D"/>
    <w:rsid w:val="7E1E1F19"/>
    <w:rsid w:val="7E2D328F"/>
    <w:rsid w:val="7E3234F7"/>
    <w:rsid w:val="7E334B6A"/>
    <w:rsid w:val="7E7A3A8F"/>
    <w:rsid w:val="7E876220"/>
    <w:rsid w:val="7E9A05A6"/>
    <w:rsid w:val="7E9A27AF"/>
    <w:rsid w:val="7E9A45D3"/>
    <w:rsid w:val="7EA75B1D"/>
    <w:rsid w:val="7EA8311F"/>
    <w:rsid w:val="7EB57675"/>
    <w:rsid w:val="7EBF74C0"/>
    <w:rsid w:val="7EC13AEA"/>
    <w:rsid w:val="7ED531B1"/>
    <w:rsid w:val="7ED62E26"/>
    <w:rsid w:val="7ED63080"/>
    <w:rsid w:val="7F143802"/>
    <w:rsid w:val="7F2D0230"/>
    <w:rsid w:val="7F357714"/>
    <w:rsid w:val="7F822F3C"/>
    <w:rsid w:val="7F937FB5"/>
    <w:rsid w:val="7FA5005E"/>
    <w:rsid w:val="7FB37AB4"/>
    <w:rsid w:val="7FBF128D"/>
    <w:rsid w:val="7FE71E8D"/>
    <w:rsid w:val="7FFE75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99"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ocked="1"/>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8"/>
    <w:qFormat/>
    <w:uiPriority w:val="0"/>
    <w:pPr>
      <w:keepNext/>
      <w:numPr>
        <w:ilvl w:val="0"/>
        <w:numId w:val="1"/>
      </w:numPr>
      <w:outlineLvl w:val="0"/>
    </w:pPr>
    <w:rPr>
      <w:rFonts w:ascii="Times New Roman" w:hAnsi="Times New Roman" w:cs="Times New Roman"/>
      <w:b/>
      <w:kern w:val="44"/>
      <w:sz w:val="44"/>
      <w:szCs w:val="20"/>
    </w:rPr>
  </w:style>
  <w:style w:type="paragraph" w:styleId="3">
    <w:name w:val="heading 2"/>
    <w:basedOn w:val="1"/>
    <w:next w:val="1"/>
    <w:link w:val="39"/>
    <w:qFormat/>
    <w:uiPriority w:val="0"/>
    <w:pPr>
      <w:keepNext/>
      <w:keepLines/>
      <w:spacing w:before="260" w:after="260" w:line="416" w:lineRule="auto"/>
      <w:outlineLvl w:val="1"/>
    </w:pPr>
    <w:rPr>
      <w:rFonts w:ascii="Cambria" w:hAnsi="Cambria" w:cs="Times New Roman"/>
      <w:b/>
      <w:sz w:val="32"/>
      <w:szCs w:val="20"/>
    </w:rPr>
  </w:style>
  <w:style w:type="paragraph" w:styleId="4">
    <w:name w:val="heading 3"/>
    <w:basedOn w:val="1"/>
    <w:next w:val="1"/>
    <w:link w:val="40"/>
    <w:qFormat/>
    <w:uiPriority w:val="0"/>
    <w:pPr>
      <w:keepNext/>
      <w:keepLines/>
      <w:spacing w:before="260" w:after="260" w:line="416" w:lineRule="auto"/>
      <w:outlineLvl w:val="2"/>
    </w:pPr>
    <w:rPr>
      <w:rFonts w:ascii="Times New Roman" w:hAnsi="Times New Roman" w:cs="Times New Roman"/>
      <w:b/>
      <w:sz w:val="32"/>
      <w:szCs w:val="20"/>
    </w:rPr>
  </w:style>
  <w:style w:type="paragraph" w:styleId="5">
    <w:name w:val="heading 4"/>
    <w:basedOn w:val="1"/>
    <w:next w:val="1"/>
    <w:qFormat/>
    <w:locked/>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link w:val="41"/>
    <w:qFormat/>
    <w:locked/>
    <w:uiPriority w:val="0"/>
    <w:pPr>
      <w:keepNext/>
      <w:keepLines/>
      <w:spacing w:before="240" w:after="64" w:line="320" w:lineRule="auto"/>
      <w:outlineLvl w:val="5"/>
    </w:pPr>
    <w:rPr>
      <w:rFonts w:ascii="等线 Light" w:hAnsi="等线 Light" w:eastAsia="等线 Light" w:cs="Times New Roman"/>
      <w:b/>
      <w:bCs/>
      <w:kern w:val="2"/>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qFormat/>
    <w:locked/>
    <w:uiPriority w:val="0"/>
    <w:pPr>
      <w:ind w:firstLine="420"/>
    </w:pPr>
  </w:style>
  <w:style w:type="paragraph" w:styleId="8">
    <w:name w:val="Document Map"/>
    <w:basedOn w:val="1"/>
    <w:link w:val="42"/>
    <w:semiHidden/>
    <w:qFormat/>
    <w:uiPriority w:val="0"/>
    <w:pPr>
      <w:shd w:val="clear" w:color="auto" w:fill="000080"/>
    </w:pPr>
    <w:rPr>
      <w:rFonts w:ascii="Times New Roman" w:hAnsi="Times New Roman" w:cs="Times New Roman"/>
      <w:sz w:val="2"/>
      <w:szCs w:val="20"/>
    </w:rPr>
  </w:style>
  <w:style w:type="paragraph" w:styleId="9">
    <w:name w:val="toa heading"/>
    <w:basedOn w:val="1"/>
    <w:next w:val="1"/>
    <w:qFormat/>
    <w:locked/>
    <w:uiPriority w:val="0"/>
    <w:pPr>
      <w:widowControl w:val="0"/>
      <w:spacing w:before="120" w:after="0"/>
      <w:ind w:left="0" w:right="0"/>
      <w:jc w:val="both"/>
    </w:pPr>
    <w:rPr>
      <w:rFonts w:ascii="Arial" w:hAnsi="Arial" w:eastAsia="微软雅黑" w:cs="Times New Roman"/>
      <w:kern w:val="2"/>
      <w:sz w:val="24"/>
      <w:szCs w:val="21"/>
      <w:lang w:val="en-US" w:eastAsia="zh-CN" w:bidi="ar-SA"/>
    </w:rPr>
  </w:style>
  <w:style w:type="paragraph" w:styleId="10">
    <w:name w:val="annotation text"/>
    <w:basedOn w:val="1"/>
    <w:link w:val="43"/>
    <w:semiHidden/>
    <w:qFormat/>
    <w:uiPriority w:val="0"/>
    <w:pPr>
      <w:jc w:val="left"/>
    </w:pPr>
    <w:rPr>
      <w:rFonts w:ascii="Times New Roman" w:hAnsi="Times New Roman" w:cs="Times New Roman"/>
      <w:kern w:val="2"/>
      <w:sz w:val="28"/>
      <w:szCs w:val="20"/>
    </w:rPr>
  </w:style>
  <w:style w:type="paragraph" w:styleId="11">
    <w:name w:val="Body Text"/>
    <w:basedOn w:val="1"/>
    <w:next w:val="12"/>
    <w:link w:val="37"/>
    <w:semiHidden/>
    <w:qFormat/>
    <w:uiPriority w:val="0"/>
    <w:pPr>
      <w:spacing w:before="100" w:beforeAutospacing="1" w:after="100" w:afterAutospacing="1" w:line="600" w:lineRule="auto"/>
    </w:pPr>
    <w:rPr>
      <w:rFonts w:ascii="Times New Roman" w:hAnsi="Times New Roman" w:cs="Times New Roman"/>
      <w:sz w:val="20"/>
      <w:szCs w:val="20"/>
    </w:rPr>
  </w:style>
  <w:style w:type="paragraph" w:styleId="12">
    <w:name w:val="Date"/>
    <w:basedOn w:val="1"/>
    <w:next w:val="1"/>
    <w:link w:val="46"/>
    <w:qFormat/>
    <w:uiPriority w:val="0"/>
    <w:pPr>
      <w:adjustRightInd w:val="0"/>
      <w:spacing w:line="360" w:lineRule="atLeast"/>
      <w:ind w:firstLine="454"/>
      <w:textAlignment w:val="baseline"/>
    </w:pPr>
    <w:rPr>
      <w:rFonts w:ascii="Times New Roman" w:hAnsi="Times New Roman" w:cs="Times New Roman"/>
      <w:sz w:val="20"/>
      <w:szCs w:val="20"/>
    </w:rPr>
  </w:style>
  <w:style w:type="paragraph" w:styleId="13">
    <w:name w:val="Body Text Indent"/>
    <w:basedOn w:val="1"/>
    <w:link w:val="44"/>
    <w:qFormat/>
    <w:uiPriority w:val="0"/>
    <w:pPr>
      <w:spacing w:after="120"/>
      <w:ind w:left="420" w:leftChars="200"/>
    </w:pPr>
    <w:rPr>
      <w:rFonts w:ascii="Times New Roman" w:hAnsi="Times New Roman" w:cs="Times New Roman"/>
      <w:sz w:val="20"/>
      <w:szCs w:val="20"/>
    </w:rPr>
  </w:style>
  <w:style w:type="paragraph" w:styleId="14">
    <w:name w:val="toc 3"/>
    <w:basedOn w:val="1"/>
    <w:next w:val="1"/>
    <w:qFormat/>
    <w:locked/>
    <w:uiPriority w:val="0"/>
    <w:pPr>
      <w:ind w:left="840" w:leftChars="400"/>
    </w:pPr>
  </w:style>
  <w:style w:type="paragraph" w:styleId="15">
    <w:name w:val="Plain Text"/>
    <w:basedOn w:val="1"/>
    <w:link w:val="45"/>
    <w:qFormat/>
    <w:uiPriority w:val="99"/>
    <w:rPr>
      <w:rFonts w:hAnsi="Courier New" w:cs="Times New Roman"/>
      <w:kern w:val="2"/>
      <w:sz w:val="21"/>
      <w:szCs w:val="20"/>
    </w:rPr>
  </w:style>
  <w:style w:type="paragraph" w:styleId="16">
    <w:name w:val="Body Text Indent 2"/>
    <w:basedOn w:val="1"/>
    <w:link w:val="47"/>
    <w:qFormat/>
    <w:uiPriority w:val="0"/>
    <w:pPr>
      <w:ind w:firstLine="480"/>
    </w:pPr>
    <w:rPr>
      <w:rFonts w:ascii="Times New Roman" w:hAnsi="Times New Roman" w:cs="Times New Roman"/>
      <w:sz w:val="20"/>
      <w:szCs w:val="20"/>
    </w:rPr>
  </w:style>
  <w:style w:type="paragraph" w:styleId="17">
    <w:name w:val="Balloon Text"/>
    <w:basedOn w:val="1"/>
    <w:semiHidden/>
    <w:qFormat/>
    <w:locked/>
    <w:uiPriority w:val="0"/>
    <w:rPr>
      <w:sz w:val="18"/>
      <w:szCs w:val="18"/>
    </w:rPr>
  </w:style>
  <w:style w:type="paragraph" w:styleId="18">
    <w:name w:val="footer"/>
    <w:basedOn w:val="1"/>
    <w:link w:val="48"/>
    <w:qFormat/>
    <w:uiPriority w:val="99"/>
    <w:pPr>
      <w:tabs>
        <w:tab w:val="center" w:pos="4153"/>
        <w:tab w:val="right" w:pos="8306"/>
      </w:tabs>
      <w:snapToGrid w:val="0"/>
      <w:jc w:val="left"/>
    </w:pPr>
    <w:rPr>
      <w:rFonts w:ascii="Times New Roman" w:hAnsi="Times New Roman" w:cs="Times New Roman"/>
      <w:sz w:val="18"/>
      <w:szCs w:val="20"/>
    </w:rPr>
  </w:style>
  <w:style w:type="paragraph" w:styleId="19">
    <w:name w:val="header"/>
    <w:basedOn w:val="1"/>
    <w:link w:val="49"/>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0">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1">
    <w:name w:val="toc 2"/>
    <w:basedOn w:val="1"/>
    <w:next w:val="1"/>
    <w:qFormat/>
    <w:uiPriority w:val="39"/>
    <w:pPr>
      <w:tabs>
        <w:tab w:val="right" w:leader="dot" w:pos="9628"/>
      </w:tabs>
      <w:ind w:left="420" w:leftChars="200"/>
    </w:pPr>
  </w:style>
  <w:style w:type="paragraph" w:styleId="22">
    <w:name w:val="Body Text 2"/>
    <w:basedOn w:val="1"/>
    <w:qFormat/>
    <w:locked/>
    <w:uiPriority w:val="99"/>
    <w:pPr>
      <w:overflowPunct w:val="0"/>
      <w:autoSpaceDE w:val="0"/>
      <w:autoSpaceDN w:val="0"/>
      <w:adjustRightInd w:val="0"/>
      <w:spacing w:line="240" w:lineRule="auto"/>
      <w:textAlignment w:val="baseline"/>
    </w:pPr>
    <w:rPr>
      <w:rFonts w:ascii="宋体" w:hAnsi="Times New Roman" w:cs="宋体"/>
      <w:color w:val="000000"/>
      <w:kern w:val="0"/>
      <w:sz w:val="28"/>
      <w:szCs w:val="28"/>
      <w:lang w:val="en-GB"/>
    </w:rPr>
  </w:style>
  <w:style w:type="paragraph" w:styleId="23">
    <w:name w:val="HTML Preformatted"/>
    <w:basedOn w:val="1"/>
    <w:qFormat/>
    <w:locked/>
    <w:uiPriority w:val="0"/>
    <w:pPr>
      <w:widowControl/>
      <w:spacing w:line="360" w:lineRule="auto"/>
    </w:pPr>
    <w:rPr>
      <w:rFonts w:ascii="Courier New" w:hAnsi="Courier New"/>
      <w:sz w:val="20"/>
      <w:szCs w:val="20"/>
    </w:rPr>
  </w:style>
  <w:style w:type="paragraph" w:styleId="24">
    <w:name w:val="Normal (Web)"/>
    <w:basedOn w:val="1"/>
    <w:next w:val="25"/>
    <w:link w:val="50"/>
    <w:qFormat/>
    <w:locked/>
    <w:uiPriority w:val="99"/>
    <w:pPr>
      <w:widowControl/>
      <w:spacing w:before="100" w:beforeAutospacing="1" w:after="100" w:afterAutospacing="1"/>
      <w:jc w:val="left"/>
    </w:pPr>
    <w:rPr>
      <w:rFonts w:ascii="宋体" w:hAnsi="宋体"/>
      <w:kern w:val="0"/>
      <w:sz w:val="24"/>
      <w:szCs w:val="24"/>
    </w:rPr>
  </w:style>
  <w:style w:type="paragraph" w:customStyle="1" w:styleId="2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6">
    <w:name w:val="Title"/>
    <w:basedOn w:val="1"/>
    <w:next w:val="1"/>
    <w:qFormat/>
    <w:locked/>
    <w:uiPriority w:val="0"/>
    <w:pPr>
      <w:adjustRightInd w:val="0"/>
      <w:snapToGrid w:val="0"/>
      <w:spacing w:before="120" w:after="120" w:line="520" w:lineRule="exact"/>
      <w:jc w:val="center"/>
      <w:outlineLvl w:val="0"/>
    </w:pPr>
    <w:rPr>
      <w:rFonts w:ascii="黑体" w:hAnsi="Times New Roman" w:eastAsia="黑体" w:cs="Times New Roman"/>
      <w:snapToGrid w:val="0"/>
      <w:kern w:val="0"/>
      <w:sz w:val="28"/>
    </w:rPr>
  </w:style>
  <w:style w:type="paragraph" w:styleId="27">
    <w:name w:val="annotation subject"/>
    <w:basedOn w:val="10"/>
    <w:next w:val="10"/>
    <w:semiHidden/>
    <w:qFormat/>
    <w:locked/>
    <w:uiPriority w:val="0"/>
    <w:rPr>
      <w:b/>
      <w:bCs/>
    </w:rPr>
  </w:style>
  <w:style w:type="paragraph" w:styleId="28">
    <w:name w:val="Body Text First Indent 2"/>
    <w:basedOn w:val="13"/>
    <w:qFormat/>
    <w:locked/>
    <w:uiPriority w:val="0"/>
    <w:pPr>
      <w:spacing w:after="120" w:line="240" w:lineRule="auto"/>
      <w:ind w:left="420" w:leftChars="200" w:firstLine="420" w:firstLineChars="200"/>
    </w:pPr>
    <w:rPr>
      <w:sz w:val="21"/>
    </w:rPr>
  </w:style>
  <w:style w:type="table" w:styleId="30">
    <w:name w:val="Table Grid"/>
    <w:basedOn w:val="29"/>
    <w:qFormat/>
    <w:uiPriority w:val="3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locked/>
    <w:uiPriority w:val="22"/>
    <w:rPr>
      <w:b/>
      <w:bCs/>
    </w:rPr>
  </w:style>
  <w:style w:type="character" w:styleId="33">
    <w:name w:val="page number"/>
    <w:qFormat/>
    <w:uiPriority w:val="0"/>
    <w:rPr>
      <w:rFonts w:cs="Times New Roman"/>
    </w:rPr>
  </w:style>
  <w:style w:type="character" w:styleId="34">
    <w:name w:val="FollowedHyperlink"/>
    <w:qFormat/>
    <w:locked/>
    <w:uiPriority w:val="0"/>
    <w:rPr>
      <w:color w:val="800080"/>
      <w:u w:val="single"/>
    </w:rPr>
  </w:style>
  <w:style w:type="character" w:styleId="35">
    <w:name w:val="Hyperlink"/>
    <w:qFormat/>
    <w:uiPriority w:val="99"/>
    <w:rPr>
      <w:rFonts w:cs="Times New Roman"/>
      <w:color w:val="0000FF"/>
      <w:u w:val="single"/>
    </w:rPr>
  </w:style>
  <w:style w:type="character" w:styleId="36">
    <w:name w:val="annotation reference"/>
    <w:semiHidden/>
    <w:qFormat/>
    <w:uiPriority w:val="0"/>
    <w:rPr>
      <w:rFonts w:cs="Times New Roman"/>
      <w:sz w:val="21"/>
      <w:szCs w:val="21"/>
    </w:rPr>
  </w:style>
  <w:style w:type="character" w:customStyle="1" w:styleId="37">
    <w:name w:val="正文文本 字符"/>
    <w:link w:val="11"/>
    <w:semiHidden/>
    <w:qFormat/>
    <w:locked/>
    <w:uiPriority w:val="0"/>
    <w:rPr>
      <w:sz w:val="20"/>
    </w:rPr>
  </w:style>
  <w:style w:type="character" w:customStyle="1" w:styleId="38">
    <w:name w:val="标题 1 字符"/>
    <w:link w:val="2"/>
    <w:qFormat/>
    <w:locked/>
    <w:uiPriority w:val="0"/>
    <w:rPr>
      <w:b/>
      <w:kern w:val="44"/>
      <w:sz w:val="44"/>
    </w:rPr>
  </w:style>
  <w:style w:type="character" w:customStyle="1" w:styleId="39">
    <w:name w:val="标题 2 字符"/>
    <w:link w:val="3"/>
    <w:semiHidden/>
    <w:qFormat/>
    <w:locked/>
    <w:uiPriority w:val="0"/>
    <w:rPr>
      <w:rFonts w:ascii="Cambria" w:hAnsi="Cambria" w:eastAsia="宋体"/>
      <w:b/>
      <w:sz w:val="32"/>
    </w:rPr>
  </w:style>
  <w:style w:type="character" w:customStyle="1" w:styleId="40">
    <w:name w:val="标题 3 字符"/>
    <w:link w:val="4"/>
    <w:semiHidden/>
    <w:qFormat/>
    <w:locked/>
    <w:uiPriority w:val="0"/>
    <w:rPr>
      <w:b/>
      <w:sz w:val="32"/>
    </w:rPr>
  </w:style>
  <w:style w:type="character" w:customStyle="1" w:styleId="41">
    <w:name w:val="标题 6 字符"/>
    <w:link w:val="6"/>
    <w:semiHidden/>
    <w:qFormat/>
    <w:uiPriority w:val="0"/>
    <w:rPr>
      <w:rFonts w:ascii="等线 Light" w:hAnsi="等线 Light" w:eastAsia="等线 Light" w:cs="Times New Roman"/>
      <w:b/>
      <w:bCs/>
      <w:kern w:val="2"/>
      <w:sz w:val="24"/>
      <w:szCs w:val="24"/>
    </w:rPr>
  </w:style>
  <w:style w:type="character" w:customStyle="1" w:styleId="42">
    <w:name w:val="文档结构图 字符"/>
    <w:link w:val="8"/>
    <w:semiHidden/>
    <w:qFormat/>
    <w:locked/>
    <w:uiPriority w:val="0"/>
    <w:rPr>
      <w:sz w:val="2"/>
    </w:rPr>
  </w:style>
  <w:style w:type="character" w:customStyle="1" w:styleId="43">
    <w:name w:val="批注文字 字符"/>
    <w:link w:val="10"/>
    <w:semiHidden/>
    <w:qFormat/>
    <w:locked/>
    <w:uiPriority w:val="0"/>
    <w:rPr>
      <w:rFonts w:eastAsia="宋体" w:cs="Times New Roman"/>
      <w:kern w:val="2"/>
      <w:sz w:val="28"/>
      <w:lang w:val="en-US" w:eastAsia="zh-CN" w:bidi="ar-SA"/>
    </w:rPr>
  </w:style>
  <w:style w:type="character" w:customStyle="1" w:styleId="44">
    <w:name w:val="正文文本缩进 字符"/>
    <w:link w:val="13"/>
    <w:semiHidden/>
    <w:qFormat/>
    <w:locked/>
    <w:uiPriority w:val="0"/>
    <w:rPr>
      <w:sz w:val="20"/>
    </w:rPr>
  </w:style>
  <w:style w:type="character" w:customStyle="1" w:styleId="45">
    <w:name w:val="纯文本 字符"/>
    <w:link w:val="15"/>
    <w:qFormat/>
    <w:locked/>
    <w:uiPriority w:val="99"/>
    <w:rPr>
      <w:rFonts w:ascii="宋体" w:hAnsi="Courier New" w:eastAsia="宋体"/>
      <w:kern w:val="2"/>
      <w:sz w:val="21"/>
      <w:lang w:val="en-US" w:eastAsia="zh-CN"/>
    </w:rPr>
  </w:style>
  <w:style w:type="character" w:customStyle="1" w:styleId="46">
    <w:name w:val="日期 字符"/>
    <w:link w:val="12"/>
    <w:semiHidden/>
    <w:qFormat/>
    <w:locked/>
    <w:uiPriority w:val="0"/>
    <w:rPr>
      <w:sz w:val="20"/>
    </w:rPr>
  </w:style>
  <w:style w:type="character" w:customStyle="1" w:styleId="47">
    <w:name w:val="正文文本缩进 2 字符"/>
    <w:link w:val="16"/>
    <w:semiHidden/>
    <w:qFormat/>
    <w:locked/>
    <w:uiPriority w:val="0"/>
    <w:rPr>
      <w:sz w:val="20"/>
    </w:rPr>
  </w:style>
  <w:style w:type="character" w:customStyle="1" w:styleId="48">
    <w:name w:val="页脚 字符"/>
    <w:link w:val="18"/>
    <w:qFormat/>
    <w:locked/>
    <w:uiPriority w:val="99"/>
    <w:rPr>
      <w:sz w:val="18"/>
    </w:rPr>
  </w:style>
  <w:style w:type="character" w:customStyle="1" w:styleId="49">
    <w:name w:val="页眉 字符"/>
    <w:link w:val="19"/>
    <w:semiHidden/>
    <w:qFormat/>
    <w:locked/>
    <w:uiPriority w:val="0"/>
    <w:rPr>
      <w:sz w:val="18"/>
    </w:rPr>
  </w:style>
  <w:style w:type="character" w:customStyle="1" w:styleId="50">
    <w:name w:val="普通(网站) 字符"/>
    <w:link w:val="24"/>
    <w:qFormat/>
    <w:uiPriority w:val="99"/>
    <w:rPr>
      <w:rFonts w:ascii="宋体" w:hAnsi="宋体"/>
      <w:kern w:val="0"/>
      <w:sz w:val="24"/>
      <w:szCs w:val="24"/>
    </w:rPr>
  </w:style>
  <w:style w:type="character" w:customStyle="1" w:styleId="51">
    <w:name w:val="bookmark-item uuid-1536114730799 code-00016"/>
    <w:qFormat/>
    <w:uiPriority w:val="0"/>
  </w:style>
  <w:style w:type="character" w:customStyle="1" w:styleId="52">
    <w:name w:val="bookmark-item uuid-1536114230642 code-00004"/>
    <w:qFormat/>
    <w:uiPriority w:val="0"/>
  </w:style>
  <w:style w:type="character" w:customStyle="1" w:styleId="53">
    <w:name w:val="bookmark-item uuid-1536114722887 code-00015"/>
    <w:qFormat/>
    <w:uiPriority w:val="0"/>
  </w:style>
  <w:style w:type="character" w:customStyle="1" w:styleId="54">
    <w:name w:val="纯文本 字符1"/>
    <w:qFormat/>
    <w:locked/>
    <w:uiPriority w:val="99"/>
    <w:rPr>
      <w:rFonts w:ascii="宋体" w:eastAsia="宋体"/>
    </w:rPr>
  </w:style>
  <w:style w:type="character" w:customStyle="1" w:styleId="55">
    <w:name w:val="bookmark-item uuid-1536114744629 code-00018"/>
    <w:qFormat/>
    <w:uiPriority w:val="0"/>
  </w:style>
  <w:style w:type="character" w:customStyle="1" w:styleId="56">
    <w:name w:val="bookmark-item uuid-1536114237662 code-00006"/>
    <w:qFormat/>
    <w:uiPriority w:val="0"/>
  </w:style>
  <w:style w:type="character" w:customStyle="1" w:styleId="57">
    <w:name w:val="fontstyle01"/>
    <w:qFormat/>
    <w:uiPriority w:val="0"/>
    <w:rPr>
      <w:rFonts w:hint="eastAsia" w:ascii="宋体" w:hAnsi="宋体" w:eastAsia="宋体" w:cs="宋体"/>
      <w:color w:val="000000"/>
      <w:sz w:val="44"/>
      <w:szCs w:val="44"/>
    </w:rPr>
  </w:style>
  <w:style w:type="character" w:customStyle="1" w:styleId="58">
    <w:name w:val="bookmark-item uuid-1536114769643 code-00021"/>
    <w:qFormat/>
    <w:uiPriority w:val="0"/>
  </w:style>
  <w:style w:type="character" w:customStyle="1" w:styleId="59">
    <w:name w:val="bookmark-item uuid-1536114367028 code-23012"/>
    <w:qFormat/>
    <w:uiPriority w:val="0"/>
  </w:style>
  <w:style w:type="character" w:customStyle="1" w:styleId="60">
    <w:name w:val="bookmark-item uuid-1536114708792 code-00013"/>
    <w:qFormat/>
    <w:uiPriority w:val="0"/>
  </w:style>
  <w:style w:type="character" w:customStyle="1" w:styleId="61">
    <w:name w:val="bookmark-item uuid-1541657111286 code-23008"/>
    <w:qFormat/>
    <w:uiPriority w:val="0"/>
  </w:style>
  <w:style w:type="character" w:customStyle="1" w:styleId="62">
    <w:name w:val="Char Char"/>
    <w:qFormat/>
    <w:uiPriority w:val="0"/>
    <w:rPr>
      <w:rFonts w:ascii="宋体" w:hAnsi="Courier New" w:eastAsia="宋体" w:cs="Times New Roman"/>
      <w:kern w:val="2"/>
      <w:sz w:val="21"/>
      <w:lang w:val="en-US" w:eastAsia="zh-CN" w:bidi="ar-SA"/>
    </w:rPr>
  </w:style>
  <w:style w:type="character" w:customStyle="1" w:styleId="63">
    <w:name w:val="bookmark-item uuid-1536114797846 code-23002"/>
    <w:qFormat/>
    <w:uiPriority w:val="0"/>
  </w:style>
  <w:style w:type="character" w:customStyle="1" w:styleId="64">
    <w:name w:val="bookmark-item uuid-1536325460878 code-23001"/>
    <w:qFormat/>
    <w:uiPriority w:val="0"/>
  </w:style>
  <w:style w:type="character" w:customStyle="1" w:styleId="65">
    <w:name w:val="bookmark-item uuid-1536114761735 code-00020"/>
    <w:qFormat/>
    <w:uiPriority w:val="0"/>
  </w:style>
  <w:style w:type="character" w:customStyle="1" w:styleId="66">
    <w:name w:val="bookmark-item uuid-1536114308002 code-23005"/>
    <w:qFormat/>
    <w:uiPriority w:val="0"/>
  </w:style>
  <w:style w:type="character" w:customStyle="1" w:styleId="67">
    <w:name w:val="bookmark-item uuid-1536114681261 code-00009"/>
    <w:qFormat/>
    <w:uiPriority w:val="0"/>
  </w:style>
  <w:style w:type="character" w:customStyle="1" w:styleId="68">
    <w:name w:val="bookmark-item uuid-1536114326115 code-23007"/>
    <w:qFormat/>
    <w:uiPriority w:val="0"/>
  </w:style>
  <w:style w:type="character" w:customStyle="1" w:styleId="69">
    <w:name w:val="bookmark-item uuid-1536114672385 code-23021"/>
    <w:qFormat/>
    <w:uiPriority w:val="0"/>
  </w:style>
  <w:style w:type="character" w:customStyle="1" w:styleId="70">
    <w:name w:val="bookmark-item uuid-1536114351935 code-23009"/>
    <w:qFormat/>
    <w:uiPriority w:val="0"/>
  </w:style>
  <w:style w:type="character" w:customStyle="1" w:styleId="71">
    <w:name w:val="apple-converted-space"/>
    <w:qFormat/>
    <w:uiPriority w:val="0"/>
    <w:rPr>
      <w:rFonts w:cs="Times New Roman"/>
    </w:rPr>
  </w:style>
  <w:style w:type="character" w:customStyle="1" w:styleId="72">
    <w:name w:val="bookmark-item uuid-1536114715836 code-00014"/>
    <w:qFormat/>
    <w:uiPriority w:val="0"/>
  </w:style>
  <w:style w:type="character" w:customStyle="1" w:styleId="73">
    <w:name w:val="Char Char4"/>
    <w:qFormat/>
    <w:uiPriority w:val="0"/>
    <w:rPr>
      <w:rFonts w:eastAsia="宋体" w:cs="Times New Roman"/>
      <w:kern w:val="2"/>
      <w:sz w:val="18"/>
      <w:szCs w:val="18"/>
      <w:lang w:val="en-US" w:eastAsia="zh-CN" w:bidi="ar-SA"/>
    </w:rPr>
  </w:style>
  <w:style w:type="character" w:customStyle="1" w:styleId="74">
    <w:name w:val="tpc_content1"/>
    <w:qFormat/>
    <w:uiPriority w:val="0"/>
    <w:rPr>
      <w:sz w:val="20"/>
    </w:rPr>
  </w:style>
  <w:style w:type="character" w:customStyle="1" w:styleId="75">
    <w:name w:val="bookmark-item uuid-1536114752958 code-00019"/>
    <w:qFormat/>
    <w:uiPriority w:val="0"/>
  </w:style>
  <w:style w:type="character" w:customStyle="1" w:styleId="76">
    <w:name w:val="bookmark-item uuid-1536114315631 code-23006"/>
    <w:qFormat/>
    <w:uiPriority w:val="0"/>
  </w:style>
  <w:style w:type="character" w:customStyle="1" w:styleId="77">
    <w:name w:val="sub"/>
    <w:qFormat/>
    <w:uiPriority w:val="0"/>
  </w:style>
  <w:style w:type="character" w:customStyle="1" w:styleId="78">
    <w:name w:val="bookmark-item uuid-1536114381259 code-23015"/>
    <w:qFormat/>
    <w:uiPriority w:val="0"/>
  </w:style>
  <w:style w:type="character" w:customStyle="1" w:styleId="79">
    <w:name w:val="bookmark-item uuid-1536114695490 code-00011"/>
    <w:qFormat/>
    <w:uiPriority w:val="0"/>
  </w:style>
  <w:style w:type="character" w:customStyle="1" w:styleId="80">
    <w:name w:val="bookmark-item uuid-1536114688571 code-00010"/>
    <w:qFormat/>
    <w:uiPriority w:val="0"/>
  </w:style>
  <w:style w:type="character" w:customStyle="1" w:styleId="81">
    <w:name w:val="wj"/>
    <w:qFormat/>
    <w:uiPriority w:val="0"/>
  </w:style>
  <w:style w:type="paragraph" w:customStyle="1" w:styleId="82">
    <w:name w:val="三级标题"/>
    <w:basedOn w:val="1"/>
    <w:next w:val="1"/>
    <w:qFormat/>
    <w:uiPriority w:val="0"/>
    <w:pPr>
      <w:numPr>
        <w:ilvl w:val="2"/>
        <w:numId w:val="3"/>
      </w:numPr>
      <w:outlineLvl w:val="3"/>
    </w:pPr>
    <w:rPr>
      <w:b/>
    </w:rPr>
  </w:style>
  <w:style w:type="paragraph" w:customStyle="1" w:styleId="83">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样式 宋体 五号 两端对齐 行距: 单倍行距"/>
    <w:basedOn w:val="1"/>
    <w:qFormat/>
    <w:uiPriority w:val="0"/>
    <w:pPr>
      <w:adjustRightInd w:val="0"/>
      <w:textAlignment w:val="baseline"/>
    </w:pPr>
    <w:rPr>
      <w:rFonts w:ascii="宋体" w:hAnsi="宋体"/>
      <w:kern w:val="0"/>
    </w:rPr>
  </w:style>
  <w:style w:type="paragraph" w:customStyle="1" w:styleId="8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Char"/>
    <w:basedOn w:val="8"/>
    <w:semiHidden/>
    <w:qFormat/>
    <w:uiPriority w:val="0"/>
    <w:rPr>
      <w:rFonts w:ascii="Tahoma" w:hAnsi="Tahoma"/>
      <w:sz w:val="24"/>
      <w:szCs w:val="24"/>
    </w:rPr>
  </w:style>
  <w:style w:type="paragraph" w:customStyle="1" w:styleId="87">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Normal_9"/>
    <w:qFormat/>
    <w:uiPriority w:val="0"/>
    <w:rPr>
      <w:rFonts w:ascii="黑体" w:hAnsi="黑体" w:eastAsia="黑体" w:cs="Times New Roman"/>
      <w:b/>
      <w:sz w:val="32"/>
      <w:szCs w:val="24"/>
      <w:lang w:val="en-US" w:eastAsia="zh-CN" w:bidi="ar-SA"/>
    </w:rPr>
  </w:style>
  <w:style w:type="paragraph" w:customStyle="1" w:styleId="90">
    <w:name w:val="样式3"/>
    <w:basedOn w:val="15"/>
    <w:qFormat/>
    <w:uiPriority w:val="0"/>
    <w:pPr>
      <w:spacing w:line="240" w:lineRule="atLeast"/>
      <w:outlineLvl w:val="0"/>
    </w:pPr>
    <w:rPr>
      <w:sz w:val="28"/>
      <w:szCs w:val="24"/>
    </w:rPr>
  </w:style>
  <w:style w:type="paragraph" w:customStyle="1" w:styleId="91">
    <w:name w:val="Char1"/>
    <w:basedOn w:val="1"/>
    <w:qFormat/>
    <w:uiPriority w:val="0"/>
    <w:rPr>
      <w:rFonts w:ascii="Tahoma" w:hAnsi="Tahoma"/>
      <w:sz w:val="24"/>
    </w:rPr>
  </w:style>
  <w:style w:type="paragraph" w:customStyle="1" w:styleId="92">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宋体 五号 行距: 单倍行距"/>
    <w:basedOn w:val="1"/>
    <w:qFormat/>
    <w:uiPriority w:val="0"/>
    <w:pPr>
      <w:adjustRightInd w:val="0"/>
      <w:jc w:val="left"/>
      <w:textAlignment w:val="baseline"/>
    </w:pPr>
    <w:rPr>
      <w:rFonts w:ascii="宋体" w:hAnsi="宋体"/>
      <w:kern w:val="0"/>
    </w:rPr>
  </w:style>
  <w:style w:type="paragraph" w:customStyle="1" w:styleId="94">
    <w:name w:val="List Paragraph"/>
    <w:basedOn w:val="1"/>
    <w:qFormat/>
    <w:uiPriority w:val="0"/>
    <w:pPr>
      <w:ind w:firstLine="420" w:firstLineChars="200"/>
    </w:pPr>
    <w:rPr>
      <w:rFonts w:ascii="Calibri" w:hAnsi="Calibri"/>
      <w:szCs w:val="22"/>
    </w:rPr>
  </w:style>
  <w:style w:type="paragraph" w:customStyle="1" w:styleId="95">
    <w:name w:val="List Paragraph1"/>
    <w:basedOn w:val="1"/>
    <w:qFormat/>
    <w:uiPriority w:val="0"/>
    <w:pPr>
      <w:ind w:firstLine="420" w:firstLineChars="200"/>
    </w:pPr>
    <w:rPr>
      <w:rFonts w:ascii="Calibri" w:hAnsi="Calibri"/>
      <w:szCs w:val="22"/>
    </w:rPr>
  </w:style>
  <w:style w:type="paragraph" w:customStyle="1" w:styleId="9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00">
    <w:name w:val="Normal_10_0"/>
    <w:qFormat/>
    <w:uiPriority w:val="0"/>
    <w:rPr>
      <w:rFonts w:ascii="黑体" w:hAnsi="黑体" w:eastAsia="黑体" w:cs="Times New Roman"/>
      <w:b/>
      <w:sz w:val="32"/>
      <w:szCs w:val="24"/>
      <w:lang w:val="en-US" w:eastAsia="zh-CN" w:bidi="ar-SA"/>
    </w:rPr>
  </w:style>
  <w:style w:type="paragraph" w:customStyle="1" w:styleId="101">
    <w:name w:val="Definition Term"/>
    <w:basedOn w:val="1"/>
    <w:next w:val="1"/>
    <w:qFormat/>
    <w:uiPriority w:val="0"/>
    <w:pPr>
      <w:autoSpaceDE w:val="0"/>
      <w:autoSpaceDN w:val="0"/>
      <w:adjustRightInd w:val="0"/>
      <w:jc w:val="left"/>
    </w:pPr>
    <w:rPr>
      <w:kern w:val="0"/>
      <w:sz w:val="24"/>
    </w:rPr>
  </w:style>
  <w:style w:type="paragraph" w:customStyle="1" w:styleId="102">
    <w:name w:val="p15"/>
    <w:basedOn w:val="1"/>
    <w:qFormat/>
    <w:uiPriority w:val="0"/>
    <w:pPr>
      <w:widowControl/>
    </w:pPr>
    <w:rPr>
      <w:kern w:val="0"/>
      <w:szCs w:val="21"/>
    </w:rPr>
  </w:style>
  <w:style w:type="paragraph" w:customStyle="1" w:styleId="103">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0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0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6">
    <w:name w:val="Char Char Char Char Char Char Char"/>
    <w:basedOn w:val="1"/>
    <w:qFormat/>
    <w:uiPriority w:val="0"/>
    <w:pPr>
      <w:tabs>
        <w:tab w:val="left" w:pos="432"/>
      </w:tabs>
      <w:ind w:left="432" w:hanging="432"/>
    </w:pPr>
    <w:rPr>
      <w:rFonts w:ascii="Tahoma" w:hAnsi="Tahoma"/>
      <w:sz w:val="24"/>
    </w:rPr>
  </w:style>
  <w:style w:type="paragraph" w:customStyle="1" w:styleId="107">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9">
    <w:name w:val="NormalCharacter"/>
    <w:qFormat/>
    <w:uiPriority w:val="0"/>
  </w:style>
  <w:style w:type="paragraph" w:customStyle="1" w:styleId="110">
    <w:name w:val="列表段落"/>
    <w:basedOn w:val="1"/>
    <w:qFormat/>
    <w:uiPriority w:val="34"/>
    <w:pPr>
      <w:ind w:firstLine="420" w:firstLineChars="200"/>
    </w:pPr>
  </w:style>
  <w:style w:type="paragraph" w:customStyle="1" w:styleId="111">
    <w:name w:val="样式 样式4+ + 首行缩进:  2 字符"/>
    <w:basedOn w:val="1"/>
    <w:qFormat/>
    <w:uiPriority w:val="0"/>
    <w:pPr>
      <w:ind w:firstLine="200" w:firstLineChars="200"/>
    </w:pPr>
    <w:rPr>
      <w:rFonts w:cs="宋体"/>
      <w:sz w:val="28"/>
      <w:szCs w:val="28"/>
    </w:rPr>
  </w:style>
  <w:style w:type="character" w:customStyle="1" w:styleId="112">
    <w:name w:val="font01"/>
    <w:basedOn w:val="31"/>
    <w:qFormat/>
    <w:uiPriority w:val="0"/>
    <w:rPr>
      <w:rFonts w:hint="eastAsia" w:ascii="仿宋_GB2312" w:eastAsia="仿宋_GB2312" w:cs="仿宋_GB2312"/>
      <w:color w:val="000000"/>
      <w:sz w:val="20"/>
      <w:szCs w:val="20"/>
      <w:u w:val="none"/>
    </w:rPr>
  </w:style>
  <w:style w:type="character" w:customStyle="1" w:styleId="113">
    <w:name w:val="font51"/>
    <w:qFormat/>
    <w:uiPriority w:val="0"/>
    <w:rPr>
      <w:rFonts w:hint="eastAsia" w:ascii="仿宋_GB2312" w:eastAsia="仿宋_GB2312" w:cs="仿宋_GB2312"/>
      <w:b/>
      <w:bCs/>
      <w:color w:val="000000"/>
      <w:sz w:val="20"/>
      <w:szCs w:val="20"/>
      <w:u w:val="none"/>
    </w:rPr>
  </w:style>
  <w:style w:type="character" w:customStyle="1" w:styleId="114">
    <w:name w:val="font21"/>
    <w:qFormat/>
    <w:uiPriority w:val="0"/>
    <w:rPr>
      <w:rFonts w:hint="eastAsia" w:ascii="宋体" w:hAnsi="宋体" w:eastAsia="宋体" w:cs="宋体"/>
      <w:color w:val="000000"/>
      <w:sz w:val="20"/>
      <w:szCs w:val="20"/>
      <w:u w:val="none"/>
    </w:rPr>
  </w:style>
  <w:style w:type="paragraph" w:customStyle="1" w:styleId="115">
    <w:name w:val="修订"/>
    <w:unhideWhenUsed/>
    <w:qFormat/>
    <w:uiPriority w:val="99"/>
    <w:rPr>
      <w:rFonts w:ascii="宋体" w:hAnsi="宋体" w:eastAsia="宋体" w:cs="宋体"/>
      <w:sz w:val="24"/>
      <w:szCs w:val="24"/>
      <w:lang w:val="en-US" w:eastAsia="zh-CN" w:bidi="ar-SA"/>
    </w:rPr>
  </w:style>
  <w:style w:type="character" w:customStyle="1" w:styleId="116">
    <w:name w:val="标题 1 Char"/>
    <w:qFormat/>
    <w:locked/>
    <w:uiPriority w:val="0"/>
    <w:rPr>
      <w:b/>
      <w:kern w:val="44"/>
      <w:sz w:val="44"/>
    </w:rPr>
  </w:style>
  <w:style w:type="character" w:customStyle="1" w:styleId="117">
    <w:name w:val="纯文本 Char"/>
    <w:qFormat/>
    <w:locked/>
    <w:uiPriority w:val="99"/>
    <w:rPr>
      <w:rFonts w:ascii="宋体" w:hAnsi="Courier New" w:eastAsia="宋体"/>
      <w:kern w:val="2"/>
      <w:sz w:val="21"/>
      <w:lang w:val="en-US" w:eastAsia="zh-CN"/>
    </w:rPr>
  </w:style>
  <w:style w:type="character" w:customStyle="1" w:styleId="118">
    <w:name w:val="页脚 Char"/>
    <w:qFormat/>
    <w:locked/>
    <w:uiPriority w:val="99"/>
    <w:rPr>
      <w:sz w:val="18"/>
    </w:rPr>
  </w:style>
  <w:style w:type="paragraph" w:customStyle="1" w:styleId="119">
    <w:name w:val="_Style 117"/>
    <w:basedOn w:val="1"/>
    <w:next w:val="110"/>
    <w:qFormat/>
    <w:uiPriority w:val="34"/>
    <w:pPr>
      <w:ind w:firstLine="420" w:firstLineChars="200"/>
    </w:pPr>
  </w:style>
  <w:style w:type="character" w:customStyle="1" w:styleId="120">
    <w:name w:val="medium_text1"/>
    <w:qFormat/>
    <w:uiPriority w:val="0"/>
    <w:rPr>
      <w:sz w:val="24"/>
      <w:szCs w:val="24"/>
    </w:rPr>
  </w:style>
  <w:style w:type="paragraph" w:customStyle="1" w:styleId="1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2">
    <w:name w:val="页眉 Char"/>
    <w:qFormat/>
    <w:uiPriority w:val="99"/>
    <w:rPr>
      <w:kern w:val="2"/>
      <w:sz w:val="18"/>
      <w:szCs w:val="18"/>
    </w:rPr>
  </w:style>
  <w:style w:type="character" w:customStyle="1" w:styleId="123">
    <w:name w:val="Book Title"/>
    <w:qFormat/>
    <w:uiPriority w:val="0"/>
    <w:rPr>
      <w:rFonts w:cs="Times New Roman"/>
      <w:b/>
      <w:bCs/>
      <w:smallCaps/>
      <w:spacing w:val="5"/>
    </w:rPr>
  </w:style>
  <w:style w:type="character" w:customStyle="1" w:styleId="124">
    <w:name w:val="font11"/>
    <w:basedOn w:val="31"/>
    <w:qFormat/>
    <w:uiPriority w:val="0"/>
    <w:rPr>
      <w:rFonts w:hint="eastAsia" w:ascii="宋体" w:hAnsi="宋体" w:eastAsia="宋体" w:cs="宋体"/>
      <w:color w:val="000000"/>
      <w:sz w:val="22"/>
      <w:szCs w:val="22"/>
      <w:u w:val="none"/>
    </w:rPr>
  </w:style>
  <w:style w:type="paragraph" w:customStyle="1" w:styleId="12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12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128">
    <w:name w:val="正文_1_0"/>
    <w:qFormat/>
    <w:uiPriority w:val="0"/>
    <w:pPr>
      <w:widowControl w:val="0"/>
      <w:jc w:val="both"/>
    </w:pPr>
    <w:rPr>
      <w:rFonts w:ascii="Times New Roman" w:hAnsi="Times New Roman" w:eastAsia="宋体" w:cs="Times New Roman"/>
      <w:lang w:val="en-US" w:eastAsia="zh-CN" w:bidi="ar-SA"/>
    </w:rPr>
  </w:style>
  <w:style w:type="paragraph" w:customStyle="1" w:styleId="129">
    <w:name w:val="列出段落1"/>
    <w:basedOn w:val="1"/>
    <w:qFormat/>
    <w:uiPriority w:val="99"/>
    <w:pPr>
      <w:widowControl w:val="0"/>
      <w:adjustRightInd w:val="0"/>
      <w:spacing w:line="240" w:lineRule="auto"/>
      <w:ind w:firstLine="420" w:firstLineChars="200"/>
      <w:jc w:val="both"/>
      <w:textAlignment w:val="baseline"/>
    </w:pPr>
    <w:rPr>
      <w:rFonts w:ascii="Times New Roman" w:hAnsi="Times New Roman" w:cs="Times New Roman"/>
    </w:rPr>
  </w:style>
  <w:style w:type="paragraph" w:customStyle="1" w:styleId="130">
    <w:name w:val="样式 首行缩进:  2 字符"/>
    <w:basedOn w:val="1"/>
    <w:qFormat/>
    <w:uiPriority w:val="99"/>
    <w:pPr>
      <w:spacing w:beforeLines="50" w:afterLines="50"/>
      <w:ind w:firstLine="200" w:firstLineChars="200"/>
    </w:pPr>
    <w:rPr>
      <w:rFonts w:eastAsia="仿宋" w:cs="宋体"/>
      <w:sz w:val="24"/>
      <w:szCs w:val="20"/>
    </w:rPr>
  </w:style>
  <w:style w:type="table" w:customStyle="1" w:styleId="131">
    <w:name w:val="Table Normal"/>
    <w:qFormat/>
    <w:uiPriority w:val="0"/>
    <w:tblPr>
      <w:tblCellMar>
        <w:top w:w="0" w:type="dxa"/>
        <w:left w:w="0" w:type="dxa"/>
        <w:bottom w:w="0" w:type="dxa"/>
        <w:right w:w="0" w:type="dxa"/>
      </w:tblCellMar>
    </w:tblPr>
  </w:style>
  <w:style w:type="paragraph" w:customStyle="1" w:styleId="132">
    <w:name w:val="Table Text"/>
    <w:basedOn w:val="1"/>
    <w:semiHidden/>
    <w:qFormat/>
    <w:uiPriority w:val="0"/>
    <w:rPr>
      <w:rFonts w:ascii="宋体" w:hAnsi="宋体" w:eastAsia="宋体" w:cs="宋体"/>
      <w:sz w:val="24"/>
      <w:szCs w:val="24"/>
      <w:lang w:val="en-US" w:eastAsia="en-US" w:bidi="ar-SA"/>
    </w:rPr>
  </w:style>
  <w:style w:type="paragraph" w:customStyle="1" w:styleId="133">
    <w:name w:val="章节题目"/>
    <w:basedOn w:val="134"/>
    <w:next w:val="1"/>
    <w:qFormat/>
    <w:uiPriority w:val="0"/>
    <w:pPr>
      <w:spacing w:before="720" w:after="400" w:line="540" w:lineRule="atLeast"/>
      <w:ind w:right="2160"/>
    </w:pPr>
    <w:rPr>
      <w:spacing w:val="-40"/>
      <w:sz w:val="60"/>
    </w:rPr>
  </w:style>
  <w:style w:type="paragraph" w:customStyle="1" w:styleId="134">
    <w:name w:val="基准标题"/>
    <w:basedOn w:val="1"/>
    <w:next w:val="11"/>
    <w:qFormat/>
    <w:uiPriority w:val="0"/>
    <w:pPr>
      <w:keepNext/>
      <w:keepLines/>
      <w:spacing w:before="140" w:line="220" w:lineRule="atLeast"/>
    </w:pPr>
    <w:rPr>
      <w:rFonts w:ascii="Arial" w:hAnsi="Arial"/>
      <w:spacing w:val="-4"/>
      <w:kern w:val="28"/>
      <w:sz w:val="22"/>
    </w:rPr>
  </w:style>
  <w:style w:type="paragraph" w:customStyle="1" w:styleId="135">
    <w:name w:val="Normal_7_0"/>
    <w:qFormat/>
    <w:uiPriority w:val="0"/>
    <w:pPr>
      <w:widowControl w:val="0"/>
      <w:jc w:val="both"/>
    </w:pPr>
    <w:rPr>
      <w:rFonts w:ascii="Times New Roman" w:hAnsi="Times New Roman" w:eastAsia="宋体" w:cs="Times New Roman"/>
      <w:szCs w:val="24"/>
      <w:lang w:bidi="ar-SA"/>
    </w:rPr>
  </w:style>
  <w:style w:type="paragraph" w:customStyle="1" w:styleId="136">
    <w:name w:val="Normal_8"/>
    <w:qFormat/>
    <w:uiPriority w:val="0"/>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67</Pages>
  <Words>18899</Words>
  <Characters>20343</Characters>
  <Lines>253</Lines>
  <Paragraphs>71</Paragraphs>
  <TotalTime>22</TotalTime>
  <ScaleCrop>false</ScaleCrop>
  <LinksUpToDate>false</LinksUpToDate>
  <CharactersWithSpaces>20781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2021-09-24T04:11:00Z</dcterms:created>
  <dc:creator>李霆</dc:creator>
  <cp:lastModifiedBy>六十的wps会员</cp:lastModifiedBy>
  <cp:lastPrinted>2022-08-05T08:08:00Z</cp:lastPrinted>
  <dcterms:modified xsi:type="dcterms:W3CDTF">2026-05-15T03:02:56Z</dcterms:modified>
  <dc:title>新疆维吾尔自治区政府采购中心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76FBB026FF4D45449C17B7B1ACB4446A_13</vt:lpwstr>
  </property>
  <property fmtid="{D5CDD505-2E9C-101B-9397-08002B2CF9AE}" pid="4" name="KSOTemplateDocerSaveRecord">
    <vt:lpwstr>eyJoZGlkIjoiZTk3NTcxY2E3NmFhNzkxNmY0MjRlZWI2YzkwYWE0MGIiLCJ1c2VySWQiOiIzMDQ4NTg4NjIifQ==</vt:lpwstr>
  </property>
</Properties>
</file>