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2C378">
      <w:pPr>
        <w:spacing w:line="240" w:lineRule="atLeast"/>
        <w:jc w:val="center"/>
        <w:rPr>
          <w:rFonts w:hint="eastAsia" w:ascii="宋体" w:hAnsi="宋体" w:eastAsia="宋体" w:cs="宋体"/>
          <w:b/>
          <w:color w:val="auto"/>
          <w:sz w:val="48"/>
          <w:szCs w:val="48"/>
          <w:highlight w:val="none"/>
        </w:rPr>
      </w:pPr>
    </w:p>
    <w:p w14:paraId="66B26607">
      <w:pPr>
        <w:spacing w:line="240" w:lineRule="atLeast"/>
        <w:jc w:val="center"/>
        <w:rPr>
          <w:rFonts w:hint="default" w:ascii="宋体" w:hAnsi="宋体" w:eastAsia="宋体" w:cs="宋体"/>
          <w:color w:val="auto"/>
          <w:sz w:val="22"/>
          <w:szCs w:val="28"/>
          <w:highlight w:val="none"/>
          <w:lang w:val="en-US"/>
        </w:rPr>
      </w:pPr>
      <w:r>
        <w:rPr>
          <w:rFonts w:hint="eastAsia" w:ascii="宋体" w:hAnsi="宋体" w:cs="宋体"/>
          <w:b/>
          <w:color w:val="auto"/>
          <w:sz w:val="44"/>
          <w:szCs w:val="44"/>
          <w:highlight w:val="none"/>
          <w:lang w:eastAsia="zh-CN"/>
        </w:rPr>
        <w:t>喀什地区泽普县紧密型县域医共体资源共享中心、中心药房及次中心建设项目</w:t>
      </w:r>
      <w:r>
        <w:rPr>
          <w:rFonts w:hint="eastAsia" w:ascii="宋体" w:hAnsi="宋体" w:cs="宋体"/>
          <w:b/>
          <w:color w:val="auto"/>
          <w:sz w:val="44"/>
          <w:szCs w:val="44"/>
          <w:highlight w:val="none"/>
          <w:lang w:val="en-US" w:eastAsia="zh-CN"/>
        </w:rPr>
        <w:t>一标段</w:t>
      </w:r>
    </w:p>
    <w:p w14:paraId="0780C90F">
      <w:pPr>
        <w:pStyle w:val="26"/>
        <w:rPr>
          <w:rFonts w:hint="eastAsia" w:ascii="宋体" w:hAnsi="宋体" w:eastAsia="宋体" w:cs="宋体"/>
          <w:color w:val="auto"/>
          <w:sz w:val="21"/>
          <w:szCs w:val="32"/>
          <w:highlight w:val="none"/>
        </w:rPr>
      </w:pPr>
    </w:p>
    <w:p w14:paraId="60F70994">
      <w:pPr>
        <w:spacing w:line="240" w:lineRule="atLeast"/>
        <w:jc w:val="center"/>
        <w:rPr>
          <w:rFonts w:hint="default"/>
          <w:color w:val="auto"/>
          <w:highlight w:val="none"/>
          <w:lang w:val="en-US"/>
        </w:rPr>
      </w:pPr>
      <w:r>
        <w:rPr>
          <w:rFonts w:hint="eastAsia" w:ascii="宋体" w:hAnsi="宋体" w:eastAsia="宋体" w:cs="宋体"/>
          <w:b/>
          <w:color w:val="auto"/>
          <w:sz w:val="44"/>
          <w:szCs w:val="44"/>
          <w:highlight w:val="none"/>
          <w:lang w:eastAsia="zh-CN"/>
        </w:rPr>
        <w:t>项目编号：ZPDL（202</w:t>
      </w:r>
      <w:r>
        <w:rPr>
          <w:rFonts w:hint="eastAsia" w:ascii="宋体" w:hAnsi="宋体" w:eastAsia="宋体" w:cs="宋体"/>
          <w:b/>
          <w:color w:val="auto"/>
          <w:sz w:val="44"/>
          <w:szCs w:val="44"/>
          <w:highlight w:val="none"/>
          <w:lang w:val="en-US" w:eastAsia="zh-CN"/>
        </w:rPr>
        <w:t>6</w:t>
      </w:r>
      <w:r>
        <w:rPr>
          <w:rFonts w:hint="eastAsia" w:ascii="宋体" w:hAnsi="宋体" w:eastAsia="宋体" w:cs="宋体"/>
          <w:b/>
          <w:color w:val="auto"/>
          <w:sz w:val="44"/>
          <w:szCs w:val="44"/>
          <w:highlight w:val="none"/>
          <w:lang w:eastAsia="zh-CN"/>
        </w:rPr>
        <w:t>）</w:t>
      </w:r>
      <w:r>
        <w:rPr>
          <w:rFonts w:hint="eastAsia" w:ascii="宋体" w:hAnsi="宋体" w:cs="宋体"/>
          <w:b/>
          <w:color w:val="auto"/>
          <w:sz w:val="44"/>
          <w:szCs w:val="44"/>
          <w:highlight w:val="none"/>
          <w:lang w:val="en-US" w:eastAsia="zh-CN"/>
        </w:rPr>
        <w:t>052</w:t>
      </w:r>
      <w:r>
        <w:rPr>
          <w:rFonts w:hint="eastAsia" w:ascii="宋体" w:hAnsi="宋体" w:cs="宋体"/>
          <w:b/>
          <w:color w:val="auto"/>
          <w:sz w:val="48"/>
          <w:szCs w:val="48"/>
          <w:highlight w:val="none"/>
          <w:lang w:val="en-US" w:eastAsia="zh-CN"/>
        </w:rPr>
        <w:t>-1</w:t>
      </w:r>
    </w:p>
    <w:p w14:paraId="344FE9F9">
      <w:pPr>
        <w:pStyle w:val="5"/>
        <w:spacing w:line="720" w:lineRule="auto"/>
        <w:jc w:val="center"/>
        <w:rPr>
          <w:rFonts w:hint="eastAsia" w:ascii="宋体" w:hAnsi="宋体" w:eastAsia="宋体" w:cs="宋体"/>
          <w:b/>
          <w:color w:val="auto"/>
          <w:sz w:val="52"/>
          <w:szCs w:val="52"/>
          <w:highlight w:val="none"/>
        </w:rPr>
      </w:pPr>
      <w:r>
        <w:rPr>
          <w:rFonts w:hint="eastAsia" w:ascii="宋体" w:hAnsi="宋体" w:eastAsia="宋体" w:cs="宋体"/>
          <w:b/>
          <w:color w:val="auto"/>
          <w:sz w:val="56"/>
          <w:szCs w:val="56"/>
          <w:highlight w:val="none"/>
        </w:rPr>
        <w:t>招</w:t>
      </w:r>
    </w:p>
    <w:p w14:paraId="2C4D052D">
      <w:pPr>
        <w:pStyle w:val="5"/>
        <w:spacing w:line="720" w:lineRule="auto"/>
        <w:jc w:val="center"/>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标</w:t>
      </w:r>
    </w:p>
    <w:p w14:paraId="23ADDE84">
      <w:pPr>
        <w:pStyle w:val="5"/>
        <w:spacing w:line="720" w:lineRule="auto"/>
        <w:jc w:val="center"/>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文</w:t>
      </w:r>
    </w:p>
    <w:p w14:paraId="279D46D0">
      <w:pPr>
        <w:pStyle w:val="5"/>
        <w:spacing w:line="720" w:lineRule="auto"/>
        <w:jc w:val="center"/>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件</w:t>
      </w:r>
    </w:p>
    <w:p w14:paraId="2AF8EF39">
      <w:pPr>
        <w:spacing w:line="240" w:lineRule="atLeast"/>
        <w:jc w:val="both"/>
        <w:rPr>
          <w:rFonts w:hint="eastAsia" w:ascii="宋体" w:hAnsi="宋体" w:eastAsia="宋体" w:cs="宋体"/>
          <w:color w:val="auto"/>
          <w:highlight w:val="none"/>
        </w:rPr>
      </w:pPr>
    </w:p>
    <w:p w14:paraId="45A2214D">
      <w:pPr>
        <w:spacing w:line="360" w:lineRule="auto"/>
        <w:jc w:val="left"/>
        <w:rPr>
          <w:rFonts w:hint="eastAsia" w:ascii="宋体" w:hAnsi="宋体" w:eastAsia="宋体" w:cs="宋体"/>
          <w:b/>
          <w:bCs/>
          <w:color w:val="auto"/>
          <w:sz w:val="30"/>
          <w:highlight w:val="none"/>
          <w:lang w:eastAsia="zh-CN"/>
        </w:rPr>
      </w:pPr>
      <w:r>
        <w:rPr>
          <w:rFonts w:hint="eastAsia" w:ascii="宋体" w:hAnsi="宋体" w:eastAsia="宋体" w:cs="宋体"/>
          <w:b/>
          <w:bCs/>
          <w:color w:val="auto"/>
          <w:sz w:val="30"/>
          <w:highlight w:val="none"/>
        </w:rPr>
        <w:t>招标人：</w:t>
      </w:r>
      <w:r>
        <w:rPr>
          <w:rFonts w:hint="eastAsia" w:ascii="宋体" w:hAnsi="宋体" w:cs="宋体"/>
          <w:b/>
          <w:bCs/>
          <w:color w:val="auto"/>
          <w:sz w:val="30"/>
          <w:highlight w:val="none"/>
          <w:lang w:eastAsia="zh-CN"/>
        </w:rPr>
        <w:t>泽普县人民医院</w:t>
      </w:r>
    </w:p>
    <w:p w14:paraId="14C724DE">
      <w:pPr>
        <w:spacing w:line="360" w:lineRule="auto"/>
        <w:jc w:val="left"/>
        <w:rPr>
          <w:rFonts w:hint="eastAsia" w:ascii="宋体" w:hAnsi="宋体" w:eastAsia="宋体" w:cs="宋体"/>
          <w:b/>
          <w:bCs/>
          <w:color w:val="auto"/>
          <w:sz w:val="30"/>
          <w:highlight w:val="none"/>
          <w:lang w:eastAsia="zh-CN"/>
        </w:rPr>
      </w:pPr>
      <w:r>
        <w:rPr>
          <w:rFonts w:hint="eastAsia" w:ascii="宋体" w:hAnsi="宋体" w:eastAsia="宋体" w:cs="宋体"/>
          <w:b/>
          <w:bCs/>
          <w:color w:val="auto"/>
          <w:sz w:val="30"/>
          <w:highlight w:val="none"/>
        </w:rPr>
        <w:t>采购代理机构：</w:t>
      </w:r>
      <w:r>
        <w:rPr>
          <w:rFonts w:hint="eastAsia" w:ascii="宋体" w:hAnsi="宋体" w:cs="宋体"/>
          <w:b/>
          <w:bCs/>
          <w:color w:val="auto"/>
          <w:sz w:val="30"/>
          <w:highlight w:val="none"/>
          <w:lang w:eastAsia="zh-CN"/>
        </w:rPr>
        <w:t>新疆昊泽工程管理有限公司</w:t>
      </w:r>
    </w:p>
    <w:p w14:paraId="33E3771D">
      <w:pPr>
        <w:spacing w:line="360" w:lineRule="auto"/>
        <w:ind w:left="2108" w:hanging="2100" w:hangingChars="700"/>
        <w:jc w:val="left"/>
        <w:rPr>
          <w:rFonts w:hint="eastAsia" w:ascii="宋体" w:hAnsi="宋体" w:eastAsia="宋体" w:cs="宋体"/>
          <w:b/>
          <w:bCs/>
          <w:color w:val="auto"/>
          <w:sz w:val="30"/>
          <w:highlight w:val="none"/>
          <w:lang w:eastAsia="zh-CN"/>
        </w:rPr>
      </w:pPr>
      <w:r>
        <w:rPr>
          <w:rFonts w:hint="eastAsia" w:ascii="宋体" w:hAnsi="宋体" w:eastAsia="宋体" w:cs="宋体"/>
          <w:b/>
          <w:bCs/>
          <w:color w:val="auto"/>
          <w:sz w:val="30"/>
          <w:highlight w:val="none"/>
        </w:rPr>
        <w:t>代理机构地址：</w:t>
      </w:r>
      <w:r>
        <w:rPr>
          <w:rFonts w:hint="eastAsia" w:ascii="宋体" w:hAnsi="宋体" w:cs="宋体"/>
          <w:b/>
          <w:bCs/>
          <w:color w:val="auto"/>
          <w:sz w:val="30"/>
          <w:highlight w:val="none"/>
          <w:lang w:eastAsia="zh-CN"/>
        </w:rPr>
        <w:t>新疆喀什地区泽普县塞尚江南小区53幢16号门面房</w:t>
      </w:r>
    </w:p>
    <w:p w14:paraId="227A3608">
      <w:pPr>
        <w:spacing w:line="360" w:lineRule="auto"/>
        <w:jc w:val="left"/>
        <w:rPr>
          <w:rFonts w:hint="eastAsia" w:ascii="宋体" w:hAnsi="宋体" w:eastAsia="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联   系   人：</w:t>
      </w:r>
      <w:r>
        <w:rPr>
          <w:rFonts w:hint="eastAsia" w:ascii="宋体" w:hAnsi="宋体" w:cs="宋体"/>
          <w:b/>
          <w:bCs/>
          <w:color w:val="auto"/>
          <w:sz w:val="30"/>
          <w:highlight w:val="none"/>
          <w:lang w:val="en-US" w:eastAsia="zh-CN"/>
        </w:rPr>
        <w:t>谷超超</w:t>
      </w:r>
    </w:p>
    <w:p w14:paraId="7045DC0A">
      <w:pPr>
        <w:spacing w:line="360" w:lineRule="auto"/>
        <w:jc w:val="left"/>
        <w:rPr>
          <w:rFonts w:hint="eastAsia" w:ascii="宋体" w:hAnsi="宋体" w:eastAsia="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联  系 电 话：</w:t>
      </w:r>
      <w:r>
        <w:rPr>
          <w:rFonts w:hint="eastAsia" w:ascii="宋体" w:hAnsi="宋体" w:cs="宋体"/>
          <w:b/>
          <w:bCs/>
          <w:color w:val="auto"/>
          <w:sz w:val="30"/>
          <w:highlight w:val="none"/>
          <w:lang w:eastAsia="zh-CN"/>
        </w:rPr>
        <w:t>15276061261</w:t>
      </w:r>
    </w:p>
    <w:p w14:paraId="07D3381D">
      <w:pPr>
        <w:spacing w:line="360" w:lineRule="auto"/>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 xml:space="preserve"> </w:t>
      </w:r>
    </w:p>
    <w:p w14:paraId="5072A63F">
      <w:pPr>
        <w:spacing w:line="360" w:lineRule="auto"/>
        <w:jc w:val="left"/>
        <w:rPr>
          <w:rFonts w:hint="eastAsia" w:ascii="宋体" w:hAnsi="宋体" w:eastAsia="宋体" w:cs="宋体"/>
          <w:b/>
          <w:bCs/>
          <w:color w:val="auto"/>
          <w:sz w:val="30"/>
          <w:szCs w:val="30"/>
          <w:highlight w:val="none"/>
        </w:rPr>
      </w:pPr>
    </w:p>
    <w:p w14:paraId="05AD0CB5">
      <w:pPr>
        <w:spacing w:line="360" w:lineRule="auto"/>
        <w:jc w:val="left"/>
        <w:rPr>
          <w:rFonts w:hint="eastAsia" w:ascii="宋体" w:hAnsi="宋体" w:eastAsia="宋体" w:cs="宋体"/>
          <w:b/>
          <w:bCs/>
          <w:color w:val="auto"/>
          <w:sz w:val="30"/>
          <w:szCs w:val="30"/>
          <w:highlight w:val="none"/>
        </w:rPr>
      </w:pPr>
    </w:p>
    <w:p w14:paraId="006DC551">
      <w:pPr>
        <w:spacing w:line="240" w:lineRule="atLeast"/>
        <w:jc w:val="center"/>
        <w:rPr>
          <w:rFonts w:hint="eastAsia" w:ascii="宋体" w:hAnsi="宋体" w:eastAsia="宋体" w:cs="宋体"/>
          <w:b/>
          <w:color w:val="auto"/>
          <w:szCs w:val="21"/>
          <w:highlight w:val="none"/>
        </w:rPr>
      </w:pPr>
      <w:r>
        <w:rPr>
          <w:rFonts w:hint="eastAsia" w:ascii="宋体" w:hAnsi="宋体" w:eastAsia="宋体" w:cs="宋体"/>
          <w:b/>
          <w:bCs/>
          <w:color w:val="auto"/>
          <w:sz w:val="30"/>
          <w:szCs w:val="30"/>
          <w:highlight w:val="none"/>
        </w:rPr>
        <w:t>发  出 日 期：</w:t>
      </w:r>
      <w:r>
        <w:rPr>
          <w:rFonts w:hint="eastAsia" w:ascii="宋体" w:hAnsi="宋体" w:eastAsia="宋体" w:cs="宋体"/>
          <w:b/>
          <w:bCs/>
          <w:color w:val="auto"/>
          <w:sz w:val="30"/>
          <w:szCs w:val="30"/>
          <w:highlight w:val="none"/>
          <w:u w:val="single"/>
        </w:rPr>
        <w:t>202</w:t>
      </w:r>
      <w:r>
        <w:rPr>
          <w:rFonts w:hint="eastAsia" w:ascii="宋体" w:hAnsi="宋体" w:cs="宋体"/>
          <w:b/>
          <w:bCs/>
          <w:color w:val="auto"/>
          <w:sz w:val="30"/>
          <w:szCs w:val="30"/>
          <w:highlight w:val="none"/>
          <w:u w:val="single"/>
          <w:lang w:val="en-US" w:eastAsia="zh-CN"/>
        </w:rPr>
        <w:t>6</w:t>
      </w:r>
      <w:r>
        <w:rPr>
          <w:rFonts w:hint="eastAsia" w:ascii="宋体" w:hAnsi="宋体" w:eastAsia="宋体" w:cs="宋体"/>
          <w:b/>
          <w:bCs/>
          <w:color w:val="auto"/>
          <w:sz w:val="30"/>
          <w:szCs w:val="30"/>
          <w:highlight w:val="none"/>
          <w:u w:val="single"/>
        </w:rPr>
        <w:t>年</w:t>
      </w:r>
      <w:r>
        <w:rPr>
          <w:rFonts w:hint="eastAsia" w:ascii="宋体" w:hAnsi="宋体" w:cs="宋体"/>
          <w:b/>
          <w:bCs/>
          <w:color w:val="auto"/>
          <w:sz w:val="30"/>
          <w:szCs w:val="30"/>
          <w:highlight w:val="none"/>
          <w:u w:val="single"/>
          <w:lang w:val="en-US" w:eastAsia="zh-CN"/>
        </w:rPr>
        <w:t>5</w:t>
      </w:r>
      <w:r>
        <w:rPr>
          <w:rFonts w:hint="eastAsia" w:ascii="宋体" w:hAnsi="宋体" w:eastAsia="宋体" w:cs="宋体"/>
          <w:b/>
          <w:bCs/>
          <w:color w:val="auto"/>
          <w:sz w:val="30"/>
          <w:szCs w:val="30"/>
          <w:highlight w:val="none"/>
          <w:u w:val="single"/>
        </w:rPr>
        <w:t>月</w:t>
      </w:r>
    </w:p>
    <w:p w14:paraId="47D53FCE">
      <w:pPr>
        <w:spacing w:line="240" w:lineRule="atLeast"/>
        <w:ind w:left="1079" w:leftChars="257" w:hanging="540"/>
        <w:jc w:val="center"/>
        <w:rPr>
          <w:rFonts w:hint="eastAsia" w:ascii="宋体" w:hAnsi="宋体" w:eastAsia="宋体" w:cs="宋体"/>
          <w:b/>
          <w:color w:val="auto"/>
          <w:sz w:val="52"/>
          <w:highlight w:val="none"/>
        </w:rPr>
      </w:pPr>
      <w:r>
        <w:rPr>
          <w:rFonts w:hint="eastAsia" w:ascii="宋体" w:hAnsi="宋体" w:eastAsia="宋体" w:cs="宋体"/>
          <w:b/>
          <w:color w:val="auto"/>
          <w:sz w:val="52"/>
          <w:highlight w:val="none"/>
        </w:rPr>
        <w:br w:type="page"/>
      </w:r>
    </w:p>
    <w:p w14:paraId="473E9268">
      <w:pPr>
        <w:spacing w:line="240" w:lineRule="atLeast"/>
        <w:ind w:left="1079" w:leftChars="257" w:hanging="54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目  录</w:t>
      </w:r>
    </w:p>
    <w:p w14:paraId="61DA9869">
      <w:pPr>
        <w:pStyle w:val="23"/>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TOC \o "1-3" \h \z \u </w:instrText>
      </w:r>
      <w:r>
        <w:rPr>
          <w:rFonts w:hint="eastAsia" w:ascii="宋体" w:hAnsi="宋体" w:eastAsia="宋体" w:cs="宋体"/>
          <w:color w:val="auto"/>
          <w:kern w:val="0"/>
          <w:szCs w:val="21"/>
          <w:highlight w:val="none"/>
        </w:rPr>
        <w:fldChar w:fldCharType="separate"/>
      </w: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_Toc25817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第1章   投标人须知</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_Toc25817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154F644">
      <w:pPr>
        <w:pStyle w:val="16"/>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_Toc22145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一   总 则</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_Toc22145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C6C94C1">
      <w:pPr>
        <w:pStyle w:val="14"/>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_Toc5999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1.采购人、采购代理机构及投标人</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_Toc5999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6891D429">
      <w:pPr>
        <w:pStyle w:val="14"/>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_Toc4322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2.资金来源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_Toc4322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E57D7E1">
      <w:pPr>
        <w:pStyle w:val="14"/>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_Toc13828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3.投标费用</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_Toc13828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5E87B71">
      <w:pPr>
        <w:pStyle w:val="14"/>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_Toc32665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4.适用法律</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_Toc32665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A4C12EB">
      <w:pPr>
        <w:pStyle w:val="16"/>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_Toc28572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二   招标文件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_Toc28572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2EF5F5A">
      <w:pPr>
        <w:pStyle w:val="14"/>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_Toc4671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5.招标文件构成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_Toc4671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9E0BBEA">
      <w:pPr>
        <w:pStyle w:val="14"/>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_Toc1922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6.招标文件的澄清与修改</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_Toc1922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1F17722">
      <w:pPr>
        <w:pStyle w:val="14"/>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_Toc12448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7.投标截止时间的顺延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_Toc12448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CE57D25">
      <w:pPr>
        <w:pStyle w:val="16"/>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_Toc31039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三   投标文件的编制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_Toc31039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D42F4AF">
      <w:pPr>
        <w:pStyle w:val="14"/>
        <w:tabs>
          <w:tab w:val="right" w:pos="3600"/>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_Toc30570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t>投标范围及投标文件中标准和计量单位的使用</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_Toc30570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663B91EA">
      <w:pPr>
        <w:pStyle w:val="14"/>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_Toc18692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9.投标文件构成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_Toc18692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7880AB5">
      <w:pPr>
        <w:pStyle w:val="14"/>
        <w:tabs>
          <w:tab w:val="right" w:pos="3600"/>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_Toc13143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10.</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t>证明投标标的的合格性和符合招标文件规定的技术文件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_Toc13143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3</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69E2932D">
      <w:pPr>
        <w:pStyle w:val="14"/>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_Toc19624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11.投标报价</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_Toc19624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3</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76866D5">
      <w:pPr>
        <w:pStyle w:val="14"/>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_Toc22212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12.投标保证金</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_Toc22212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3</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D594EC6">
      <w:pPr>
        <w:pStyle w:val="14"/>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_Toc22901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13.投标有效期</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_Toc22901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3CC1FDC">
      <w:pPr>
        <w:pStyle w:val="14"/>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_Toc17609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14.投标文件的签署及规定</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_Toc17609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79D072C">
      <w:pPr>
        <w:pStyle w:val="16"/>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_Toc25925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四   投标文件的递交</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_Toc25925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016CCEC5">
      <w:pPr>
        <w:pStyle w:val="14"/>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_Toc26195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15.投标文件的密封和标记</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_Toc26195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AAAFD36">
      <w:pPr>
        <w:pStyle w:val="14"/>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_Toc24017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16.投标截止</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_Toc24017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5</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9BE62EE">
      <w:pPr>
        <w:pStyle w:val="14"/>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_Toc24785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17.投标文件的接收、修改与撤回</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_Toc24785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5</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FF7AC4F">
      <w:pPr>
        <w:pStyle w:val="16"/>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_Toc20246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五   开标及评标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_Toc20246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5</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D87A8E0">
      <w:pPr>
        <w:pStyle w:val="14"/>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_Toc17257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18. 开标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_Toc17257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5</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34F32F6">
      <w:pPr>
        <w:pStyle w:val="14"/>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_Toc31290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19.资格审查及组建评标委员会</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6</w:t>
      </w:r>
      <w:r>
        <w:rPr>
          <w:rFonts w:hint="eastAsia" w:ascii="宋体" w:hAnsi="宋体" w:eastAsia="宋体" w:cs="宋体"/>
          <w:b/>
          <w:bCs/>
          <w:color w:val="auto"/>
          <w:kern w:val="0"/>
          <w:sz w:val="24"/>
          <w:szCs w:val="24"/>
          <w:highlight w:val="none"/>
        </w:rPr>
        <w:fldChar w:fldCharType="end"/>
      </w:r>
    </w:p>
    <w:p w14:paraId="20737196">
      <w:pPr>
        <w:pStyle w:val="14"/>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_Toc26332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20.投标文件符合性审查与澄清</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_Toc26332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6</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6CD9B77">
      <w:pPr>
        <w:pStyle w:val="14"/>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_Toc18529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21.投标偏离</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_Toc18529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7</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E6316B0">
      <w:pPr>
        <w:pStyle w:val="14"/>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_Toc23936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22.投标无效</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_Toc23936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7</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21CABDE">
      <w:pPr>
        <w:pStyle w:val="14"/>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_Toc8521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23.比较与评价</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_Toc8521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7</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69595EF6">
      <w:pPr>
        <w:pStyle w:val="14"/>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_Toc31728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24.废标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_Toc31728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FDE5233">
      <w:pPr>
        <w:pStyle w:val="14"/>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_Toc11175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25.保密原则</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_Toc11175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96B03AC">
      <w:pPr>
        <w:pStyle w:val="16"/>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_Toc2153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六   确定中标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_Toc2153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DEB5B9B">
      <w:pPr>
        <w:pStyle w:val="14"/>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_Toc28066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26.中标候选人的确定原则及标准</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_Toc28066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7065742">
      <w:pPr>
        <w:pStyle w:val="14"/>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_Toc19950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27.确定中标候选人和中标人</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_Toc19950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B45FC6A">
      <w:pPr>
        <w:pStyle w:val="14"/>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_Toc13782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28.采购任务取消</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_Toc13782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B9B0ED6">
      <w:pPr>
        <w:pStyle w:val="14"/>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_Toc31142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29.中标通知书和招标结果通知书</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_Toc31142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7E12556">
      <w:pPr>
        <w:pStyle w:val="14"/>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_Toc14795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30.签订合同</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eastAsia="宋体" w:cs="宋体"/>
          <w:b/>
          <w:bCs/>
          <w:color w:val="auto"/>
          <w:kern w:val="0"/>
          <w:sz w:val="24"/>
          <w:szCs w:val="24"/>
          <w:highlight w:val="none"/>
        </w:rPr>
        <w:fldChar w:fldCharType="end"/>
      </w:r>
    </w:p>
    <w:p w14:paraId="7C31C09D">
      <w:pPr>
        <w:pStyle w:val="14"/>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_Toc7188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31.履约保证金</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_Toc7188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D31AA0F">
      <w:pPr>
        <w:pStyle w:val="14"/>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_Toc31936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32.中标服务费</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_Toc31936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B123142">
      <w:pPr>
        <w:pStyle w:val="14"/>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_Toc13588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33.政府采购信用担保</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_Toc13588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D605FD3">
      <w:pPr>
        <w:pStyle w:val="14"/>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_Toc27198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34.廉洁自律规定</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_Toc27198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FF45DC2">
      <w:pPr>
        <w:pStyle w:val="14"/>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_Toc10437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35.人员回避</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_Toc10437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02FDE8DA">
      <w:pPr>
        <w:pStyle w:val="14"/>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_Toc10700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36.质疑与接收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_Toc10700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3383EC1">
      <w:pPr>
        <w:pStyle w:val="23"/>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_Toc19692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第2章 投标文件格式</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_Toc19692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17</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67DBC85">
      <w:pPr>
        <w:pStyle w:val="23"/>
        <w:tabs>
          <w:tab w:val="right" w:leader="dot" w:pos="8312"/>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_Toc30462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第3章</w:t>
      </w:r>
      <w:r>
        <w:rPr>
          <w:rFonts w:hint="eastAsia" w:ascii="宋体" w:hAnsi="宋体" w:eastAsia="宋体" w:cs="宋体"/>
          <w:b/>
          <w:bCs/>
          <w:color w:val="auto"/>
          <w:sz w:val="24"/>
          <w:szCs w:val="32"/>
          <w:highlight w:val="none"/>
          <w:lang w:val="en-US" w:eastAsia="zh-CN"/>
        </w:rPr>
        <w:t xml:space="preserve"> </w:t>
      </w:r>
      <w:r>
        <w:rPr>
          <w:rFonts w:hint="eastAsia" w:ascii="宋体" w:hAnsi="宋体" w:eastAsia="宋体" w:cs="宋体"/>
          <w:b/>
          <w:bCs/>
          <w:color w:val="auto"/>
          <w:sz w:val="24"/>
          <w:szCs w:val="32"/>
          <w:highlight w:val="none"/>
          <w:lang w:eastAsia="zh-CN"/>
        </w:rPr>
        <w:t>招标公告</w:t>
      </w:r>
      <w:r>
        <w:rPr>
          <w:rFonts w:hint="eastAsia" w:ascii="宋体" w:hAnsi="宋体" w:eastAsia="宋体" w:cs="宋体"/>
          <w:b/>
          <w:bCs/>
          <w:color w:val="auto"/>
          <w:sz w:val="24"/>
          <w:szCs w:val="32"/>
          <w:highlight w:val="none"/>
        </w:rPr>
        <w:t xml:space="preserve"> </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4</w:t>
      </w:r>
      <w:r>
        <w:rPr>
          <w:rFonts w:hint="eastAsia" w:ascii="宋体" w:hAnsi="宋体" w:eastAsia="宋体" w:cs="宋体"/>
          <w:b/>
          <w:bCs/>
          <w:color w:val="auto"/>
          <w:kern w:val="0"/>
          <w:sz w:val="24"/>
          <w:szCs w:val="24"/>
          <w:highlight w:val="none"/>
        </w:rPr>
        <w:fldChar w:fldCharType="end"/>
      </w:r>
      <w:r>
        <w:rPr>
          <w:rFonts w:hint="eastAsia" w:ascii="宋体" w:hAnsi="宋体" w:cs="宋体"/>
          <w:b/>
          <w:bCs/>
          <w:color w:val="auto"/>
          <w:kern w:val="0"/>
          <w:sz w:val="24"/>
          <w:szCs w:val="24"/>
          <w:highlight w:val="none"/>
          <w:lang w:val="en-US" w:eastAsia="zh-CN"/>
        </w:rPr>
        <w:t>0</w:t>
      </w:r>
    </w:p>
    <w:p w14:paraId="555EE251">
      <w:pPr>
        <w:pStyle w:val="23"/>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_Toc20439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40"/>
          <w:highlight w:val="none"/>
        </w:rPr>
        <w:t xml:space="preserve">第4章 </w:t>
      </w:r>
      <w:r>
        <w:rPr>
          <w:rFonts w:hint="eastAsia" w:ascii="宋体" w:hAnsi="宋体" w:eastAsia="宋体" w:cs="宋体"/>
          <w:b/>
          <w:bCs/>
          <w:color w:val="auto"/>
          <w:sz w:val="24"/>
          <w:szCs w:val="32"/>
          <w:highlight w:val="none"/>
        </w:rPr>
        <w:t>投标人须知资料表</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_Toc20439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cs="宋体"/>
          <w:b/>
          <w:bCs/>
          <w:color w:val="auto"/>
          <w:sz w:val="24"/>
          <w:szCs w:val="32"/>
          <w:highlight w:val="none"/>
          <w:lang w:val="en-US" w:eastAsia="zh-CN"/>
        </w:rPr>
        <w:t>3</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D7FD520">
      <w:pPr>
        <w:pStyle w:val="23"/>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_Toc22779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第5章 货物需求一览表及技术规格</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_Toc22779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cs="宋体"/>
          <w:b/>
          <w:bCs/>
          <w:color w:val="auto"/>
          <w:sz w:val="24"/>
          <w:szCs w:val="32"/>
          <w:highlight w:val="none"/>
          <w:lang w:val="en-US" w:eastAsia="zh-CN"/>
        </w:rPr>
        <w:t>6</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E93B814">
      <w:pPr>
        <w:pStyle w:val="23"/>
        <w:tabs>
          <w:tab w:val="right" w:leader="dot" w:pos="8312"/>
        </w:tabs>
        <w:spacing w:line="360" w:lineRule="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_Toc23331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第6章 评标方法和标准</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1</w:t>
      </w:r>
      <w:r>
        <w:rPr>
          <w:rFonts w:hint="eastAsia" w:ascii="宋体" w:hAnsi="宋体" w:eastAsia="宋体" w:cs="宋体"/>
          <w:b/>
          <w:bCs/>
          <w:color w:val="auto"/>
          <w:kern w:val="0"/>
          <w:sz w:val="24"/>
          <w:szCs w:val="24"/>
          <w:highlight w:val="none"/>
        </w:rPr>
        <w:fldChar w:fldCharType="end"/>
      </w:r>
      <w:r>
        <w:rPr>
          <w:rFonts w:hint="eastAsia" w:ascii="宋体" w:hAnsi="宋体" w:cs="宋体"/>
          <w:b/>
          <w:bCs/>
          <w:color w:val="auto"/>
          <w:kern w:val="0"/>
          <w:sz w:val="24"/>
          <w:szCs w:val="24"/>
          <w:highlight w:val="none"/>
          <w:lang w:val="en-US" w:eastAsia="zh-CN"/>
        </w:rPr>
        <w:t>38</w:t>
      </w:r>
    </w:p>
    <w:p w14:paraId="09A9BA7D">
      <w:pPr>
        <w:pStyle w:val="23"/>
        <w:tabs>
          <w:tab w:val="right" w:leader="dot" w:pos="8312"/>
        </w:tabs>
        <w:spacing w:line="360" w:lineRule="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_Toc23331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w:t>
      </w:r>
      <w:r>
        <w:rPr>
          <w:rFonts w:hint="eastAsia" w:ascii="宋体" w:hAnsi="宋体" w:eastAsia="宋体" w:cs="宋体"/>
          <w:b/>
          <w:bCs/>
          <w:color w:val="auto"/>
          <w:sz w:val="24"/>
          <w:szCs w:val="32"/>
          <w:highlight w:val="none"/>
          <w:lang w:val="en-US" w:eastAsia="zh-CN"/>
        </w:rPr>
        <w:t>7</w:t>
      </w:r>
      <w:r>
        <w:rPr>
          <w:rFonts w:hint="eastAsia" w:ascii="宋体" w:hAnsi="宋体" w:eastAsia="宋体" w:cs="宋体"/>
          <w:b/>
          <w:bCs/>
          <w:color w:val="auto"/>
          <w:sz w:val="24"/>
          <w:szCs w:val="32"/>
          <w:highlight w:val="none"/>
        </w:rPr>
        <w:t xml:space="preserve">章 </w:t>
      </w:r>
      <w:r>
        <w:rPr>
          <w:rFonts w:hint="eastAsia" w:ascii="宋体" w:hAnsi="宋体" w:eastAsia="宋体" w:cs="宋体"/>
          <w:b/>
          <w:bCs/>
          <w:color w:val="auto"/>
          <w:sz w:val="24"/>
          <w:szCs w:val="32"/>
          <w:highlight w:val="none"/>
          <w:lang w:val="en-US" w:eastAsia="zh-CN"/>
        </w:rPr>
        <w:t>政府采购合同</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1</w:t>
      </w:r>
      <w:r>
        <w:rPr>
          <w:rFonts w:hint="eastAsia" w:ascii="宋体" w:hAnsi="宋体" w:eastAsia="宋体" w:cs="宋体"/>
          <w:b/>
          <w:bCs/>
          <w:color w:val="auto"/>
          <w:kern w:val="0"/>
          <w:sz w:val="24"/>
          <w:szCs w:val="24"/>
          <w:highlight w:val="none"/>
        </w:rPr>
        <w:fldChar w:fldCharType="end"/>
      </w:r>
      <w:r>
        <w:rPr>
          <w:rFonts w:hint="eastAsia" w:ascii="宋体" w:hAnsi="宋体" w:cs="宋体"/>
          <w:b/>
          <w:bCs/>
          <w:color w:val="auto"/>
          <w:kern w:val="0"/>
          <w:sz w:val="24"/>
          <w:szCs w:val="24"/>
          <w:highlight w:val="none"/>
          <w:lang w:val="en-US" w:eastAsia="zh-CN"/>
        </w:rPr>
        <w:t>47</w:t>
      </w:r>
    </w:p>
    <w:p w14:paraId="3A4CF9C8">
      <w:pPr>
        <w:pStyle w:val="23"/>
        <w:tabs>
          <w:tab w:val="right" w:leader="dot" w:pos="8312"/>
        </w:tabs>
        <w:rPr>
          <w:rFonts w:hint="eastAsia" w:ascii="宋体" w:hAnsi="宋体" w:eastAsia="宋体" w:cs="宋体"/>
          <w:color w:val="auto"/>
          <w:kern w:val="0"/>
          <w:sz w:val="24"/>
          <w:szCs w:val="24"/>
          <w:highlight w:val="none"/>
        </w:rPr>
      </w:pPr>
    </w:p>
    <w:p w14:paraId="701A182F">
      <w:pPr>
        <w:rPr>
          <w:rFonts w:hint="eastAsia" w:ascii="宋体" w:hAnsi="宋体" w:eastAsia="宋体" w:cs="宋体"/>
          <w:color w:val="auto"/>
          <w:highlight w:val="none"/>
        </w:rPr>
        <w:sectPr>
          <w:headerReference r:id="rId3" w:type="default"/>
          <w:footerReference r:id="rId4" w:type="default"/>
          <w:pgSz w:w="11906" w:h="16838"/>
          <w:pgMar w:top="1440" w:right="1701" w:bottom="1440" w:left="1701"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p w14:paraId="1C276A20">
      <w:pPr>
        <w:pStyle w:val="2"/>
        <w:numPr>
          <w:ilvl w:val="0"/>
          <w:numId w:val="1"/>
        </w:numPr>
        <w:tabs>
          <w:tab w:val="left" w:pos="0"/>
          <w:tab w:val="clear" w:pos="3134"/>
        </w:tabs>
        <w:spacing w:before="0" w:after="0" w:line="240" w:lineRule="atLeast"/>
        <w:ind w:left="3810" w:leftChars="0" w:hanging="3134" w:firstLineChars="0"/>
        <w:rPr>
          <w:rFonts w:hint="eastAsia" w:ascii="宋体" w:hAnsi="宋体" w:eastAsia="宋体" w:cs="宋体"/>
          <w:color w:val="auto"/>
          <w:highlight w:val="none"/>
        </w:rPr>
      </w:pPr>
      <w:r>
        <w:rPr>
          <w:rFonts w:hint="eastAsia" w:ascii="宋体" w:hAnsi="宋体" w:eastAsia="宋体" w:cs="宋体"/>
          <w:color w:val="auto"/>
          <w:kern w:val="0"/>
          <w:szCs w:val="21"/>
          <w:highlight w:val="none"/>
        </w:rPr>
        <w:fldChar w:fldCharType="end"/>
      </w:r>
      <w:bookmarkStart w:id="0" w:name="_Toc17230"/>
      <w:bookmarkStart w:id="1" w:name="_Toc22782"/>
      <w:bookmarkStart w:id="2" w:name="_Toc25817"/>
      <w:bookmarkStart w:id="3" w:name="_Toc216582804"/>
      <w:r>
        <w:rPr>
          <w:rFonts w:hint="eastAsia" w:ascii="宋体" w:hAnsi="宋体" w:eastAsia="宋体" w:cs="宋体"/>
          <w:color w:val="auto"/>
          <w:sz w:val="32"/>
          <w:szCs w:val="20"/>
          <w:highlight w:val="none"/>
        </w:rPr>
        <w:t xml:space="preserve"> </w:t>
      </w:r>
      <w:bookmarkStart w:id="4" w:name="_Toc515647756"/>
      <w:r>
        <w:rPr>
          <w:rFonts w:hint="eastAsia" w:ascii="宋体" w:hAnsi="宋体" w:eastAsia="宋体" w:cs="宋体"/>
          <w:color w:val="auto"/>
          <w:sz w:val="32"/>
          <w:szCs w:val="20"/>
          <w:highlight w:val="none"/>
        </w:rPr>
        <w:t>投标人须知</w:t>
      </w:r>
      <w:bookmarkEnd w:id="0"/>
      <w:bookmarkEnd w:id="1"/>
      <w:bookmarkEnd w:id="2"/>
      <w:bookmarkEnd w:id="3"/>
      <w:bookmarkEnd w:id="4"/>
    </w:p>
    <w:p w14:paraId="449CCE9F">
      <w:pPr>
        <w:pStyle w:val="3"/>
        <w:spacing w:before="0" w:line="240" w:lineRule="atLeast"/>
        <w:ind w:left="1079" w:leftChars="257" w:hanging="540"/>
        <w:rPr>
          <w:rFonts w:hint="eastAsia" w:ascii="宋体" w:hAnsi="宋体" w:eastAsia="宋体" w:cs="宋体"/>
          <w:color w:val="auto"/>
          <w:highlight w:val="none"/>
        </w:rPr>
      </w:pPr>
      <w:bookmarkStart w:id="5" w:name="_Toc216582805"/>
      <w:bookmarkStart w:id="6" w:name="_Toc515647757"/>
      <w:bookmarkStart w:id="7" w:name="_Toc520356143"/>
      <w:bookmarkStart w:id="8" w:name="_Toc21215"/>
      <w:bookmarkStart w:id="9" w:name="_Toc22145"/>
      <w:bookmarkStart w:id="10" w:name="_Toc21015"/>
      <w:r>
        <w:rPr>
          <w:rFonts w:hint="eastAsia" w:ascii="宋体" w:hAnsi="宋体" w:eastAsia="宋体" w:cs="宋体"/>
          <w:color w:val="auto"/>
          <w:sz w:val="28"/>
          <w:highlight w:val="none"/>
        </w:rPr>
        <w:t xml:space="preserve">一   </w:t>
      </w:r>
      <w:bookmarkEnd w:id="5"/>
      <w:bookmarkEnd w:id="6"/>
      <w:bookmarkEnd w:id="7"/>
      <w:r>
        <w:rPr>
          <w:rFonts w:hint="eastAsia" w:ascii="宋体" w:hAnsi="宋体" w:eastAsia="宋体" w:cs="宋体"/>
          <w:color w:val="auto"/>
          <w:sz w:val="28"/>
          <w:highlight w:val="none"/>
        </w:rPr>
        <w:t>总 则</w:t>
      </w:r>
      <w:bookmarkEnd w:id="8"/>
      <w:bookmarkEnd w:id="9"/>
      <w:bookmarkEnd w:id="10"/>
    </w:p>
    <w:p w14:paraId="41948ACC">
      <w:pPr>
        <w:pStyle w:val="4"/>
        <w:spacing w:before="0" w:after="0" w:line="240" w:lineRule="atLeast"/>
        <w:rPr>
          <w:rFonts w:hint="eastAsia" w:ascii="宋体" w:hAnsi="宋体" w:eastAsia="宋体" w:cs="宋体"/>
          <w:color w:val="auto"/>
          <w:highlight w:val="none"/>
          <w:u w:val="none"/>
        </w:rPr>
      </w:pPr>
      <w:bookmarkStart w:id="11" w:name="_Toc520356144"/>
      <w:bookmarkStart w:id="12" w:name="_Toc32623"/>
      <w:bookmarkStart w:id="13" w:name="_Toc32189"/>
      <w:bookmarkStart w:id="14" w:name="_Toc5999"/>
      <w:bookmarkStart w:id="15" w:name="_Toc515647758"/>
      <w:r>
        <w:rPr>
          <w:rFonts w:hint="eastAsia" w:ascii="宋体" w:hAnsi="宋体" w:eastAsia="宋体" w:cs="宋体"/>
          <w:color w:val="auto"/>
          <w:highlight w:val="none"/>
          <w:u w:val="none"/>
        </w:rPr>
        <w:t>1.采购人、采购代理机构及</w:t>
      </w:r>
      <w:bookmarkEnd w:id="11"/>
      <w:r>
        <w:rPr>
          <w:rFonts w:hint="eastAsia" w:ascii="宋体" w:hAnsi="宋体" w:eastAsia="宋体" w:cs="宋体"/>
          <w:color w:val="auto"/>
          <w:highlight w:val="none"/>
          <w:u w:val="none"/>
        </w:rPr>
        <w:t>投标人</w:t>
      </w:r>
      <w:bookmarkEnd w:id="12"/>
      <w:bookmarkEnd w:id="13"/>
      <w:bookmarkEnd w:id="14"/>
      <w:bookmarkEnd w:id="15"/>
    </w:p>
    <w:p w14:paraId="633A8FB6">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1.1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采购人：是指依法开展政府采购活动的国家机关、事业单位、团体组织。</w:t>
      </w:r>
    </w:p>
    <w:p w14:paraId="2226A66F">
      <w:pPr>
        <w:keepNext w:val="0"/>
        <w:keepLines w:val="0"/>
        <w:pageBreakBefore w:val="0"/>
        <w:widowControl w:val="0"/>
        <w:tabs>
          <w:tab w:val="left" w:pos="0"/>
        </w:tabs>
        <w:kinsoku/>
        <w:wordWrap/>
        <w:overflowPunct/>
        <w:topLinePunct w:val="0"/>
        <w:autoSpaceDE/>
        <w:autoSpaceDN/>
        <w:bidi w:val="0"/>
        <w:adjustRightInd/>
        <w:snapToGrid/>
        <w:spacing w:line="240" w:lineRule="atLeast"/>
        <w:ind w:left="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本项目的采购人见</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w:t>
      </w:r>
    </w:p>
    <w:p w14:paraId="27EC6A28">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1.2</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采购代理机构：是指在集中采购机构或从事采购代理业务的社会中介机构。本项目的采购代理机构见</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w:t>
      </w:r>
    </w:p>
    <w:p w14:paraId="3B43C298">
      <w:pPr>
        <w:keepNext w:val="0"/>
        <w:keepLines w:val="0"/>
        <w:pageBreakBefore w:val="0"/>
        <w:widowControl w:val="0"/>
        <w:numPr>
          <w:ilvl w:val="1"/>
          <w:numId w:val="0"/>
        </w:numPr>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1.3</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sz w:val="24"/>
          <w:highlight w:val="none"/>
        </w:rPr>
        <w:t>投标人：是指向采购人提供货物、工程或者服务的法人、非法人组织或者自然人。本项目的投标人及其投标货物须满足以下条件：</w:t>
      </w:r>
    </w:p>
    <w:p w14:paraId="19ABA3B8">
      <w:pPr>
        <w:keepNext w:val="0"/>
        <w:keepLines w:val="0"/>
        <w:pageBreakBefore w:val="0"/>
        <w:widowControl w:val="0"/>
        <w:kinsoku/>
        <w:wordWrap/>
        <w:overflowPunct/>
        <w:topLinePunct w:val="0"/>
        <w:autoSpaceDE/>
        <w:autoSpaceDN/>
        <w:bidi w:val="0"/>
        <w:adjustRightInd/>
        <w:snapToGrid/>
        <w:spacing w:line="240" w:lineRule="atLeast"/>
        <w:ind w:left="85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在中华人民共和国境内注册，能够独立承担民事责任，有生产或供应能力的本国供应商。</w:t>
      </w:r>
    </w:p>
    <w:p w14:paraId="3FAAB981">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1.3.2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具备《中华人民共和国政府采购法》第二十二条关于供应商条件的规定，遵守本项目采购人本级和上级财政部门政府采购的有关规定。</w:t>
      </w:r>
    </w:p>
    <w:p w14:paraId="008D1304">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1.3.3   以采购代理机构认可的方式获得了本项目的招标文件。</w:t>
      </w:r>
    </w:p>
    <w:p w14:paraId="526492A0">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1.3.4   符合</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中规定的其他要求。</w:t>
      </w:r>
    </w:p>
    <w:p w14:paraId="14656D6B">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1.3.5   若</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中写明允许采购进口产品，投标人应保证所投产品可履行合法报通关手续进入中国关境内。若</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中未写明允许采购进口产品，如投标人所投产品为进口产品，其投标将被认定为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382A0F57">
      <w:pPr>
        <w:keepNext w:val="0"/>
        <w:keepLines w:val="0"/>
        <w:pageBreakBefore w:val="0"/>
        <w:widowControl w:val="0"/>
        <w:kinsoku/>
        <w:wordWrap/>
        <w:overflowPunct/>
        <w:topLinePunct w:val="0"/>
        <w:autoSpaceDE/>
        <w:autoSpaceDN/>
        <w:bidi w:val="0"/>
        <w:adjustRightInd/>
        <w:snapToGrid/>
        <w:spacing w:line="240" w:lineRule="atLeast"/>
        <w:ind w:left="84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1.3.6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若</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中写明专门面向中小企业采购的，如投标人为非中小企业且所投产品为非中小企业产品，其投标将被认定为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87EC9D6">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本项目不允许联合体投标。</w:t>
      </w:r>
    </w:p>
    <w:p w14:paraId="1940A665">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1.5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单位负责人为同一人或者存在直接控股、管理关系的不同供应商，其相关投标将被认定为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65B28C0">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1.6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为本项目提供过整体设计、规范编制或者项目管理、监理、检测等服务的供应商，不得再参加本项目上述服务以外的其他采购活动。否则其投标将被认定为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0E617A14">
      <w:pPr>
        <w:pStyle w:val="4"/>
        <w:spacing w:before="0" w:after="0" w:line="240" w:lineRule="atLeast"/>
        <w:rPr>
          <w:rFonts w:hint="eastAsia" w:ascii="宋体" w:hAnsi="宋体" w:eastAsia="宋体" w:cs="宋体"/>
          <w:color w:val="auto"/>
          <w:highlight w:val="none"/>
          <w:u w:val="none"/>
        </w:rPr>
      </w:pPr>
      <w:bookmarkStart w:id="16" w:name="_Toc4322"/>
      <w:bookmarkStart w:id="17" w:name="_Toc12139"/>
      <w:bookmarkStart w:id="18" w:name="_Toc5286"/>
      <w:bookmarkStart w:id="19" w:name="_Toc515647759"/>
      <w:r>
        <w:rPr>
          <w:rFonts w:hint="eastAsia" w:ascii="宋体" w:hAnsi="宋体" w:eastAsia="宋体" w:cs="宋体"/>
          <w:color w:val="auto"/>
          <w:highlight w:val="none"/>
          <w:u w:val="none"/>
        </w:rPr>
        <w:t>2.资金来源</w:t>
      </w:r>
      <w:bookmarkEnd w:id="16"/>
      <w:bookmarkEnd w:id="17"/>
      <w:bookmarkEnd w:id="18"/>
      <w:bookmarkEnd w:id="19"/>
    </w:p>
    <w:p w14:paraId="5A5B5A41">
      <w:pPr>
        <w:spacing w:line="240" w:lineRule="atLeas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本项目的采购人已获得足以支付本次招标后所签订的合同项下的资金（包括财政性资金和本项目采购中无法与财政性资金分割的非财政性资金）。</w:t>
      </w:r>
    </w:p>
    <w:p w14:paraId="420DD159">
      <w:pPr>
        <w:spacing w:line="240" w:lineRule="atLeas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2.2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项目预算金额和分项或分包最高限价</w:t>
      </w:r>
      <w:r>
        <w:rPr>
          <w:rFonts w:hint="eastAsia" w:ascii="宋体" w:hAnsi="宋体" w:eastAsia="宋体" w:cs="宋体"/>
          <w:color w:val="auto"/>
          <w:sz w:val="24"/>
          <w:highlight w:val="none"/>
          <w:u w:val="single"/>
        </w:rPr>
        <w:t>见投标人须知资料表</w:t>
      </w:r>
      <w:r>
        <w:rPr>
          <w:rFonts w:hint="eastAsia" w:ascii="宋体" w:hAnsi="宋体" w:eastAsia="宋体" w:cs="宋体"/>
          <w:color w:val="auto"/>
          <w:sz w:val="24"/>
          <w:highlight w:val="none"/>
        </w:rPr>
        <w:t>。</w:t>
      </w:r>
    </w:p>
    <w:p w14:paraId="50D83E62">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投标人报价超过招标文件规定的预算金额或者分项、分包最高限价的，其投标将被认定为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7CB0A553">
      <w:pPr>
        <w:pStyle w:val="4"/>
        <w:spacing w:before="0" w:after="0" w:line="240" w:lineRule="atLeast"/>
        <w:rPr>
          <w:rFonts w:hint="eastAsia" w:ascii="宋体" w:hAnsi="宋体" w:eastAsia="宋体" w:cs="宋体"/>
          <w:color w:val="auto"/>
          <w:highlight w:val="none"/>
          <w:u w:val="none"/>
        </w:rPr>
      </w:pPr>
      <w:bookmarkStart w:id="20" w:name="_Toc13828"/>
      <w:bookmarkStart w:id="21" w:name="_Toc515647760"/>
      <w:bookmarkStart w:id="22" w:name="_Toc20526"/>
      <w:bookmarkStart w:id="23" w:name="_Toc520356145"/>
      <w:bookmarkStart w:id="24" w:name="_Toc15936"/>
      <w:r>
        <w:rPr>
          <w:rFonts w:hint="eastAsia" w:ascii="宋体" w:hAnsi="宋体" w:eastAsia="宋体" w:cs="宋体"/>
          <w:color w:val="auto"/>
          <w:highlight w:val="none"/>
          <w:u w:val="none"/>
        </w:rPr>
        <w:t>3.投标费用</w:t>
      </w:r>
      <w:bookmarkEnd w:id="20"/>
      <w:bookmarkEnd w:id="21"/>
      <w:bookmarkEnd w:id="22"/>
      <w:bookmarkEnd w:id="23"/>
      <w:bookmarkEnd w:id="24"/>
    </w:p>
    <w:p w14:paraId="2580EB89">
      <w:pPr>
        <w:spacing w:line="240" w:lineRule="atLeas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不论投标的结果如何，投标人应承担所有与准备和参加投标有关的费用。</w:t>
      </w:r>
    </w:p>
    <w:p w14:paraId="72B2CCB6">
      <w:pPr>
        <w:pStyle w:val="4"/>
        <w:spacing w:before="0" w:after="0" w:line="240" w:lineRule="atLeast"/>
        <w:rPr>
          <w:rFonts w:hint="eastAsia" w:ascii="宋体" w:hAnsi="宋体" w:eastAsia="宋体" w:cs="宋体"/>
          <w:color w:val="auto"/>
          <w:highlight w:val="none"/>
          <w:u w:val="none"/>
        </w:rPr>
      </w:pPr>
      <w:bookmarkStart w:id="25" w:name="_Toc4463"/>
      <w:bookmarkStart w:id="26" w:name="_Toc32665"/>
      <w:bookmarkStart w:id="27" w:name="_Toc515647761"/>
      <w:bookmarkStart w:id="28" w:name="_Toc6116"/>
      <w:r>
        <w:rPr>
          <w:rFonts w:hint="eastAsia" w:ascii="宋体" w:hAnsi="宋体" w:eastAsia="宋体" w:cs="宋体"/>
          <w:color w:val="auto"/>
          <w:highlight w:val="none"/>
          <w:u w:val="none"/>
        </w:rPr>
        <w:t>4.适用法律</w:t>
      </w:r>
      <w:bookmarkEnd w:id="25"/>
      <w:bookmarkEnd w:id="26"/>
      <w:bookmarkEnd w:id="27"/>
      <w:bookmarkEnd w:id="28"/>
    </w:p>
    <w:p w14:paraId="029763CF">
      <w:pPr>
        <w:spacing w:line="240" w:lineRule="atLeas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中华人民共和国财政部令第87号《政府采购货物和服务招标投标管理办法》及本项目本级和上级财政部门政府采购有关规定的约束，其权利受到上述法律法规的保护。</w:t>
      </w:r>
    </w:p>
    <w:p w14:paraId="7EE702DE">
      <w:pPr>
        <w:pStyle w:val="3"/>
        <w:spacing w:before="0" w:line="240" w:lineRule="atLeast"/>
        <w:ind w:left="1079" w:leftChars="257" w:hanging="540"/>
        <w:rPr>
          <w:rFonts w:hint="eastAsia" w:ascii="宋体" w:hAnsi="宋体" w:eastAsia="宋体" w:cs="宋体"/>
          <w:color w:val="auto"/>
          <w:sz w:val="28"/>
          <w:highlight w:val="none"/>
        </w:rPr>
      </w:pPr>
      <w:bookmarkStart w:id="29" w:name="_Toc28572"/>
      <w:bookmarkStart w:id="30" w:name="_Toc4365"/>
      <w:bookmarkStart w:id="31" w:name="_Toc515647762"/>
      <w:bookmarkStart w:id="32" w:name="_Toc21566"/>
      <w:bookmarkStart w:id="33" w:name="_Toc216582806"/>
      <w:bookmarkStart w:id="34" w:name="_Toc520356146"/>
      <w:r>
        <w:rPr>
          <w:rFonts w:hint="eastAsia" w:ascii="宋体" w:hAnsi="宋体" w:eastAsia="宋体" w:cs="宋体"/>
          <w:color w:val="auto"/>
          <w:sz w:val="28"/>
          <w:highlight w:val="none"/>
        </w:rPr>
        <w:t>二   招标文件</w:t>
      </w:r>
      <w:bookmarkEnd w:id="29"/>
      <w:bookmarkEnd w:id="30"/>
      <w:bookmarkEnd w:id="31"/>
      <w:bookmarkEnd w:id="32"/>
      <w:bookmarkEnd w:id="33"/>
      <w:bookmarkEnd w:id="34"/>
    </w:p>
    <w:p w14:paraId="6D670B0E">
      <w:pPr>
        <w:pStyle w:val="4"/>
        <w:spacing w:before="0" w:after="0" w:line="240" w:lineRule="atLeast"/>
        <w:rPr>
          <w:rFonts w:hint="eastAsia" w:ascii="宋体" w:hAnsi="宋体" w:eastAsia="宋体" w:cs="宋体"/>
          <w:color w:val="auto"/>
          <w:highlight w:val="none"/>
          <w:u w:val="none"/>
        </w:rPr>
      </w:pPr>
      <w:bookmarkStart w:id="35" w:name="_Toc14084"/>
      <w:bookmarkStart w:id="36" w:name="_Toc25743"/>
      <w:bookmarkStart w:id="37" w:name="_Toc4671"/>
      <w:bookmarkStart w:id="38" w:name="_Toc520356147"/>
      <w:bookmarkStart w:id="39" w:name="_Toc515647763"/>
      <w:r>
        <w:rPr>
          <w:rFonts w:hint="eastAsia" w:ascii="宋体" w:hAnsi="宋体" w:eastAsia="宋体" w:cs="宋体"/>
          <w:color w:val="auto"/>
          <w:highlight w:val="none"/>
          <w:u w:val="none"/>
        </w:rPr>
        <w:t>5.招标文件构成</w:t>
      </w:r>
      <w:bookmarkEnd w:id="35"/>
      <w:bookmarkEnd w:id="36"/>
      <w:bookmarkEnd w:id="37"/>
      <w:bookmarkEnd w:id="38"/>
      <w:bookmarkEnd w:id="39"/>
    </w:p>
    <w:p w14:paraId="3078C185">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招标文件分为三册共7章，内容如下：</w:t>
      </w:r>
    </w:p>
    <w:p w14:paraId="518AE9C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第1章</w:t>
      </w:r>
      <w:r>
        <w:rPr>
          <w:rFonts w:hint="eastAsia" w:ascii="宋体" w:hAnsi="宋体" w:eastAsia="宋体" w:cs="宋体"/>
          <w:color w:val="auto"/>
          <w:sz w:val="24"/>
          <w:highlight w:val="none"/>
        </w:rPr>
        <w:t xml:space="preserve"> 投标人须知</w:t>
      </w:r>
    </w:p>
    <w:p w14:paraId="42008099">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第2章</w:t>
      </w:r>
      <w:r>
        <w:rPr>
          <w:rFonts w:hint="eastAsia" w:ascii="宋体" w:hAnsi="宋体" w:eastAsia="宋体" w:cs="宋体"/>
          <w:color w:val="auto"/>
          <w:sz w:val="24"/>
          <w:highlight w:val="none"/>
        </w:rPr>
        <w:t xml:space="preserve"> 投标文件格式</w:t>
      </w:r>
    </w:p>
    <w:p w14:paraId="0C3AE6E4">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第3章</w:t>
      </w:r>
      <w:r>
        <w:rPr>
          <w:rFonts w:hint="eastAsia" w:ascii="宋体" w:hAnsi="宋体" w:eastAsia="宋体" w:cs="宋体"/>
          <w:color w:val="auto"/>
          <w:sz w:val="24"/>
          <w:highlight w:val="none"/>
        </w:rPr>
        <w:t xml:space="preserve"> 招标公告</w:t>
      </w:r>
    </w:p>
    <w:p w14:paraId="74EACFAD">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第4章</w:t>
      </w:r>
      <w:r>
        <w:rPr>
          <w:rFonts w:hint="eastAsia" w:ascii="宋体" w:hAnsi="宋体" w:eastAsia="宋体" w:cs="宋体"/>
          <w:color w:val="auto"/>
          <w:sz w:val="24"/>
          <w:highlight w:val="none"/>
        </w:rPr>
        <w:t xml:space="preserve"> 投标人须知资料表</w:t>
      </w:r>
    </w:p>
    <w:p w14:paraId="20288311">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第5章</w:t>
      </w:r>
      <w:r>
        <w:rPr>
          <w:rFonts w:hint="eastAsia" w:ascii="宋体" w:hAnsi="宋体" w:eastAsia="宋体" w:cs="宋体"/>
          <w:color w:val="auto"/>
          <w:sz w:val="24"/>
          <w:highlight w:val="none"/>
        </w:rPr>
        <w:t xml:space="preserve"> 货物需求一览表及技术规格</w:t>
      </w:r>
    </w:p>
    <w:p w14:paraId="67123A13">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第6章</w:t>
      </w:r>
      <w:r>
        <w:rPr>
          <w:rFonts w:hint="eastAsia" w:ascii="宋体" w:hAnsi="宋体" w:eastAsia="宋体" w:cs="宋体"/>
          <w:color w:val="auto"/>
          <w:sz w:val="24"/>
          <w:highlight w:val="none"/>
        </w:rPr>
        <w:t xml:space="preserve"> 评标方法和标准</w:t>
      </w:r>
    </w:p>
    <w:p w14:paraId="003B537A">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第7章</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政府采购合同格式</w:t>
      </w:r>
    </w:p>
    <w:p w14:paraId="1CD40228">
      <w:pPr>
        <w:keepNext w:val="0"/>
        <w:keepLines w:val="0"/>
        <w:pageBreakBefore w:val="0"/>
        <w:widowControl w:val="0"/>
        <w:kinsoku/>
        <w:wordWrap/>
        <w:overflowPunct/>
        <w:topLinePunct w:val="0"/>
        <w:autoSpaceDE/>
        <w:autoSpaceDN/>
        <w:bidi w:val="0"/>
        <w:adjustRightInd/>
        <w:snapToGrid/>
        <w:spacing w:line="240" w:lineRule="atLeast"/>
        <w:ind w:left="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如本文件的前后内容不一致，以最后描述为准。</w:t>
      </w:r>
    </w:p>
    <w:p w14:paraId="2CF62465">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10CC57DD">
      <w:pPr>
        <w:pStyle w:val="4"/>
        <w:spacing w:before="0" w:after="0" w:line="240" w:lineRule="atLeast"/>
        <w:rPr>
          <w:rFonts w:hint="eastAsia" w:ascii="宋体" w:hAnsi="宋体" w:eastAsia="宋体" w:cs="宋体"/>
          <w:color w:val="auto"/>
          <w:sz w:val="24"/>
          <w:szCs w:val="20"/>
          <w:highlight w:val="none"/>
          <w:u w:val="none"/>
        </w:rPr>
      </w:pPr>
      <w:bookmarkStart w:id="40" w:name="_Toc515904805"/>
      <w:bookmarkStart w:id="41" w:name="_Toc520356148"/>
      <w:bookmarkStart w:id="42" w:name="_Toc9232"/>
      <w:bookmarkStart w:id="43" w:name="_Toc26044"/>
      <w:bookmarkStart w:id="44" w:name="_Toc1922"/>
      <w:r>
        <w:rPr>
          <w:rFonts w:hint="eastAsia" w:ascii="宋体" w:hAnsi="宋体" w:eastAsia="宋体" w:cs="宋体"/>
          <w:color w:val="auto"/>
          <w:sz w:val="24"/>
          <w:szCs w:val="20"/>
          <w:highlight w:val="none"/>
          <w:u w:val="none"/>
        </w:rPr>
        <w:t>6.招标文件的澄清</w:t>
      </w:r>
      <w:bookmarkEnd w:id="40"/>
      <w:bookmarkEnd w:id="41"/>
      <w:r>
        <w:rPr>
          <w:rFonts w:hint="eastAsia" w:ascii="宋体" w:hAnsi="宋体" w:eastAsia="宋体" w:cs="宋体"/>
          <w:color w:val="auto"/>
          <w:sz w:val="24"/>
          <w:szCs w:val="20"/>
          <w:highlight w:val="none"/>
          <w:u w:val="none"/>
        </w:rPr>
        <w:t>与修改</w:t>
      </w:r>
      <w:bookmarkEnd w:id="42"/>
      <w:bookmarkEnd w:id="43"/>
      <w:bookmarkEnd w:id="44"/>
    </w:p>
    <w:p w14:paraId="0C5BBB1B">
      <w:pPr>
        <w:pStyle w:val="5"/>
        <w:keepNext w:val="0"/>
        <w:keepLines w:val="0"/>
        <w:pageBreakBefore w:val="0"/>
        <w:widowControl w:val="0"/>
        <w:kinsoku/>
        <w:wordWrap/>
        <w:overflowPunct/>
        <w:topLinePunct w:val="0"/>
        <w:autoSpaceDE w:val="0"/>
        <w:autoSpaceDN w:val="0"/>
        <w:bidi w:val="0"/>
        <w:adjustRightInd w:val="0"/>
        <w:snapToGrid/>
        <w:ind w:left="96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6.1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为了保证对招标文件的澄清和修改满足法律的时限要求，任何要求对招标文件进行澄清的投标人，均应在投标截止期十五日前，以书面形式将澄清要求通知采购人或采购代理机构。</w:t>
      </w:r>
    </w:p>
    <w:p w14:paraId="751855EC">
      <w:pPr>
        <w:pStyle w:val="5"/>
        <w:keepNext w:val="0"/>
        <w:keepLines w:val="0"/>
        <w:pageBreakBefore w:val="0"/>
        <w:widowControl w:val="0"/>
        <w:kinsoku/>
        <w:wordWrap/>
        <w:overflowPunct/>
        <w:topLinePunct w:val="0"/>
        <w:autoSpaceDE w:val="0"/>
        <w:autoSpaceDN w:val="0"/>
        <w:bidi w:val="0"/>
        <w:adjustRightInd w:val="0"/>
        <w:snapToGrid/>
        <w:ind w:left="960" w:hanging="960" w:hangingChars="400"/>
        <w:textAlignment w:val="auto"/>
        <w:rPr>
          <w:rFonts w:hint="eastAsia" w:ascii="宋体" w:hAnsi="宋体" w:eastAsia="宋体" w:cs="宋体"/>
          <w:color w:val="auto"/>
          <w:sz w:val="24"/>
          <w:szCs w:val="24"/>
          <w:highlight w:val="none"/>
        </w:rPr>
      </w:pPr>
      <w:bookmarkStart w:id="45" w:name="_Toc520356149"/>
      <w:bookmarkStart w:id="46" w:name="_Ref467378678"/>
      <w:bookmarkStart w:id="47" w:name="_Toc515904806"/>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采购人可主动地或在解答投标人提出的澄清问题时对招标文件进行澄清或修改。采购代理机构将以发布澄清（更正）公告的方式，澄清或修改招标文件，澄清或修改内容作为招标文件的组成部分。</w:t>
      </w:r>
    </w:p>
    <w:p w14:paraId="64E8B4A6">
      <w:pPr>
        <w:pStyle w:val="5"/>
        <w:keepNext w:val="0"/>
        <w:keepLines w:val="0"/>
        <w:pageBreakBefore w:val="0"/>
        <w:widowControl w:val="0"/>
        <w:kinsoku/>
        <w:wordWrap/>
        <w:overflowPunct/>
        <w:topLinePunct w:val="0"/>
        <w:autoSpaceDE w:val="0"/>
        <w:autoSpaceDN w:val="0"/>
        <w:bidi w:val="0"/>
        <w:adjustRightInd w:val="0"/>
        <w:snapToGrid/>
        <w:ind w:left="96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澄清或者修改的内容可能影响投标文件编制的，采购代理机构将以书面形式通知所有购买招标文件的潜在投标人，并对其具有约束力。投标人在收到上述通知后，应及时向采购代理机构回函确认。</w:t>
      </w:r>
    </w:p>
    <w:p w14:paraId="7064D508">
      <w:pPr>
        <w:pStyle w:val="4"/>
        <w:tabs>
          <w:tab w:val="left" w:pos="900"/>
        </w:tabs>
        <w:spacing w:before="0" w:after="0" w:line="240" w:lineRule="atLeast"/>
        <w:rPr>
          <w:rFonts w:hint="eastAsia" w:ascii="宋体" w:hAnsi="宋体" w:eastAsia="宋体" w:cs="宋体"/>
          <w:color w:val="auto"/>
          <w:sz w:val="24"/>
          <w:szCs w:val="20"/>
          <w:highlight w:val="none"/>
          <w:u w:val="none"/>
        </w:rPr>
      </w:pPr>
      <w:bookmarkStart w:id="48" w:name="_Toc12448"/>
      <w:bookmarkStart w:id="49" w:name="_Toc14569"/>
      <w:bookmarkStart w:id="50" w:name="_Toc25635"/>
      <w:r>
        <w:rPr>
          <w:rFonts w:hint="eastAsia" w:ascii="宋体" w:hAnsi="宋体" w:eastAsia="宋体" w:cs="宋体"/>
          <w:color w:val="auto"/>
          <w:sz w:val="24"/>
          <w:szCs w:val="20"/>
          <w:highlight w:val="none"/>
          <w:u w:val="none"/>
        </w:rPr>
        <w:t>7</w:t>
      </w:r>
      <w:bookmarkEnd w:id="45"/>
      <w:bookmarkEnd w:id="46"/>
      <w:bookmarkEnd w:id="47"/>
      <w:r>
        <w:rPr>
          <w:rFonts w:hint="eastAsia" w:ascii="宋体" w:hAnsi="宋体" w:eastAsia="宋体" w:cs="宋体"/>
          <w:color w:val="auto"/>
          <w:sz w:val="24"/>
          <w:szCs w:val="20"/>
          <w:highlight w:val="none"/>
          <w:u w:val="none"/>
        </w:rPr>
        <w:t>.投标截止时间的顺延</w:t>
      </w:r>
      <w:bookmarkEnd w:id="48"/>
      <w:bookmarkEnd w:id="49"/>
      <w:bookmarkEnd w:id="50"/>
    </w:p>
    <w:p w14:paraId="13780CD7">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为使投标人准备投标时有足够的时间对招标文件的澄清或者修改部分进行研究，采购人将依法决定是否顺延投标截止时间。</w:t>
      </w:r>
    </w:p>
    <w:p w14:paraId="79FAC801">
      <w:pPr>
        <w:pStyle w:val="3"/>
        <w:spacing w:before="0" w:line="240" w:lineRule="atLeast"/>
        <w:ind w:left="1079" w:leftChars="257" w:hanging="540"/>
        <w:rPr>
          <w:rFonts w:hint="eastAsia" w:ascii="宋体" w:hAnsi="宋体" w:eastAsia="宋体" w:cs="宋体"/>
          <w:color w:val="auto"/>
          <w:sz w:val="28"/>
          <w:highlight w:val="none"/>
        </w:rPr>
      </w:pPr>
      <w:bookmarkStart w:id="51" w:name="_Toc516367020"/>
      <w:bookmarkStart w:id="52" w:name="_Toc520356150"/>
      <w:bookmarkStart w:id="53" w:name="_Toc7636"/>
      <w:bookmarkStart w:id="54" w:name="_Toc30808"/>
      <w:bookmarkStart w:id="55" w:name="_Toc216582807"/>
      <w:bookmarkStart w:id="56" w:name="_Toc515647766"/>
      <w:bookmarkStart w:id="57" w:name="_Toc31039"/>
      <w:r>
        <w:rPr>
          <w:rFonts w:hint="eastAsia" w:ascii="宋体" w:hAnsi="宋体" w:eastAsia="宋体" w:cs="宋体"/>
          <w:color w:val="auto"/>
          <w:sz w:val="28"/>
          <w:highlight w:val="none"/>
        </w:rPr>
        <w:t>三   投标文件</w:t>
      </w:r>
      <w:bookmarkEnd w:id="51"/>
      <w:r>
        <w:rPr>
          <w:rFonts w:hint="eastAsia" w:ascii="宋体" w:hAnsi="宋体" w:eastAsia="宋体" w:cs="宋体"/>
          <w:color w:val="auto"/>
          <w:sz w:val="28"/>
          <w:highlight w:val="none"/>
        </w:rPr>
        <w:t>的编制</w:t>
      </w:r>
      <w:bookmarkEnd w:id="52"/>
      <w:bookmarkEnd w:id="53"/>
      <w:bookmarkEnd w:id="54"/>
      <w:bookmarkEnd w:id="55"/>
      <w:bookmarkEnd w:id="56"/>
      <w:bookmarkEnd w:id="57"/>
    </w:p>
    <w:p w14:paraId="22C3152C">
      <w:pPr>
        <w:pStyle w:val="4"/>
        <w:keepNext/>
        <w:keepLines/>
        <w:pageBreakBefore w:val="0"/>
        <w:widowControl w:val="0"/>
        <w:tabs>
          <w:tab w:val="left" w:pos="900"/>
        </w:tabs>
        <w:kinsoku/>
        <w:wordWrap/>
        <w:overflowPunct/>
        <w:topLinePunct w:val="0"/>
        <w:autoSpaceDE w:val="0"/>
        <w:autoSpaceDN w:val="0"/>
        <w:bidi w:val="0"/>
        <w:adjustRightInd w:val="0"/>
        <w:snapToGrid/>
        <w:spacing w:before="0" w:after="0" w:line="240" w:lineRule="atLeast"/>
        <w:ind w:left="0" w:hanging="960" w:hangingChars="400"/>
        <w:textAlignment w:val="auto"/>
        <w:rPr>
          <w:rFonts w:hint="eastAsia" w:ascii="宋体" w:hAnsi="宋体" w:eastAsia="宋体" w:cs="宋体"/>
          <w:color w:val="auto"/>
          <w:highlight w:val="none"/>
          <w:u w:val="none"/>
        </w:rPr>
      </w:pPr>
      <w:bookmarkStart w:id="58" w:name="_Toc3553"/>
      <w:bookmarkStart w:id="59" w:name="_Toc30570"/>
      <w:bookmarkStart w:id="60" w:name="_Toc7786"/>
      <w:bookmarkStart w:id="61" w:name="_Toc515647767"/>
      <w:bookmarkStart w:id="62" w:name="_Toc520356151"/>
      <w:bookmarkStart w:id="63" w:name="_Toc516367021"/>
      <w:r>
        <w:rPr>
          <w:rFonts w:hint="eastAsia" w:ascii="宋体" w:hAnsi="宋体" w:eastAsia="宋体" w:cs="宋体"/>
          <w:color w:val="auto"/>
          <w:highlight w:val="none"/>
          <w:u w:val="none"/>
        </w:rPr>
        <w:t>8.</w:t>
      </w:r>
      <w:r>
        <w:rPr>
          <w:rFonts w:hint="eastAsia" w:ascii="宋体" w:hAnsi="宋体" w:eastAsia="宋体" w:cs="宋体"/>
          <w:color w:val="auto"/>
          <w:highlight w:val="none"/>
          <w:u w:val="none"/>
        </w:rPr>
        <w:tab/>
      </w:r>
      <w:r>
        <w:rPr>
          <w:rFonts w:hint="eastAsia" w:ascii="宋体" w:hAnsi="宋体" w:eastAsia="宋体" w:cs="宋体"/>
          <w:color w:val="auto"/>
          <w:highlight w:val="none"/>
          <w:u w:val="none"/>
        </w:rPr>
        <w:t>投标范围及投标文件中标准和计量单位的使用</w:t>
      </w:r>
      <w:bookmarkEnd w:id="58"/>
      <w:bookmarkEnd w:id="59"/>
      <w:bookmarkEnd w:id="60"/>
      <w:bookmarkEnd w:id="61"/>
      <w:bookmarkEnd w:id="62"/>
      <w:bookmarkEnd w:id="63"/>
    </w:p>
    <w:p w14:paraId="534FC098">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项目有分包的，投标人可对招标文件其中某一个或几个分包货物进行投标，除非在</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中另有规定。</w:t>
      </w:r>
    </w:p>
    <w:p w14:paraId="0B07CEB5">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投标人应当对所投分包招标文件中“</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需求”所列的所有内容进行投标，如仅响应某一包中的部分内容，其该包投标将被认定为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0110702">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无论招标文件第5章货物需求一览表及技术规格中是否要求，投标人所投货物均应符合国家强制性标准。</w:t>
      </w:r>
    </w:p>
    <w:p w14:paraId="2FCD0178">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8.4     除招标文件中有特殊要求外，投标文件中所使用的计量单位，应采用中华人民共和国法定计量单位。</w:t>
      </w:r>
    </w:p>
    <w:p w14:paraId="0401C844">
      <w:pPr>
        <w:pStyle w:val="4"/>
        <w:tabs>
          <w:tab w:val="left" w:pos="900"/>
        </w:tabs>
        <w:spacing w:before="0" w:after="0" w:line="240" w:lineRule="atLeast"/>
        <w:rPr>
          <w:rFonts w:hint="eastAsia" w:ascii="宋体" w:hAnsi="宋体" w:eastAsia="宋体" w:cs="宋体"/>
          <w:color w:val="auto"/>
          <w:highlight w:val="none"/>
          <w:u w:val="none"/>
        </w:rPr>
      </w:pPr>
      <w:bookmarkStart w:id="64" w:name="_Toc516367022"/>
      <w:bookmarkStart w:id="65" w:name="_Ref467306676"/>
      <w:bookmarkStart w:id="66" w:name="_Ref467306195"/>
      <w:bookmarkStart w:id="67" w:name="_Toc18692"/>
      <w:bookmarkStart w:id="68" w:name="_Toc515647768"/>
      <w:bookmarkStart w:id="69" w:name="_Toc10364"/>
      <w:bookmarkStart w:id="70" w:name="_Toc520356152"/>
      <w:bookmarkStart w:id="71" w:name="_Toc28307"/>
      <w:r>
        <w:rPr>
          <w:rFonts w:hint="eastAsia" w:ascii="宋体" w:hAnsi="宋体" w:eastAsia="宋体" w:cs="宋体"/>
          <w:color w:val="auto"/>
          <w:highlight w:val="none"/>
          <w:u w:val="none"/>
        </w:rPr>
        <w:t>9.投标文件</w:t>
      </w:r>
      <w:bookmarkEnd w:id="64"/>
      <w:bookmarkEnd w:id="65"/>
      <w:bookmarkEnd w:id="66"/>
      <w:r>
        <w:rPr>
          <w:rFonts w:hint="eastAsia" w:ascii="宋体" w:hAnsi="宋体" w:eastAsia="宋体" w:cs="宋体"/>
          <w:color w:val="auto"/>
          <w:highlight w:val="none"/>
          <w:u w:val="none"/>
        </w:rPr>
        <w:t>构成</w:t>
      </w:r>
      <w:bookmarkEnd w:id="67"/>
      <w:bookmarkEnd w:id="68"/>
      <w:bookmarkEnd w:id="69"/>
      <w:bookmarkEnd w:id="70"/>
      <w:bookmarkEnd w:id="71"/>
    </w:p>
    <w:p w14:paraId="55CD8746">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bCs/>
          <w:color w:val="auto"/>
          <w:sz w:val="24"/>
          <w:highlight w:val="none"/>
          <w:lang w:val="en-US" w:eastAsia="zh-CN"/>
        </w:rPr>
      </w:pPr>
      <w:bookmarkStart w:id="72" w:name="_Ref467052588"/>
      <w:bookmarkStart w:id="73" w:name="_Toc13143"/>
      <w:bookmarkStart w:id="74" w:name="_Toc515647769"/>
      <w:bookmarkStart w:id="75" w:name="_Toc516367023"/>
      <w:bookmarkStart w:id="76" w:name="_Toc4601"/>
      <w:bookmarkStart w:id="77" w:name="_Toc10379"/>
      <w:bookmarkStart w:id="78" w:name="_Toc520356153"/>
      <w:r>
        <w:rPr>
          <w:rFonts w:hint="eastAsia" w:ascii="宋体" w:hAnsi="宋体" w:eastAsia="宋体" w:cs="宋体"/>
          <w:color w:val="auto"/>
          <w:sz w:val="24"/>
          <w:highlight w:val="none"/>
        </w:rPr>
        <w:t xml:space="preserve">9.1    </w:t>
      </w:r>
      <w:r>
        <w:rPr>
          <w:rFonts w:hint="eastAsia" w:ascii="宋体" w:hAnsi="宋体" w:cs="宋体"/>
          <w:color w:val="auto"/>
          <w:sz w:val="24"/>
          <w:highlight w:val="none"/>
          <w:lang w:val="en-US" w:eastAsia="zh-CN"/>
        </w:rPr>
        <w:t xml:space="preserve"> </w:t>
      </w:r>
      <w:r>
        <w:rPr>
          <w:rFonts w:hint="eastAsia" w:ascii="宋体" w:hAnsi="宋体" w:eastAsia="宋体" w:cs="宋体"/>
          <w:b/>
          <w:bCs/>
          <w:color w:val="auto"/>
          <w:sz w:val="24"/>
          <w:highlight w:val="none"/>
          <w:lang w:val="en-US" w:eastAsia="zh-CN"/>
        </w:rPr>
        <w:t>投标人须在投标截止时间前在新疆政府采购网系统上传电子投标文件。投标人的电子投标文件是经过CA证书加密后上传的，任何单位或个人均无法在投标截止时间(即开标时间)之前查看或篡改，不存在泄密风险。</w:t>
      </w:r>
    </w:p>
    <w:p w14:paraId="67915AB2">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9.2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上述文件应按照招标文件规定的格式填写、签署和盖章。</w:t>
      </w:r>
    </w:p>
    <w:bookmarkEnd w:id="72"/>
    <w:p w14:paraId="0799A972">
      <w:pPr>
        <w:pStyle w:val="4"/>
        <w:pageBreakBefore w:val="0"/>
        <w:widowControl w:val="0"/>
        <w:tabs>
          <w:tab w:val="left" w:pos="900"/>
        </w:tabs>
        <w:kinsoku/>
        <w:wordWrap/>
        <w:overflowPunct/>
        <w:topLinePunct w:val="0"/>
        <w:bidi w:val="0"/>
        <w:snapToGrid/>
        <w:spacing w:before="0" w:after="0" w:line="240" w:lineRule="atLeast"/>
        <w:ind w:left="960" w:hanging="960" w:hangingChars="400"/>
        <w:textAlignment w:val="auto"/>
        <w:rPr>
          <w:rFonts w:hint="eastAsia" w:ascii="宋体" w:hAnsi="宋体" w:eastAsia="宋体" w:cs="宋体"/>
          <w:b/>
          <w:bCs w:val="0"/>
          <w:color w:val="auto"/>
          <w:highlight w:val="none"/>
          <w:u w:val="none"/>
        </w:rPr>
      </w:pPr>
      <w:r>
        <w:rPr>
          <w:rFonts w:hint="eastAsia" w:ascii="宋体" w:hAnsi="宋体" w:eastAsia="宋体" w:cs="宋体"/>
          <w:b/>
          <w:bCs w:val="0"/>
          <w:color w:val="auto"/>
          <w:highlight w:val="none"/>
          <w:u w:val="none"/>
        </w:rPr>
        <w:t>10</w:t>
      </w:r>
      <w:r>
        <w:rPr>
          <w:rFonts w:hint="eastAsia" w:hAnsi="宋体" w:cs="宋体"/>
          <w:b/>
          <w:bCs w:val="0"/>
          <w:color w:val="auto"/>
          <w:highlight w:val="none"/>
          <w:u w:val="none"/>
          <w:lang w:eastAsia="zh-CN"/>
        </w:rPr>
        <w:t>.</w:t>
      </w:r>
      <w:r>
        <w:rPr>
          <w:rFonts w:hint="eastAsia" w:hAnsi="宋体" w:cs="宋体"/>
          <w:b/>
          <w:bCs w:val="0"/>
          <w:color w:val="auto"/>
          <w:highlight w:val="none"/>
          <w:u w:val="none"/>
          <w:lang w:val="en-US" w:eastAsia="zh-CN"/>
        </w:rPr>
        <w:t xml:space="preserve">     </w:t>
      </w:r>
      <w:r>
        <w:rPr>
          <w:rFonts w:hint="eastAsia" w:ascii="宋体" w:hAnsi="宋体" w:eastAsia="宋体" w:cs="宋体"/>
          <w:b/>
          <w:bCs w:val="0"/>
          <w:color w:val="auto"/>
          <w:highlight w:val="none"/>
          <w:u w:val="none"/>
        </w:rPr>
        <w:t>证明投标标的的合格性和符合招标文件规定的技术文件</w:t>
      </w:r>
      <w:bookmarkEnd w:id="73"/>
      <w:bookmarkEnd w:id="74"/>
      <w:bookmarkEnd w:id="75"/>
      <w:bookmarkEnd w:id="76"/>
      <w:bookmarkEnd w:id="77"/>
      <w:bookmarkEnd w:id="78"/>
    </w:p>
    <w:p w14:paraId="2F30E343">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投标人应提交证明文件，证明其投标内容符合招标文件规定。该证明文件是投标文件的一部分。</w:t>
      </w:r>
    </w:p>
    <w:p w14:paraId="64F72D60">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bookmarkStart w:id="79" w:name="_Ref467306244"/>
      <w:r>
        <w:rPr>
          <w:rFonts w:hint="eastAsia" w:ascii="宋体" w:hAnsi="宋体" w:eastAsia="宋体" w:cs="宋体"/>
          <w:color w:val="auto"/>
          <w:sz w:val="24"/>
          <w:highlight w:val="none"/>
        </w:rPr>
        <w:t>10.2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上款所述的证明文件，可以是文字资料、图纸和数据，</w:t>
      </w:r>
      <w:bookmarkEnd w:id="79"/>
      <w:r>
        <w:rPr>
          <w:rFonts w:hint="eastAsia" w:ascii="宋体" w:hAnsi="宋体" w:eastAsia="宋体" w:cs="宋体"/>
          <w:color w:val="auto"/>
          <w:sz w:val="24"/>
          <w:highlight w:val="none"/>
        </w:rPr>
        <w:t>它包括：</w:t>
      </w:r>
    </w:p>
    <w:p w14:paraId="75F66A19">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货物主要技术指标和性能的详细说明；</w:t>
      </w:r>
    </w:p>
    <w:p w14:paraId="6F53C254">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货物从买方开始使用至招标文件规定的保质期内正常、连续地使用所必须的备件和专用工具清单，包括备件和专用工具的货源及现行价格；</w:t>
      </w:r>
    </w:p>
    <w:p w14:paraId="5FEE1CF5">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10.2.3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对照招标文件技术规格，逐条说明所提供货物及伴随的工程和服务已对招标文件的技术规格做出了实质性的响应，或申明与技术规格条文的偏差和例外。</w:t>
      </w:r>
    </w:p>
    <w:p w14:paraId="32594354">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14:paraId="6621FE66">
      <w:pPr>
        <w:pStyle w:val="4"/>
        <w:spacing w:before="0" w:after="0" w:line="240" w:lineRule="atLeast"/>
        <w:rPr>
          <w:rFonts w:hint="eastAsia" w:ascii="宋体" w:hAnsi="宋体" w:eastAsia="宋体" w:cs="宋体"/>
          <w:color w:val="auto"/>
          <w:highlight w:val="none"/>
          <w:u w:val="none"/>
        </w:rPr>
      </w:pPr>
      <w:bookmarkStart w:id="80" w:name="_Toc515647770"/>
      <w:bookmarkStart w:id="81" w:name="_Toc2248"/>
      <w:bookmarkStart w:id="82" w:name="_Toc520356155"/>
      <w:bookmarkStart w:id="83" w:name="_Toc19624"/>
      <w:bookmarkStart w:id="84" w:name="_Toc23231"/>
      <w:r>
        <w:rPr>
          <w:rFonts w:hint="eastAsia" w:ascii="宋体" w:hAnsi="宋体" w:eastAsia="宋体" w:cs="宋体"/>
          <w:color w:val="auto"/>
          <w:highlight w:val="none"/>
          <w:u w:val="none"/>
        </w:rPr>
        <w:t>11.投标报价</w:t>
      </w:r>
      <w:bookmarkEnd w:id="80"/>
      <w:bookmarkEnd w:id="81"/>
      <w:bookmarkEnd w:id="82"/>
      <w:bookmarkEnd w:id="83"/>
      <w:bookmarkEnd w:id="84"/>
    </w:p>
    <w:p w14:paraId="0D2252FE">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0CDC7883">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投标人应在投标分项报价表上标明投标货物及相关服务的单价（如适用）和总价，并由法定代表人或其授权代表签署。</w:t>
      </w:r>
    </w:p>
    <w:p w14:paraId="497F941D">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采购人不接受具有附加条件的报价：</w:t>
      </w:r>
    </w:p>
    <w:p w14:paraId="4301B990">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11.4</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投标人所报的各分项投标单价在合同履行过程中是固定不变的，不得以任何理由予以变更。任何包含价格调整要求的投标，其投标将被认定为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3FF8A13E">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85" w:name="_Toc17788"/>
      <w:bookmarkStart w:id="86" w:name="_Ref467306513"/>
      <w:bookmarkStart w:id="87" w:name="_Toc11514"/>
      <w:bookmarkStart w:id="88" w:name="_Toc22212"/>
      <w:bookmarkStart w:id="89" w:name="_Toc520356156"/>
      <w:bookmarkStart w:id="90" w:name="_Toc515647771"/>
      <w:r>
        <w:rPr>
          <w:rFonts w:hint="eastAsia" w:ascii="宋体" w:hAnsi="宋体" w:eastAsia="宋体" w:cs="宋体"/>
          <w:color w:val="auto"/>
          <w:highlight w:val="none"/>
          <w:u w:val="none"/>
        </w:rPr>
        <w:t>12.投标保证金</w:t>
      </w:r>
      <w:bookmarkEnd w:id="85"/>
      <w:bookmarkEnd w:id="86"/>
      <w:bookmarkEnd w:id="87"/>
      <w:bookmarkEnd w:id="88"/>
      <w:bookmarkEnd w:id="89"/>
      <w:bookmarkEnd w:id="90"/>
    </w:p>
    <w:p w14:paraId="627C476F">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bookmarkStart w:id="91" w:name="_Ref467306302"/>
      <w:r>
        <w:rPr>
          <w:rFonts w:hint="eastAsia" w:ascii="宋体" w:hAnsi="宋体" w:eastAsia="宋体" w:cs="宋体"/>
          <w:color w:val="auto"/>
          <w:sz w:val="24"/>
          <w:highlight w:val="none"/>
        </w:rPr>
        <w:t>12.1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投标人应提交</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中规定的投标保证金</w:t>
      </w:r>
      <w:bookmarkEnd w:id="91"/>
      <w:r>
        <w:rPr>
          <w:rFonts w:hint="eastAsia" w:ascii="宋体" w:hAnsi="宋体" w:eastAsia="宋体" w:cs="宋体"/>
          <w:color w:val="auto"/>
          <w:sz w:val="24"/>
          <w:highlight w:val="none"/>
        </w:rPr>
        <w:t>，并作为其投标的一部分。</w:t>
      </w:r>
    </w:p>
    <w:p w14:paraId="78DF298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投标人存在下列情形的，投标保证金不予退还：</w:t>
      </w:r>
    </w:p>
    <w:p w14:paraId="3AE94D37">
      <w:pPr>
        <w:pStyle w:val="15"/>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（1）在投标有效期内，撤销投标的；</w:t>
      </w:r>
    </w:p>
    <w:p w14:paraId="34C207FF">
      <w:pPr>
        <w:pStyle w:val="15"/>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（2）中标后不按本须知第30条的规定与采购人签订合同的；</w:t>
      </w:r>
    </w:p>
    <w:p w14:paraId="68494B99">
      <w:pPr>
        <w:pStyle w:val="15"/>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（3）中标后不按本须知第31条的规定提交履约保证金的；</w:t>
      </w:r>
    </w:p>
    <w:p w14:paraId="7C323A38">
      <w:pPr>
        <w:pStyle w:val="15"/>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（4）中标后不按本须知第32条的规定缴纳中标服务费的；</w:t>
      </w:r>
    </w:p>
    <w:p w14:paraId="27C63377">
      <w:pPr>
        <w:pStyle w:val="15"/>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（5）存在其他违法违规行为的。</w:t>
      </w:r>
    </w:p>
    <w:p w14:paraId="6B719AB4">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bookmarkStart w:id="92" w:name="_Ref467306336"/>
      <w:r>
        <w:rPr>
          <w:rFonts w:hint="eastAsia" w:ascii="宋体" w:hAnsi="宋体" w:eastAsia="宋体" w:cs="宋体"/>
          <w:color w:val="auto"/>
          <w:sz w:val="24"/>
          <w:highlight w:val="none"/>
        </w:rPr>
        <w:t>12.3</w:t>
      </w:r>
      <w:r>
        <w:rPr>
          <w:rFonts w:hint="eastAsia" w:ascii="宋体" w:hAnsi="宋体" w:eastAsia="宋体" w:cs="宋体"/>
          <w:color w:val="auto"/>
          <w:sz w:val="24"/>
          <w:highlight w:val="none"/>
        </w:rPr>
        <w:tab/>
      </w:r>
      <w:bookmarkEnd w:id="92"/>
      <w:r>
        <w:rPr>
          <w:rFonts w:hint="eastAsia" w:ascii="宋体" w:hAnsi="宋体" w:eastAsia="宋体" w:cs="宋体"/>
          <w:color w:val="auto"/>
          <w:sz w:val="24"/>
          <w:highlight w:val="none"/>
        </w:rPr>
        <w:t>政府采购信用担保试点范围内的项目，接受符合财政部门规定的政府采购投标担保函原件。</w:t>
      </w:r>
    </w:p>
    <w:p w14:paraId="7A555C1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投标人未按本须知第12.1和12.3条规定提交投标保证金的，其投标将被认定为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339299B">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12.4.1  采用电汇形式的，一般可以实时入账。</w:t>
      </w:r>
    </w:p>
    <w:p w14:paraId="7000E84C">
      <w:pPr>
        <w:pageBreakBefore w:val="0"/>
        <w:widowControl w:val="0"/>
        <w:kinsoku/>
        <w:wordWrap/>
        <w:overflowPunct/>
        <w:topLinePunct w:val="0"/>
        <w:bidi w:val="0"/>
        <w:snapToGrid/>
        <w:spacing w:line="240" w:lineRule="atLeast"/>
        <w:ind w:left="960" w:leftChars="0" w:hanging="960" w:hangingChars="4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14:paraId="24BF1903">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12.5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联合体投标的，可以由联合体中的一方或者共同提交投标保证金。以一方名义提交投标保证金的，对联合体各方均具有约束力。</w:t>
      </w:r>
    </w:p>
    <w:p w14:paraId="307C224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投标保证金的退还</w:t>
      </w:r>
    </w:p>
    <w:p w14:paraId="774C326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12.6.1  中标人应在与采购人签订合同之日起5个工作日内，及时联系保证金收受机构办理投标保证金无息退还手续。</w:t>
      </w:r>
    </w:p>
    <w:p w14:paraId="67DF99E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12.6.2  未中标投标人的投标保证金将在中标通知书发出之日暨中标结果公告公布之日起5个工作日内无息退还。投标人应及时联系保证金收受机构办理退还投标保证金手续。</w:t>
      </w:r>
    </w:p>
    <w:p w14:paraId="67B2D6F6">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12.6.3  政府采购投标担保函不予退回。</w:t>
      </w:r>
    </w:p>
    <w:p w14:paraId="3D24506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12.7    因投标人自身原因导致无法及时退还的，采购人或采购代理机构将不承担相应责任。</w:t>
      </w:r>
    </w:p>
    <w:p w14:paraId="794A4A0C">
      <w:pPr>
        <w:pStyle w:val="4"/>
        <w:spacing w:before="0" w:after="0" w:line="240" w:lineRule="atLeast"/>
        <w:rPr>
          <w:rFonts w:hint="eastAsia" w:ascii="宋体" w:hAnsi="宋体" w:eastAsia="宋体" w:cs="宋体"/>
          <w:color w:val="auto"/>
          <w:highlight w:val="none"/>
          <w:u w:val="none"/>
        </w:rPr>
      </w:pPr>
      <w:bookmarkStart w:id="93" w:name="_Toc22901"/>
      <w:bookmarkStart w:id="94" w:name="_Toc515647772"/>
      <w:bookmarkStart w:id="95" w:name="_Toc520356157"/>
      <w:bookmarkStart w:id="96" w:name="_Toc23590"/>
      <w:bookmarkStart w:id="97" w:name="_Toc32569"/>
      <w:r>
        <w:rPr>
          <w:rFonts w:hint="eastAsia" w:ascii="宋体" w:hAnsi="宋体" w:eastAsia="宋体" w:cs="宋体"/>
          <w:color w:val="auto"/>
          <w:highlight w:val="none"/>
          <w:u w:val="none"/>
        </w:rPr>
        <w:t>13.投标有效期</w:t>
      </w:r>
      <w:bookmarkEnd w:id="93"/>
      <w:bookmarkEnd w:id="94"/>
      <w:bookmarkEnd w:id="95"/>
      <w:bookmarkEnd w:id="96"/>
      <w:bookmarkEnd w:id="97"/>
    </w:p>
    <w:p w14:paraId="62F5ADD7">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投标应在</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中规定时间内保持有效。投标有效期不满足要求的投标，其投标将被认定为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02A58EC1">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14:paraId="075D91F7">
      <w:pPr>
        <w:pStyle w:val="4"/>
        <w:pageBreakBefore w:val="0"/>
        <w:widowControl w:val="0"/>
        <w:kinsoku/>
        <w:wordWrap/>
        <w:overflowPunct/>
        <w:topLinePunct w:val="0"/>
        <w:bidi w:val="0"/>
        <w:snapToGrid/>
        <w:spacing w:before="0" w:after="0" w:line="240" w:lineRule="atLeast"/>
        <w:ind w:left="960" w:hanging="960" w:hangingChars="400"/>
        <w:textAlignment w:val="auto"/>
        <w:rPr>
          <w:rFonts w:hint="eastAsia" w:ascii="宋体" w:hAnsi="宋体" w:eastAsia="宋体" w:cs="宋体"/>
          <w:color w:val="auto"/>
          <w:highlight w:val="none"/>
          <w:u w:val="none"/>
        </w:rPr>
      </w:pPr>
      <w:bookmarkStart w:id="98" w:name="_Toc520356158"/>
      <w:bookmarkStart w:id="99" w:name="_Toc493"/>
      <w:bookmarkStart w:id="100" w:name="_Toc17609"/>
      <w:bookmarkStart w:id="101" w:name="_Toc515647773"/>
      <w:bookmarkStart w:id="102" w:name="_Toc17074"/>
      <w:r>
        <w:rPr>
          <w:rFonts w:hint="eastAsia" w:ascii="宋体" w:hAnsi="宋体" w:eastAsia="宋体" w:cs="宋体"/>
          <w:color w:val="auto"/>
          <w:highlight w:val="none"/>
          <w:u w:val="none"/>
        </w:rPr>
        <w:t>14.投标文件的签署</w:t>
      </w:r>
      <w:bookmarkEnd w:id="98"/>
      <w:r>
        <w:rPr>
          <w:rFonts w:hint="eastAsia" w:ascii="宋体" w:hAnsi="宋体" w:eastAsia="宋体" w:cs="宋体"/>
          <w:color w:val="auto"/>
          <w:highlight w:val="none"/>
          <w:u w:val="none"/>
        </w:rPr>
        <w:t>及规定</w:t>
      </w:r>
      <w:bookmarkEnd w:id="99"/>
      <w:bookmarkEnd w:id="100"/>
      <w:bookmarkEnd w:id="101"/>
      <w:bookmarkEnd w:id="102"/>
    </w:p>
    <w:p w14:paraId="7FE2D78C">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bookmarkStart w:id="103" w:name="_Toc11179"/>
      <w:bookmarkStart w:id="104" w:name="_Toc520356159"/>
      <w:bookmarkStart w:id="105" w:name="_Toc515647774"/>
      <w:bookmarkStart w:id="106" w:name="_Toc216582808"/>
      <w:bookmarkStart w:id="107" w:name="_Toc16865"/>
      <w:bookmarkStart w:id="108" w:name="_Toc25925"/>
      <w:r>
        <w:rPr>
          <w:rFonts w:hint="eastAsia" w:ascii="宋体" w:hAnsi="宋体" w:eastAsia="宋体" w:cs="宋体"/>
          <w:color w:val="auto"/>
          <w:sz w:val="24"/>
          <w:highlight w:val="none"/>
        </w:rPr>
        <w:t>14.1</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应按</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须知资料表中的规定，准备和递交</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加密上传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电子投标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w:t>
      </w:r>
    </w:p>
    <w:p w14:paraId="3B895510">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所有</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应按照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规定的格式填写、签署和盖章</w:t>
      </w:r>
      <w:r>
        <w:rPr>
          <w:rFonts w:hint="eastAsia" w:ascii="宋体" w:hAnsi="宋体" w:eastAsia="宋体" w:cs="宋体"/>
          <w:color w:val="auto"/>
          <w:sz w:val="24"/>
          <w:highlight w:val="none"/>
          <w:lang w:eastAsia="zh-CN"/>
        </w:rPr>
        <w:t>。</w:t>
      </w:r>
    </w:p>
    <w:p w14:paraId="4D8A74FB">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因字迹潦草、表达不清或</w:t>
      </w:r>
      <w:r>
        <w:rPr>
          <w:rFonts w:hint="eastAsia" w:ascii="宋体" w:hAnsi="宋体" w:eastAsia="宋体" w:cs="宋体"/>
          <w:color w:val="auto"/>
          <w:sz w:val="24"/>
          <w:highlight w:val="none"/>
          <w:lang w:val="en-US" w:eastAsia="zh-CN"/>
        </w:rPr>
        <w:t>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规定的格式填写、签署和盖章所引起的后果由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负责。</w:t>
      </w:r>
    </w:p>
    <w:p w14:paraId="3505E72B">
      <w:pPr>
        <w:pStyle w:val="3"/>
        <w:spacing w:before="0" w:line="240" w:lineRule="atLeast"/>
        <w:ind w:left="1079" w:leftChars="257" w:hanging="540"/>
        <w:rPr>
          <w:rFonts w:hint="eastAsia" w:ascii="宋体" w:hAnsi="宋体" w:eastAsia="宋体" w:cs="宋体"/>
          <w:color w:val="auto"/>
          <w:highlight w:val="none"/>
        </w:rPr>
      </w:pPr>
      <w:r>
        <w:rPr>
          <w:rFonts w:hint="eastAsia" w:ascii="宋体" w:hAnsi="宋体" w:eastAsia="宋体" w:cs="宋体"/>
          <w:color w:val="auto"/>
          <w:sz w:val="28"/>
          <w:highlight w:val="none"/>
        </w:rPr>
        <w:t>四   投标文件的递交</w:t>
      </w:r>
      <w:bookmarkEnd w:id="103"/>
      <w:bookmarkEnd w:id="104"/>
      <w:bookmarkEnd w:id="105"/>
      <w:bookmarkEnd w:id="106"/>
      <w:bookmarkEnd w:id="107"/>
      <w:bookmarkEnd w:id="108"/>
    </w:p>
    <w:p w14:paraId="304ADA00">
      <w:pPr>
        <w:pStyle w:val="4"/>
        <w:pageBreakBefore w:val="0"/>
        <w:widowControl w:val="0"/>
        <w:kinsoku/>
        <w:wordWrap/>
        <w:overflowPunct/>
        <w:topLinePunct w:val="0"/>
        <w:bidi w:val="0"/>
        <w:snapToGrid/>
        <w:spacing w:before="0" w:after="0" w:line="240" w:lineRule="atLeast"/>
        <w:ind w:left="960" w:hanging="960" w:hangingChars="400"/>
        <w:textAlignment w:val="auto"/>
        <w:rPr>
          <w:rFonts w:hint="eastAsia" w:ascii="宋体" w:hAnsi="宋体" w:eastAsia="宋体" w:cs="宋体"/>
          <w:color w:val="auto"/>
          <w:highlight w:val="none"/>
          <w:u w:val="none"/>
        </w:rPr>
      </w:pPr>
      <w:bookmarkStart w:id="109" w:name="_Toc21645"/>
      <w:bookmarkStart w:id="110" w:name="_Toc515647775"/>
      <w:bookmarkStart w:id="111" w:name="_Toc520356160"/>
      <w:bookmarkStart w:id="112" w:name="_Toc26195"/>
      <w:bookmarkStart w:id="113" w:name="_Toc32337"/>
      <w:r>
        <w:rPr>
          <w:rFonts w:hint="eastAsia" w:ascii="宋体" w:hAnsi="宋体" w:eastAsia="宋体" w:cs="宋体"/>
          <w:color w:val="auto"/>
          <w:highlight w:val="none"/>
          <w:u w:val="none"/>
        </w:rPr>
        <w:t>15.投标文件的密封和标记</w:t>
      </w:r>
      <w:bookmarkEnd w:id="109"/>
      <w:bookmarkEnd w:id="110"/>
      <w:bookmarkEnd w:id="111"/>
      <w:bookmarkEnd w:id="112"/>
      <w:bookmarkEnd w:id="113"/>
    </w:p>
    <w:p w14:paraId="1EC2BD4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bCs/>
          <w:color w:val="000000" w:themeColor="text1"/>
          <w:sz w:val="24"/>
          <w:highlight w:val="none"/>
          <w:lang w:val="en-US" w:eastAsia="zh-CN"/>
          <w14:textFill>
            <w14:solidFill>
              <w14:schemeClr w14:val="tx1"/>
            </w14:solidFill>
          </w14:textFill>
        </w:rPr>
      </w:pPr>
      <w:bookmarkStart w:id="114" w:name="_Toc9840"/>
      <w:bookmarkStart w:id="115" w:name="_Toc515647776"/>
      <w:bookmarkStart w:id="116" w:name="_Toc24017"/>
      <w:bookmarkStart w:id="117" w:name="_Toc520356161"/>
      <w:bookmarkStart w:id="118" w:name="_Toc12751"/>
      <w:r>
        <w:rPr>
          <w:rFonts w:hint="eastAsia" w:ascii="宋体" w:hAnsi="宋体" w:eastAsia="宋体" w:cs="宋体"/>
          <w:b/>
          <w:bCs/>
          <w:color w:val="000000" w:themeColor="text1"/>
          <w:sz w:val="24"/>
          <w:highlight w:val="none"/>
          <w14:textFill>
            <w14:solidFill>
              <w14:schemeClr w14:val="tx1"/>
            </w14:solidFill>
          </w14:textFill>
        </w:rPr>
        <w:t xml:space="preserve">15.1  </w:t>
      </w:r>
      <w:r>
        <w:rPr>
          <w:rFonts w:hint="eastAsia" w:ascii="宋体" w:hAnsi="宋体" w:cs="宋体"/>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投标人</w:t>
      </w:r>
      <w:r>
        <w:rPr>
          <w:rFonts w:hint="eastAsia" w:ascii="宋体" w:hAnsi="宋体" w:eastAsia="宋体" w:cs="宋体"/>
          <w:b/>
          <w:bCs/>
          <w:color w:val="000000" w:themeColor="text1"/>
          <w:sz w:val="24"/>
          <w:highlight w:val="none"/>
          <w14:textFill>
            <w14:solidFill>
              <w14:schemeClr w14:val="tx1"/>
            </w14:solidFill>
          </w14:textFill>
        </w:rPr>
        <w:t>应完整地按</w:t>
      </w:r>
      <w:r>
        <w:rPr>
          <w:rFonts w:hint="eastAsia" w:ascii="宋体" w:hAnsi="宋体" w:eastAsia="宋体" w:cs="宋体"/>
          <w:b/>
          <w:bCs/>
          <w:color w:val="000000" w:themeColor="text1"/>
          <w:sz w:val="24"/>
          <w:highlight w:val="none"/>
          <w:lang w:val="en-US" w:eastAsia="zh-CN"/>
          <w14:textFill>
            <w14:solidFill>
              <w14:schemeClr w14:val="tx1"/>
            </w14:solidFill>
          </w14:textFill>
        </w:rPr>
        <w:t>招标</w:t>
      </w:r>
      <w:r>
        <w:rPr>
          <w:rFonts w:hint="eastAsia" w:ascii="宋体" w:hAnsi="宋体" w:eastAsia="宋体" w:cs="宋体"/>
          <w:b/>
          <w:bCs/>
          <w:color w:val="000000" w:themeColor="text1"/>
          <w:sz w:val="24"/>
          <w:highlight w:val="none"/>
          <w:lang w:eastAsia="zh-CN"/>
          <w14:textFill>
            <w14:solidFill>
              <w14:schemeClr w14:val="tx1"/>
            </w14:solidFill>
          </w14:textFill>
        </w:rPr>
        <w:t>文件</w:t>
      </w:r>
      <w:r>
        <w:rPr>
          <w:rFonts w:hint="eastAsia" w:ascii="宋体" w:hAnsi="宋体" w:eastAsia="宋体" w:cs="宋体"/>
          <w:b/>
          <w:bCs/>
          <w:color w:val="000000" w:themeColor="text1"/>
          <w:sz w:val="24"/>
          <w:highlight w:val="none"/>
          <w14:textFill>
            <w14:solidFill>
              <w14:schemeClr w14:val="tx1"/>
            </w14:solidFill>
          </w14:textFill>
        </w:rPr>
        <w:t>提供的</w:t>
      </w:r>
      <w:r>
        <w:rPr>
          <w:rFonts w:hint="eastAsia" w:ascii="宋体" w:hAnsi="宋体" w:eastAsia="宋体" w:cs="宋体"/>
          <w:b/>
          <w:bCs/>
          <w:color w:val="000000" w:themeColor="text1"/>
          <w:sz w:val="24"/>
          <w:highlight w:val="none"/>
          <w:lang w:val="en-US" w:eastAsia="zh-CN"/>
          <w14:textFill>
            <w14:solidFill>
              <w14:schemeClr w14:val="tx1"/>
            </w14:solidFill>
          </w14:textFill>
        </w:rPr>
        <w:t>投标文件</w:t>
      </w:r>
      <w:r>
        <w:rPr>
          <w:rFonts w:hint="eastAsia" w:ascii="宋体" w:hAnsi="宋体" w:eastAsia="宋体" w:cs="宋体"/>
          <w:b/>
          <w:bCs/>
          <w:color w:val="000000" w:themeColor="text1"/>
          <w:sz w:val="24"/>
          <w:highlight w:val="none"/>
          <w14:textFill>
            <w14:solidFill>
              <w14:schemeClr w14:val="tx1"/>
            </w14:solidFill>
          </w14:textFill>
        </w:rPr>
        <w:t>格式及要求编写</w:t>
      </w:r>
      <w:r>
        <w:rPr>
          <w:rFonts w:hint="eastAsia" w:ascii="宋体" w:hAnsi="宋体" w:eastAsia="宋体" w:cs="宋体"/>
          <w:b/>
          <w:bCs/>
          <w:color w:val="000000" w:themeColor="text1"/>
          <w:sz w:val="24"/>
          <w:highlight w:val="none"/>
          <w:lang w:val="en-US" w:eastAsia="zh-CN"/>
          <w14:textFill>
            <w14:solidFill>
              <w14:schemeClr w14:val="tx1"/>
            </w14:solidFill>
          </w14:textFill>
        </w:rPr>
        <w:t>投标文件</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投标文件应包括“开标一览表及资格证明文件”和“商务及技术文件”两部分，投标人须在投标截止时间前完成在系统上递交电子投标文件</w:t>
      </w:r>
      <w:r>
        <w:rPr>
          <w:rFonts w:hint="eastAsia" w:ascii="宋体" w:hAnsi="宋体" w:cs="宋体"/>
          <w:b/>
          <w:bCs/>
          <w:color w:val="000000" w:themeColor="text1"/>
          <w:sz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两部分</w:t>
      </w:r>
      <w:r>
        <w:rPr>
          <w:rFonts w:hint="eastAsia" w:ascii="宋体" w:hAnsi="宋体" w:eastAsia="宋体" w:cs="宋体"/>
          <w:b/>
          <w:bCs/>
          <w:color w:val="000000" w:themeColor="text1"/>
          <w:sz w:val="24"/>
          <w:highlight w:val="none"/>
          <w:lang w:val="en-US" w:eastAsia="zh-CN"/>
          <w14:textFill>
            <w14:solidFill>
              <w14:schemeClr w14:val="tx1"/>
            </w14:solidFill>
          </w14:textFill>
        </w:rPr>
        <w:t>合并生成</w:t>
      </w:r>
      <w:r>
        <w:rPr>
          <w:rFonts w:hint="eastAsia" w:ascii="宋体" w:hAnsi="宋体" w:cs="宋体"/>
          <w:b/>
          <w:bCs/>
          <w:color w:val="000000" w:themeColor="text1"/>
          <w:sz w:val="24"/>
          <w:highlight w:val="none"/>
          <w:lang w:val="en-US" w:eastAsia="zh-CN"/>
          <w14:textFill>
            <w14:solidFill>
              <w14:schemeClr w14:val="tx1"/>
            </w14:solidFill>
          </w14:textFill>
        </w:rPr>
        <w:t>，需带有投标文件格式要求的封皮）</w:t>
      </w:r>
      <w:r>
        <w:rPr>
          <w:rFonts w:hint="eastAsia" w:ascii="宋体" w:hAnsi="宋体" w:eastAsia="宋体" w:cs="宋体"/>
          <w:b/>
          <w:bCs/>
          <w:color w:val="000000" w:themeColor="text1"/>
          <w:sz w:val="24"/>
          <w:highlight w:val="none"/>
          <w:lang w:val="en-US" w:eastAsia="zh-CN"/>
          <w14:textFill>
            <w14:solidFill>
              <w14:schemeClr w14:val="tx1"/>
            </w14:solidFill>
          </w14:textFill>
        </w:rPr>
        <w:t>。投标人的电子投标文件是经过CA证书加密后上传提交的，任何单位或个人均无法在投标截止时间</w:t>
      </w:r>
      <w:r>
        <w:rPr>
          <w:rFonts w:hint="eastAsia" w:ascii="宋体" w:hAnsi="宋体" w:cs="宋体"/>
          <w:b/>
          <w:bCs/>
          <w:color w:val="000000" w:themeColor="text1"/>
          <w:sz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即开标时间</w:t>
      </w:r>
      <w:r>
        <w:rPr>
          <w:rFonts w:hint="eastAsia" w:ascii="宋体" w:hAnsi="宋体" w:cs="宋体"/>
          <w:b/>
          <w:bCs/>
          <w:color w:val="000000" w:themeColor="text1"/>
          <w:sz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之前查看或篡改，不存在泄密风险。</w:t>
      </w:r>
    </w:p>
    <w:p w14:paraId="1E20DED8">
      <w:pPr>
        <w:pStyle w:val="4"/>
        <w:pageBreakBefore w:val="0"/>
        <w:widowControl w:val="0"/>
        <w:kinsoku/>
        <w:wordWrap/>
        <w:overflowPunct/>
        <w:topLinePunct w:val="0"/>
        <w:bidi w:val="0"/>
        <w:snapToGrid/>
        <w:spacing w:before="0" w:after="0" w:line="240" w:lineRule="atLeast"/>
        <w:ind w:left="960" w:hanging="960"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16.投标截止</w:t>
      </w:r>
      <w:bookmarkEnd w:id="114"/>
      <w:bookmarkEnd w:id="115"/>
      <w:bookmarkEnd w:id="116"/>
      <w:bookmarkEnd w:id="117"/>
      <w:bookmarkEnd w:id="118"/>
    </w:p>
    <w:p w14:paraId="6373FE6C">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投标人应在</w:t>
      </w:r>
      <w:r>
        <w:rPr>
          <w:rFonts w:hint="eastAsia" w:ascii="宋体" w:hAnsi="宋体" w:eastAsia="宋体" w:cs="宋体"/>
          <w:color w:val="auto"/>
          <w:sz w:val="24"/>
          <w:highlight w:val="none"/>
          <w:u w:val="single"/>
        </w:rPr>
        <w:t>投标人须知资料表中</w:t>
      </w:r>
      <w:r>
        <w:rPr>
          <w:rFonts w:hint="eastAsia" w:ascii="宋体" w:hAnsi="宋体" w:eastAsia="宋体" w:cs="宋体"/>
          <w:color w:val="auto"/>
          <w:sz w:val="24"/>
          <w:highlight w:val="none"/>
        </w:rPr>
        <w:t>规定的截止时间前，将投标文件递交到招标公告中规定的地点。</w:t>
      </w:r>
    </w:p>
    <w:p w14:paraId="48AF158D">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采购人和采购代理机构有权按本须知的规定，延迟投标截止时间。在此情况下，采购人、采购代理机构和投标人受投标截止时间制约的所有权利和义务均应延长至新的截止时间。</w:t>
      </w:r>
    </w:p>
    <w:p w14:paraId="377E5EF4">
      <w:pPr>
        <w:pStyle w:val="4"/>
        <w:pageBreakBefore w:val="0"/>
        <w:widowControl w:val="0"/>
        <w:kinsoku/>
        <w:wordWrap/>
        <w:overflowPunct/>
        <w:topLinePunct w:val="0"/>
        <w:bidi w:val="0"/>
        <w:snapToGrid/>
        <w:spacing w:before="0" w:after="0" w:line="240" w:lineRule="atLeast"/>
        <w:ind w:left="960" w:hanging="960" w:hangingChars="400"/>
        <w:textAlignment w:val="auto"/>
        <w:rPr>
          <w:rFonts w:hint="eastAsia" w:ascii="宋体" w:hAnsi="宋体" w:eastAsia="宋体" w:cs="宋体"/>
          <w:color w:val="auto"/>
          <w:highlight w:val="none"/>
          <w:u w:val="none"/>
        </w:rPr>
      </w:pPr>
      <w:bookmarkStart w:id="119" w:name="_Toc24275"/>
      <w:bookmarkStart w:id="120" w:name="_Toc24785"/>
      <w:bookmarkStart w:id="121" w:name="_Toc18537"/>
      <w:bookmarkStart w:id="122" w:name="_Toc520356162"/>
      <w:bookmarkStart w:id="123" w:name="_Toc515647777"/>
      <w:r>
        <w:rPr>
          <w:rFonts w:hint="eastAsia" w:ascii="宋体" w:hAnsi="宋体" w:eastAsia="宋体" w:cs="宋体"/>
          <w:color w:val="auto"/>
          <w:highlight w:val="none"/>
          <w:u w:val="none"/>
        </w:rPr>
        <w:t>17.投标文件的接收、修改与撤回</w:t>
      </w:r>
      <w:bookmarkEnd w:id="119"/>
      <w:bookmarkEnd w:id="120"/>
      <w:bookmarkEnd w:id="121"/>
      <w:bookmarkEnd w:id="122"/>
      <w:bookmarkEnd w:id="123"/>
    </w:p>
    <w:p w14:paraId="4340C026">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bookmarkStart w:id="124" w:name="_Toc216582809"/>
      <w:bookmarkStart w:id="125" w:name="_Toc28398"/>
      <w:bookmarkStart w:id="126" w:name="_Toc515647778"/>
      <w:bookmarkStart w:id="127" w:name="_Toc520356163"/>
      <w:bookmarkStart w:id="128" w:name="_Toc12436"/>
      <w:bookmarkStart w:id="129" w:name="_Toc20246"/>
      <w:r>
        <w:rPr>
          <w:rFonts w:hint="eastAsia" w:ascii="宋体" w:hAnsi="宋体" w:eastAsia="宋体" w:cs="宋体"/>
          <w:b w:val="0"/>
          <w:bCs w:val="0"/>
          <w:color w:val="auto"/>
          <w:sz w:val="24"/>
          <w:highlight w:val="none"/>
          <w:lang w:val="en-US" w:eastAsia="zh-CN"/>
        </w:rPr>
        <w:t>17.1</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在投标文件提交截止时间前，投标人须将电子投标文件成功完整上传到政采云平台项目采购系统。时间以政采云平台项目采购系统服务器从中国科学院国家授时中心取得的北京时间为准，投标截止时间结束后，系统将不允许投标人上传投标文件，已上传投标文件但未完成传输的文件系统将拒绝接收。</w:t>
      </w:r>
    </w:p>
    <w:p w14:paraId="1B968663">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17.2</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代理机构对因不可抗力事件造成的投标文件的损坏、丢失的，不承担责任。</w:t>
      </w:r>
    </w:p>
    <w:p w14:paraId="5FF77AE7">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17.3</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 xml:space="preserve">出现下述情形之一，属于未成功提交投标文件，按无效投标处理： </w:t>
      </w:r>
    </w:p>
    <w:p w14:paraId="0131D7C1">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（1）至提交投标文件截止时间，投标文件未完整上传的。 </w:t>
      </w:r>
    </w:p>
    <w:p w14:paraId="2C3A044B">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（2）投标文件未按投标格式中注明需签字盖章的要求进行签名（含电子签名）和加盖电子印章，或签名（含电子签名）或电子印章不完整的。 </w:t>
      </w:r>
    </w:p>
    <w:p w14:paraId="0B5FE898">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（3）投标文件损坏或格式不正确的。 </w:t>
      </w:r>
    </w:p>
    <w:p w14:paraId="19D6FAB6">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17.4</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在提交投标文件截止时间前，投标人可以修改或撤回未解密的电子投标文件，并于提交投标文件截止时间前将修改后重新生成的电子投标文件上传至政采云平台项目采购系统，到达投标文件提交截止时间后，将不允许修改或撤回。</w:t>
      </w:r>
    </w:p>
    <w:p w14:paraId="0AED6334">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17.5</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在提交投标文件截止时间后，投标人不得补充、修改和更换投标文件。</w:t>
      </w:r>
    </w:p>
    <w:p w14:paraId="74B3A344">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17.6 </w:t>
      </w:r>
      <w:r>
        <w:rPr>
          <w:rFonts w:hint="eastAsia" w:ascii="宋体" w:hAnsi="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lang w:val="en-US" w:eastAsia="zh-CN"/>
        </w:rPr>
        <w:t xml:space="preserve">  到达开标时间后，投标人需使用上传投标文件的同一数字证书解密，投标人须在采购代理机构规定的时间内完成投标文件解密，投标人因非系统原因导致的逾期未解密投标文件，将作无效投标处理。</w:t>
      </w:r>
    </w:p>
    <w:p w14:paraId="588F5B41">
      <w:pPr>
        <w:pStyle w:val="3"/>
        <w:spacing w:before="0" w:line="240" w:lineRule="atLeast"/>
        <w:ind w:left="1079" w:leftChars="257" w:hanging="540"/>
        <w:rPr>
          <w:rFonts w:hint="eastAsia" w:ascii="宋体" w:hAnsi="宋体" w:eastAsia="宋体" w:cs="宋体"/>
          <w:color w:val="auto"/>
          <w:sz w:val="28"/>
          <w:highlight w:val="none"/>
        </w:rPr>
      </w:pPr>
      <w:r>
        <w:rPr>
          <w:rFonts w:hint="eastAsia" w:ascii="宋体" w:hAnsi="宋体" w:eastAsia="宋体" w:cs="宋体"/>
          <w:color w:val="auto"/>
          <w:sz w:val="28"/>
          <w:highlight w:val="none"/>
        </w:rPr>
        <w:t>五   开标及评标</w:t>
      </w:r>
      <w:bookmarkEnd w:id="124"/>
      <w:bookmarkEnd w:id="125"/>
      <w:bookmarkEnd w:id="126"/>
      <w:bookmarkEnd w:id="127"/>
      <w:bookmarkEnd w:id="128"/>
      <w:bookmarkEnd w:id="129"/>
    </w:p>
    <w:p w14:paraId="17B66378">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30" w:name="_Toc17257"/>
      <w:bookmarkStart w:id="131" w:name="_Toc520356164"/>
      <w:bookmarkStart w:id="132" w:name="_Toc515647779"/>
      <w:bookmarkStart w:id="133" w:name="_Toc7186"/>
      <w:bookmarkStart w:id="134" w:name="_Toc25345"/>
      <w:r>
        <w:rPr>
          <w:rFonts w:hint="eastAsia" w:hAnsi="宋体" w:cs="宋体"/>
          <w:color w:val="auto"/>
          <w:highlight w:val="none"/>
          <w:u w:val="none"/>
          <w:lang w:val="en-US" w:eastAsia="zh-CN"/>
        </w:rPr>
        <w:t>18.</w:t>
      </w:r>
      <w:r>
        <w:rPr>
          <w:rFonts w:hint="eastAsia" w:ascii="宋体" w:hAnsi="宋体" w:eastAsia="宋体" w:cs="宋体"/>
          <w:color w:val="auto"/>
          <w:highlight w:val="none"/>
          <w:u w:val="none"/>
        </w:rPr>
        <w:t>开标</w:t>
      </w:r>
      <w:bookmarkEnd w:id="130"/>
      <w:bookmarkEnd w:id="131"/>
      <w:bookmarkEnd w:id="132"/>
      <w:bookmarkEnd w:id="133"/>
      <w:bookmarkEnd w:id="134"/>
    </w:p>
    <w:p w14:paraId="19B48F01">
      <w:pPr>
        <w:pageBreakBefore w:val="0"/>
        <w:widowControl w:val="0"/>
        <w:numPr>
          <w:ilvl w:val="1"/>
          <w:numId w:val="0"/>
        </w:numPr>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bookmarkStart w:id="135" w:name="_Toc520356165"/>
      <w:bookmarkStart w:id="136" w:name="_Toc19296"/>
      <w:bookmarkStart w:id="137" w:name="_Toc31290"/>
      <w:bookmarkStart w:id="138" w:name="_Toc21372"/>
      <w:bookmarkStart w:id="139" w:name="_Toc515647780"/>
      <w:r>
        <w:rPr>
          <w:rFonts w:hint="default" w:ascii="宋体" w:hAnsi="宋体" w:eastAsia="宋体" w:cs="宋体"/>
          <w:color w:val="auto"/>
          <w:kern w:val="2"/>
          <w:sz w:val="24"/>
          <w:szCs w:val="24"/>
          <w:highlight w:val="none"/>
          <w:lang w:val="en-US" w:eastAsia="zh-CN" w:bidi="ar-SA"/>
        </w:rPr>
        <w:t>18.1</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sz w:val="24"/>
          <w:highlight w:val="none"/>
        </w:rPr>
        <w:t>采购人和采购代理机构将按</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中规定的开标时间和地点组织公开开标。</w:t>
      </w:r>
    </w:p>
    <w:p w14:paraId="1889E78A">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投标人不足3家的，不得开标。</w:t>
      </w:r>
    </w:p>
    <w:p w14:paraId="538A438E">
      <w:pPr>
        <w:pageBreakBefore w:val="0"/>
        <w:widowControl w:val="0"/>
        <w:numPr>
          <w:ilvl w:val="1"/>
          <w:numId w:val="0"/>
        </w:numPr>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18.2</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sz w:val="24"/>
          <w:highlight w:val="none"/>
          <w:lang w:val="en-US" w:eastAsia="zh-CN"/>
        </w:rPr>
        <w:t>投标人应当按照本招标文件载明的时间和模式等要求参加开标。开标时，投标人应当使用上传本项目（</w:t>
      </w:r>
      <w:r>
        <w:rPr>
          <w:rFonts w:hint="eastAsia" w:ascii="宋体" w:hAnsi="宋体" w:cs="宋体"/>
          <w:color w:val="auto"/>
          <w:sz w:val="24"/>
          <w:highlight w:val="none"/>
          <w:lang w:val="en-US" w:eastAsia="zh-CN"/>
        </w:rPr>
        <w:t>标段</w:t>
      </w:r>
      <w:r>
        <w:rPr>
          <w:rFonts w:hint="eastAsia" w:ascii="宋体" w:hAnsi="宋体" w:eastAsia="宋体" w:cs="宋体"/>
          <w:color w:val="auto"/>
          <w:sz w:val="24"/>
          <w:highlight w:val="none"/>
          <w:lang w:val="en-US" w:eastAsia="zh-CN"/>
        </w:rPr>
        <w:t>）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不见面电子开标，各投标人在参加开标以前须自行对使用电脑的网络环境、驱动安装、客户端安装以及数字证书的有效性等进行检测，确保可以正常使用）。</w:t>
      </w:r>
    </w:p>
    <w:p w14:paraId="79C5DD2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18.3    采购人或采购代理机构将对开标过程进行记录，由参加开标的各投标人代表和相关工作人员签字确认，并存档备查。</w:t>
      </w:r>
    </w:p>
    <w:p w14:paraId="6559E8E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18.4    投标人代表对开标过程和开标记录有疑义，以及认为采购人、采购代理机构相关工作人员有需要回避的情形的，应当场提出询问或者回避申请。</w:t>
      </w:r>
    </w:p>
    <w:p w14:paraId="0877740E">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19.</w:t>
      </w:r>
      <w:bookmarkEnd w:id="135"/>
      <w:r>
        <w:rPr>
          <w:rFonts w:hint="eastAsia" w:ascii="宋体" w:hAnsi="宋体" w:eastAsia="宋体" w:cs="宋体"/>
          <w:color w:val="auto"/>
          <w:highlight w:val="none"/>
          <w:u w:val="none"/>
        </w:rPr>
        <w:t>资格审查及组建评标委员会</w:t>
      </w:r>
      <w:bookmarkEnd w:id="136"/>
      <w:bookmarkEnd w:id="137"/>
      <w:bookmarkEnd w:id="138"/>
      <w:bookmarkEnd w:id="139"/>
    </w:p>
    <w:p w14:paraId="7BEF32A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采购人或采购代理机构将在开标</w:t>
      </w:r>
      <w:r>
        <w:rPr>
          <w:rFonts w:hint="eastAsia" w:ascii="宋体" w:hAnsi="宋体" w:eastAsia="宋体" w:cs="宋体"/>
          <w:color w:val="auto"/>
          <w:sz w:val="24"/>
          <w:highlight w:val="none"/>
          <w:lang w:eastAsia="zh-CN"/>
        </w:rPr>
        <w:t>后</w:t>
      </w:r>
      <w:r>
        <w:rPr>
          <w:rFonts w:hint="eastAsia" w:ascii="宋体" w:hAnsi="宋体" w:eastAsia="宋体" w:cs="宋体"/>
          <w:color w:val="auto"/>
          <w:sz w:val="24"/>
          <w:highlight w:val="none"/>
          <w:lang w:val="en-US" w:eastAsia="zh-CN"/>
        </w:rPr>
        <w:t>1个小时</w:t>
      </w:r>
      <w:r>
        <w:rPr>
          <w:rFonts w:hint="eastAsia" w:ascii="宋体" w:hAnsi="宋体" w:eastAsia="宋体" w:cs="宋体"/>
          <w:color w:val="auto"/>
          <w:sz w:val="24"/>
          <w:highlight w:val="none"/>
        </w:rPr>
        <w:t>内查询投标人的信用记录。投标人存在不良信用记录的，其投标将被认定为投标无效。</w:t>
      </w:r>
    </w:p>
    <w:p w14:paraId="2DA8D51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19.2</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不良信用记录指：投标人被“信用中国”网站列入失信被执行人和重大税收违法案件当事人名单的、被“中国政府采购网”网站列入政府采购严重违法失信行为记录名单（处罚期限尚未届满的）的供应商，及国家企业信用信息公示系统(http://www.gsxt.gov.cn)被列入失信被执行人、重大税收违法案件当事人名单中的，以及存在《中华人民共和国政府采购法实施条例》第十九条规定的行政处罚记录。</w:t>
      </w:r>
      <w:r>
        <w:rPr>
          <w:rFonts w:hint="eastAsia" w:ascii="宋体" w:hAnsi="宋体" w:eastAsia="宋体" w:cs="宋体"/>
          <w:color w:val="auto"/>
          <w:sz w:val="24"/>
          <w:szCs w:val="24"/>
          <w:highlight w:val="none"/>
        </w:rPr>
        <w:t>以联合体形式参加投标的，联合体任何成员存在以上不良信用记录的，联合体投标将被认定为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382EC68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查询及记录方式：采购人或采购代理机构经办人将查询网页打印并存档备查。投标人不良信用记录以采购人或采购代理机构查询结果为准。在本</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规定的查询时间之后，网站信息发生的任何变更均不再作为评标依据。投标人自行提供的与网站信息不一致的其他证明材料亦不作为资格审查依据。</w:t>
      </w:r>
    </w:p>
    <w:p w14:paraId="7A8EBDCB">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按照《中华人民共和国政府采购法》、《中华人民共和国政府采购法实施条例》及本项目本级和上级财政部门的有关规定依法组建的评标委员会，负责评标工作。</w:t>
      </w:r>
      <w:bookmarkStart w:id="140" w:name="_Toc520356166"/>
      <w:r>
        <w:rPr>
          <w:rFonts w:hint="eastAsia" w:ascii="宋体" w:hAnsi="宋体" w:eastAsia="宋体" w:cs="宋体"/>
          <w:color w:val="auto"/>
          <w:sz w:val="24"/>
          <w:highlight w:val="none"/>
        </w:rPr>
        <w:t>本项目评标委员会成员</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名</w:t>
      </w:r>
      <w:r>
        <w:rPr>
          <w:rFonts w:hint="eastAsia" w:ascii="宋体" w:hAnsi="宋体" w:cs="宋体"/>
          <w:color w:val="auto"/>
          <w:sz w:val="24"/>
          <w:highlight w:val="none"/>
          <w:lang w:val="en-US" w:eastAsia="zh-CN"/>
        </w:rPr>
        <w:t>，（</w:t>
      </w:r>
      <w:r>
        <w:rPr>
          <w:rFonts w:hint="eastAsia" w:hAnsi="宋体" w:cs="宋体"/>
          <w:color w:val="auto"/>
          <w:sz w:val="24"/>
          <w:highlight w:val="none"/>
          <w:lang w:val="en-US" w:eastAsia="zh-CN"/>
        </w:rPr>
        <w:t>其中业主代表一名，</w:t>
      </w:r>
      <w:r>
        <w:rPr>
          <w:rFonts w:hint="eastAsia" w:ascii="宋体" w:hAnsi="宋体" w:eastAsia="宋体" w:cs="宋体"/>
          <w:color w:val="auto"/>
          <w:sz w:val="24"/>
          <w:highlight w:val="none"/>
          <w:lang w:val="en-US" w:eastAsia="zh-CN"/>
        </w:rPr>
        <w:t>政采云随机抽取专家</w:t>
      </w:r>
      <w:r>
        <w:rPr>
          <w:rFonts w:hint="eastAsia" w:hAnsi="宋体" w:cs="宋体"/>
          <w:color w:val="auto"/>
          <w:sz w:val="24"/>
          <w:highlight w:val="none"/>
          <w:lang w:val="en-US" w:eastAsia="zh-CN"/>
        </w:rPr>
        <w:t>4</w:t>
      </w:r>
      <w:r>
        <w:rPr>
          <w:rFonts w:hint="eastAsia" w:ascii="宋体" w:hAnsi="宋体" w:eastAsia="宋体" w:cs="宋体"/>
          <w:color w:val="auto"/>
          <w:sz w:val="24"/>
          <w:highlight w:val="none"/>
          <w:lang w:val="en-US" w:eastAsia="zh-CN"/>
        </w:rPr>
        <w:t>名</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w:t>
      </w:r>
    </w:p>
    <w:p w14:paraId="16F7BC6D">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b w:val="0"/>
          <w:bCs/>
          <w:color w:val="auto"/>
          <w:highlight w:val="none"/>
          <w:bdr w:val="single" w:color="auto" w:sz="4" w:space="0"/>
        </w:rPr>
      </w:pPr>
      <w:bookmarkStart w:id="141" w:name="_Toc19949"/>
      <w:bookmarkStart w:id="142" w:name="_Toc26332"/>
      <w:bookmarkStart w:id="143" w:name="_Toc28479"/>
      <w:bookmarkStart w:id="144" w:name="_Toc515647781"/>
      <w:r>
        <w:rPr>
          <w:rFonts w:hint="eastAsia" w:ascii="宋体" w:hAnsi="宋体" w:eastAsia="宋体" w:cs="宋体"/>
          <w:color w:val="auto"/>
          <w:highlight w:val="none"/>
          <w:u w:val="none"/>
        </w:rPr>
        <w:t>20.投标文件</w:t>
      </w:r>
      <w:bookmarkEnd w:id="140"/>
      <w:r>
        <w:rPr>
          <w:rFonts w:hint="eastAsia" w:ascii="宋体" w:hAnsi="宋体" w:eastAsia="宋体" w:cs="宋体"/>
          <w:color w:val="auto"/>
          <w:highlight w:val="none"/>
          <w:u w:val="none"/>
        </w:rPr>
        <w:t>符合性审查与澄清</w:t>
      </w:r>
      <w:bookmarkEnd w:id="141"/>
      <w:bookmarkEnd w:id="142"/>
      <w:bookmarkEnd w:id="143"/>
      <w:bookmarkEnd w:id="144"/>
    </w:p>
    <w:p w14:paraId="7F95F0B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20.1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符合性审查是指依据招标文件的规定，从投标文件的有效性和完整性对招标文件的响应程度进行审查，以确定是否对招标文件的实质性要求做出响应。</w:t>
      </w:r>
      <w:bookmarkStart w:id="145" w:name="_Hlt522424701"/>
      <w:bookmarkEnd w:id="145"/>
      <w:bookmarkStart w:id="146" w:name="_Toc520356167"/>
    </w:p>
    <w:p w14:paraId="72CAA244">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投标文件的澄清</w:t>
      </w:r>
    </w:p>
    <w:p w14:paraId="28120AB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14:paraId="3CE6468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20.2.2  投标人的的澄清、说明或补正将作为投标文件的一部分。</w:t>
      </w:r>
    </w:p>
    <w:p w14:paraId="38A117B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投标文件报价出现前后不一致的，按照下列规定修正：</w:t>
      </w:r>
    </w:p>
    <w:p w14:paraId="50FFB5E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（一）投标文件中开标一览表（报价表）内容与投标文件中相应内容不一致的，以开标一览表（报价表）为准；</w:t>
      </w:r>
    </w:p>
    <w:p w14:paraId="4F6D373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（二）大写金额和小写金额不一致的，以大写金额为准；</w:t>
      </w:r>
    </w:p>
    <w:p w14:paraId="736FED3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（三）单价金额小数点或者百分比有明显错位的，以开标一览表的总价为准，并修改单价；</w:t>
      </w:r>
    </w:p>
    <w:p w14:paraId="463217A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（四）总价金额与按单价汇总金额不一致的，以单价金额计算结果为准。</w:t>
      </w:r>
    </w:p>
    <w:p w14:paraId="6B35B87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同时出现两种以上不一致的，按照前款规定的顺序修正。修正后的报价按照第20.2条的规定经投标人确认后产生约束力，投标人不确认的，其投标将被认定为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6D1D3FE4">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3CE2A91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20.4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如一个分包内只有一种产品，不同投标人所投产品为同一品牌的，按如下方式处理：</w:t>
      </w:r>
    </w:p>
    <w:p w14:paraId="1FE09A3B">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098D73A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20.4.2  如本项目使用综合评分法，提供相同品牌产品且通过资格审查、符合性审查的不同投标人，按不同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14:paraId="1E67697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20.5    如一个分包内包含多种产品的，采购人或采购代理机构将在投标人须知资料表中载明核心产品，多家投标人提供的核心产品品牌相同的，按第20.4条规定处理。</w:t>
      </w:r>
    </w:p>
    <w:p w14:paraId="690F5D15">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47" w:name="_Toc6364"/>
      <w:bookmarkStart w:id="148" w:name="_Toc515647782"/>
      <w:bookmarkStart w:id="149" w:name="_Toc9469"/>
      <w:bookmarkStart w:id="150" w:name="_Toc18529"/>
      <w:r>
        <w:rPr>
          <w:rFonts w:hint="eastAsia" w:ascii="宋体" w:hAnsi="宋体" w:eastAsia="宋体" w:cs="宋体"/>
          <w:color w:val="auto"/>
          <w:highlight w:val="none"/>
          <w:u w:val="none"/>
        </w:rPr>
        <w:t>21.投标偏离</w:t>
      </w:r>
      <w:bookmarkEnd w:id="147"/>
      <w:bookmarkEnd w:id="148"/>
      <w:bookmarkEnd w:id="149"/>
      <w:bookmarkEnd w:id="150"/>
    </w:p>
    <w:p w14:paraId="1044889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评标委员会可以接受投标文件中不构成实质性偏离的不正规或不一致。</w:t>
      </w:r>
    </w:p>
    <w:p w14:paraId="742D3388">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51" w:name="_Toc515647783"/>
      <w:bookmarkStart w:id="152" w:name="_Toc4950"/>
      <w:bookmarkStart w:id="153" w:name="_Toc23936"/>
      <w:bookmarkStart w:id="154" w:name="_Toc6092"/>
      <w:r>
        <w:rPr>
          <w:rFonts w:hint="eastAsia" w:ascii="宋体" w:hAnsi="宋体" w:eastAsia="宋体" w:cs="宋体"/>
          <w:color w:val="auto"/>
          <w:highlight w:val="none"/>
          <w:u w:val="none"/>
        </w:rPr>
        <w:t>22.投标</w:t>
      </w:r>
      <w:bookmarkEnd w:id="151"/>
      <w:r>
        <w:rPr>
          <w:rFonts w:hint="eastAsia" w:ascii="宋体" w:hAnsi="宋体" w:eastAsia="宋体" w:cs="宋体"/>
          <w:color w:val="auto"/>
          <w:highlight w:val="none"/>
          <w:u w:val="none"/>
        </w:rPr>
        <w:t>无效</w:t>
      </w:r>
      <w:bookmarkEnd w:id="152"/>
      <w:bookmarkEnd w:id="153"/>
      <w:bookmarkEnd w:id="154"/>
    </w:p>
    <w:p w14:paraId="4FBC77F4">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22.1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。投标人不得通过修正或撤销不符合要求的偏离，从而使其投标成为实质上响应的投标。</w:t>
      </w:r>
    </w:p>
    <w:p w14:paraId="50FFE0BD">
      <w:pPr>
        <w:keepNext w:val="0"/>
        <w:keepLines w:val="0"/>
        <w:pageBreakBefore w:val="0"/>
        <w:widowControl w:val="0"/>
        <w:kinsoku/>
        <w:wordWrap/>
        <w:overflowPunct/>
        <w:topLinePunct w:val="0"/>
        <w:autoSpaceDE/>
        <w:autoSpaceDN/>
        <w:bidi w:val="0"/>
        <w:adjustRightInd/>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评标委员会决定投标的响应性只根据招标文件要求、投标文件内容及财政主管部门指定相关信息发布媒体。</w:t>
      </w:r>
    </w:p>
    <w:p w14:paraId="72C6F76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如发现下列情况之一的，其投标将被认定为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以下情形应当在招标文件中规定，并以醒目的方式标明</w:t>
      </w:r>
      <w:r>
        <w:rPr>
          <w:rFonts w:hint="eastAsia" w:ascii="宋体" w:hAnsi="宋体" w:eastAsia="宋体" w:cs="宋体"/>
          <w:color w:val="auto"/>
          <w:sz w:val="24"/>
          <w:highlight w:val="none"/>
        </w:rPr>
        <w:t>）</w:t>
      </w:r>
    </w:p>
    <w:p w14:paraId="7EB5A784">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（1）</w:t>
      </w:r>
      <w:r>
        <w:rPr>
          <w:rFonts w:hint="eastAsia" w:ascii="宋体" w:hAnsi="宋体" w:eastAsia="宋体" w:cs="宋体"/>
          <w:b/>
          <w:bCs/>
          <w:color w:val="auto"/>
          <w:sz w:val="24"/>
          <w:highlight w:val="none"/>
        </w:rPr>
        <w:t>未按招标文件规定的形式和金额提交投标保证金的；</w:t>
      </w:r>
    </w:p>
    <w:p w14:paraId="16232733">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（2）</w:t>
      </w:r>
      <w:r>
        <w:rPr>
          <w:rFonts w:hint="eastAsia" w:ascii="宋体" w:hAnsi="宋体" w:eastAsia="宋体" w:cs="宋体"/>
          <w:b/>
          <w:bCs/>
          <w:color w:val="auto"/>
          <w:sz w:val="24"/>
          <w:highlight w:val="none"/>
        </w:rPr>
        <w:t>未按照招标文件规定要求签署、盖章的；</w:t>
      </w:r>
    </w:p>
    <w:p w14:paraId="1EAE2CB3">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（3）</w:t>
      </w:r>
      <w:r>
        <w:rPr>
          <w:rFonts w:hint="eastAsia" w:ascii="宋体" w:hAnsi="宋体" w:eastAsia="宋体" w:cs="宋体"/>
          <w:b/>
          <w:bCs/>
          <w:color w:val="auto"/>
          <w:sz w:val="24"/>
          <w:highlight w:val="none"/>
        </w:rPr>
        <w:t>未满足招标文件中技术条款的实质性要求；</w:t>
      </w:r>
    </w:p>
    <w:p w14:paraId="7C3101CD">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（4）</w:t>
      </w:r>
      <w:r>
        <w:rPr>
          <w:rFonts w:hint="eastAsia" w:ascii="宋体" w:hAnsi="宋体" w:eastAsia="宋体" w:cs="宋体"/>
          <w:b/>
          <w:bCs/>
          <w:color w:val="auto"/>
          <w:sz w:val="24"/>
          <w:highlight w:val="none"/>
        </w:rPr>
        <w:t>与其他投标人串通投标，或者与招标人串通投标；</w:t>
      </w:r>
    </w:p>
    <w:p w14:paraId="55A9727F">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（5）</w:t>
      </w:r>
      <w:r>
        <w:rPr>
          <w:rFonts w:hint="eastAsia" w:ascii="宋体" w:hAnsi="宋体" w:eastAsia="宋体" w:cs="宋体"/>
          <w:b/>
          <w:bCs/>
          <w:color w:val="auto"/>
          <w:sz w:val="24"/>
          <w:highlight w:val="none"/>
        </w:rPr>
        <w:t>属于招标文件规定的其他投标无效情形；</w:t>
      </w:r>
    </w:p>
    <w:p w14:paraId="110290DE">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（6）</w:t>
      </w:r>
      <w:r>
        <w:rPr>
          <w:rFonts w:hint="eastAsia" w:ascii="宋体" w:hAnsi="宋体" w:eastAsia="宋体" w:cs="宋体"/>
          <w:b/>
          <w:bCs/>
          <w:color w:val="auto"/>
          <w:sz w:val="24"/>
          <w:highlight w:val="none"/>
        </w:rPr>
        <w:t>评标委员会认为投标人的报价明显低于其他通过符合性检查投标人的报价，有可能影响履约的，且投标人未按照规定证明其报价合理性的；</w:t>
      </w:r>
    </w:p>
    <w:p w14:paraId="390377F3">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（7）</w:t>
      </w:r>
      <w:r>
        <w:rPr>
          <w:rFonts w:hint="eastAsia" w:ascii="宋体" w:hAnsi="宋体" w:eastAsia="宋体" w:cs="宋体"/>
          <w:b/>
          <w:bCs/>
          <w:color w:val="auto"/>
          <w:sz w:val="24"/>
          <w:highlight w:val="none"/>
        </w:rPr>
        <w:t>投标文件含有采购人不能接受的附加条件的；</w:t>
      </w:r>
    </w:p>
    <w:p w14:paraId="13E42F3F">
      <w:pPr>
        <w:pageBreakBefore w:val="0"/>
        <w:widowControl w:val="0"/>
        <w:numPr>
          <w:ilvl w:val="0"/>
          <w:numId w:val="0"/>
        </w:numPr>
        <w:tabs>
          <w:tab w:val="left" w:pos="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（8）</w:t>
      </w:r>
      <w:r>
        <w:rPr>
          <w:rFonts w:hint="eastAsia" w:ascii="宋体" w:hAnsi="宋体" w:eastAsia="宋体" w:cs="宋体"/>
          <w:b/>
          <w:bCs/>
          <w:color w:val="auto"/>
          <w:sz w:val="24"/>
          <w:highlight w:val="none"/>
        </w:rPr>
        <w:t>不符合法规和招标文件中规定的其他实质性要求的。</w:t>
      </w:r>
    </w:p>
    <w:p w14:paraId="0C7058B7">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55" w:name="_Toc13652"/>
      <w:bookmarkStart w:id="156" w:name="_Toc8521"/>
      <w:bookmarkStart w:id="157" w:name="_Toc22941"/>
      <w:bookmarkStart w:id="158" w:name="_Toc515647784"/>
      <w:r>
        <w:rPr>
          <w:rFonts w:hint="eastAsia" w:ascii="宋体" w:hAnsi="宋体" w:eastAsia="宋体" w:cs="宋体"/>
          <w:color w:val="auto"/>
          <w:highlight w:val="none"/>
          <w:u w:val="none"/>
        </w:rPr>
        <w:t>23.</w:t>
      </w:r>
      <w:bookmarkEnd w:id="146"/>
      <w:r>
        <w:rPr>
          <w:rFonts w:hint="eastAsia" w:ascii="宋体" w:hAnsi="宋体" w:eastAsia="宋体" w:cs="宋体"/>
          <w:color w:val="auto"/>
          <w:highlight w:val="none"/>
          <w:u w:val="none"/>
        </w:rPr>
        <w:t>比较与评价</w:t>
      </w:r>
      <w:bookmarkEnd w:id="155"/>
      <w:bookmarkEnd w:id="156"/>
      <w:bookmarkEnd w:id="157"/>
      <w:bookmarkEnd w:id="158"/>
    </w:p>
    <w:p w14:paraId="2A48F83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经符合性审查合格的投标文件，评标委员会将根据招标文件确定的评标方法和标准，对其技术部分和商务部分作进一步的比较和评价。</w:t>
      </w:r>
    </w:p>
    <w:p w14:paraId="1665D2B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23.2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评标严格按照招标文件的要求和条件进行。根据实际情况，在</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中规定采用下列（2）评标方法，详细评标标准见招标文件</w:t>
      </w:r>
      <w:r>
        <w:rPr>
          <w:rFonts w:hint="eastAsia" w:ascii="宋体" w:hAnsi="宋体" w:eastAsia="宋体" w:cs="宋体"/>
          <w:b/>
          <w:bCs/>
          <w:color w:val="auto"/>
          <w:sz w:val="24"/>
          <w:highlight w:val="none"/>
        </w:rPr>
        <w:t>第六章：</w:t>
      </w:r>
    </w:p>
    <w:p w14:paraId="2F1F69A7">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77EC1796">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1903568A">
      <w:pPr>
        <w:pStyle w:val="5"/>
        <w:keepNext w:val="0"/>
        <w:keepLines w:val="0"/>
        <w:pageBreakBefore w:val="0"/>
        <w:widowControl w:val="0"/>
        <w:kinsoku/>
        <w:wordWrap/>
        <w:overflowPunct/>
        <w:topLinePunct w:val="0"/>
        <w:autoSpaceDE w:val="0"/>
        <w:autoSpaceDN w:val="0"/>
        <w:bidi w:val="0"/>
        <w:adjustRightInd w:val="0"/>
        <w:snapToGrid/>
        <w:ind w:left="960" w:leftChars="0" w:hanging="960" w:hangingChars="400"/>
        <w:textAlignment w:val="auto"/>
        <w:rPr>
          <w:rFonts w:hint="eastAsia"/>
          <w:color w:val="auto"/>
          <w:highlight w:val="none"/>
        </w:rPr>
      </w:pPr>
      <w:bookmarkStart w:id="159" w:name="_Toc520356168"/>
      <w:bookmarkStart w:id="160" w:name="_Toc31728"/>
      <w:bookmarkStart w:id="161" w:name="_Toc20227"/>
      <w:bookmarkStart w:id="162" w:name="_Toc515647785"/>
      <w:bookmarkStart w:id="163" w:name="_Toc9378"/>
      <w:r>
        <w:rPr>
          <w:rFonts w:hint="eastAsia" w:ascii="宋体" w:hAnsi="宋体" w:cs="宋体"/>
          <w:color w:val="auto"/>
          <w:sz w:val="24"/>
          <w:highlight w:val="none"/>
        </w:rPr>
        <w:t>23.</w:t>
      </w:r>
      <w:r>
        <w:rPr>
          <w:rFonts w:hint="eastAsia" w:ascii="宋体" w:hAnsi="宋体" w:cs="宋体"/>
          <w:color w:val="auto"/>
          <w:sz w:val="24"/>
          <w:highlight w:val="none"/>
          <w:lang w:val="en-US" w:eastAsia="zh-CN"/>
        </w:rPr>
        <w:t xml:space="preserve">3  </w:t>
      </w:r>
      <w:r>
        <w:rPr>
          <w:rFonts w:hint="eastAsia" w:hAnsi="宋体" w:cs="宋体"/>
          <w:color w:val="auto"/>
          <w:sz w:val="24"/>
          <w:highlight w:val="none"/>
          <w:lang w:val="en-US" w:eastAsia="zh-CN"/>
        </w:rPr>
        <w:t xml:space="preserve">  </w:t>
      </w:r>
      <w:r>
        <w:rPr>
          <w:rFonts w:hint="eastAsia" w:ascii="宋体" w:hAnsi="宋体" w:eastAsia="宋体" w:cs="宋体"/>
          <w:b/>
          <w:bCs/>
          <w:color w:val="auto"/>
          <w:kern w:val="2"/>
          <w:sz w:val="24"/>
          <w:szCs w:val="24"/>
          <w:highlight w:val="none"/>
          <w:lang w:val="en-US" w:eastAsia="zh-CN" w:bidi="ar-SA"/>
        </w:rPr>
        <w:t>本项目</w:t>
      </w:r>
      <w:r>
        <w:rPr>
          <w:rFonts w:hint="eastAsia" w:hAnsi="宋体" w:cs="宋体"/>
          <w:b/>
          <w:bCs/>
          <w:color w:val="auto"/>
          <w:kern w:val="2"/>
          <w:sz w:val="24"/>
          <w:szCs w:val="24"/>
          <w:highlight w:val="none"/>
          <w:lang w:val="en-US" w:eastAsia="zh-CN" w:bidi="ar-SA"/>
        </w:rPr>
        <w:t>不专门</w:t>
      </w:r>
      <w:r>
        <w:rPr>
          <w:rFonts w:hint="eastAsia" w:ascii="宋体" w:hAnsi="宋体" w:eastAsia="宋体" w:cs="宋体"/>
          <w:b/>
          <w:bCs/>
          <w:color w:val="auto"/>
          <w:kern w:val="2"/>
          <w:sz w:val="24"/>
          <w:szCs w:val="24"/>
          <w:highlight w:val="none"/>
          <w:lang w:val="en-US" w:eastAsia="zh-CN" w:bidi="ar-SA"/>
        </w:rPr>
        <w:t>面向中小企业采购。</w:t>
      </w:r>
      <w:r>
        <w:rPr>
          <w:rFonts w:hint="eastAsia" w:ascii="宋体" w:hAnsi="宋体" w:eastAsia="宋体" w:cs="宋体"/>
          <w:b/>
          <w:bCs/>
          <w:color w:val="auto"/>
          <w:sz w:val="24"/>
          <w:highlight w:val="none"/>
          <w:lang w:eastAsia="zh-CN"/>
        </w:rPr>
        <w:t>根据《财政部关于进一步加大政府采购支持中小企业力度的通知》财库〔2022〕19号</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lang w:eastAsia="zh-CN"/>
        </w:rPr>
        <w:t>《政府采购促进中小企业发展管理办法》（财库[2020]46号）、《财政部司法部关于政府采购支持监狱企业发展有关问题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w:t>
      </w:r>
      <w:r>
        <w:rPr>
          <w:rFonts w:hint="eastAsia" w:hAnsi="宋体" w:cs="宋体"/>
          <w:b/>
          <w:bCs/>
          <w:color w:val="auto"/>
          <w:sz w:val="24"/>
          <w:highlight w:val="none"/>
          <w:lang w:eastAsia="zh-CN"/>
        </w:rPr>
        <w:t>投标人</w:t>
      </w:r>
      <w:r>
        <w:rPr>
          <w:rFonts w:hint="eastAsia" w:ascii="宋体" w:hAnsi="宋体" w:eastAsia="宋体" w:cs="宋体"/>
          <w:b/>
          <w:bCs/>
          <w:color w:val="auto"/>
          <w:sz w:val="24"/>
          <w:highlight w:val="none"/>
          <w:lang w:eastAsia="zh-CN"/>
        </w:rPr>
        <w:t>，其报价扣除</w:t>
      </w:r>
      <w:r>
        <w:rPr>
          <w:rFonts w:hint="eastAsia" w:ascii="宋体" w:hAnsi="宋体" w:eastAsia="宋体" w:cs="宋体"/>
          <w:b/>
          <w:bCs/>
          <w:color w:val="FF0000"/>
          <w:sz w:val="24"/>
          <w:highlight w:val="none"/>
          <w:u w:val="single"/>
          <w:lang w:eastAsia="zh-CN"/>
        </w:rPr>
        <w:t xml:space="preserve"> 10 %</w:t>
      </w:r>
      <w:r>
        <w:rPr>
          <w:rFonts w:hint="eastAsia" w:hAnsi="宋体" w:cs="宋体"/>
          <w:b/>
          <w:bCs/>
          <w:color w:val="FF0000"/>
          <w:sz w:val="24"/>
          <w:highlight w:val="none"/>
          <w:u w:val="single"/>
          <w:lang w:val="en-US" w:eastAsia="zh-CN"/>
        </w:rPr>
        <w:t xml:space="preserve"> </w:t>
      </w:r>
      <w:r>
        <w:rPr>
          <w:rFonts w:hint="eastAsia" w:ascii="宋体" w:hAnsi="宋体" w:eastAsia="宋体" w:cs="宋体"/>
          <w:b/>
          <w:bCs/>
          <w:color w:val="auto"/>
          <w:sz w:val="24"/>
          <w:highlight w:val="none"/>
          <w:lang w:eastAsia="zh-CN"/>
        </w:rPr>
        <w:t>后参与评审。对于同时属于小型、微型及小微企业、监狱企业或残疾人福利性单位的，不重复进行报价扣除</w:t>
      </w:r>
      <w:r>
        <w:rPr>
          <w:rFonts w:hint="eastAsia" w:ascii="宋体" w:hAnsi="宋体" w:eastAsia="宋体" w:cs="宋体"/>
          <w:b/>
          <w:bCs/>
          <w:color w:val="auto"/>
          <w:kern w:val="2"/>
          <w:sz w:val="24"/>
          <w:szCs w:val="24"/>
          <w:highlight w:val="none"/>
          <w:lang w:val="en-US" w:eastAsia="zh-CN" w:bidi="ar-SA"/>
        </w:rPr>
        <w:t>。</w:t>
      </w:r>
    </w:p>
    <w:p w14:paraId="7097881D">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24</w:t>
      </w:r>
      <w:bookmarkEnd w:id="159"/>
      <w:r>
        <w:rPr>
          <w:rFonts w:hint="eastAsia" w:ascii="宋体" w:hAnsi="宋体" w:eastAsia="宋体" w:cs="宋体"/>
          <w:color w:val="auto"/>
          <w:highlight w:val="none"/>
          <w:u w:val="none"/>
        </w:rPr>
        <w:t>.废标</w:t>
      </w:r>
      <w:bookmarkEnd w:id="160"/>
      <w:bookmarkEnd w:id="161"/>
      <w:bookmarkEnd w:id="162"/>
      <w:bookmarkEnd w:id="163"/>
    </w:p>
    <w:p w14:paraId="3E71D093">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出现下列情形之一，将导致项目废标： </w:t>
      </w:r>
    </w:p>
    <w:p w14:paraId="742EEC7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（1）符合专业条件的供应商或者对招标文件做实质性响应的供应商不足三家；</w:t>
      </w:r>
    </w:p>
    <w:p w14:paraId="5FA0D06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（2）出现影响采购公正的违法、违规行为的；</w:t>
      </w:r>
    </w:p>
    <w:p w14:paraId="0FD44656">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49C49BC8">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（4）因重大变故，采购任务取消的。   </w:t>
      </w:r>
    </w:p>
    <w:p w14:paraId="223C5B08">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64" w:name="_Toc24972"/>
      <w:bookmarkStart w:id="165" w:name="_Toc11175"/>
      <w:bookmarkStart w:id="166" w:name="_Toc31289"/>
      <w:bookmarkStart w:id="167" w:name="_Toc515647786"/>
      <w:bookmarkStart w:id="168" w:name="_Toc520356169"/>
      <w:r>
        <w:rPr>
          <w:rFonts w:hint="eastAsia" w:ascii="宋体" w:hAnsi="宋体" w:eastAsia="宋体" w:cs="宋体"/>
          <w:color w:val="auto"/>
          <w:highlight w:val="none"/>
          <w:u w:val="none"/>
        </w:rPr>
        <w:t>25.保密原则</w:t>
      </w:r>
      <w:bookmarkEnd w:id="164"/>
      <w:bookmarkEnd w:id="165"/>
      <w:bookmarkEnd w:id="166"/>
      <w:bookmarkEnd w:id="167"/>
    </w:p>
    <w:p w14:paraId="6662AE3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评标将在严格保密的情况下进行。</w:t>
      </w:r>
    </w:p>
    <w:p w14:paraId="55AE8C2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政府采购评审专家应当遵守评审工作纪律，不得泄露评审文件、评审情况和评审中获悉的商业秘密。</w:t>
      </w:r>
    </w:p>
    <w:p w14:paraId="494A2C66">
      <w:pPr>
        <w:pStyle w:val="3"/>
        <w:spacing w:before="0" w:line="240" w:lineRule="atLeast"/>
        <w:ind w:left="1079" w:leftChars="257" w:hanging="540"/>
        <w:rPr>
          <w:rFonts w:hint="eastAsia" w:ascii="宋体" w:hAnsi="宋体" w:eastAsia="宋体" w:cs="宋体"/>
          <w:color w:val="auto"/>
          <w:sz w:val="28"/>
          <w:szCs w:val="28"/>
          <w:highlight w:val="none"/>
        </w:rPr>
      </w:pPr>
      <w:bookmarkStart w:id="169" w:name="_Toc216582810"/>
      <w:bookmarkStart w:id="170" w:name="_Toc23904"/>
      <w:bookmarkStart w:id="171" w:name="_Toc12143"/>
      <w:bookmarkStart w:id="172" w:name="_Toc515647787"/>
      <w:bookmarkStart w:id="173" w:name="_Toc2153"/>
      <w:r>
        <w:rPr>
          <w:rFonts w:hint="eastAsia" w:ascii="宋体" w:hAnsi="宋体" w:eastAsia="宋体" w:cs="宋体"/>
          <w:color w:val="auto"/>
          <w:sz w:val="28"/>
          <w:szCs w:val="28"/>
          <w:highlight w:val="none"/>
        </w:rPr>
        <w:t xml:space="preserve">六   </w:t>
      </w:r>
      <w:bookmarkEnd w:id="168"/>
      <w:r>
        <w:rPr>
          <w:rFonts w:hint="eastAsia" w:ascii="宋体" w:hAnsi="宋体" w:eastAsia="宋体" w:cs="宋体"/>
          <w:color w:val="auto"/>
          <w:sz w:val="28"/>
          <w:szCs w:val="28"/>
          <w:highlight w:val="none"/>
        </w:rPr>
        <w:t>确定中标</w:t>
      </w:r>
      <w:bookmarkEnd w:id="169"/>
      <w:bookmarkEnd w:id="170"/>
      <w:bookmarkEnd w:id="171"/>
      <w:bookmarkEnd w:id="172"/>
      <w:bookmarkEnd w:id="173"/>
    </w:p>
    <w:p w14:paraId="102C0A50">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74" w:name="_Toc23762"/>
      <w:bookmarkStart w:id="175" w:name="_Toc23617"/>
      <w:bookmarkStart w:id="176" w:name="_Toc520356170"/>
      <w:bookmarkStart w:id="177" w:name="_Ref467307010"/>
      <w:bookmarkStart w:id="178" w:name="_Toc28066"/>
      <w:bookmarkStart w:id="179" w:name="_Toc515647788"/>
      <w:r>
        <w:rPr>
          <w:rFonts w:hint="eastAsia" w:ascii="宋体" w:hAnsi="宋体" w:eastAsia="宋体" w:cs="宋体"/>
          <w:color w:val="auto"/>
          <w:highlight w:val="none"/>
          <w:u w:val="none"/>
        </w:rPr>
        <w:t>26.中标候选人的确定原则及标准</w:t>
      </w:r>
      <w:bookmarkEnd w:id="174"/>
      <w:bookmarkEnd w:id="175"/>
      <w:bookmarkEnd w:id="176"/>
      <w:bookmarkEnd w:id="177"/>
      <w:bookmarkEnd w:id="178"/>
      <w:bookmarkEnd w:id="179"/>
    </w:p>
    <w:p w14:paraId="79946997">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bookmarkStart w:id="180" w:name="_Toc520356171"/>
      <w:bookmarkStart w:id="181" w:name="_Toc515647789"/>
      <w:r>
        <w:rPr>
          <w:rFonts w:hint="eastAsia" w:ascii="宋体" w:hAnsi="宋体" w:eastAsia="宋体" w:cs="宋体"/>
          <w:color w:val="auto"/>
          <w:sz w:val="24"/>
          <w:highlight w:val="none"/>
        </w:rPr>
        <w:t>除第28条规定外，对实质上响应招标文件的投标人按下列</w:t>
      </w:r>
      <w:r>
        <w:rPr>
          <w:rFonts w:hint="eastAsia" w:ascii="宋体" w:hAnsi="宋体" w:eastAsia="宋体" w:cs="宋体"/>
          <w:color w:val="auto"/>
          <w:sz w:val="24"/>
          <w:highlight w:val="none"/>
          <w:lang w:val="en-US" w:eastAsia="zh-CN"/>
        </w:rPr>
        <w:t>第（2）种</w:t>
      </w:r>
      <w:r>
        <w:rPr>
          <w:rFonts w:hint="eastAsia" w:ascii="宋体" w:hAnsi="宋体" w:eastAsia="宋体" w:cs="宋体"/>
          <w:color w:val="auto"/>
          <w:sz w:val="24"/>
          <w:highlight w:val="none"/>
        </w:rPr>
        <w:t>方法进行排序，确定投标候选人：</w:t>
      </w:r>
    </w:p>
    <w:p w14:paraId="3EB261A6">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66A8566B">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 综合评分法，是指投标文件满足招标文件全部实质性要求，且按照评审因素的量化指标评审得分最高的投标人为中标候选人的评标方法。</w:t>
      </w:r>
    </w:p>
    <w:p w14:paraId="44D8BB6F">
      <w:pPr>
        <w:pStyle w:val="4"/>
        <w:pageBreakBefore w:val="0"/>
        <w:widowControl w:val="0"/>
        <w:tabs>
          <w:tab w:val="left" w:pos="900"/>
        </w:tabs>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82" w:name="_Toc23951"/>
      <w:bookmarkStart w:id="183" w:name="_Toc19950"/>
      <w:bookmarkStart w:id="184" w:name="_Toc9653"/>
      <w:r>
        <w:rPr>
          <w:rFonts w:hint="eastAsia" w:ascii="宋体" w:hAnsi="宋体" w:eastAsia="宋体" w:cs="宋体"/>
          <w:color w:val="auto"/>
          <w:highlight w:val="none"/>
          <w:u w:val="none"/>
        </w:rPr>
        <w:t>27</w:t>
      </w:r>
      <w:bookmarkEnd w:id="180"/>
      <w:r>
        <w:rPr>
          <w:rFonts w:hint="eastAsia" w:ascii="宋体" w:hAnsi="宋体" w:eastAsia="宋体" w:cs="宋体"/>
          <w:color w:val="auto"/>
          <w:highlight w:val="none"/>
          <w:u w:val="none"/>
        </w:rPr>
        <w:t>.确定中标候选人和中标人</w:t>
      </w:r>
      <w:bookmarkEnd w:id="181"/>
      <w:bookmarkEnd w:id="182"/>
      <w:bookmarkEnd w:id="183"/>
      <w:bookmarkEnd w:id="184"/>
    </w:p>
    <w:p w14:paraId="427E0BF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评标委员会将根据评标标准，按</w:t>
      </w:r>
      <w:r>
        <w:rPr>
          <w:rFonts w:hint="eastAsia" w:ascii="宋体" w:hAnsi="宋体" w:eastAsia="宋体" w:cs="宋体"/>
          <w:color w:val="auto"/>
          <w:sz w:val="24"/>
          <w:highlight w:val="none"/>
          <w:u w:val="single"/>
        </w:rPr>
        <w:t>投标人须知资料表中</w:t>
      </w:r>
      <w:r>
        <w:rPr>
          <w:rFonts w:hint="eastAsia" w:ascii="宋体" w:hAnsi="宋体" w:eastAsia="宋体" w:cs="宋体"/>
          <w:color w:val="auto"/>
          <w:sz w:val="24"/>
          <w:highlight w:val="none"/>
        </w:rPr>
        <w:t>规定数量推荐中标候选人；或根据采购人的委托，直接确定中标人。</w:t>
      </w:r>
    </w:p>
    <w:p w14:paraId="6C34C20B">
      <w:pPr>
        <w:pStyle w:val="4"/>
        <w:pageBreakBefore w:val="0"/>
        <w:widowControl w:val="0"/>
        <w:tabs>
          <w:tab w:val="left" w:pos="900"/>
        </w:tabs>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85" w:name="_Toc520356173"/>
      <w:bookmarkStart w:id="186" w:name="_Ref467306874"/>
      <w:bookmarkStart w:id="187" w:name="_Toc515647790"/>
      <w:bookmarkStart w:id="188" w:name="_Toc13782"/>
      <w:bookmarkStart w:id="189" w:name="_Toc28562"/>
      <w:bookmarkStart w:id="190" w:name="_Toc8389"/>
      <w:r>
        <w:rPr>
          <w:rFonts w:hint="eastAsia" w:ascii="宋体" w:hAnsi="宋体" w:eastAsia="宋体" w:cs="宋体"/>
          <w:color w:val="auto"/>
          <w:highlight w:val="none"/>
          <w:u w:val="none"/>
        </w:rPr>
        <w:t>28.</w:t>
      </w:r>
      <w:bookmarkEnd w:id="185"/>
      <w:bookmarkEnd w:id="186"/>
      <w:r>
        <w:rPr>
          <w:rFonts w:hint="eastAsia" w:ascii="宋体" w:hAnsi="宋体" w:eastAsia="宋体" w:cs="宋体"/>
          <w:color w:val="auto"/>
          <w:highlight w:val="none"/>
          <w:u w:val="none"/>
        </w:rPr>
        <w:t>采购任务取消</w:t>
      </w:r>
      <w:bookmarkEnd w:id="187"/>
      <w:bookmarkEnd w:id="188"/>
      <w:bookmarkEnd w:id="189"/>
      <w:bookmarkEnd w:id="190"/>
    </w:p>
    <w:p w14:paraId="0542FF9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因重大变故采购任务取消时，采购人有权拒绝任何投标人中标，且对受影响的投标人不承担任何责任。</w:t>
      </w:r>
      <w:bookmarkStart w:id="191" w:name="_Toc520356174"/>
    </w:p>
    <w:p w14:paraId="77DF1EF2">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92" w:name="_Toc515647791"/>
      <w:bookmarkStart w:id="193" w:name="_Toc31099"/>
      <w:bookmarkStart w:id="194" w:name="_Toc31142"/>
      <w:bookmarkStart w:id="195" w:name="_Toc30170"/>
      <w:r>
        <w:rPr>
          <w:rFonts w:hint="eastAsia" w:ascii="宋体" w:hAnsi="宋体" w:eastAsia="宋体" w:cs="宋体"/>
          <w:color w:val="auto"/>
          <w:highlight w:val="none"/>
          <w:u w:val="none"/>
        </w:rPr>
        <w:t>29.中标通知书</w:t>
      </w:r>
      <w:bookmarkEnd w:id="191"/>
      <w:r>
        <w:rPr>
          <w:rFonts w:hint="eastAsia" w:ascii="宋体" w:hAnsi="宋体" w:eastAsia="宋体" w:cs="宋体"/>
          <w:color w:val="auto"/>
          <w:highlight w:val="none"/>
          <w:u w:val="none"/>
        </w:rPr>
        <w:t>和招标结果通知书</w:t>
      </w:r>
      <w:bookmarkEnd w:id="192"/>
      <w:bookmarkEnd w:id="193"/>
      <w:bookmarkEnd w:id="194"/>
      <w:bookmarkEnd w:id="195"/>
    </w:p>
    <w:p w14:paraId="620E6182">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在投标有效期内，中标人确定后，采购人或者采购代理机构发布中标公告，同时以书面形式向中标人发出中标通知书。</w:t>
      </w:r>
    </w:p>
    <w:p w14:paraId="6BD85532">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中标通知书是合同的组成部分。</w:t>
      </w:r>
    </w:p>
    <w:p w14:paraId="56DF893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29.3    招标结果通知书和中标通知书同时发出。招标结果通知书中将告知未通过资格审查的投标人未通过的原因；采用综合评分法评审的，还将告知未中标人本人的评审得分和排序。</w:t>
      </w:r>
    </w:p>
    <w:p w14:paraId="3675D858">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96" w:name="_Toc790"/>
      <w:bookmarkStart w:id="197" w:name="_Toc7779"/>
      <w:bookmarkStart w:id="198" w:name="_Ref467306377"/>
      <w:bookmarkStart w:id="199" w:name="_Toc14795"/>
      <w:bookmarkStart w:id="200" w:name="_Toc515647792"/>
      <w:bookmarkStart w:id="201" w:name="_Toc520356175"/>
      <w:bookmarkStart w:id="202" w:name="_Ref467307062"/>
      <w:bookmarkStart w:id="203" w:name="_Ref467307204"/>
      <w:bookmarkStart w:id="204" w:name="_Ref467306978"/>
      <w:r>
        <w:rPr>
          <w:rFonts w:hint="eastAsia" w:ascii="宋体" w:hAnsi="宋体" w:eastAsia="宋体" w:cs="宋体"/>
          <w:color w:val="auto"/>
          <w:highlight w:val="none"/>
          <w:u w:val="none"/>
        </w:rPr>
        <w:t>30.签订合同</w:t>
      </w:r>
      <w:bookmarkEnd w:id="196"/>
      <w:bookmarkEnd w:id="197"/>
      <w:bookmarkEnd w:id="198"/>
      <w:bookmarkEnd w:id="199"/>
      <w:bookmarkEnd w:id="200"/>
      <w:bookmarkEnd w:id="201"/>
      <w:bookmarkEnd w:id="202"/>
      <w:bookmarkEnd w:id="203"/>
      <w:bookmarkEnd w:id="204"/>
    </w:p>
    <w:p w14:paraId="63A0F4C4">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中标人应当自发出中标通知书之日起30日内，与采购人签订合同。</w:t>
      </w:r>
    </w:p>
    <w:p w14:paraId="00A761BB">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30.2</w:t>
      </w:r>
      <w:r>
        <w:rPr>
          <w:rFonts w:hint="eastAsia" w:ascii="宋体" w:hAnsi="宋体" w:eastAsia="宋体" w:cs="宋体"/>
          <w:color w:val="auto"/>
          <w:sz w:val="24"/>
          <w:highlight w:val="none"/>
        </w:rPr>
        <w:tab/>
      </w:r>
      <w:bookmarkStart w:id="205" w:name="_Toc520356176"/>
      <w:bookmarkStart w:id="206" w:name="_Ref467307090"/>
      <w:bookmarkStart w:id="207" w:name="_Ref467306425"/>
      <w:r>
        <w:rPr>
          <w:rFonts w:hint="eastAsia" w:ascii="宋体" w:hAnsi="宋体" w:eastAsia="宋体" w:cs="宋体"/>
          <w:color w:val="auto"/>
          <w:sz w:val="24"/>
          <w:highlight w:val="none"/>
        </w:rPr>
        <w:t>招标文件、中标人的投标文件及其澄清文件等，均为签订合同的依据。</w:t>
      </w:r>
    </w:p>
    <w:p w14:paraId="223BFCBF">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30.3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中标人拒绝与采购人签订合同的，采购人可以按照评审报告推荐的中标候选人名单排序，确定下一中标候选人为中标人，也可以重新开展政府采购活动。</w:t>
      </w:r>
    </w:p>
    <w:p w14:paraId="7FEA41F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30.4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当出现法规规定的</w:t>
      </w:r>
      <w:r>
        <w:rPr>
          <w:rFonts w:hint="eastAsia" w:ascii="宋体" w:hAnsi="宋体" w:eastAsia="宋体" w:cs="宋体"/>
          <w:b/>
          <w:color w:val="auto"/>
          <w:sz w:val="24"/>
          <w:highlight w:val="none"/>
        </w:rPr>
        <w:t>中标无效或中标结果无效</w:t>
      </w:r>
      <w:r>
        <w:rPr>
          <w:rFonts w:hint="eastAsia" w:ascii="宋体" w:hAnsi="宋体" w:eastAsia="宋体" w:cs="宋体"/>
          <w:color w:val="auto"/>
          <w:sz w:val="24"/>
          <w:highlight w:val="none"/>
        </w:rPr>
        <w:t>情形时，采购人可与排名下一位的中标候选人另行签订合同，或依法重新开展采购活动。</w:t>
      </w:r>
    </w:p>
    <w:p w14:paraId="4CE70B4D">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08" w:name="_Toc14080"/>
      <w:bookmarkStart w:id="209" w:name="_Toc515647793"/>
      <w:bookmarkStart w:id="210" w:name="_Toc22555"/>
      <w:bookmarkStart w:id="211" w:name="_Toc7188"/>
      <w:r>
        <w:rPr>
          <w:rFonts w:hint="eastAsia" w:ascii="宋体" w:hAnsi="宋体" w:eastAsia="宋体" w:cs="宋体"/>
          <w:color w:val="auto"/>
          <w:highlight w:val="none"/>
          <w:u w:val="none"/>
        </w:rPr>
        <w:t>31.履约保证金</w:t>
      </w:r>
      <w:bookmarkEnd w:id="205"/>
      <w:bookmarkEnd w:id="206"/>
      <w:bookmarkEnd w:id="207"/>
      <w:bookmarkEnd w:id="208"/>
      <w:bookmarkEnd w:id="209"/>
      <w:bookmarkEnd w:id="210"/>
      <w:bookmarkEnd w:id="211"/>
    </w:p>
    <w:p w14:paraId="6F58E0D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中标人应按照</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规定向采购人缴纳履约保证金（如采用保函形式，格式见本章附件1）。</w:t>
      </w:r>
    </w:p>
    <w:p w14:paraId="61BEB226">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政府采购利用担保试点范围内的项目，除31.1规定的情形外，中标人也可以按照财政部门的规定，向采购人提供合格的履约担保函（格式见本章附件2）。</w:t>
      </w:r>
    </w:p>
    <w:p w14:paraId="3B315CA3">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31.3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如果中标人没有按照上述履约保证金的规定执行，将视为放弃中标资格，中标人的投标保证金将不予退还。在此情况下，采购人可确定下一候选人为中标人，也可以重新开展采购活动。</w:t>
      </w:r>
    </w:p>
    <w:p w14:paraId="49406645">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12" w:name="_Toc29408"/>
      <w:bookmarkStart w:id="213" w:name="_Toc31936"/>
      <w:bookmarkStart w:id="214" w:name="_Toc515647794"/>
      <w:bookmarkStart w:id="215" w:name="_Toc3090"/>
      <w:r>
        <w:rPr>
          <w:rFonts w:hint="eastAsia" w:ascii="宋体" w:hAnsi="宋体" w:eastAsia="宋体" w:cs="宋体"/>
          <w:color w:val="auto"/>
          <w:highlight w:val="none"/>
          <w:u w:val="none"/>
        </w:rPr>
        <w:t>32.中标服务费</w:t>
      </w:r>
      <w:bookmarkEnd w:id="212"/>
      <w:bookmarkEnd w:id="213"/>
      <w:bookmarkEnd w:id="214"/>
      <w:bookmarkEnd w:id="215"/>
    </w:p>
    <w:p w14:paraId="7197D2F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中标人须按照</w:t>
      </w:r>
      <w:r>
        <w:rPr>
          <w:rFonts w:hint="eastAsia" w:ascii="宋体" w:hAnsi="宋体" w:eastAsia="宋体" w:cs="宋体"/>
          <w:color w:val="auto"/>
          <w:sz w:val="24"/>
          <w:highlight w:val="none"/>
          <w:u w:val="single"/>
        </w:rPr>
        <w:t>投标须知资料表</w:t>
      </w:r>
      <w:r>
        <w:rPr>
          <w:rFonts w:hint="eastAsia" w:ascii="宋体" w:hAnsi="宋体" w:eastAsia="宋体" w:cs="宋体"/>
          <w:color w:val="auto"/>
          <w:sz w:val="24"/>
          <w:highlight w:val="none"/>
        </w:rPr>
        <w:t>规定，向采购代理机构支付中标服务费。</w:t>
      </w:r>
    </w:p>
    <w:p w14:paraId="4E09599D">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16" w:name="_Toc13588"/>
      <w:bookmarkStart w:id="217" w:name="_Toc515647795"/>
      <w:bookmarkStart w:id="218" w:name="_Toc6923"/>
      <w:bookmarkStart w:id="219" w:name="_Toc7049"/>
      <w:r>
        <w:rPr>
          <w:rFonts w:hint="eastAsia" w:ascii="宋体" w:hAnsi="宋体" w:eastAsia="宋体" w:cs="宋体"/>
          <w:color w:val="auto"/>
          <w:highlight w:val="none"/>
          <w:u w:val="none"/>
        </w:rPr>
        <w:t>33.政府采购信用担保</w:t>
      </w:r>
      <w:bookmarkEnd w:id="216"/>
      <w:bookmarkEnd w:id="217"/>
      <w:bookmarkEnd w:id="218"/>
      <w:bookmarkEnd w:id="219"/>
    </w:p>
    <w:p w14:paraId="31A6868C">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33.1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本项目是否属于信用担保试点范围见</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w:t>
      </w:r>
    </w:p>
    <w:p w14:paraId="6DD8F470">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33.2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如属于政府采购信用担保试点范围内，中小型企业投标人可以自由按照财政部门的规定，采用投标担保、履约担保和融资担保。</w:t>
      </w:r>
    </w:p>
    <w:p w14:paraId="325372A6">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投标人递交的投标担保函和履约担保函应符合本招标文件的规定。</w:t>
      </w:r>
    </w:p>
    <w:p w14:paraId="670032D9">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33.2.2</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中标人可以采取融资担保的形式为政府采购项目履约进行融资。</w:t>
      </w:r>
    </w:p>
    <w:p w14:paraId="0E8BE8E9">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33.2.3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合格的政府采购专业信用担保机构名单见</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w:t>
      </w:r>
    </w:p>
    <w:p w14:paraId="44218EB9">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20" w:name="_Toc2133"/>
      <w:bookmarkStart w:id="221" w:name="_Toc27198"/>
      <w:bookmarkStart w:id="222" w:name="_Toc515647796"/>
      <w:bookmarkStart w:id="223" w:name="_Toc23999"/>
      <w:r>
        <w:rPr>
          <w:rFonts w:hint="eastAsia" w:ascii="宋体" w:hAnsi="宋体" w:eastAsia="宋体" w:cs="宋体"/>
          <w:color w:val="auto"/>
          <w:highlight w:val="none"/>
          <w:u w:val="none"/>
        </w:rPr>
        <w:t>34.廉洁自律规定</w:t>
      </w:r>
      <w:bookmarkEnd w:id="220"/>
      <w:bookmarkEnd w:id="221"/>
      <w:bookmarkEnd w:id="222"/>
      <w:bookmarkEnd w:id="223"/>
    </w:p>
    <w:p w14:paraId="7B04935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34.1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采购代理机构工作人员不得以不正当手段获取政府采购代理业务，不得与采购人、供应商恶意串通操纵政府采购活动。</w:t>
      </w:r>
    </w:p>
    <w:p w14:paraId="6FD579D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34.2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采购代理机构工作人员不得接受采购人或者供应商组织的宴请、旅游、娱乐，不得收受礼品、现金、有价证券等，不得向采购人或者供应商报销应当由个人承担的费用。</w:t>
      </w:r>
    </w:p>
    <w:p w14:paraId="10BB4A6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34.3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为强化采购代理机构内部监督机制，供应商可按</w:t>
      </w:r>
      <w:r>
        <w:rPr>
          <w:rFonts w:hint="eastAsia" w:ascii="宋体" w:hAnsi="宋体" w:eastAsia="宋体" w:cs="宋体"/>
          <w:color w:val="auto"/>
          <w:sz w:val="24"/>
          <w:highlight w:val="none"/>
          <w:u w:val="single"/>
        </w:rPr>
        <w:t>投标人须知资料表中的</w:t>
      </w:r>
      <w:r>
        <w:rPr>
          <w:rFonts w:hint="eastAsia" w:ascii="宋体" w:hAnsi="宋体" w:eastAsia="宋体" w:cs="宋体"/>
          <w:color w:val="auto"/>
          <w:sz w:val="24"/>
          <w:highlight w:val="none"/>
        </w:rPr>
        <w:t>监督电话和邮箱，反映采购代理机构的廉洁自律等问题。</w:t>
      </w:r>
    </w:p>
    <w:p w14:paraId="4D3FB67C">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24" w:name="_Toc515647797"/>
      <w:bookmarkStart w:id="225" w:name="_Toc25480"/>
      <w:bookmarkStart w:id="226" w:name="_Toc10437"/>
      <w:bookmarkStart w:id="227" w:name="_Toc11586"/>
      <w:r>
        <w:rPr>
          <w:rFonts w:hint="eastAsia" w:ascii="宋体" w:hAnsi="宋体" w:eastAsia="宋体" w:cs="宋体"/>
          <w:color w:val="auto"/>
          <w:highlight w:val="none"/>
          <w:u w:val="none"/>
        </w:rPr>
        <w:t>35.人员回避</w:t>
      </w:r>
      <w:bookmarkEnd w:id="224"/>
      <w:bookmarkEnd w:id="225"/>
      <w:bookmarkEnd w:id="226"/>
      <w:bookmarkEnd w:id="227"/>
    </w:p>
    <w:p w14:paraId="6B4AAEE2">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投标人认为采购人员及其相关人员有法律法规所列与其他供应商有利害关系的，可以向采购人或采购代理机构书面提出回避申请，并说明理由。</w:t>
      </w:r>
    </w:p>
    <w:p w14:paraId="5AA6D20E">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28" w:name="_Toc515647798"/>
      <w:bookmarkStart w:id="229" w:name="_Toc10700"/>
      <w:bookmarkStart w:id="230" w:name="_Toc11115"/>
      <w:bookmarkStart w:id="231" w:name="_Toc1148"/>
      <w:r>
        <w:rPr>
          <w:rFonts w:hint="eastAsia" w:ascii="宋体" w:hAnsi="宋体" w:eastAsia="宋体" w:cs="宋体"/>
          <w:color w:val="auto"/>
          <w:highlight w:val="none"/>
          <w:u w:val="none"/>
        </w:rPr>
        <w:t>36.质疑与接收</w:t>
      </w:r>
      <w:bookmarkEnd w:id="228"/>
      <w:bookmarkEnd w:id="229"/>
      <w:bookmarkEnd w:id="230"/>
      <w:bookmarkEnd w:id="231"/>
    </w:p>
    <w:p w14:paraId="0B67A340">
      <w:pPr>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36.1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07D91951">
      <w:pPr>
        <w:pStyle w:val="42"/>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36.2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5E9FE370">
      <w:pPr>
        <w:pStyle w:val="42"/>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36.3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5DC84DA8">
      <w:pPr>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36.4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14:paraId="1A7308CD">
      <w:pPr>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36.5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采购代理机构质疑函接收部门、联系电话和通讯地址, 见</w:t>
      </w:r>
      <w:r>
        <w:rPr>
          <w:rFonts w:hint="eastAsia" w:ascii="宋体" w:hAnsi="宋体" w:eastAsia="宋体" w:cs="宋体"/>
          <w:color w:val="auto"/>
          <w:sz w:val="24"/>
          <w:szCs w:val="24"/>
          <w:highlight w:val="none"/>
          <w:u w:val="single"/>
        </w:rPr>
        <w:t>供应商须知资料表。</w:t>
      </w:r>
    </w:p>
    <w:p w14:paraId="4BC5E4A2">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36.6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供应商认为采购文件、采购过程和中标结果使自己的权益受到损害的，可以在知道或者应知其权益受到损害之日起7个工作日内，以书面形式向采购方提出质疑。供应商应知其权益受到损害之日，是指：</w:t>
      </w:r>
    </w:p>
    <w:p w14:paraId="65DF2045">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（一）对可以质疑的采购文件提出质疑的，为收到采购文件之日或者采购文件公告期限届满之日；</w:t>
      </w:r>
    </w:p>
    <w:p w14:paraId="0F99EBD4">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（二）对采购过程提出质疑的，为各采购程序环节结束之日；</w:t>
      </w:r>
    </w:p>
    <w:p w14:paraId="6A6359E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（三）对中标结果提出质疑的，为中标结果公告期限届满之日。</w:t>
      </w:r>
    </w:p>
    <w:p w14:paraId="23C7E7C4">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 xml:space="preserve">36.7  </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val="en-US" w:eastAsia="zh-CN"/>
        </w:rPr>
        <w:t>供应商有权提出一次质疑，不能多次提出。</w:t>
      </w:r>
    </w:p>
    <w:p w14:paraId="426663EC">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36.8  </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对可以质</w:t>
      </w:r>
      <w:r>
        <w:rPr>
          <w:rFonts w:hint="eastAsia" w:ascii="宋体" w:hAnsi="宋体" w:eastAsia="宋体" w:cs="宋体"/>
          <w:color w:val="auto"/>
          <w:sz w:val="24"/>
          <w:szCs w:val="24"/>
          <w:highlight w:val="none"/>
        </w:rPr>
        <w:t>疑的采购文件提出质疑的，质疑人为参与本项目的报价方或潜在报价方。可质疑的文件为采购公告以及采购文件（包括属于其组成部分的澄清、修改、补充文件和评审标准、合同文本等）。</w:t>
      </w:r>
    </w:p>
    <w:p w14:paraId="70B083A7">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对采购过程和中标结果提出质疑的，质疑人为直接参与本项目的报价方。采购过程,即从采购项目信息公告发布起到中标结果公告止，包括采购文件的发出、提交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开启、评审等各个采购程序环节。</w:t>
      </w:r>
    </w:p>
    <w:p w14:paraId="0A625042">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提出质疑应当符合下列条件：</w:t>
      </w:r>
    </w:p>
    <w:p w14:paraId="192D962A">
      <w:pPr>
        <w:pageBreakBefore w:val="0"/>
        <w:widowControl w:val="0"/>
        <w:kinsoku/>
        <w:wordWrap/>
        <w:overflowPunct/>
        <w:topLinePunct w:val="0"/>
        <w:bidi w:val="0"/>
        <w:snapToGrid/>
        <w:spacing w:line="360" w:lineRule="exact"/>
        <w:ind w:firstLine="960" w:firstLine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（一）质疑主体应当符合有关规定；</w:t>
      </w:r>
    </w:p>
    <w:p w14:paraId="7F91428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（二）在质疑法定期限内提出；</w:t>
      </w:r>
    </w:p>
    <w:p w14:paraId="28041C2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（三）属于可以提出质疑的政府采购事项受理范围和本项目采购人的管辖权范围；</w:t>
      </w:r>
    </w:p>
    <w:p w14:paraId="269859FD">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（四）政府采购法律、法规、规章规定的其他条件。</w:t>
      </w:r>
    </w:p>
    <w:p w14:paraId="20468D48">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5E4F89EA">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质疑人所提供的证明材料应当具有真实性、合法性以及与质疑事项的关联性和证明力，否则不能作为认定该质疑事项成立的依据。</w:t>
      </w:r>
    </w:p>
    <w:p w14:paraId="00246911">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质疑人提出质疑时应当提交质疑函。质疑函包括下列内容：</w:t>
      </w:r>
    </w:p>
    <w:p w14:paraId="1A873BC4">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（一）提出质疑的质疑人的名称、地址、邮编、联系人及联系电话等；</w:t>
      </w:r>
    </w:p>
    <w:p w14:paraId="3B50C78A">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14:paraId="0BBA7A0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w:t>
      </w:r>
    </w:p>
    <w:p w14:paraId="659C7A70">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（四）事实依据和证明材料；</w:t>
      </w:r>
    </w:p>
    <w:p w14:paraId="05368C6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14:paraId="721F906B">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14:paraId="10F40684">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2B54F9DD">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质疑人可以委托代理人进行质疑。代理人应当提交授权委托书。授权委托书应当载明委托代理的具体权限、期限和相关事项。</w:t>
      </w:r>
    </w:p>
    <w:p w14:paraId="61B7EEC1">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质疑的审查和受理</w:t>
      </w:r>
    </w:p>
    <w:p w14:paraId="3E7A5CA7">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采购方在收到质疑函后应当及时审查是否符合质疑受理条件，对符合质疑受理条件的，及时予以受理。</w:t>
      </w:r>
    </w:p>
    <w:p w14:paraId="61F0A235">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对不符合质疑受理条件的，分别按照下列不同情形予以处理：</w:t>
      </w:r>
    </w:p>
    <w:p w14:paraId="74B4DB1D">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14:paraId="32A0B1CF">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（二）质疑主体不符合有关规定的，告知质疑人不予受理；</w:t>
      </w:r>
    </w:p>
    <w:p w14:paraId="3A147AF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（三）超过质疑法定期限提出质疑的，告知质疑人不予受理；</w:t>
      </w:r>
    </w:p>
    <w:p w14:paraId="10257160">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（四）对不属于可以提出质疑的政府采购事项提出质疑的，告知质疑人不予受理；</w:t>
      </w:r>
    </w:p>
    <w:p w14:paraId="06299F21">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（五）质疑不属于本项目采购方管辖的，告知质疑人向有管辖权的采购人提出质疑；</w:t>
      </w:r>
    </w:p>
    <w:p w14:paraId="0F9B4F9F">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（六）质疑不符合其他条件的，告知质疑人不予受理。</w:t>
      </w:r>
    </w:p>
    <w:p w14:paraId="1088E91B">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质疑的处理和答复</w:t>
      </w:r>
    </w:p>
    <w:p w14:paraId="5D450B27">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采购方受理质疑后，将及时把质疑函发送给被质疑人，并要求其在一定限期内提交书面答复，同时提供有关证据、依据和相关材料。</w:t>
      </w:r>
    </w:p>
    <w:p w14:paraId="14AB99D5">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对于质疑事项中涉及的问题较多、情况比较复杂的，为了全面查清事实、取得充分的证据，采购方认为有必要时，可以进行调查取证或者组织质证。</w:t>
      </w:r>
    </w:p>
    <w:p w14:paraId="58643D95">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对评审过程、中标结果提出质疑的，采购方可以组织原评审委员会协助答复质疑。</w:t>
      </w:r>
    </w:p>
    <w:p w14:paraId="6B5784CE">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质疑处理过程中，质疑人书面申请撤回质疑的，将终止质疑处理程序。</w:t>
      </w:r>
    </w:p>
    <w:p w14:paraId="4AFDED79">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质疑人拒绝配合采购方依法对质疑进行调查处理的，采购方将按质疑人自动撤回质疑处理；被质疑人拒绝配合采购方依法对质疑进行调查处理的，采购方将视同其认可质疑事项。</w:t>
      </w:r>
    </w:p>
    <w:p w14:paraId="0BA0AF3A">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质疑人拒绝配合采购方依法对质疑进行调查处理的，采购方将按质疑人自动撤回质疑处理；被质疑人拒绝配合采购方依法对质疑进行调查处理的，采购方将视同其认可质疑事项。</w:t>
      </w:r>
    </w:p>
    <w:p w14:paraId="18FF2DE4">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采购方将在正式受理质疑后7个工作日内作出答复。</w:t>
      </w:r>
      <w:r>
        <w:rPr>
          <w:rFonts w:hint="eastAsia" w:ascii="宋体" w:hAnsi="宋体" w:eastAsia="宋体" w:cs="宋体"/>
          <w:color w:val="auto"/>
          <w:sz w:val="24"/>
          <w:szCs w:val="24"/>
          <w:highlight w:val="none"/>
          <w:lang w:val="en-US" w:eastAsia="zh-CN"/>
        </w:rPr>
        <w:t xml:space="preserve"> </w:t>
      </w:r>
    </w:p>
    <w:p w14:paraId="354EE02E">
      <w:pPr>
        <w:pStyle w:val="42"/>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5</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质疑答复应当包括下列内容：</w:t>
      </w:r>
    </w:p>
    <w:p w14:paraId="171CA22C">
      <w:pPr>
        <w:pStyle w:val="42"/>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（一）质疑人的姓名或者名称；</w:t>
      </w:r>
    </w:p>
    <w:p w14:paraId="00B8C81A">
      <w:pPr>
        <w:pStyle w:val="42"/>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（二）收到质疑函的日期、质疑项目名称及编号；</w:t>
      </w:r>
    </w:p>
    <w:p w14:paraId="5D249059">
      <w:pPr>
        <w:pStyle w:val="42"/>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（三）质疑事项、质疑答复的具体内容、事实依据和法律依据；</w:t>
      </w:r>
    </w:p>
    <w:p w14:paraId="60E39E69">
      <w:pPr>
        <w:pStyle w:val="42"/>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（四）告知质疑供应商依法投诉的权利；</w:t>
      </w:r>
    </w:p>
    <w:p w14:paraId="44FA5123">
      <w:pPr>
        <w:pStyle w:val="42"/>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（五）质疑答复人名称；</w:t>
      </w:r>
    </w:p>
    <w:p w14:paraId="01B55823">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（六）答复质疑的日期。</w:t>
      </w:r>
    </w:p>
    <w:p w14:paraId="375B94E5">
      <w:pPr>
        <w:spacing w:line="240" w:lineRule="atLeast"/>
        <w:ind w:left="900" w:hanging="900" w:hangingChars="375"/>
        <w:rPr>
          <w:rFonts w:hint="eastAsia" w:ascii="宋体" w:hAnsi="宋体" w:eastAsia="宋体" w:cs="宋体"/>
          <w:color w:val="auto"/>
          <w:sz w:val="24"/>
          <w:highlight w:val="none"/>
        </w:rPr>
      </w:pPr>
    </w:p>
    <w:p w14:paraId="737C776E">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bookmarkStart w:id="232" w:name="_Toc23411"/>
      <w:bookmarkStart w:id="233" w:name="_Toc5602"/>
      <w:bookmarkStart w:id="234" w:name="_Toc6493"/>
      <w:bookmarkStart w:id="235" w:name="_Toc22908"/>
      <w:bookmarkStart w:id="236" w:name="_Toc4981"/>
      <w:bookmarkStart w:id="237" w:name="_Toc9437"/>
      <w:bookmarkStart w:id="238" w:name="_Toc27601"/>
      <w:bookmarkStart w:id="239" w:name="_Toc14742"/>
      <w:bookmarkStart w:id="240" w:name="_Toc11973"/>
      <w:bookmarkStart w:id="241" w:name="_Toc12088"/>
      <w:bookmarkStart w:id="242" w:name="_Toc16553"/>
      <w:bookmarkStart w:id="243" w:name="_Toc2072"/>
      <w:bookmarkStart w:id="244" w:name="_Toc2500"/>
      <w:bookmarkStart w:id="245" w:name="_Toc25636"/>
      <w:bookmarkStart w:id="246" w:name="_Toc1819"/>
      <w:bookmarkStart w:id="247" w:name="_Toc30512"/>
      <w:bookmarkStart w:id="248" w:name="_Toc3696"/>
      <w:bookmarkStart w:id="249" w:name="_Toc2799"/>
      <w:bookmarkStart w:id="250" w:name="_Toc13021"/>
      <w:bookmarkStart w:id="251" w:name="_Toc1369"/>
      <w:bookmarkStart w:id="252" w:name="_Toc24946"/>
      <w:bookmarkStart w:id="253" w:name="_Toc18518"/>
      <w:bookmarkStart w:id="254" w:name="_Toc27146"/>
      <w:bookmarkStart w:id="255" w:name="_Toc8353"/>
      <w:bookmarkStart w:id="256" w:name="_Toc27096"/>
      <w:bookmarkStart w:id="257" w:name="_Toc16652"/>
      <w:bookmarkStart w:id="258" w:name="_Toc30855"/>
      <w:bookmarkStart w:id="259" w:name="_Toc11297"/>
      <w:bookmarkStart w:id="260" w:name="_Toc30093"/>
    </w:p>
    <w:p w14:paraId="577315B2">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154894EB">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1BF4A2DD">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4D68D594">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7D88EF74">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6C515378">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54BDC622">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757437E7">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49301D51">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07F5CC0D">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492D5A1C">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6E17B25A">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2F050CFD">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021FC34D">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5791D1C7">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57231097">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40E4A8EF">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3246DCEE">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54A25167">
      <w:pPr>
        <w:pStyle w:val="7"/>
        <w:rPr>
          <w:rFonts w:hint="eastAsia" w:ascii="宋体" w:hAnsi="宋体" w:eastAsia="宋体" w:cs="宋体"/>
          <w:b/>
          <w:bCs/>
          <w:color w:val="auto"/>
          <w:sz w:val="24"/>
          <w:szCs w:val="24"/>
          <w:highlight w:val="none"/>
        </w:rPr>
      </w:pPr>
    </w:p>
    <w:p w14:paraId="3AC2B12B">
      <w:pPr>
        <w:rPr>
          <w:rFonts w:hint="eastAsia" w:ascii="宋体" w:hAnsi="宋体" w:eastAsia="宋体" w:cs="宋体"/>
          <w:b/>
          <w:bCs/>
          <w:color w:val="auto"/>
          <w:sz w:val="24"/>
          <w:szCs w:val="24"/>
          <w:highlight w:val="none"/>
        </w:rPr>
      </w:pPr>
    </w:p>
    <w:p w14:paraId="51E07DC6">
      <w:pPr>
        <w:pStyle w:val="7"/>
        <w:rPr>
          <w:rFonts w:hint="eastAsia" w:ascii="宋体" w:hAnsi="宋体" w:eastAsia="宋体" w:cs="宋体"/>
          <w:b/>
          <w:bCs/>
          <w:color w:val="auto"/>
          <w:sz w:val="24"/>
          <w:szCs w:val="24"/>
          <w:highlight w:val="none"/>
        </w:rPr>
      </w:pPr>
    </w:p>
    <w:p w14:paraId="7F14FCB3">
      <w:pPr>
        <w:pageBreakBefore w:val="0"/>
        <w:kinsoku/>
        <w:wordWrap/>
        <w:overflowPunct/>
        <w:topLinePunct w:val="0"/>
        <w:bidi w:val="0"/>
        <w:spacing w:line="360" w:lineRule="exact"/>
        <w:ind w:left="0" w:leftChars="0"/>
        <w:jc w:val="both"/>
        <w:textAlignment w:val="auto"/>
        <w:outlineLvl w:val="2"/>
        <w:rPr>
          <w:rFonts w:hint="eastAsia" w:ascii="宋体" w:hAnsi="宋体" w:eastAsia="宋体" w:cs="宋体"/>
          <w:b/>
          <w:bCs/>
          <w:color w:val="auto"/>
          <w:sz w:val="24"/>
          <w:szCs w:val="24"/>
          <w:highlight w:val="none"/>
        </w:rPr>
      </w:pPr>
    </w:p>
    <w:p w14:paraId="45473168">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质疑函范本</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23202F13">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69ECBA90">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single"/>
        </w:rPr>
        <w:t xml:space="preserve">                                        </w:t>
      </w:r>
    </w:p>
    <w:p w14:paraId="219BE93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40A292D3">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5EA7165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p>
    <w:p w14:paraId="6F3DCB95">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6F69E561">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104DEC8E">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1E72511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single"/>
        </w:rPr>
        <w:t xml:space="preserve">                                      </w:t>
      </w:r>
    </w:p>
    <w:p w14:paraId="4022B1CF">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single"/>
        </w:rPr>
        <w:t xml:space="preserve">                 </w:t>
      </w:r>
    </w:p>
    <w:p w14:paraId="5DB4B76D">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single"/>
        </w:rPr>
        <w:t xml:space="preserve">                                         </w:t>
      </w:r>
    </w:p>
    <w:p w14:paraId="4B1D628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single"/>
        </w:rPr>
        <w:t xml:space="preserve">                                           </w:t>
      </w:r>
    </w:p>
    <w:p w14:paraId="3DD7054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51CD72D1">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single"/>
        </w:rPr>
        <w:t xml:space="preserve">                                         </w:t>
      </w:r>
    </w:p>
    <w:p w14:paraId="2DB602CA">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single"/>
        </w:rPr>
        <w:t xml:space="preserve">                                          </w:t>
      </w:r>
    </w:p>
    <w:p w14:paraId="58175E6E">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14:paraId="33CB9E5D">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p>
    <w:p w14:paraId="7A6BAED4">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single"/>
        </w:rPr>
        <w:t xml:space="preserve">                                                     </w:t>
      </w:r>
    </w:p>
    <w:p w14:paraId="25391418">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06D95003">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68162E0">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12F5F0C6">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single"/>
        </w:rPr>
        <w:t xml:space="preserve">                                               </w:t>
      </w:r>
    </w:p>
    <w:p w14:paraId="3459E7B4">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794B26E1">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50144143">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szCs w:val="24"/>
          <w:highlight w:val="none"/>
        </w:rPr>
      </w:pPr>
    </w:p>
    <w:p w14:paraId="7C479ADB">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7C3B0EA2">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50FCAD5E">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798A7825">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3D824E8D">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32CEF419">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4104F0C0">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r>
        <w:rPr>
          <w:rFonts w:hint="eastAsia" w:ascii="宋体" w:hAnsi="宋体" w:eastAsia="宋体" w:cs="宋体"/>
          <w:color w:val="auto"/>
          <w:highlight w:val="none"/>
        </w:rPr>
        <w:br w:type="page"/>
      </w:r>
      <w:bookmarkStart w:id="261" w:name="_Toc21748"/>
      <w:bookmarkStart w:id="262" w:name="_Toc515647799"/>
      <w:bookmarkStart w:id="263" w:name="_Toc16186"/>
      <w:bookmarkStart w:id="264" w:name="_Toc11469"/>
    </w:p>
    <w:p w14:paraId="698A0470">
      <w:pPr>
        <w:pStyle w:val="3"/>
        <w:spacing w:before="0" w:line="240" w:lineRule="atLeast"/>
        <w:ind w:left="1079" w:leftChars="257" w:hanging="540"/>
        <w:rPr>
          <w:rFonts w:hint="eastAsia" w:ascii="宋体" w:hAnsi="宋体" w:eastAsia="宋体" w:cs="宋体"/>
          <w:color w:val="auto"/>
          <w:szCs w:val="24"/>
          <w:highlight w:val="none"/>
        </w:rPr>
      </w:pPr>
      <w:r>
        <w:rPr>
          <w:rFonts w:hint="eastAsia" w:ascii="宋体" w:hAnsi="宋体" w:eastAsia="宋体" w:cs="宋体"/>
          <w:color w:val="auto"/>
          <w:sz w:val="28"/>
          <w:szCs w:val="22"/>
          <w:highlight w:val="none"/>
        </w:rPr>
        <w:t>附件1：履约保证金保函（格式）</w:t>
      </w:r>
      <w:bookmarkEnd w:id="261"/>
      <w:bookmarkEnd w:id="262"/>
      <w:bookmarkEnd w:id="263"/>
      <w:bookmarkEnd w:id="264"/>
    </w:p>
    <w:p w14:paraId="3F9FEF6A">
      <w:pPr>
        <w:pStyle w:val="15"/>
        <w:spacing w:line="240" w:lineRule="atLeast"/>
        <w:ind w:left="1079" w:leftChars="257" w:hanging="54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（中标后开具）</w:t>
      </w:r>
    </w:p>
    <w:p w14:paraId="4C38679F">
      <w:pPr>
        <w:pStyle w:val="15"/>
        <w:spacing w:line="240" w:lineRule="atLeast"/>
        <w:ind w:left="1079" w:leftChars="257" w:hanging="540"/>
        <w:rPr>
          <w:rFonts w:hint="eastAsia" w:ascii="宋体" w:hAnsi="宋体" w:eastAsia="宋体" w:cs="宋体"/>
          <w:b/>
          <w:color w:val="auto"/>
          <w:sz w:val="24"/>
          <w:highlight w:val="none"/>
        </w:rPr>
      </w:pPr>
    </w:p>
    <w:p w14:paraId="5D1939CE">
      <w:pPr>
        <w:pStyle w:val="15"/>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致: (</w:t>
      </w:r>
      <w:r>
        <w:rPr>
          <w:rFonts w:hint="eastAsia" w:ascii="宋体" w:hAnsi="宋体" w:eastAsia="宋体" w:cs="宋体"/>
          <w:i/>
          <w:color w:val="auto"/>
          <w:sz w:val="24"/>
          <w:highlight w:val="none"/>
          <w:u w:val="single"/>
        </w:rPr>
        <w:t>买方名称</w:t>
      </w:r>
      <w:r>
        <w:rPr>
          <w:rFonts w:hint="eastAsia" w:ascii="宋体" w:hAnsi="宋体" w:eastAsia="宋体" w:cs="宋体"/>
          <w:color w:val="auto"/>
          <w:sz w:val="24"/>
          <w:highlight w:val="none"/>
        </w:rPr>
        <w:t>)</w:t>
      </w:r>
    </w:p>
    <w:p w14:paraId="5EAF90C8">
      <w:pPr>
        <w:pStyle w:val="15"/>
        <w:spacing w:line="240" w:lineRule="atLeast"/>
        <w:ind w:left="1079" w:leftChars="257" w:hanging="54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号合同履约保函</w:t>
      </w:r>
    </w:p>
    <w:p w14:paraId="2CB1CF29">
      <w:pPr>
        <w:pStyle w:val="15"/>
        <w:spacing w:line="240" w:lineRule="atLeast"/>
        <w:ind w:left="1079" w:leftChars="257" w:hanging="540"/>
        <w:jc w:val="center"/>
        <w:rPr>
          <w:rFonts w:hint="eastAsia" w:ascii="宋体" w:hAnsi="宋体" w:eastAsia="宋体" w:cs="宋体"/>
          <w:color w:val="auto"/>
          <w:sz w:val="24"/>
          <w:highlight w:val="none"/>
        </w:rPr>
      </w:pPr>
    </w:p>
    <w:p w14:paraId="62787488">
      <w:pPr>
        <w:pStyle w:val="15"/>
        <w:spacing w:line="240" w:lineRule="atLeas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本保函作为贵方与(</w:t>
      </w:r>
      <w:r>
        <w:rPr>
          <w:rFonts w:hint="eastAsia" w:ascii="宋体" w:hAnsi="宋体" w:eastAsia="宋体" w:cs="宋体"/>
          <w:i/>
          <w:color w:val="auto"/>
          <w:sz w:val="24"/>
          <w:highlight w:val="none"/>
          <w:u w:val="single"/>
        </w:rPr>
        <w:t>卖方名称</w:t>
      </w:r>
      <w:r>
        <w:rPr>
          <w:rFonts w:hint="eastAsia" w:ascii="宋体" w:hAnsi="宋体" w:eastAsia="宋体" w:cs="宋体"/>
          <w:color w:val="auto"/>
          <w:sz w:val="24"/>
          <w:highlight w:val="none"/>
        </w:rPr>
        <w:t>)(以下简称卖方)于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项目(以下简称项目)项下提供(</w:t>
      </w:r>
      <w:r>
        <w:rPr>
          <w:rFonts w:hint="eastAsia" w:ascii="宋体" w:hAnsi="宋体" w:eastAsia="宋体" w:cs="宋体"/>
          <w:i/>
          <w:color w:val="auto"/>
          <w:sz w:val="24"/>
          <w:highlight w:val="none"/>
          <w:u w:val="single"/>
        </w:rPr>
        <w:t>货物名称</w:t>
      </w:r>
      <w:r>
        <w:rPr>
          <w:rFonts w:hint="eastAsia" w:ascii="宋体" w:hAnsi="宋体" w:eastAsia="宋体" w:cs="宋体"/>
          <w:color w:val="auto"/>
          <w:sz w:val="24"/>
          <w:highlight w:val="none"/>
        </w:rPr>
        <w:t>)(以下简称货物)签订的(</w:t>
      </w:r>
      <w:r>
        <w:rPr>
          <w:rFonts w:hint="eastAsia" w:ascii="宋体" w:hAnsi="宋体" w:eastAsia="宋体" w:cs="宋体"/>
          <w:i/>
          <w:color w:val="auto"/>
          <w:sz w:val="24"/>
          <w:highlight w:val="none"/>
          <w:u w:val="single"/>
        </w:rPr>
        <w:t>合同号</w:t>
      </w:r>
      <w:r>
        <w:rPr>
          <w:rFonts w:hint="eastAsia" w:ascii="宋体" w:hAnsi="宋体" w:eastAsia="宋体" w:cs="宋体"/>
          <w:color w:val="auto"/>
          <w:sz w:val="24"/>
          <w:highlight w:val="none"/>
        </w:rPr>
        <w:t>)号合同的履约保函。</w:t>
      </w:r>
    </w:p>
    <w:p w14:paraId="5E945F46">
      <w:pPr>
        <w:pStyle w:val="15"/>
        <w:spacing w:line="240" w:lineRule="atLeas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i/>
          <w:color w:val="auto"/>
          <w:sz w:val="24"/>
          <w:highlight w:val="none"/>
          <w:u w:val="single"/>
        </w:rPr>
        <w:t>出具保函的银行名称</w:t>
      </w:r>
      <w:r>
        <w:rPr>
          <w:rFonts w:hint="eastAsia" w:ascii="宋体" w:hAnsi="宋体" w:eastAsia="宋体" w:cs="宋体"/>
          <w:color w:val="auto"/>
          <w:sz w:val="24"/>
          <w:highlight w:val="none"/>
        </w:rPr>
        <w:t>)(以下简称银行)无条件地、不可撤销地具结保证本行、其继承人和受让人无追索地向贵方以(</w:t>
      </w:r>
      <w:r>
        <w:rPr>
          <w:rFonts w:hint="eastAsia" w:ascii="宋体" w:hAnsi="宋体" w:eastAsia="宋体" w:cs="宋体"/>
          <w:i/>
          <w:color w:val="auto"/>
          <w:sz w:val="24"/>
          <w:highlight w:val="none"/>
          <w:u w:val="single"/>
        </w:rPr>
        <w:t>货币名称</w:t>
      </w:r>
      <w:r>
        <w:rPr>
          <w:rFonts w:hint="eastAsia" w:ascii="宋体" w:hAnsi="宋体" w:eastAsia="宋体" w:cs="宋体"/>
          <w:color w:val="auto"/>
          <w:sz w:val="24"/>
          <w:highlight w:val="none"/>
        </w:rPr>
        <w:t>)支付总额不超过(</w:t>
      </w:r>
      <w:r>
        <w:rPr>
          <w:rFonts w:hint="eastAsia" w:ascii="宋体" w:hAnsi="宋体" w:eastAsia="宋体" w:cs="宋体"/>
          <w:i/>
          <w:color w:val="auto"/>
          <w:sz w:val="24"/>
          <w:highlight w:val="none"/>
          <w:u w:val="single"/>
        </w:rPr>
        <w:t>货币数量</w:t>
      </w:r>
      <w:r>
        <w:rPr>
          <w:rFonts w:hint="eastAsia" w:ascii="宋体" w:hAnsi="宋体" w:eastAsia="宋体" w:cs="宋体"/>
          <w:color w:val="auto"/>
          <w:sz w:val="24"/>
          <w:highlight w:val="none"/>
        </w:rPr>
        <w:t>),即相当于合同价格的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%,并以此约定如下:</w:t>
      </w:r>
    </w:p>
    <w:p w14:paraId="1E7B371A">
      <w:pPr>
        <w:pStyle w:val="15"/>
        <w:spacing w:line="240" w:lineRule="atLeast"/>
        <w:ind w:left="539" w:leftChars="257"/>
        <w:rPr>
          <w:rFonts w:hint="eastAsia" w:ascii="宋体" w:hAnsi="宋体" w:eastAsia="宋体" w:cs="宋体"/>
          <w:color w:val="auto"/>
          <w:sz w:val="24"/>
          <w:highlight w:val="none"/>
        </w:rPr>
      </w:pPr>
      <w:r>
        <w:rPr>
          <w:rFonts w:hint="eastAsia" w:ascii="宋体" w:hAnsi="宋体" w:eastAsia="宋体" w:cs="宋体"/>
          <w:color w:val="auto"/>
          <w:sz w:val="24"/>
          <w:highlight w:val="none"/>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14:paraId="5C1A46CB">
      <w:pPr>
        <w:pStyle w:val="15"/>
        <w:spacing w:line="240" w:lineRule="atLeas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2.本保函项下的任何支付应为免税和净值。对于现有或将来的税收、关税、收费、费用扣减或预提税款，不论这些款项是何种性质和由谁征收，都不应从本保函项下的支付中扣除。</w:t>
      </w:r>
    </w:p>
    <w:p w14:paraId="4AD95E1F">
      <w:pPr>
        <w:pStyle w:val="15"/>
        <w:spacing w:line="240" w:lineRule="atLeas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7B4F332D">
      <w:pPr>
        <w:pStyle w:val="15"/>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4.本保函在本合同规定的保证期期满前完全有效。</w:t>
      </w:r>
    </w:p>
    <w:p w14:paraId="6ECC6F96">
      <w:pPr>
        <w:pStyle w:val="15"/>
        <w:spacing w:line="240" w:lineRule="atLeast"/>
        <w:ind w:left="1079" w:leftChars="257" w:hanging="540"/>
        <w:rPr>
          <w:rFonts w:hint="eastAsia" w:ascii="宋体" w:hAnsi="宋体" w:eastAsia="宋体" w:cs="宋体"/>
          <w:color w:val="auto"/>
          <w:sz w:val="24"/>
          <w:highlight w:val="none"/>
        </w:rPr>
      </w:pPr>
    </w:p>
    <w:p w14:paraId="06C3C17E">
      <w:pPr>
        <w:pStyle w:val="15"/>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谨启</w:t>
      </w:r>
    </w:p>
    <w:p w14:paraId="4F96661A">
      <w:pPr>
        <w:pStyle w:val="15"/>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出具保函银行名称：</w:t>
      </w:r>
      <w:r>
        <w:rPr>
          <w:rFonts w:hint="eastAsia" w:ascii="宋体" w:hAnsi="宋体" w:eastAsia="宋体" w:cs="宋体"/>
          <w:color w:val="auto"/>
          <w:sz w:val="24"/>
          <w:highlight w:val="none"/>
          <w:u w:val="single"/>
        </w:rPr>
        <w:t xml:space="preserve">                             </w:t>
      </w:r>
    </w:p>
    <w:p w14:paraId="306CBE81">
      <w:pPr>
        <w:pStyle w:val="15"/>
        <w:spacing w:line="240" w:lineRule="atLeast"/>
        <w:ind w:left="1079"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签字人姓名和职务：</w:t>
      </w:r>
      <w:r>
        <w:rPr>
          <w:rFonts w:hint="eastAsia" w:ascii="宋体" w:hAnsi="宋体" w:eastAsia="宋体" w:cs="宋体"/>
          <w:color w:val="auto"/>
          <w:sz w:val="24"/>
          <w:highlight w:val="none"/>
          <w:u w:val="single"/>
        </w:rPr>
        <w:t xml:space="preserve">                             </w:t>
      </w:r>
    </w:p>
    <w:p w14:paraId="64DB3276">
      <w:pPr>
        <w:pStyle w:val="15"/>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签字人签名：</w:t>
      </w:r>
      <w:r>
        <w:rPr>
          <w:rFonts w:hint="eastAsia" w:ascii="宋体" w:hAnsi="宋体" w:eastAsia="宋体" w:cs="宋体"/>
          <w:color w:val="auto"/>
          <w:sz w:val="24"/>
          <w:highlight w:val="none"/>
          <w:u w:val="single"/>
        </w:rPr>
        <w:t xml:space="preserve">                                   </w:t>
      </w:r>
    </w:p>
    <w:p w14:paraId="54DB9954">
      <w:pPr>
        <w:pStyle w:val="15"/>
        <w:spacing w:line="240" w:lineRule="atLeast"/>
        <w:ind w:left="1079"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xml:space="preserve">                                         </w:t>
      </w:r>
    </w:p>
    <w:p w14:paraId="71BA60AD">
      <w:pPr>
        <w:pStyle w:val="3"/>
        <w:spacing w:before="0" w:line="240" w:lineRule="atLeast"/>
        <w:ind w:left="1079" w:leftChars="257" w:hanging="540"/>
        <w:rPr>
          <w:rFonts w:hint="eastAsia" w:ascii="宋体" w:hAnsi="宋体" w:eastAsia="宋体" w:cs="宋体"/>
          <w:color w:val="auto"/>
          <w:sz w:val="28"/>
          <w:szCs w:val="22"/>
          <w:highlight w:val="none"/>
        </w:rPr>
      </w:pPr>
      <w:r>
        <w:rPr>
          <w:rFonts w:hint="eastAsia" w:ascii="宋体" w:hAnsi="宋体" w:eastAsia="宋体" w:cs="宋体"/>
          <w:color w:val="auto"/>
          <w:highlight w:val="none"/>
        </w:rPr>
        <w:br w:type="page"/>
      </w:r>
      <w:bookmarkStart w:id="265" w:name="_Toc6548"/>
      <w:bookmarkStart w:id="266" w:name="_Toc515647800"/>
      <w:bookmarkStart w:id="267" w:name="_Toc7612"/>
      <w:bookmarkStart w:id="268" w:name="_Toc10951"/>
      <w:r>
        <w:rPr>
          <w:rFonts w:hint="eastAsia" w:ascii="宋体" w:hAnsi="宋体" w:eastAsia="宋体" w:cs="宋体"/>
          <w:color w:val="auto"/>
          <w:sz w:val="28"/>
          <w:szCs w:val="22"/>
          <w:highlight w:val="none"/>
        </w:rPr>
        <w:t>附件2：履约担保函格式</w:t>
      </w:r>
      <w:bookmarkEnd w:id="265"/>
      <w:bookmarkEnd w:id="266"/>
      <w:bookmarkEnd w:id="267"/>
      <w:bookmarkEnd w:id="268"/>
    </w:p>
    <w:p w14:paraId="3223A7D9">
      <w:pPr>
        <w:pStyle w:val="3"/>
        <w:spacing w:before="0" w:line="240" w:lineRule="atLeast"/>
        <w:ind w:left="1079" w:leftChars="257" w:hanging="540"/>
        <w:rPr>
          <w:rFonts w:hint="eastAsia" w:ascii="宋体" w:hAnsi="宋体" w:eastAsia="宋体" w:cs="宋体"/>
          <w:b w:val="0"/>
          <w:color w:val="auto"/>
          <w:sz w:val="28"/>
          <w:szCs w:val="18"/>
          <w:highlight w:val="none"/>
        </w:rPr>
      </w:pPr>
      <w:bookmarkStart w:id="269" w:name="_Toc162"/>
      <w:bookmarkStart w:id="270" w:name="_Toc30861"/>
      <w:bookmarkStart w:id="271" w:name="_Toc13962"/>
      <w:bookmarkStart w:id="272" w:name="_Toc515647801"/>
      <w:r>
        <w:rPr>
          <w:rFonts w:hint="eastAsia" w:ascii="宋体" w:hAnsi="宋体" w:eastAsia="宋体" w:cs="宋体"/>
          <w:color w:val="auto"/>
          <w:sz w:val="28"/>
          <w:szCs w:val="22"/>
          <w:highlight w:val="none"/>
        </w:rPr>
        <w:t>（采用政府采购信用担保形式时使用）</w:t>
      </w:r>
      <w:bookmarkEnd w:id="269"/>
      <w:bookmarkEnd w:id="270"/>
      <w:bookmarkEnd w:id="271"/>
      <w:bookmarkEnd w:id="272"/>
    </w:p>
    <w:p w14:paraId="6B1C5693">
      <w:pPr>
        <w:spacing w:line="240" w:lineRule="atLeast"/>
        <w:ind w:left="1079" w:leftChars="257" w:hanging="540"/>
        <w:rPr>
          <w:rFonts w:hint="eastAsia" w:ascii="宋体" w:hAnsi="宋体" w:eastAsia="宋体" w:cs="宋体"/>
          <w:b/>
          <w:color w:val="auto"/>
          <w:kern w:val="0"/>
          <w:sz w:val="24"/>
          <w:szCs w:val="20"/>
          <w:highlight w:val="none"/>
        </w:rPr>
      </w:pPr>
    </w:p>
    <w:p w14:paraId="050BC6A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政府采购履约担保函（项目用）</w:t>
      </w:r>
    </w:p>
    <w:p w14:paraId="30CECA80">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编号：</w:t>
      </w:r>
    </w:p>
    <w:p w14:paraId="1A9709FB">
      <w:pPr>
        <w:rPr>
          <w:rFonts w:hint="eastAsia" w:ascii="宋体" w:hAnsi="宋体" w:eastAsia="宋体" w:cs="宋体"/>
          <w:color w:val="auto"/>
          <w:sz w:val="24"/>
          <w:highlight w:val="none"/>
        </w:rPr>
      </w:pPr>
    </w:p>
    <w:p w14:paraId="5CFF7AA5">
      <w:pPr>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w:t>
      </w:r>
    </w:p>
    <w:p w14:paraId="15CC9CD5">
      <w:pPr>
        <w:rPr>
          <w:rFonts w:hint="eastAsia" w:ascii="宋体" w:hAnsi="宋体" w:eastAsia="宋体" w:cs="宋体"/>
          <w:color w:val="auto"/>
          <w:sz w:val="24"/>
          <w:highlight w:val="none"/>
        </w:rPr>
      </w:pPr>
    </w:p>
    <w:p w14:paraId="4A9C42D3">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鉴于你方与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（以下简称供应商）于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日签定编号为   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政府采购合同》（以下简称主合同），且依据该合同的约定，供应商应在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p>
    <w:p w14:paraId="54467511">
      <w:pPr>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日前向你方交纳履约保证金，且可以履约担保函的形式交纳履约保证金。应供应商的申请，我方以保证的方式向你方提供如下履约保证金担保：</w:t>
      </w:r>
    </w:p>
    <w:p w14:paraId="76699FD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一、保证责任的情形及保证金额</w:t>
      </w:r>
    </w:p>
    <w:p w14:paraId="3B6E4B38">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（一）在供应商出现下列情形之一时，我方承担保证责任：</w:t>
      </w:r>
    </w:p>
    <w:p w14:paraId="3651D2E8">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1．将中标项目转让给他人，或者在投标文件中未说明，且未经采购招标机构人同意，将中标项目分包给他人的；</w:t>
      </w:r>
    </w:p>
    <w:p w14:paraId="0146D84F">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2．主合同约定的应当缴纳履约保证金的情形: </w:t>
      </w:r>
    </w:p>
    <w:p w14:paraId="5F8E4A2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（1）未按主合同约定的质量、数量和期限供应货物/提供服务/完成工程的；</w:t>
      </w:r>
    </w:p>
    <w:p w14:paraId="0C51A55E">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EDDDAC9">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（二）我方的保证范围是主合同约定的合同价款总额的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%数额为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），币种为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。（即主合同履约保证金金额）</w:t>
      </w:r>
    </w:p>
    <w:p w14:paraId="05121A9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二、保证的方式及保证期间</w:t>
      </w:r>
    </w:p>
    <w:p w14:paraId="23EE6EC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我方保证的方式为：连带责任保证。</w:t>
      </w:r>
    </w:p>
    <w:p w14:paraId="64CD8C4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我方保证的期间为：自本合同生效之日起至供应商按照主合同约定的供货/完工期限届满后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w:t>
      </w:r>
    </w:p>
    <w:p w14:paraId="432C9C83">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如果供应商未按主合同约定向贵方供应货物/提供服务/完成工程的，由我方在保证金额内向你方支付上述款项。</w:t>
      </w:r>
    </w:p>
    <w:p w14:paraId="6162160B">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三、承担保证责任的程序</w:t>
      </w:r>
    </w:p>
    <w:p w14:paraId="17F2AB00">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1．你方要求我方承担保证责任的，应在本保函保证期间内向我方发出书面索赔通知。索赔通知应写明要求索赔的金额，支付款项应到达的帐号。并附有证明供应商违约事实的证明材料。</w:t>
      </w:r>
    </w:p>
    <w:p w14:paraId="2AA34DCE">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如果你方与供应商因货物质量问题产生争议，你方还需同时提供</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部门出具的质量检测报告，或经诉讼（仲裁）程序裁决后的裁决书、调解书，本保证人即按照检测结果或裁决书、调解书决定是否承担保证责任。</w:t>
      </w:r>
    </w:p>
    <w:p w14:paraId="57C15DD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我方收到你方的书面索赔通知及相应证明材料，在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工作日内进行核定后按照本保函的承诺承担保证责任。</w:t>
      </w:r>
    </w:p>
    <w:p w14:paraId="761CAEBC">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四、保证责任的终止</w:t>
      </w:r>
    </w:p>
    <w:p w14:paraId="2CAE851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2FC58D2F">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2．我方按照本保函向你方履行了保证责任后，自我方向你方支付款项（支付款项从我方账户划出）之日起，保证责任即终止。</w:t>
      </w:r>
    </w:p>
    <w:p w14:paraId="53765C4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3．按照法律法规的规定或出现应终止我方保证责任的其它情形的，我方在本保函项下的保证责任亦终止。</w:t>
      </w:r>
    </w:p>
    <w:p w14:paraId="195AC96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2384206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五、免责条款</w:t>
      </w:r>
    </w:p>
    <w:p w14:paraId="0C1E670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1．因你方违反主合同约定致使供应商不能履行义务的，我方不承担保证责任。</w:t>
      </w:r>
    </w:p>
    <w:p w14:paraId="4D40053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2．依照法律法规的规定或你方与供应商的另行约定，全部或者部分免除供应商应缴纳的保证金义务的，我方亦免除相应的保证责任。</w:t>
      </w:r>
    </w:p>
    <w:p w14:paraId="42A4C94A">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3．因不可抗力造成供应商不能履行供货义务的，我方不承担保证责任。</w:t>
      </w:r>
    </w:p>
    <w:p w14:paraId="28C4C83B">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六、争议的解决</w:t>
      </w:r>
    </w:p>
    <w:p w14:paraId="3DE5D9C9">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因本保函发生的纠纷，由你我双方协商解决，协商不成的，通过诉讼程序解决，诉讼管辖地法院为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法院。</w:t>
      </w:r>
    </w:p>
    <w:p w14:paraId="2EFEFE99">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七、保函的生效</w:t>
      </w:r>
    </w:p>
    <w:p w14:paraId="4FDF8EE0">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本保函自我方加盖公章之日起生效。</w:t>
      </w:r>
    </w:p>
    <w:p w14:paraId="45B5E00F">
      <w:pPr>
        <w:rPr>
          <w:rFonts w:hint="eastAsia" w:ascii="宋体" w:hAnsi="宋体" w:eastAsia="宋体" w:cs="宋体"/>
          <w:color w:val="auto"/>
          <w:sz w:val="24"/>
          <w:highlight w:val="none"/>
        </w:rPr>
      </w:pPr>
    </w:p>
    <w:p w14:paraId="3D5284F9">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16A1CF6">
      <w:pPr>
        <w:ind w:firstLine="5400" w:firstLineChars="2250"/>
        <w:rPr>
          <w:rFonts w:hint="eastAsia" w:ascii="宋体" w:hAnsi="宋体" w:eastAsia="宋体" w:cs="宋体"/>
          <w:color w:val="auto"/>
          <w:sz w:val="24"/>
          <w:highlight w:val="none"/>
        </w:rPr>
      </w:pPr>
    </w:p>
    <w:p w14:paraId="07BC60CC">
      <w:pPr>
        <w:ind w:firstLine="5400" w:firstLineChars="2250"/>
        <w:rPr>
          <w:rFonts w:hint="eastAsia" w:ascii="宋体" w:hAnsi="宋体" w:eastAsia="宋体" w:cs="宋体"/>
          <w:color w:val="auto"/>
          <w:sz w:val="24"/>
          <w:highlight w:val="none"/>
        </w:rPr>
      </w:pPr>
    </w:p>
    <w:p w14:paraId="5B62B158">
      <w:pPr>
        <w:ind w:firstLine="5400" w:firstLineChars="2250"/>
        <w:rPr>
          <w:rFonts w:hint="eastAsia" w:ascii="宋体" w:hAnsi="宋体" w:eastAsia="宋体" w:cs="宋体"/>
          <w:color w:val="auto"/>
          <w:sz w:val="24"/>
          <w:highlight w:val="none"/>
        </w:rPr>
      </w:pPr>
      <w:r>
        <w:rPr>
          <w:rFonts w:hint="eastAsia" w:ascii="宋体" w:hAnsi="宋体" w:eastAsia="宋体" w:cs="宋体"/>
          <w:color w:val="auto"/>
          <w:sz w:val="24"/>
          <w:highlight w:val="none"/>
        </w:rPr>
        <w:t>保证人：（公章）</w:t>
      </w:r>
    </w:p>
    <w:p w14:paraId="5DB3A8DE">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D13CA7D">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2262941C">
      <w:pPr>
        <w:pStyle w:val="5"/>
        <w:spacing w:line="240" w:lineRule="atLeast"/>
        <w:ind w:firstLine="0"/>
        <w:rPr>
          <w:rFonts w:hint="eastAsia" w:ascii="宋体" w:hAnsi="宋体" w:eastAsia="宋体" w:cs="宋体"/>
          <w:color w:val="auto"/>
          <w:kern w:val="2"/>
          <w:szCs w:val="24"/>
          <w:highlight w:val="none"/>
        </w:rPr>
      </w:pPr>
      <w:r>
        <w:rPr>
          <w:rFonts w:hint="eastAsia" w:ascii="宋体" w:hAnsi="宋体" w:eastAsia="宋体" w:cs="宋体"/>
          <w:b/>
          <w:color w:val="auto"/>
          <w:highlight w:val="none"/>
        </w:rPr>
        <w:br w:type="page"/>
      </w:r>
    </w:p>
    <w:p w14:paraId="7F6D1E29">
      <w:pPr>
        <w:pStyle w:val="2"/>
        <w:numPr>
          <w:ilvl w:val="0"/>
          <w:numId w:val="1"/>
        </w:numPr>
        <w:spacing w:before="0" w:after="0" w:line="240" w:lineRule="atLeast"/>
        <w:ind w:left="3810" w:leftChars="0" w:firstLineChars="0"/>
        <w:jc w:val="both"/>
        <w:rPr>
          <w:rFonts w:hint="eastAsia" w:ascii="宋体" w:hAnsi="宋体" w:eastAsia="宋体" w:cs="宋体"/>
          <w:color w:val="auto"/>
          <w:highlight w:val="none"/>
        </w:rPr>
      </w:pPr>
      <w:bookmarkStart w:id="273" w:name="_Toc702"/>
      <w:bookmarkStart w:id="274" w:name="_Toc19692"/>
      <w:bookmarkStart w:id="275" w:name="_Toc515647802"/>
      <w:bookmarkStart w:id="276" w:name="_Toc728"/>
      <w:bookmarkStart w:id="277" w:name="_Toc216582812"/>
      <w:r>
        <w:rPr>
          <w:rFonts w:hint="eastAsia" w:ascii="宋体" w:hAnsi="宋体" w:eastAsia="宋体" w:cs="宋体"/>
          <w:color w:val="auto"/>
          <w:highlight w:val="none"/>
        </w:rPr>
        <w:t>投标文件格式</w:t>
      </w:r>
      <w:bookmarkEnd w:id="273"/>
      <w:bookmarkEnd w:id="274"/>
      <w:bookmarkEnd w:id="275"/>
      <w:bookmarkEnd w:id="276"/>
      <w:bookmarkEnd w:id="277"/>
    </w:p>
    <w:p w14:paraId="710F0C7D">
      <w:pPr>
        <w:spacing w:line="240" w:lineRule="atLeast"/>
        <w:ind w:left="735" w:leftChars="350" w:firstLine="120" w:firstLineChars="50"/>
        <w:rPr>
          <w:rFonts w:hint="eastAsia" w:ascii="宋体" w:hAnsi="宋体" w:eastAsia="宋体" w:cs="宋体"/>
          <w:color w:val="auto"/>
          <w:sz w:val="24"/>
          <w:highlight w:val="none"/>
        </w:rPr>
      </w:pPr>
    </w:p>
    <w:p w14:paraId="355B60D1">
      <w:pPr>
        <w:pStyle w:val="3"/>
        <w:spacing w:before="0" w:line="240" w:lineRule="atLeast"/>
        <w:ind w:left="1257" w:leftChars="599" w:firstLine="820" w:firstLineChars="342"/>
        <w:jc w:val="both"/>
        <w:rPr>
          <w:rFonts w:hint="eastAsia" w:ascii="宋体" w:hAnsi="宋体" w:eastAsia="宋体" w:cs="宋体"/>
          <w:color w:val="auto"/>
          <w:sz w:val="24"/>
          <w:highlight w:val="none"/>
        </w:rPr>
      </w:pPr>
      <w:bookmarkStart w:id="278" w:name="_Toc515647803"/>
      <w:bookmarkStart w:id="279" w:name="_Toc18694"/>
      <w:bookmarkStart w:id="280" w:name="_Toc18974"/>
      <w:bookmarkStart w:id="281" w:name="_Toc6220"/>
      <w:r>
        <w:rPr>
          <w:rFonts w:hint="eastAsia" w:ascii="宋体" w:hAnsi="宋体" w:eastAsia="宋体" w:cs="宋体"/>
          <w:color w:val="auto"/>
          <w:sz w:val="24"/>
          <w:highlight w:val="none"/>
        </w:rPr>
        <w:t>第一部分 开标一览表及资格证明文件</w:t>
      </w:r>
      <w:bookmarkEnd w:id="278"/>
      <w:bookmarkEnd w:id="279"/>
      <w:bookmarkEnd w:id="280"/>
      <w:bookmarkEnd w:id="281"/>
    </w:p>
    <w:p w14:paraId="1094345E">
      <w:pPr>
        <w:spacing w:line="240" w:lineRule="atLeast"/>
        <w:ind w:left="708" w:hanging="708" w:hangingChars="295"/>
        <w:jc w:val="center"/>
        <w:rPr>
          <w:rFonts w:hint="eastAsia" w:ascii="宋体" w:hAnsi="宋体" w:eastAsia="宋体" w:cs="宋体"/>
          <w:color w:val="auto"/>
          <w:sz w:val="24"/>
          <w:highlight w:val="none"/>
        </w:rPr>
      </w:pPr>
    </w:p>
    <w:p w14:paraId="46D37DF9">
      <w:pPr>
        <w:tabs>
          <w:tab w:val="left" w:pos="5580"/>
        </w:tabs>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1、开标一览表；</w:t>
      </w:r>
    </w:p>
    <w:p w14:paraId="51F5AC23">
      <w:pPr>
        <w:widowControl/>
        <w:numPr>
          <w:ilvl w:val="0"/>
          <w:numId w:val="0"/>
        </w:numPr>
        <w:spacing w:line="360" w:lineRule="exact"/>
        <w:jc w:val="lef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2、</w:t>
      </w:r>
      <w:r>
        <w:rPr>
          <w:rFonts w:hint="eastAsia" w:ascii="宋体" w:hAnsi="宋体" w:cs="宋体"/>
          <w:color w:val="auto"/>
          <w:sz w:val="24"/>
          <w:highlight w:val="none"/>
          <w:lang w:val="en-US" w:eastAsia="zh-CN"/>
        </w:rPr>
        <w:t>单位三证合一营业执照</w:t>
      </w:r>
      <w:r>
        <w:rPr>
          <w:rFonts w:hint="eastAsia" w:ascii="宋体" w:hAnsi="宋体" w:cs="宋体"/>
          <w:color w:val="auto"/>
          <w:sz w:val="24"/>
          <w:highlight w:val="none"/>
          <w:lang w:eastAsia="zh-CN"/>
        </w:rPr>
        <w:t>；</w:t>
      </w:r>
    </w:p>
    <w:p w14:paraId="07BA6E5F">
      <w:pPr>
        <w:pStyle w:val="85"/>
        <w:keepNext w:val="0"/>
        <w:keepLines w:val="0"/>
        <w:pageBreakBefore w:val="0"/>
        <w:widowControl/>
        <w:kinsoku/>
        <w:wordWrap/>
        <w:overflowPunct/>
        <w:topLinePunct w:val="0"/>
        <w:autoSpaceDE/>
        <w:autoSpaceDN/>
        <w:bidi w:val="0"/>
        <w:adjustRightInd/>
        <w:snapToGrid/>
        <w:spacing w:line="320" w:lineRule="exact"/>
        <w:ind w:right="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1）所投产品为第一类医疗器械的可提供医疗器械经营备案凭证或按照国家医疗器械经营监督管理办法规定无需备案的可不提供；（2）所投产品为第二类医疗器械，生产商须提供有效的《医疗器械生产许可证》及所投产品的《医疗器械注册证》，代理商或经销商须提供有效的《第二类医疗器械经营备案凭证》及所投产品的《医疗器械注册证》；（3）所投产品为第三类医疗器械，生产商须提供有效的《医疗器械生产许可证》及所投产品的《医疗器械注册证》，代理商或经销商须提供有效的《医疗器械经营许可证》及所投产品的《医疗器械注册证》；</w:t>
      </w:r>
    </w:p>
    <w:p w14:paraId="747A0D6F">
      <w:pPr>
        <w:widowControl/>
        <w:numPr>
          <w:ilvl w:val="0"/>
          <w:numId w:val="0"/>
        </w:numPr>
        <w:spacing w:line="360" w:lineRule="exact"/>
        <w:jc w:val="left"/>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、法定代表人身份证明书；法定代表人授权委托书；</w:t>
      </w:r>
    </w:p>
    <w:p w14:paraId="5D523010">
      <w:pPr>
        <w:widowControl/>
        <w:numPr>
          <w:ilvl w:val="0"/>
          <w:numId w:val="0"/>
        </w:numPr>
        <w:spacing w:line="360" w:lineRule="exact"/>
        <w:jc w:val="left"/>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eastAsia="zh-CN"/>
        </w:rPr>
        <w:t>依法缴纳近六个月中任意一个月的社保凭证；</w:t>
      </w:r>
    </w:p>
    <w:p w14:paraId="0643CFF8">
      <w:pPr>
        <w:widowControl/>
        <w:numPr>
          <w:ilvl w:val="0"/>
          <w:numId w:val="0"/>
        </w:numPr>
        <w:spacing w:line="36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依法缴纳近六个月任意一个月的税收良好记录证明（零申报需加盖税务机关章、无拖欠税收证明需加盖税务机关章、完税证明为非社保缴纳明细）；</w:t>
      </w:r>
    </w:p>
    <w:p w14:paraId="3A3C57EE">
      <w:pPr>
        <w:spacing w:line="240" w:lineRule="atLeas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2024年度或2025年度经会计师事务所出具财务审计报告（2026年新成立的公司须提供近三个月任意一个月的银行资信证明）；</w:t>
      </w:r>
    </w:p>
    <w:p w14:paraId="3298695E">
      <w:pPr>
        <w:spacing w:line="240" w:lineRule="atLeas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未在“信用中国”网站 被列入失信被执行人、重大税收违法案件当事人名单；中国政府采购网，</w:t>
      </w:r>
      <w:r>
        <w:rPr>
          <w:rFonts w:hint="eastAsia" w:ascii="宋体" w:hAnsi="宋体" w:eastAsia="宋体" w:cs="宋体"/>
          <w:color w:val="auto"/>
          <w:sz w:val="24"/>
          <w:highlight w:val="none"/>
          <w:lang w:val="en-US" w:eastAsia="zh-CN"/>
        </w:rPr>
        <w:fldChar w:fldCharType="begin"/>
      </w:r>
      <w:r>
        <w:rPr>
          <w:rFonts w:hint="eastAsia" w:ascii="宋体" w:hAnsi="宋体" w:eastAsia="宋体" w:cs="宋体"/>
          <w:color w:val="auto"/>
          <w:sz w:val="24"/>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color w:val="auto"/>
          <w:sz w:val="24"/>
          <w:highlight w:val="none"/>
          <w:lang w:val="en-US" w:eastAsia="zh-CN"/>
        </w:rPr>
        <w:fldChar w:fldCharType="separate"/>
      </w:r>
      <w:r>
        <w:rPr>
          <w:rFonts w:hint="eastAsia" w:ascii="宋体" w:hAnsi="宋体" w:eastAsia="宋体" w:cs="宋体"/>
          <w:color w:val="auto"/>
          <w:sz w:val="24"/>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color w:val="auto"/>
          <w:sz w:val="24"/>
          <w:highlight w:val="none"/>
          <w:lang w:val="en-US" w:eastAsia="zh-CN"/>
        </w:rPr>
        <w:fldChar w:fldCharType="end"/>
      </w:r>
      <w:r>
        <w:rPr>
          <w:rFonts w:hint="eastAsia" w:ascii="宋体" w:hAnsi="宋体" w:eastAsia="宋体" w:cs="宋体"/>
          <w:color w:val="auto"/>
          <w:sz w:val="24"/>
          <w:highlight w:val="none"/>
          <w:lang w:val="en-US" w:eastAsia="zh-CN"/>
        </w:rPr>
        <w:t>，附</w:t>
      </w:r>
      <w:r>
        <w:rPr>
          <w:rFonts w:hint="eastAsia" w:ascii="宋体" w:hAnsi="宋体" w:cs="宋体"/>
          <w:color w:val="auto"/>
          <w:sz w:val="24"/>
          <w:highlight w:val="none"/>
          <w:lang w:val="en-US" w:eastAsia="zh-CN"/>
        </w:rPr>
        <w:t>网站截图或报告</w:t>
      </w:r>
      <w:r>
        <w:rPr>
          <w:rFonts w:hint="eastAsia" w:ascii="宋体" w:hAnsi="宋体" w:eastAsia="宋体" w:cs="宋体"/>
          <w:color w:val="auto"/>
          <w:sz w:val="24"/>
          <w:highlight w:val="none"/>
          <w:lang w:val="en-US" w:eastAsia="zh-CN"/>
        </w:rPr>
        <w:t>。</w:t>
      </w:r>
    </w:p>
    <w:p w14:paraId="46C1D086">
      <w:pPr>
        <w:pStyle w:val="5"/>
        <w:ind w:firstLine="0"/>
        <w:rPr>
          <w:rFonts w:hint="eastAsia" w:ascii="宋体" w:hAnsi="宋体" w:eastAsia="宋体" w:cs="宋体"/>
          <w:color w:val="auto"/>
          <w:highlight w:val="none"/>
        </w:rPr>
      </w:pPr>
      <w:r>
        <w:rPr>
          <w:rFonts w:hint="eastAsia" w:hAnsi="宋体" w:cs="宋体"/>
          <w:color w:val="auto"/>
          <w:szCs w:val="24"/>
          <w:highlight w:val="none"/>
          <w:lang w:val="en-US" w:eastAsia="zh-CN"/>
        </w:rPr>
        <w:t>9</w:t>
      </w:r>
      <w:r>
        <w:rPr>
          <w:rFonts w:hint="eastAsia" w:ascii="宋体" w:hAnsi="宋体" w:eastAsia="宋体" w:cs="宋体"/>
          <w:color w:val="auto"/>
          <w:szCs w:val="24"/>
          <w:highlight w:val="none"/>
        </w:rPr>
        <w:t>、投标单位（供应商）提供针对本次项目《反商业贿赂承诺书》</w:t>
      </w:r>
    </w:p>
    <w:p w14:paraId="58CB2671">
      <w:pPr>
        <w:tabs>
          <w:tab w:val="left" w:pos="5580"/>
        </w:tabs>
        <w:spacing w:line="360" w:lineRule="exac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、参加政府采购活动近3年内，在经营活动中没有重大违法记录的书面声明；</w:t>
      </w:r>
    </w:p>
    <w:p w14:paraId="53A49DFA">
      <w:pPr>
        <w:tabs>
          <w:tab w:val="left" w:pos="5580"/>
        </w:tabs>
        <w:spacing w:line="360" w:lineRule="exac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、投标保证金缴纳凭证或投标担保函；</w:t>
      </w:r>
    </w:p>
    <w:p w14:paraId="78707E79">
      <w:pPr>
        <w:tabs>
          <w:tab w:val="left" w:pos="5580"/>
        </w:tabs>
        <w:spacing w:line="360" w:lineRule="exac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、投标人须知资料表要求的其他证明文件；</w:t>
      </w:r>
    </w:p>
    <w:p w14:paraId="260E6AF0">
      <w:pPr>
        <w:tabs>
          <w:tab w:val="left" w:pos="5580"/>
        </w:tabs>
        <w:spacing w:line="240" w:lineRule="atLeast"/>
        <w:ind w:left="1" w:firstLine="564" w:firstLineChars="235"/>
        <w:rPr>
          <w:rFonts w:hint="eastAsia" w:ascii="宋体" w:hAnsi="宋体" w:eastAsia="宋体" w:cs="宋体"/>
          <w:color w:val="auto"/>
          <w:sz w:val="24"/>
          <w:highlight w:val="none"/>
        </w:rPr>
      </w:pPr>
    </w:p>
    <w:p w14:paraId="6D6F3B92">
      <w:pPr>
        <w:tabs>
          <w:tab w:val="left" w:pos="5580"/>
        </w:tabs>
        <w:spacing w:line="240" w:lineRule="atLeast"/>
        <w:ind w:left="1" w:firstLine="564" w:firstLineChars="235"/>
        <w:rPr>
          <w:rFonts w:hint="eastAsia" w:ascii="宋体" w:hAnsi="宋体" w:eastAsia="宋体" w:cs="宋体"/>
          <w:color w:val="auto"/>
          <w:sz w:val="24"/>
          <w:highlight w:val="none"/>
        </w:rPr>
      </w:pPr>
    </w:p>
    <w:p w14:paraId="7E0BE9C5">
      <w:pPr>
        <w:tabs>
          <w:tab w:val="left" w:pos="5580"/>
        </w:tabs>
        <w:spacing w:line="240" w:lineRule="atLeast"/>
        <w:ind w:left="1" w:firstLine="564" w:firstLineChars="235"/>
        <w:rPr>
          <w:rFonts w:hint="eastAsia" w:ascii="宋体" w:hAnsi="宋体" w:eastAsia="宋体" w:cs="宋体"/>
          <w:color w:val="auto"/>
          <w:sz w:val="24"/>
          <w:highlight w:val="none"/>
        </w:rPr>
      </w:pPr>
    </w:p>
    <w:p w14:paraId="370D12C5">
      <w:pPr>
        <w:tabs>
          <w:tab w:val="left" w:pos="5580"/>
        </w:tabs>
        <w:spacing w:line="240" w:lineRule="atLeast"/>
        <w:ind w:left="1" w:firstLine="564" w:firstLineChars="235"/>
        <w:rPr>
          <w:rFonts w:hint="eastAsia" w:ascii="宋体" w:hAnsi="宋体" w:eastAsia="宋体" w:cs="宋体"/>
          <w:color w:val="auto"/>
          <w:sz w:val="24"/>
          <w:highlight w:val="none"/>
        </w:rPr>
      </w:pPr>
    </w:p>
    <w:p w14:paraId="4CB485A3">
      <w:pPr>
        <w:tabs>
          <w:tab w:val="left" w:pos="5580"/>
        </w:tabs>
        <w:spacing w:line="240" w:lineRule="atLeast"/>
        <w:ind w:left="1" w:firstLine="564" w:firstLineChars="235"/>
        <w:rPr>
          <w:rFonts w:hint="eastAsia" w:ascii="宋体" w:hAnsi="宋体" w:eastAsia="宋体" w:cs="宋体"/>
          <w:color w:val="auto"/>
          <w:sz w:val="24"/>
          <w:highlight w:val="none"/>
        </w:rPr>
      </w:pPr>
    </w:p>
    <w:p w14:paraId="7F83028B">
      <w:pPr>
        <w:tabs>
          <w:tab w:val="left" w:pos="5580"/>
        </w:tabs>
        <w:spacing w:line="240" w:lineRule="atLeast"/>
        <w:ind w:left="1" w:firstLine="564" w:firstLineChars="235"/>
        <w:rPr>
          <w:rFonts w:hint="eastAsia" w:ascii="宋体" w:hAnsi="宋体" w:eastAsia="宋体" w:cs="宋体"/>
          <w:color w:val="auto"/>
          <w:sz w:val="24"/>
          <w:highlight w:val="none"/>
        </w:rPr>
      </w:pPr>
    </w:p>
    <w:p w14:paraId="24258DD9">
      <w:pPr>
        <w:tabs>
          <w:tab w:val="left" w:pos="5580"/>
        </w:tabs>
        <w:spacing w:line="240" w:lineRule="atLeast"/>
        <w:ind w:left="1" w:firstLine="564" w:firstLineChars="235"/>
        <w:rPr>
          <w:rFonts w:hint="eastAsia" w:ascii="宋体" w:hAnsi="宋体" w:eastAsia="宋体" w:cs="宋体"/>
          <w:color w:val="auto"/>
          <w:sz w:val="24"/>
          <w:highlight w:val="none"/>
        </w:rPr>
      </w:pPr>
    </w:p>
    <w:p w14:paraId="4CC3CE15">
      <w:pPr>
        <w:tabs>
          <w:tab w:val="left" w:pos="5580"/>
        </w:tabs>
        <w:spacing w:line="240" w:lineRule="atLeast"/>
        <w:ind w:left="1" w:firstLine="564" w:firstLineChars="235"/>
        <w:rPr>
          <w:rFonts w:hint="eastAsia" w:ascii="宋体" w:hAnsi="宋体" w:eastAsia="宋体" w:cs="宋体"/>
          <w:color w:val="auto"/>
          <w:sz w:val="24"/>
          <w:highlight w:val="none"/>
        </w:rPr>
      </w:pPr>
    </w:p>
    <w:p w14:paraId="221FF26F">
      <w:pPr>
        <w:tabs>
          <w:tab w:val="left" w:pos="5580"/>
        </w:tabs>
        <w:spacing w:line="240" w:lineRule="atLeast"/>
        <w:ind w:left="1" w:firstLine="564" w:firstLineChars="235"/>
        <w:rPr>
          <w:rFonts w:hint="eastAsia" w:ascii="宋体" w:hAnsi="宋体" w:eastAsia="宋体" w:cs="宋体"/>
          <w:color w:val="auto"/>
          <w:sz w:val="24"/>
          <w:highlight w:val="none"/>
        </w:rPr>
      </w:pPr>
    </w:p>
    <w:p w14:paraId="6B3F8420">
      <w:pPr>
        <w:tabs>
          <w:tab w:val="left" w:pos="5580"/>
        </w:tabs>
        <w:spacing w:line="240" w:lineRule="atLeast"/>
        <w:ind w:left="1" w:firstLine="564" w:firstLineChars="235"/>
        <w:rPr>
          <w:rFonts w:hint="eastAsia" w:ascii="宋体" w:hAnsi="宋体" w:eastAsia="宋体" w:cs="宋体"/>
          <w:color w:val="auto"/>
          <w:sz w:val="24"/>
          <w:highlight w:val="none"/>
        </w:rPr>
      </w:pPr>
    </w:p>
    <w:p w14:paraId="55578D30">
      <w:pPr>
        <w:tabs>
          <w:tab w:val="left" w:pos="5580"/>
        </w:tabs>
        <w:spacing w:line="240" w:lineRule="atLeast"/>
        <w:ind w:left="1" w:firstLine="564" w:firstLineChars="235"/>
        <w:rPr>
          <w:rFonts w:hint="eastAsia" w:ascii="宋体" w:hAnsi="宋体" w:eastAsia="宋体" w:cs="宋体"/>
          <w:color w:val="auto"/>
          <w:sz w:val="24"/>
          <w:highlight w:val="none"/>
        </w:rPr>
      </w:pPr>
    </w:p>
    <w:p w14:paraId="5F89AF68">
      <w:pPr>
        <w:tabs>
          <w:tab w:val="left" w:pos="5580"/>
        </w:tabs>
        <w:spacing w:line="240" w:lineRule="atLeast"/>
        <w:ind w:left="1" w:firstLine="564" w:firstLineChars="235"/>
        <w:rPr>
          <w:rFonts w:hint="eastAsia" w:ascii="宋体" w:hAnsi="宋体" w:eastAsia="宋体" w:cs="宋体"/>
          <w:color w:val="auto"/>
          <w:sz w:val="24"/>
          <w:highlight w:val="none"/>
        </w:rPr>
      </w:pPr>
    </w:p>
    <w:p w14:paraId="48E3E212">
      <w:pPr>
        <w:tabs>
          <w:tab w:val="left" w:pos="5580"/>
        </w:tabs>
        <w:spacing w:line="240" w:lineRule="atLeast"/>
        <w:ind w:left="1" w:firstLine="564" w:firstLineChars="235"/>
        <w:rPr>
          <w:rFonts w:hint="eastAsia" w:ascii="宋体" w:hAnsi="宋体" w:eastAsia="宋体" w:cs="宋体"/>
          <w:color w:val="auto"/>
          <w:sz w:val="24"/>
          <w:highlight w:val="none"/>
        </w:rPr>
      </w:pPr>
    </w:p>
    <w:p w14:paraId="131F562C">
      <w:pPr>
        <w:tabs>
          <w:tab w:val="left" w:pos="5580"/>
        </w:tabs>
        <w:spacing w:line="240" w:lineRule="atLeast"/>
        <w:ind w:left="1" w:firstLine="564" w:firstLineChars="235"/>
        <w:rPr>
          <w:rFonts w:hint="eastAsia" w:ascii="宋体" w:hAnsi="宋体" w:eastAsia="宋体" w:cs="宋体"/>
          <w:color w:val="auto"/>
          <w:sz w:val="24"/>
          <w:highlight w:val="none"/>
        </w:rPr>
      </w:pPr>
    </w:p>
    <w:p w14:paraId="1A69F498">
      <w:pPr>
        <w:pStyle w:val="3"/>
        <w:spacing w:before="0" w:line="240" w:lineRule="atLeast"/>
        <w:ind w:left="1079" w:leftChars="257" w:hanging="540"/>
        <w:rPr>
          <w:rFonts w:hint="eastAsia" w:ascii="宋体" w:hAnsi="宋体" w:eastAsia="宋体" w:cs="宋体"/>
          <w:b/>
          <w:bCs/>
          <w:color w:val="auto"/>
          <w:kern w:val="2"/>
          <w:sz w:val="28"/>
          <w:szCs w:val="28"/>
          <w:highlight w:val="none"/>
          <w:lang w:val="en-US" w:eastAsia="zh-CN" w:bidi="ar-SA"/>
        </w:rPr>
      </w:pPr>
      <w:bookmarkStart w:id="282" w:name="_Toc515647804"/>
      <w:bookmarkStart w:id="283" w:name="_Toc16568"/>
      <w:bookmarkStart w:id="284" w:name="_Toc30524"/>
      <w:bookmarkStart w:id="285" w:name="_Toc14309"/>
      <w:r>
        <w:rPr>
          <w:rFonts w:hint="eastAsia" w:ascii="宋体" w:hAnsi="宋体" w:eastAsia="宋体" w:cs="宋体"/>
          <w:b/>
          <w:bCs/>
          <w:color w:val="auto"/>
          <w:kern w:val="2"/>
          <w:sz w:val="28"/>
          <w:szCs w:val="28"/>
          <w:highlight w:val="none"/>
          <w:lang w:val="en-US" w:eastAsia="zh-CN" w:bidi="ar-SA"/>
        </w:rPr>
        <w:t>1、开标一览表</w:t>
      </w:r>
      <w:bookmarkEnd w:id="282"/>
      <w:bookmarkEnd w:id="283"/>
      <w:bookmarkEnd w:id="284"/>
      <w:bookmarkEnd w:id="285"/>
    </w:p>
    <w:p w14:paraId="7C39E985">
      <w:pPr>
        <w:pStyle w:val="15"/>
        <w:tabs>
          <w:tab w:val="left" w:pos="5580"/>
        </w:tabs>
        <w:spacing w:line="240" w:lineRule="atLeast"/>
        <w:ind w:left="268" w:leftChars="128"/>
        <w:rPr>
          <w:rFonts w:hint="eastAsia" w:ascii="宋体" w:hAnsi="宋体" w:eastAsia="宋体" w:cs="宋体"/>
          <w:color w:val="auto"/>
          <w:sz w:val="24"/>
          <w:szCs w:val="24"/>
          <w:highlight w:val="none"/>
        </w:rPr>
      </w:pPr>
    </w:p>
    <w:p w14:paraId="6C47D0F8">
      <w:pPr>
        <w:pStyle w:val="5"/>
        <w:tabs>
          <w:tab w:val="left" w:pos="5580"/>
        </w:tabs>
        <w:spacing w:line="240" w:lineRule="atLeast"/>
        <w:ind w:left="1079" w:leftChars="257" w:hanging="540"/>
        <w:jc w:val="both"/>
        <w:rPr>
          <w:rFonts w:hint="eastAsia" w:ascii="宋体" w:hAnsi="宋体" w:eastAsia="宋体" w:cs="宋体"/>
          <w:color w:val="auto"/>
          <w:highlight w:val="none"/>
        </w:rPr>
      </w:pPr>
      <w:bookmarkStart w:id="286" w:name="_Hlt520356241"/>
      <w:bookmarkEnd w:id="286"/>
      <w:bookmarkStart w:id="287" w:name="_Ref467988698"/>
      <w:bookmarkStart w:id="288" w:name="_Toc480942349"/>
      <w:bookmarkStart w:id="289" w:name="_Toc520356217"/>
      <w:bookmarkStart w:id="290" w:name="_Toc216582813"/>
      <w:r>
        <w:rPr>
          <w:rFonts w:hint="eastAsia" w:ascii="宋体" w:hAnsi="宋体" w:eastAsia="宋体" w:cs="宋体"/>
          <w:b/>
          <w:color w:val="auto"/>
          <w:highlight w:val="none"/>
        </w:rPr>
        <w:cr/>
      </w:r>
    </w:p>
    <w:p w14:paraId="00204004">
      <w:pPr>
        <w:tabs>
          <w:tab w:val="left" w:pos="1800"/>
          <w:tab w:val="left" w:pos="5580"/>
        </w:tabs>
        <w:spacing w:line="240" w:lineRule="atLeast"/>
        <w:ind w:left="1079" w:leftChars="257" w:right="-867" w:rightChars="-413" w:hanging="540"/>
        <w:rPr>
          <w:rFonts w:hint="eastAsia" w:ascii="宋体" w:hAnsi="宋体" w:cs="宋体"/>
          <w:color w:val="auto"/>
          <w:sz w:val="24"/>
          <w:highlight w:val="none"/>
        </w:rPr>
      </w:pPr>
      <w:r>
        <w:rPr>
          <w:rFonts w:hint="eastAsia" w:ascii="宋体" w:hAnsi="宋体" w:cs="宋体"/>
          <w:color w:val="auto"/>
          <w:sz w:val="24"/>
          <w:highlight w:val="none"/>
        </w:rPr>
        <w:t xml:space="preserve">项目名称：　                  项目编号：                 包号：         </w:t>
      </w:r>
    </w:p>
    <w:p w14:paraId="502D6247">
      <w:pPr>
        <w:tabs>
          <w:tab w:val="left" w:pos="1800"/>
          <w:tab w:val="left" w:pos="5580"/>
        </w:tabs>
        <w:spacing w:line="240" w:lineRule="atLeast"/>
        <w:ind w:left="1079" w:leftChars="257" w:right="-867" w:rightChars="-413" w:hanging="540"/>
        <w:rPr>
          <w:rFonts w:hint="eastAsia" w:ascii="宋体" w:hAnsi="宋体" w:cs="宋体"/>
          <w:color w:val="auto"/>
          <w:sz w:val="24"/>
          <w:highlight w:val="none"/>
        </w:rPr>
      </w:pPr>
      <w:r>
        <w:rPr>
          <w:rFonts w:hint="eastAsia" w:ascii="宋体" w:hAnsi="宋体" w:cs="宋体"/>
          <w:color w:val="auto"/>
          <w:sz w:val="24"/>
          <w:highlight w:val="none"/>
        </w:rPr>
        <w:t>报价单位：人民币</w:t>
      </w:r>
      <w:r>
        <w:rPr>
          <w:rFonts w:hint="eastAsia" w:ascii="宋体" w:hAnsi="宋体" w:cs="宋体"/>
          <w:b/>
          <w:color w:val="auto"/>
          <w:sz w:val="24"/>
          <w:highlight w:val="none"/>
        </w:rPr>
        <w:t xml:space="preserve">  元</w:t>
      </w:r>
    </w:p>
    <w:tbl>
      <w:tblPr>
        <w:tblStyle w:val="35"/>
        <w:tblW w:w="8411" w:type="dxa"/>
        <w:tblInd w:w="-61" w:type="dxa"/>
        <w:tblLayout w:type="fixed"/>
        <w:tblCellMar>
          <w:top w:w="0" w:type="dxa"/>
          <w:left w:w="0" w:type="dxa"/>
          <w:bottom w:w="0" w:type="dxa"/>
          <w:right w:w="0" w:type="dxa"/>
        </w:tblCellMar>
      </w:tblPr>
      <w:tblGrid>
        <w:gridCol w:w="1420"/>
        <w:gridCol w:w="1916"/>
        <w:gridCol w:w="1312"/>
        <w:gridCol w:w="1353"/>
        <w:gridCol w:w="1085"/>
        <w:gridCol w:w="1325"/>
      </w:tblGrid>
      <w:tr w14:paraId="0AC8EAB5">
        <w:trPr>
          <w:trHeight w:val="662" w:hRule="atLeast"/>
        </w:trPr>
        <w:tc>
          <w:tcPr>
            <w:tcW w:w="1420" w:type="dxa"/>
            <w:tcBorders>
              <w:top w:val="single" w:color="auto" w:sz="4" w:space="0"/>
              <w:left w:val="single" w:color="auto" w:sz="4" w:space="0"/>
              <w:bottom w:val="single" w:color="auto" w:sz="8" w:space="0"/>
              <w:right w:val="single" w:color="auto" w:sz="4" w:space="0"/>
            </w:tcBorders>
            <w:noWrap w:val="0"/>
            <w:vAlign w:val="center"/>
          </w:tcPr>
          <w:p w14:paraId="153108E7">
            <w:pPr>
              <w:tabs>
                <w:tab w:val="left" w:pos="5580"/>
              </w:tabs>
              <w:spacing w:line="240" w:lineRule="atLeast"/>
              <w:ind w:right="-199"/>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序号</w:t>
            </w:r>
          </w:p>
        </w:tc>
        <w:tc>
          <w:tcPr>
            <w:tcW w:w="1916" w:type="dxa"/>
            <w:tcBorders>
              <w:top w:val="single" w:color="auto" w:sz="4" w:space="0"/>
              <w:left w:val="single" w:color="auto" w:sz="8" w:space="0"/>
              <w:bottom w:val="single" w:color="auto" w:sz="8" w:space="0"/>
              <w:right w:val="single" w:color="auto" w:sz="4" w:space="0"/>
            </w:tcBorders>
            <w:noWrap w:val="0"/>
            <w:vAlign w:val="center"/>
          </w:tcPr>
          <w:p w14:paraId="6B58ED8E">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投标总价</w:t>
            </w:r>
          </w:p>
        </w:tc>
        <w:tc>
          <w:tcPr>
            <w:tcW w:w="1312" w:type="dxa"/>
            <w:tcBorders>
              <w:top w:val="single" w:color="auto" w:sz="8" w:space="0"/>
              <w:left w:val="nil"/>
              <w:bottom w:val="single" w:color="auto" w:sz="8" w:space="0"/>
              <w:right w:val="single" w:color="auto" w:sz="4" w:space="0"/>
            </w:tcBorders>
            <w:noWrap w:val="0"/>
            <w:vAlign w:val="center"/>
          </w:tcPr>
          <w:p w14:paraId="1A93C08E">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投标保证金</w:t>
            </w:r>
          </w:p>
        </w:tc>
        <w:tc>
          <w:tcPr>
            <w:tcW w:w="1353" w:type="dxa"/>
            <w:tcBorders>
              <w:top w:val="single" w:color="auto" w:sz="8" w:space="0"/>
              <w:left w:val="nil"/>
              <w:bottom w:val="single" w:color="auto" w:sz="8" w:space="0"/>
              <w:right w:val="single" w:color="auto" w:sz="4" w:space="0"/>
            </w:tcBorders>
            <w:noWrap w:val="0"/>
            <w:vAlign w:val="center"/>
          </w:tcPr>
          <w:p w14:paraId="2A833A71">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交货期</w:t>
            </w:r>
          </w:p>
        </w:tc>
        <w:tc>
          <w:tcPr>
            <w:tcW w:w="1085" w:type="dxa"/>
            <w:tcBorders>
              <w:top w:val="single" w:color="auto" w:sz="8" w:space="0"/>
              <w:left w:val="nil"/>
              <w:bottom w:val="single" w:color="auto" w:sz="8" w:space="0"/>
              <w:right w:val="single" w:color="auto" w:sz="4" w:space="0"/>
            </w:tcBorders>
            <w:noWrap w:val="0"/>
            <w:vAlign w:val="center"/>
          </w:tcPr>
          <w:p w14:paraId="1B78949B">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交货地点</w:t>
            </w:r>
          </w:p>
        </w:tc>
        <w:tc>
          <w:tcPr>
            <w:tcW w:w="1325" w:type="dxa"/>
            <w:tcBorders>
              <w:top w:val="single" w:color="auto" w:sz="8" w:space="0"/>
              <w:left w:val="single" w:color="auto" w:sz="4" w:space="0"/>
              <w:bottom w:val="single" w:color="auto" w:sz="8" w:space="0"/>
              <w:right w:val="single" w:color="auto" w:sz="8" w:space="0"/>
            </w:tcBorders>
            <w:noWrap w:val="0"/>
            <w:vAlign w:val="center"/>
          </w:tcPr>
          <w:p w14:paraId="524092B6">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1DA15072">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noWrap w:val="0"/>
            <w:vAlign w:val="center"/>
          </w:tcPr>
          <w:p w14:paraId="662ED923">
            <w:pPr>
              <w:tabs>
                <w:tab w:val="left" w:pos="5580"/>
              </w:tabs>
              <w:spacing w:line="240" w:lineRule="atLeast"/>
              <w:ind w:left="1079" w:leftChars="257" w:hanging="540"/>
              <w:jc w:val="center"/>
              <w:rPr>
                <w:rFonts w:hint="eastAsia" w:ascii="宋体" w:hAnsi="宋体" w:cs="宋体"/>
                <w:color w:val="auto"/>
                <w:sz w:val="24"/>
                <w:highlight w:val="none"/>
              </w:rPr>
            </w:pPr>
          </w:p>
        </w:tc>
        <w:tc>
          <w:tcPr>
            <w:tcW w:w="1916" w:type="dxa"/>
            <w:tcBorders>
              <w:top w:val="single" w:color="auto" w:sz="8" w:space="0"/>
              <w:left w:val="single" w:color="auto" w:sz="8" w:space="0"/>
              <w:bottom w:val="single" w:color="auto" w:sz="4" w:space="0"/>
              <w:right w:val="single" w:color="auto" w:sz="4" w:space="0"/>
            </w:tcBorders>
            <w:noWrap w:val="0"/>
            <w:vAlign w:val="center"/>
          </w:tcPr>
          <w:p w14:paraId="520E4319">
            <w:pPr>
              <w:tabs>
                <w:tab w:val="left" w:pos="5580"/>
              </w:tabs>
              <w:spacing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大写：</w:t>
            </w:r>
          </w:p>
          <w:p w14:paraId="399576A9">
            <w:pPr>
              <w:tabs>
                <w:tab w:val="left" w:pos="5580"/>
              </w:tabs>
              <w:spacing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小写：</w:t>
            </w:r>
          </w:p>
        </w:tc>
        <w:tc>
          <w:tcPr>
            <w:tcW w:w="1312" w:type="dxa"/>
            <w:tcBorders>
              <w:top w:val="single" w:color="auto" w:sz="8" w:space="0"/>
              <w:left w:val="nil"/>
              <w:bottom w:val="single" w:color="auto" w:sz="4" w:space="0"/>
              <w:right w:val="single" w:color="auto" w:sz="4" w:space="0"/>
            </w:tcBorders>
            <w:noWrap w:val="0"/>
            <w:vAlign w:val="center"/>
          </w:tcPr>
          <w:p w14:paraId="28348B09">
            <w:pPr>
              <w:tabs>
                <w:tab w:val="left" w:pos="5580"/>
              </w:tabs>
              <w:spacing w:line="240" w:lineRule="atLeast"/>
              <w:ind w:left="1079" w:leftChars="257" w:hanging="540"/>
              <w:jc w:val="center"/>
              <w:rPr>
                <w:rFonts w:hint="eastAsia" w:ascii="宋体" w:hAnsi="宋体" w:cs="宋体"/>
                <w:color w:val="auto"/>
                <w:sz w:val="24"/>
                <w:highlight w:val="none"/>
              </w:rPr>
            </w:pPr>
          </w:p>
        </w:tc>
        <w:tc>
          <w:tcPr>
            <w:tcW w:w="1353" w:type="dxa"/>
            <w:tcBorders>
              <w:top w:val="single" w:color="auto" w:sz="8" w:space="0"/>
              <w:left w:val="nil"/>
              <w:bottom w:val="single" w:color="auto" w:sz="4" w:space="0"/>
              <w:right w:val="single" w:color="auto" w:sz="4" w:space="0"/>
            </w:tcBorders>
            <w:noWrap w:val="0"/>
            <w:vAlign w:val="center"/>
          </w:tcPr>
          <w:p w14:paraId="57A836B7">
            <w:pPr>
              <w:tabs>
                <w:tab w:val="left" w:pos="5580"/>
              </w:tabs>
              <w:spacing w:line="240" w:lineRule="atLeast"/>
              <w:ind w:left="1079" w:leftChars="257" w:hanging="540"/>
              <w:jc w:val="center"/>
              <w:rPr>
                <w:rFonts w:hint="eastAsia" w:ascii="宋体" w:hAnsi="宋体" w:cs="宋体"/>
                <w:color w:val="auto"/>
                <w:sz w:val="24"/>
                <w:highlight w:val="none"/>
              </w:rPr>
            </w:pPr>
          </w:p>
        </w:tc>
        <w:tc>
          <w:tcPr>
            <w:tcW w:w="1085" w:type="dxa"/>
            <w:tcBorders>
              <w:top w:val="single" w:color="auto" w:sz="8" w:space="0"/>
              <w:left w:val="nil"/>
              <w:bottom w:val="single" w:color="auto" w:sz="4" w:space="0"/>
              <w:right w:val="single" w:color="auto" w:sz="4" w:space="0"/>
            </w:tcBorders>
            <w:noWrap w:val="0"/>
            <w:vAlign w:val="center"/>
          </w:tcPr>
          <w:p w14:paraId="340FF6DD">
            <w:pPr>
              <w:tabs>
                <w:tab w:val="left" w:pos="5580"/>
              </w:tabs>
              <w:spacing w:line="240" w:lineRule="atLeast"/>
              <w:ind w:left="1079" w:leftChars="257" w:hanging="540"/>
              <w:jc w:val="center"/>
              <w:rPr>
                <w:rFonts w:hint="eastAsia" w:ascii="宋体" w:hAnsi="宋体" w:cs="宋体"/>
                <w:color w:val="auto"/>
                <w:sz w:val="24"/>
                <w:highlight w:val="none"/>
              </w:rPr>
            </w:pPr>
          </w:p>
        </w:tc>
        <w:tc>
          <w:tcPr>
            <w:tcW w:w="1325" w:type="dxa"/>
            <w:tcBorders>
              <w:top w:val="single" w:color="auto" w:sz="8" w:space="0"/>
              <w:left w:val="single" w:color="auto" w:sz="4" w:space="0"/>
              <w:bottom w:val="single" w:color="auto" w:sz="4" w:space="0"/>
              <w:right w:val="single" w:color="auto" w:sz="8" w:space="0"/>
            </w:tcBorders>
            <w:noWrap w:val="0"/>
            <w:vAlign w:val="center"/>
          </w:tcPr>
          <w:p w14:paraId="7DDF535D">
            <w:pPr>
              <w:tabs>
                <w:tab w:val="left" w:pos="5580"/>
              </w:tabs>
              <w:spacing w:line="240" w:lineRule="atLeast"/>
              <w:ind w:left="1079" w:leftChars="257" w:hanging="540"/>
              <w:jc w:val="center"/>
              <w:rPr>
                <w:rFonts w:hint="eastAsia" w:ascii="宋体" w:hAnsi="宋体" w:cs="宋体"/>
                <w:color w:val="auto"/>
                <w:sz w:val="24"/>
                <w:highlight w:val="none"/>
              </w:rPr>
            </w:pPr>
          </w:p>
        </w:tc>
      </w:tr>
    </w:tbl>
    <w:p w14:paraId="44D6E7E7">
      <w:pPr>
        <w:pStyle w:val="15"/>
        <w:tabs>
          <w:tab w:val="left" w:pos="5580"/>
        </w:tabs>
        <w:spacing w:line="240" w:lineRule="atLeast"/>
        <w:ind w:left="1079" w:leftChars="257" w:hanging="540"/>
        <w:rPr>
          <w:rFonts w:hint="eastAsia" w:hAnsi="宋体" w:cs="宋体"/>
          <w:color w:val="auto"/>
          <w:sz w:val="24"/>
          <w:highlight w:val="none"/>
        </w:rPr>
      </w:pPr>
    </w:p>
    <w:p w14:paraId="76645441">
      <w:pPr>
        <w:pStyle w:val="15"/>
        <w:tabs>
          <w:tab w:val="left" w:pos="5580"/>
        </w:tabs>
        <w:spacing w:line="240" w:lineRule="atLeast"/>
        <w:ind w:left="1079" w:leftChars="257" w:hanging="540"/>
        <w:rPr>
          <w:rFonts w:hint="eastAsia" w:hAnsi="宋体" w:cs="宋体"/>
          <w:color w:val="auto"/>
          <w:sz w:val="24"/>
          <w:highlight w:val="none"/>
          <w:u w:val="single"/>
        </w:rPr>
      </w:pPr>
    </w:p>
    <w:p w14:paraId="1394D369">
      <w:pPr>
        <w:pStyle w:val="15"/>
        <w:tabs>
          <w:tab w:val="left" w:pos="5580"/>
        </w:tabs>
        <w:spacing w:line="240" w:lineRule="atLeast"/>
        <w:ind w:left="1079" w:leftChars="257" w:hanging="540"/>
        <w:rPr>
          <w:rFonts w:hint="eastAsia" w:hAnsi="宋体" w:cs="宋体"/>
          <w:color w:val="auto"/>
          <w:sz w:val="24"/>
          <w:highlight w:val="none"/>
        </w:rPr>
      </w:pPr>
      <w:r>
        <w:rPr>
          <w:rFonts w:hint="eastAsia" w:hAnsi="宋体" w:cs="宋体"/>
          <w:color w:val="auto"/>
          <w:sz w:val="24"/>
          <w:highlight w:val="none"/>
        </w:rPr>
        <w:t>投标人名称（单位盖章）：</w:t>
      </w:r>
      <w:r>
        <w:rPr>
          <w:rFonts w:hint="eastAsia" w:hAnsi="宋体" w:cs="宋体"/>
          <w:color w:val="auto"/>
          <w:sz w:val="24"/>
          <w:highlight w:val="none"/>
          <w:u w:val="single"/>
        </w:rPr>
        <w:t xml:space="preserve">                       </w:t>
      </w:r>
    </w:p>
    <w:p w14:paraId="71A224B7">
      <w:pPr>
        <w:pStyle w:val="15"/>
        <w:tabs>
          <w:tab w:val="left" w:pos="5580"/>
        </w:tabs>
        <w:spacing w:line="240" w:lineRule="atLeast"/>
        <w:ind w:left="1079" w:leftChars="257" w:hanging="540"/>
        <w:rPr>
          <w:rFonts w:hint="eastAsia" w:hAnsi="宋体" w:cs="宋体"/>
          <w:color w:val="auto"/>
          <w:sz w:val="24"/>
          <w:highlight w:val="none"/>
          <w:u w:val="single"/>
        </w:rPr>
      </w:pPr>
      <w:r>
        <w:rPr>
          <w:rFonts w:hint="eastAsia" w:hAnsi="宋体" w:cs="宋体"/>
          <w:color w:val="auto"/>
          <w:sz w:val="24"/>
          <w:highlight w:val="none"/>
        </w:rPr>
        <w:t>法定代表人或委托代理人</w:t>
      </w:r>
      <w:r>
        <w:rPr>
          <w:rFonts w:hint="eastAsia" w:hAnsi="宋体" w:cs="宋体"/>
          <w:color w:val="auto"/>
          <w:sz w:val="24"/>
          <w:highlight w:val="none"/>
          <w:lang w:eastAsia="zh-CN"/>
        </w:rPr>
        <w:t>（签字或盖章）</w:t>
      </w:r>
      <w:r>
        <w:rPr>
          <w:rFonts w:hint="eastAsia" w:hAnsi="宋体" w:cs="宋体"/>
          <w:color w:val="auto"/>
          <w:sz w:val="24"/>
          <w:highlight w:val="none"/>
        </w:rPr>
        <w:t>:</w:t>
      </w:r>
      <w:r>
        <w:rPr>
          <w:rFonts w:hint="eastAsia" w:hAnsi="宋体" w:cs="宋体"/>
          <w:color w:val="auto"/>
          <w:sz w:val="24"/>
          <w:highlight w:val="none"/>
          <w:u w:val="single"/>
        </w:rPr>
        <w:tab/>
      </w:r>
    </w:p>
    <w:p w14:paraId="06E15A5D">
      <w:pPr>
        <w:pStyle w:val="15"/>
        <w:tabs>
          <w:tab w:val="left" w:pos="5580"/>
        </w:tabs>
        <w:spacing w:line="240" w:lineRule="atLeast"/>
        <w:ind w:left="1079" w:leftChars="257" w:hanging="540"/>
        <w:rPr>
          <w:rFonts w:hint="eastAsia" w:ascii="宋体" w:hAnsi="宋体" w:eastAsia="宋体" w:cs="宋体"/>
          <w:color w:val="auto"/>
          <w:sz w:val="24"/>
          <w:highlight w:val="none"/>
          <w:u w:val="single"/>
        </w:rPr>
      </w:pPr>
    </w:p>
    <w:p w14:paraId="6282374D">
      <w:pPr>
        <w:pStyle w:val="15"/>
        <w:tabs>
          <w:tab w:val="left" w:pos="5580"/>
        </w:tabs>
        <w:spacing w:line="240" w:lineRule="atLeast"/>
        <w:ind w:left="1079" w:leftChars="257" w:hanging="540"/>
        <w:rPr>
          <w:rFonts w:hint="eastAsia" w:ascii="宋体" w:hAnsi="宋体" w:eastAsia="宋体" w:cs="宋体"/>
          <w:color w:val="auto"/>
          <w:sz w:val="24"/>
          <w:highlight w:val="none"/>
        </w:rPr>
      </w:pPr>
    </w:p>
    <w:p w14:paraId="7A568157">
      <w:pPr>
        <w:pStyle w:val="15"/>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注:1、此表应按投标人须知的规定装订密封。</w:t>
      </w:r>
    </w:p>
    <w:p w14:paraId="7DE90B44">
      <w:pPr>
        <w:pStyle w:val="15"/>
        <w:tabs>
          <w:tab w:val="left" w:pos="5580"/>
        </w:tabs>
        <w:spacing w:line="240" w:lineRule="atLeast"/>
        <w:ind w:left="1078" w:leftChars="428" w:hanging="180" w:hangingChars="75"/>
        <w:rPr>
          <w:rFonts w:hint="eastAsia" w:ascii="宋体" w:hAnsi="宋体" w:eastAsia="宋体" w:cs="宋体"/>
          <w:color w:val="auto"/>
          <w:sz w:val="24"/>
          <w:highlight w:val="none"/>
        </w:rPr>
      </w:pPr>
      <w:r>
        <w:rPr>
          <w:rFonts w:hint="eastAsia" w:ascii="宋体" w:hAnsi="宋体" w:eastAsia="宋体" w:cs="宋体"/>
          <w:color w:val="auto"/>
          <w:sz w:val="24"/>
          <w:highlight w:val="none"/>
        </w:rPr>
        <w:t>2、此表中，每包的投标总价应和投标分项报价表的总价相一致。</w:t>
      </w:r>
    </w:p>
    <w:p w14:paraId="18F5D864">
      <w:pPr>
        <w:pStyle w:val="15"/>
        <w:tabs>
          <w:tab w:val="left" w:pos="5580"/>
        </w:tabs>
        <w:spacing w:line="240" w:lineRule="atLeast"/>
        <w:ind w:left="1078" w:leftChars="428" w:hanging="180" w:hangingChars="75"/>
        <w:rPr>
          <w:rFonts w:hint="eastAsia" w:hAnsi="宋体" w:cs="宋体"/>
          <w:color w:val="auto"/>
          <w:sz w:val="24"/>
          <w:highlight w:val="none"/>
        </w:rPr>
      </w:pPr>
      <w:r>
        <w:rPr>
          <w:rFonts w:hint="eastAsia" w:hAnsi="宋体" w:cs="宋体"/>
          <w:color w:val="auto"/>
          <w:sz w:val="24"/>
          <w:highlight w:val="none"/>
        </w:rPr>
        <w:t>3、根据中华人民共和国财政部令第87号--政府采购货物和服务招标投标管理办法</w:t>
      </w:r>
      <w:r>
        <w:rPr>
          <w:rFonts w:hAnsi="宋体" w:cs="宋体"/>
          <w:color w:val="auto"/>
          <w:sz w:val="24"/>
          <w:highlight w:val="none"/>
        </w:rPr>
        <w:t>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D7740B2">
      <w:pPr>
        <w:rPr>
          <w:rFonts w:hint="eastAsia" w:ascii="宋体" w:hAnsi="宋体" w:eastAsia="宋体" w:cs="宋体"/>
          <w:b/>
          <w:color w:val="auto"/>
          <w:sz w:val="24"/>
          <w:highlight w:val="none"/>
        </w:rPr>
      </w:pPr>
    </w:p>
    <w:p w14:paraId="5960BD06">
      <w:pPr>
        <w:pStyle w:val="26"/>
        <w:rPr>
          <w:rFonts w:hint="eastAsia" w:ascii="宋体" w:hAnsi="宋体" w:eastAsia="宋体" w:cs="宋体"/>
          <w:b/>
          <w:color w:val="auto"/>
          <w:sz w:val="24"/>
          <w:highlight w:val="none"/>
        </w:rPr>
      </w:pPr>
    </w:p>
    <w:p w14:paraId="2C9718B7">
      <w:pPr>
        <w:pStyle w:val="10"/>
        <w:rPr>
          <w:rFonts w:hint="eastAsia" w:ascii="宋体" w:hAnsi="宋体" w:eastAsia="宋体" w:cs="宋体"/>
          <w:b/>
          <w:color w:val="auto"/>
          <w:sz w:val="24"/>
          <w:highlight w:val="none"/>
        </w:rPr>
      </w:pPr>
    </w:p>
    <w:p w14:paraId="09004796">
      <w:pPr>
        <w:rPr>
          <w:rFonts w:hint="eastAsia" w:ascii="宋体" w:hAnsi="宋体" w:eastAsia="宋体" w:cs="宋体"/>
          <w:b/>
          <w:color w:val="auto"/>
          <w:sz w:val="24"/>
          <w:highlight w:val="none"/>
        </w:rPr>
      </w:pPr>
    </w:p>
    <w:p w14:paraId="770DF234">
      <w:pPr>
        <w:pStyle w:val="42"/>
        <w:rPr>
          <w:rFonts w:hint="eastAsia" w:ascii="宋体" w:hAnsi="宋体" w:eastAsia="宋体" w:cs="宋体"/>
          <w:b/>
          <w:color w:val="auto"/>
          <w:sz w:val="24"/>
          <w:highlight w:val="none"/>
        </w:rPr>
      </w:pPr>
    </w:p>
    <w:p w14:paraId="79DFB60D">
      <w:pPr>
        <w:pStyle w:val="42"/>
        <w:rPr>
          <w:rFonts w:hint="eastAsia" w:ascii="宋体" w:hAnsi="宋体" w:eastAsia="宋体" w:cs="宋体"/>
          <w:b/>
          <w:color w:val="auto"/>
          <w:sz w:val="24"/>
          <w:highlight w:val="none"/>
        </w:rPr>
      </w:pPr>
    </w:p>
    <w:p w14:paraId="7A235330">
      <w:pPr>
        <w:pStyle w:val="26"/>
        <w:rPr>
          <w:rFonts w:hint="eastAsia" w:ascii="宋体" w:hAnsi="宋体" w:eastAsia="宋体" w:cs="宋体"/>
          <w:color w:val="auto"/>
          <w:highlight w:val="none"/>
        </w:rPr>
      </w:pPr>
    </w:p>
    <w:p w14:paraId="31E2C67A">
      <w:pPr>
        <w:pStyle w:val="10"/>
        <w:rPr>
          <w:rFonts w:hint="eastAsia" w:ascii="宋体" w:hAnsi="宋体" w:eastAsia="宋体" w:cs="宋体"/>
          <w:color w:val="auto"/>
          <w:highlight w:val="none"/>
        </w:rPr>
      </w:pPr>
    </w:p>
    <w:p w14:paraId="729E4098">
      <w:pPr>
        <w:pStyle w:val="34"/>
        <w:rPr>
          <w:rFonts w:hint="eastAsia"/>
          <w:color w:val="auto"/>
          <w:highlight w:val="none"/>
        </w:rPr>
      </w:pPr>
    </w:p>
    <w:p w14:paraId="6F22FC43">
      <w:pPr>
        <w:pStyle w:val="34"/>
        <w:rPr>
          <w:rFonts w:hint="eastAsia"/>
          <w:color w:val="auto"/>
          <w:highlight w:val="none"/>
        </w:rPr>
      </w:pPr>
    </w:p>
    <w:p w14:paraId="05DEB3DF">
      <w:pPr>
        <w:pStyle w:val="15"/>
        <w:tabs>
          <w:tab w:val="left" w:pos="5580"/>
        </w:tabs>
        <w:spacing w:line="240" w:lineRule="atLeast"/>
        <w:ind w:left="1079" w:leftChars="257" w:hanging="540"/>
        <w:jc w:val="center"/>
        <w:rPr>
          <w:rFonts w:hint="eastAsia" w:ascii="宋体" w:hAnsi="宋体" w:eastAsia="宋体" w:cs="宋体"/>
          <w:b/>
          <w:color w:val="auto"/>
          <w:sz w:val="24"/>
          <w:highlight w:val="none"/>
        </w:rPr>
      </w:pPr>
    </w:p>
    <w:p w14:paraId="7852AF1E">
      <w:pPr>
        <w:pStyle w:val="3"/>
        <w:spacing w:before="0"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b/>
          <w:bCs/>
          <w:color w:val="auto"/>
          <w:sz w:val="28"/>
          <w:szCs w:val="28"/>
          <w:highlight w:val="none"/>
        </w:rPr>
        <w:t xml:space="preserve"> 2、</w:t>
      </w:r>
      <w:r>
        <w:rPr>
          <w:rFonts w:hint="eastAsia" w:ascii="宋体" w:hAnsi="宋体" w:eastAsia="宋体" w:cs="宋体"/>
          <w:b/>
          <w:bCs/>
          <w:color w:val="auto"/>
          <w:sz w:val="28"/>
          <w:szCs w:val="28"/>
          <w:highlight w:val="none"/>
          <w:lang w:val="en-US" w:eastAsia="zh-CN"/>
        </w:rPr>
        <w:t>单位三证合一营业执照</w:t>
      </w:r>
      <w:r>
        <w:rPr>
          <w:rFonts w:hint="eastAsia" w:ascii="宋体" w:hAnsi="宋体" w:eastAsia="宋体" w:cs="宋体"/>
          <w:color w:val="auto"/>
          <w:sz w:val="24"/>
          <w:highlight w:val="none"/>
        </w:rPr>
        <w:t>；</w:t>
      </w:r>
    </w:p>
    <w:p w14:paraId="71D27A90">
      <w:pPr>
        <w:pStyle w:val="15"/>
        <w:tabs>
          <w:tab w:val="left" w:pos="5580"/>
        </w:tabs>
        <w:spacing w:line="240" w:lineRule="atLeast"/>
        <w:ind w:left="1079" w:leftChars="257" w:hanging="540"/>
        <w:jc w:val="center"/>
        <w:rPr>
          <w:rFonts w:hint="eastAsia" w:ascii="宋体" w:hAnsi="宋体" w:eastAsia="宋体" w:cs="宋体"/>
          <w:b/>
          <w:color w:val="auto"/>
          <w:sz w:val="24"/>
          <w:highlight w:val="none"/>
        </w:rPr>
      </w:pPr>
    </w:p>
    <w:p w14:paraId="3CBF37FA">
      <w:pPr>
        <w:pStyle w:val="15"/>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说明：1.提供有效的营业执照等证明文件复印件，复印件上应加盖本单位章。</w:t>
      </w:r>
    </w:p>
    <w:p w14:paraId="4D651058">
      <w:pPr>
        <w:pStyle w:val="15"/>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C7EC4AE">
      <w:pPr>
        <w:pStyle w:val="15"/>
        <w:tabs>
          <w:tab w:val="left" w:pos="5580"/>
        </w:tabs>
        <w:spacing w:line="240" w:lineRule="atLeast"/>
        <w:ind w:left="1079" w:leftChars="257" w:hanging="540"/>
        <w:rPr>
          <w:rFonts w:hint="eastAsia" w:ascii="宋体" w:hAnsi="宋体" w:eastAsia="宋体" w:cs="宋体"/>
          <w:color w:val="auto"/>
          <w:sz w:val="24"/>
          <w:highlight w:val="none"/>
        </w:rPr>
      </w:pPr>
    </w:p>
    <w:p w14:paraId="3CD9ED52">
      <w:pPr>
        <w:pStyle w:val="85"/>
        <w:keepNext w:val="0"/>
        <w:keepLines w:val="0"/>
        <w:pageBreakBefore w:val="0"/>
        <w:widowControl/>
        <w:kinsoku/>
        <w:wordWrap/>
        <w:overflowPunct/>
        <w:topLinePunct w:val="0"/>
        <w:autoSpaceDE/>
        <w:autoSpaceDN/>
        <w:bidi w:val="0"/>
        <w:adjustRightInd/>
        <w:snapToGrid/>
        <w:spacing w:line="320" w:lineRule="exact"/>
        <w:ind w:right="0"/>
        <w:textAlignment w:val="auto"/>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br w:type="page"/>
      </w:r>
      <w:bookmarkStart w:id="291" w:name="_Toc28445"/>
      <w:bookmarkStart w:id="292" w:name="_Toc11047"/>
      <w:bookmarkStart w:id="293" w:name="_Toc515647809"/>
      <w:bookmarkStart w:id="294" w:name="_Toc31238"/>
      <w:r>
        <w:rPr>
          <w:rFonts w:hint="eastAsia" w:ascii="宋体" w:hAnsi="宋体" w:eastAsia="宋体" w:cs="宋体"/>
          <w:b/>
          <w:bCs/>
          <w:color w:val="auto"/>
          <w:sz w:val="28"/>
          <w:szCs w:val="28"/>
          <w:highlight w:val="none"/>
          <w:lang w:val="en-US" w:eastAsia="zh-CN"/>
        </w:rPr>
        <w:t>3、</w:t>
      </w:r>
      <w:r>
        <w:rPr>
          <w:rFonts w:hint="eastAsia" w:ascii="宋体" w:hAnsi="宋体" w:cs="宋体"/>
          <w:color w:val="auto"/>
          <w:sz w:val="24"/>
          <w:highlight w:val="none"/>
          <w:lang w:val="en-US" w:eastAsia="zh-CN"/>
        </w:rPr>
        <w:t>（1）所投产品为第一类医疗器械的可提供医疗器械经营备案凭证或按照国家医疗器械经营监督管理办法规定无需备案的可不提供；（2）所投产品为第二类医疗器械，生产商须提供有效的《医疗器械生产许可证》及所投产品的《医疗器械注册证》，代理商或经销商须提供有效的《第二类医疗器械经营备案凭证》及所投产品的《医疗器械注册证》；（3）所投产品为第三类医疗器械，生产商须提供有效的《医疗器械生产许可证》及所投产品的《医疗器械注册证》，代理商或经销商须提供有效的《医疗器械经营许可证》及所投产品的《医疗器械注册证》；</w:t>
      </w:r>
    </w:p>
    <w:p w14:paraId="0BB486DD">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cs="宋体"/>
          <w:b/>
          <w:bCs/>
          <w:color w:val="auto"/>
          <w:kern w:val="0"/>
          <w:sz w:val="28"/>
          <w:szCs w:val="28"/>
          <w:highlight w:val="none"/>
          <w:lang w:eastAsia="zh-CN"/>
        </w:rPr>
      </w:pPr>
    </w:p>
    <w:p w14:paraId="002B6835">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45F2AEFB">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41CD40D5">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0C88DBC7">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1328B9ED">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67FEBDD1">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1F1A78C3">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223BE31E">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41A4EBEC">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283A168F">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05E54454">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6E64DC76">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473E4448">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44B2F126">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0C7D0291">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20555A1E">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34D69954">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8"/>
          <w:szCs w:val="28"/>
          <w:highlight w:val="none"/>
          <w:lang w:val="en-US" w:eastAsia="zh-CN"/>
        </w:rPr>
        <w:t>4</w:t>
      </w:r>
      <w:r>
        <w:rPr>
          <w:rFonts w:hint="eastAsia" w:ascii="宋体" w:hAnsi="宋体" w:cs="宋体"/>
          <w:b/>
          <w:bCs/>
          <w:color w:val="auto"/>
          <w:kern w:val="0"/>
          <w:sz w:val="28"/>
          <w:szCs w:val="28"/>
          <w:highlight w:val="none"/>
        </w:rPr>
        <w:t>、法定代表人身份证明书；法定代表人授权委托书；</w:t>
      </w:r>
    </w:p>
    <w:p w14:paraId="394B6AAA">
      <w:pPr>
        <w:adjustRightInd w:val="0"/>
        <w:snapToGrid w:val="0"/>
        <w:spacing w:before="312" w:beforeLines="100" w:after="312" w:afterLines="100" w:line="360" w:lineRule="auto"/>
        <w:jc w:val="center"/>
        <w:rPr>
          <w:rFonts w:hint="eastAsia" w:ascii="宋体" w:hAnsi="宋体" w:cs="宋体"/>
          <w:color w:val="auto"/>
          <w:sz w:val="24"/>
          <w:szCs w:val="24"/>
          <w:highlight w:val="none"/>
        </w:rPr>
      </w:pPr>
      <w:r>
        <w:rPr>
          <w:rFonts w:hint="eastAsia" w:ascii="宋体" w:hAnsi="宋体" w:cs="宋体"/>
          <w:b/>
          <w:color w:val="auto"/>
          <w:sz w:val="24"/>
          <w:szCs w:val="24"/>
          <w:highlight w:val="none"/>
        </w:rPr>
        <w:t>（一）法定代表人身份证明书</w:t>
      </w:r>
    </w:p>
    <w:p w14:paraId="7341A139">
      <w:pPr>
        <w:spacing w:line="360" w:lineRule="auto"/>
        <w:rPr>
          <w:rFonts w:hint="eastAsia" w:ascii="宋体" w:hAnsi="宋体" w:cs="宋体"/>
          <w:color w:val="auto"/>
          <w:sz w:val="24"/>
          <w:highlight w:val="none"/>
        </w:rPr>
      </w:pPr>
      <w:r>
        <w:rPr>
          <w:rFonts w:hint="eastAsia" w:ascii="仿宋" w:hAnsi="仿宋" w:eastAsia="仿宋" w:cs="宋体"/>
          <w:color w:val="auto"/>
          <w:sz w:val="24"/>
          <w:highlight w:val="non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同志，现任我单位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（职务）为法定代表人，特此证明。</w:t>
      </w:r>
    </w:p>
    <w:p w14:paraId="550D0DC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单位：                      签发日期：</w:t>
      </w:r>
    </w:p>
    <w:p w14:paraId="542769B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法定代表人：                性别：            年龄：           </w:t>
      </w:r>
    </w:p>
    <w:p w14:paraId="342E2C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身份证号码：                联系电话：</w:t>
      </w:r>
    </w:p>
    <w:p w14:paraId="7D04563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营业执照号码：              经济性质：</w:t>
      </w:r>
    </w:p>
    <w:p w14:paraId="7FF6B4FE">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说明：</w:t>
      </w:r>
    </w:p>
    <w:p w14:paraId="1F06519D">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1、法定代表人为企业事业单位、国家机关、社会团体的主要行政负责人。</w:t>
      </w:r>
    </w:p>
    <w:p w14:paraId="048E990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2、内容必须填写真实、清楚、涂改无效，不得转让。</w:t>
      </w:r>
    </w:p>
    <w:p w14:paraId="49EC625B">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3、将此证明书原件提交采购代理机构作为谈判</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附件。</w:t>
      </w:r>
    </w:p>
    <w:p w14:paraId="58ECC172">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F7CDD5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附：法定代表人身份证复印件</w:t>
      </w:r>
    </w:p>
    <w:p w14:paraId="33B35EE4">
      <w:pPr>
        <w:spacing w:line="360" w:lineRule="auto"/>
        <w:rPr>
          <w:rFonts w:hint="eastAsia"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086C739">
                            <w:pPr>
                              <w:jc w:val="center"/>
                              <w:rPr>
                                <w:rFonts w:hAnsi="宋体"/>
                                <w:szCs w:val="21"/>
                              </w:rPr>
                            </w:pPr>
                          </w:p>
                          <w:p w14:paraId="6AC3DB5D">
                            <w:pPr>
                              <w:jc w:val="center"/>
                              <w:rPr>
                                <w:rFonts w:hAnsi="宋体"/>
                                <w:szCs w:val="21"/>
                              </w:rPr>
                            </w:pPr>
                          </w:p>
                          <w:p w14:paraId="5593ABF9">
                            <w:pPr>
                              <w:jc w:val="center"/>
                              <w:rPr>
                                <w:rFonts w:hAnsi="宋体"/>
                                <w:szCs w:val="21"/>
                              </w:rPr>
                            </w:pPr>
                          </w:p>
                          <w:p w14:paraId="418FB14D">
                            <w:pPr>
                              <w:jc w:val="center"/>
                              <w:rPr>
                                <w:rFonts w:hint="eastAsia"/>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5WTr11gAAAAgBAAAPAAAAAAAAAAEAIAAAACIAAABkcnMvZG93bnJldi54bWxQSwEC&#10;FAAUAAAACACHTuJAgT5kQy8CAABgBAAADgAAAAAAAAABACAAAAAlAQAAZHJzL2Uyb0RvYy54bWxQ&#10;SwUGAAAAAAYABgBZAQAAxgUAAAAA&#10;">
                <v:fill on="t" focussize="0,0"/>
                <v:stroke color="#000000" joinstyle="miter"/>
                <v:imagedata o:title=""/>
                <o:lock v:ext="edit" aspectratio="f"/>
                <v:textbox>
                  <w:txbxContent>
                    <w:p w14:paraId="4086C739">
                      <w:pPr>
                        <w:jc w:val="center"/>
                        <w:rPr>
                          <w:rFonts w:hAnsi="宋体"/>
                          <w:szCs w:val="21"/>
                        </w:rPr>
                      </w:pPr>
                    </w:p>
                    <w:p w14:paraId="6AC3DB5D">
                      <w:pPr>
                        <w:jc w:val="center"/>
                        <w:rPr>
                          <w:rFonts w:hAnsi="宋体"/>
                          <w:szCs w:val="21"/>
                        </w:rPr>
                      </w:pPr>
                    </w:p>
                    <w:p w14:paraId="5593ABF9">
                      <w:pPr>
                        <w:jc w:val="center"/>
                        <w:rPr>
                          <w:rFonts w:hAnsi="宋体"/>
                          <w:szCs w:val="21"/>
                        </w:rPr>
                      </w:pPr>
                    </w:p>
                    <w:p w14:paraId="418FB14D">
                      <w:pPr>
                        <w:jc w:val="center"/>
                        <w:rPr>
                          <w:rFonts w:hint="eastAsia"/>
                          <w:szCs w:val="21"/>
                        </w:rPr>
                      </w:pPr>
                      <w:r>
                        <w:rPr>
                          <w:rFonts w:hint="eastAsia" w:hAnsi="宋体"/>
                          <w:szCs w:val="21"/>
                        </w:rPr>
                        <w:t>法定代表人身份证复印件正面</w:t>
                      </w:r>
                    </w:p>
                  </w:txbxContent>
                </v:textbox>
              </v:shape>
            </w:pict>
          </mc:Fallback>
        </mc:AlternateContent>
      </w:r>
      <w:r>
        <w:rPr>
          <w:rFonts w:hint="eastAsia" w:ascii="宋体" w:hAnsi="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6CD201CB">
                            <w:pPr>
                              <w:jc w:val="center"/>
                              <w:rPr>
                                <w:rFonts w:hAnsi="宋体"/>
                                <w:szCs w:val="21"/>
                              </w:rPr>
                            </w:pPr>
                            <w:r>
                              <w:rPr>
                                <w:rFonts w:hint="eastAsia" w:hAnsi="宋体"/>
                                <w:szCs w:val="21"/>
                              </w:rPr>
                              <w:t xml:space="preserve">  </w:t>
                            </w:r>
                          </w:p>
                          <w:p w14:paraId="345B032F">
                            <w:pPr>
                              <w:jc w:val="center"/>
                              <w:rPr>
                                <w:rFonts w:hAnsi="宋体"/>
                                <w:szCs w:val="21"/>
                              </w:rPr>
                            </w:pPr>
                          </w:p>
                          <w:p w14:paraId="19CF4881">
                            <w:pPr>
                              <w:jc w:val="center"/>
                              <w:rPr>
                                <w:rFonts w:hAnsi="宋体"/>
                                <w:szCs w:val="21"/>
                              </w:rPr>
                            </w:pPr>
                          </w:p>
                          <w:p w14:paraId="05AC8028">
                            <w:pPr>
                              <w:jc w:val="center"/>
                              <w:rPr>
                                <w:szCs w:val="21"/>
                              </w:rPr>
                            </w:pPr>
                            <w:r>
                              <w:rPr>
                                <w:rFonts w:hint="eastAsia" w:hAnsi="宋体"/>
                                <w:szCs w:val="21"/>
                              </w:rPr>
                              <w:t>法定代表人身份证复印件反面</w:t>
                            </w:r>
                          </w:p>
                          <w:p w14:paraId="1F55B81F"/>
                          <w:p w14:paraId="70190266">
                            <w:pPr>
                              <w:pStyle w:val="5"/>
                            </w:pPr>
                          </w:p>
                          <w:p w14:paraId="13A8C53A">
                            <w:pPr>
                              <w:pStyle w:val="5"/>
                            </w:pPr>
                          </w:p>
                          <w:p w14:paraId="20EB9256">
                            <w:pPr>
                              <w:pStyle w:val="5"/>
                            </w:pPr>
                          </w:p>
                          <w:p w14:paraId="527A109C">
                            <w:pPr>
                              <w:pStyle w:val="5"/>
                            </w:pPr>
                          </w:p>
                        </w:txbxContent>
                      </wps:txbx>
                      <wps:bodyPr upright="1"/>
                    </wps:wsp>
                  </a:graphicData>
                </a:graphic>
              </wp:anchor>
            </w:drawing>
          </mc:Choice>
          <mc:Fallback>
            <w:pict>
              <v:roundrect id="_x0000_s1026" o:spid="_x0000_s1026" o:spt="2" style="position:absolute;left:0pt;margin-left:229.8pt;margin-top:2.25pt;height:122.6pt;width:205.5pt;z-index:25166028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CL2ZNH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8vY1/aAAAACQEAAA8AAAAAAAAAAQAgAAAAIgAAAGRycy9kb3ducmV2LnhtbFBL&#10;AQIUABQAAAAIAIdO4kCL2ZNHLQIAAGgEAAAOAAAAAAAAAAEAIAAAACkBAABkcnMvZTJvRG9jLnht&#10;bFBLBQYAAAAABgAGAFkBAADIBQAAAAA=&#10;">
                <v:fill on="t" focussize="0,0"/>
                <v:stroke weight="1.25pt" color="#808080" joinstyle="round"/>
                <v:imagedata o:title=""/>
                <o:lock v:ext="edit" aspectratio="f"/>
                <v:textbox>
                  <w:txbxContent>
                    <w:p w14:paraId="6CD201CB">
                      <w:pPr>
                        <w:jc w:val="center"/>
                        <w:rPr>
                          <w:rFonts w:hAnsi="宋体"/>
                          <w:szCs w:val="21"/>
                        </w:rPr>
                      </w:pPr>
                      <w:r>
                        <w:rPr>
                          <w:rFonts w:hint="eastAsia" w:hAnsi="宋体"/>
                          <w:szCs w:val="21"/>
                        </w:rPr>
                        <w:t xml:space="preserve">  </w:t>
                      </w:r>
                    </w:p>
                    <w:p w14:paraId="345B032F">
                      <w:pPr>
                        <w:jc w:val="center"/>
                        <w:rPr>
                          <w:rFonts w:hAnsi="宋体"/>
                          <w:szCs w:val="21"/>
                        </w:rPr>
                      </w:pPr>
                    </w:p>
                    <w:p w14:paraId="19CF4881">
                      <w:pPr>
                        <w:jc w:val="center"/>
                        <w:rPr>
                          <w:rFonts w:hAnsi="宋体"/>
                          <w:szCs w:val="21"/>
                        </w:rPr>
                      </w:pPr>
                    </w:p>
                    <w:p w14:paraId="05AC8028">
                      <w:pPr>
                        <w:jc w:val="center"/>
                        <w:rPr>
                          <w:szCs w:val="21"/>
                        </w:rPr>
                      </w:pPr>
                      <w:r>
                        <w:rPr>
                          <w:rFonts w:hint="eastAsia" w:hAnsi="宋体"/>
                          <w:szCs w:val="21"/>
                        </w:rPr>
                        <w:t>法定代表人身份证复印件反面</w:t>
                      </w:r>
                    </w:p>
                    <w:p w14:paraId="1F55B81F"/>
                    <w:p w14:paraId="70190266">
                      <w:pPr>
                        <w:pStyle w:val="5"/>
                      </w:pPr>
                    </w:p>
                    <w:p w14:paraId="13A8C53A">
                      <w:pPr>
                        <w:pStyle w:val="5"/>
                      </w:pPr>
                    </w:p>
                    <w:p w14:paraId="20EB9256">
                      <w:pPr>
                        <w:pStyle w:val="5"/>
                      </w:pPr>
                    </w:p>
                    <w:p w14:paraId="527A109C">
                      <w:pPr>
                        <w:pStyle w:val="5"/>
                      </w:pPr>
                    </w:p>
                  </w:txbxContent>
                </v:textbox>
              </v:roundrect>
            </w:pict>
          </mc:Fallback>
        </mc:AlternateContent>
      </w:r>
    </w:p>
    <w:p w14:paraId="471A7A79">
      <w:pPr>
        <w:spacing w:line="360" w:lineRule="auto"/>
        <w:rPr>
          <w:rFonts w:hint="eastAsia" w:ascii="宋体" w:hAnsi="宋体" w:cs="宋体"/>
          <w:color w:val="auto"/>
          <w:sz w:val="24"/>
          <w:highlight w:val="none"/>
        </w:rPr>
      </w:pPr>
    </w:p>
    <w:p w14:paraId="279428C7">
      <w:pPr>
        <w:spacing w:line="360" w:lineRule="auto"/>
        <w:rPr>
          <w:rFonts w:hint="eastAsia" w:ascii="宋体" w:hAnsi="宋体" w:cs="宋体"/>
          <w:color w:val="auto"/>
          <w:sz w:val="24"/>
          <w:highlight w:val="none"/>
        </w:rPr>
      </w:pPr>
    </w:p>
    <w:p w14:paraId="026AD09F">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s="宋体"/>
          <w:color w:val="auto"/>
          <w:sz w:val="24"/>
          <w:highlight w:val="none"/>
        </w:rPr>
      </w:pPr>
    </w:p>
    <w:p w14:paraId="5BB5031C">
      <w:pPr>
        <w:autoSpaceDE w:val="0"/>
        <w:autoSpaceDN w:val="0"/>
        <w:adjustRightInd w:val="0"/>
        <w:spacing w:line="360" w:lineRule="auto"/>
        <w:ind w:right="246"/>
        <w:rPr>
          <w:rFonts w:hint="eastAsia" w:ascii="宋体" w:hAnsi="宋体" w:cs="宋体"/>
          <w:color w:val="auto"/>
          <w:kern w:val="0"/>
          <w:sz w:val="24"/>
          <w:highlight w:val="none"/>
        </w:rPr>
      </w:pPr>
    </w:p>
    <w:p w14:paraId="00C09110">
      <w:pPr>
        <w:autoSpaceDE w:val="0"/>
        <w:autoSpaceDN w:val="0"/>
        <w:adjustRightInd w:val="0"/>
        <w:spacing w:line="360" w:lineRule="auto"/>
        <w:ind w:right="246"/>
        <w:rPr>
          <w:rFonts w:hint="eastAsia" w:ascii="宋体" w:hAnsi="宋体" w:cs="宋体"/>
          <w:color w:val="auto"/>
          <w:kern w:val="0"/>
          <w:sz w:val="24"/>
          <w:highlight w:val="none"/>
        </w:rPr>
      </w:pPr>
    </w:p>
    <w:p w14:paraId="76B79FB0">
      <w:pPr>
        <w:pStyle w:val="26"/>
        <w:rPr>
          <w:rFonts w:hint="eastAsia"/>
          <w:color w:val="auto"/>
          <w:highlight w:val="none"/>
        </w:rPr>
      </w:pPr>
    </w:p>
    <w:p w14:paraId="0330D2D9">
      <w:pPr>
        <w:autoSpaceDE w:val="0"/>
        <w:autoSpaceDN w:val="0"/>
        <w:adjustRightInd w:val="0"/>
        <w:spacing w:line="360" w:lineRule="auto"/>
        <w:ind w:right="246" w:firstLine="784" w:firstLineChars="32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投标人（盖章）：         </w:t>
      </w:r>
      <w:r>
        <w:rPr>
          <w:rFonts w:hint="eastAsia" w:ascii="宋体" w:hAnsi="宋体" w:cs="宋体"/>
          <w:color w:val="auto"/>
          <w:kern w:val="0"/>
          <w:sz w:val="24"/>
          <w:highlight w:val="none"/>
          <w:u w:val="single"/>
        </w:rPr>
        <w:t xml:space="preserve">           </w:t>
      </w:r>
    </w:p>
    <w:p w14:paraId="0EB84B50">
      <w:pPr>
        <w:adjustRightInd w:val="0"/>
        <w:snapToGrid w:val="0"/>
        <w:spacing w:line="360" w:lineRule="auto"/>
        <w:ind w:firstLine="784" w:firstLineChars="327"/>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lang w:eastAsia="zh-CN"/>
        </w:rPr>
        <w:t>签字或盖章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3DBC88E5">
      <w:pPr>
        <w:adjustRightInd w:val="0"/>
        <w:snapToGrid w:val="0"/>
        <w:spacing w:line="360" w:lineRule="auto"/>
        <w:ind w:firstLine="784" w:firstLineChars="327"/>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1C08DB16">
      <w:pPr>
        <w:pStyle w:val="15"/>
        <w:tabs>
          <w:tab w:val="left" w:pos="5580"/>
        </w:tabs>
        <w:spacing w:line="240" w:lineRule="atLeast"/>
        <w:ind w:left="1079" w:leftChars="257" w:hanging="540"/>
        <w:rPr>
          <w:rFonts w:hint="eastAsia" w:ascii="仿宋" w:hAnsi="仿宋" w:eastAsia="仿宋"/>
          <w:b/>
          <w:color w:val="auto"/>
          <w:sz w:val="24"/>
          <w:highlight w:val="none"/>
        </w:rPr>
      </w:pPr>
    </w:p>
    <w:p w14:paraId="2D46BFF1">
      <w:pPr>
        <w:pStyle w:val="15"/>
        <w:tabs>
          <w:tab w:val="left" w:pos="5580"/>
        </w:tabs>
        <w:spacing w:line="240" w:lineRule="atLeast"/>
        <w:ind w:left="1108" w:leftChars="371" w:hanging="329" w:hangingChars="157"/>
        <w:rPr>
          <w:rFonts w:hint="eastAsia" w:hAnsi="宋体" w:cs="宋体"/>
          <w:color w:val="auto"/>
          <w:sz w:val="24"/>
          <w:highlight w:val="none"/>
        </w:rPr>
      </w:pPr>
      <w:r>
        <w:rPr>
          <w:rFonts w:hint="eastAsia"/>
          <w:color w:val="auto"/>
          <w:highlight w:val="none"/>
        </w:rPr>
        <w:t>注：</w:t>
      </w:r>
      <w:r>
        <w:rPr>
          <w:rFonts w:hint="eastAsia" w:hAnsi="宋体" w:cs="宋体"/>
          <w:color w:val="auto"/>
          <w:sz w:val="24"/>
          <w:highlight w:val="none"/>
        </w:rPr>
        <w:t>1. 投标人为自然人的，应提供身份证明的复印件。</w:t>
      </w:r>
    </w:p>
    <w:p w14:paraId="4D59BB65">
      <w:pPr>
        <w:pStyle w:val="15"/>
        <w:tabs>
          <w:tab w:val="left" w:pos="5580"/>
        </w:tabs>
        <w:spacing w:line="240" w:lineRule="atLeast"/>
        <w:ind w:left="1079" w:leftChars="257" w:hanging="540"/>
        <w:rPr>
          <w:rFonts w:hint="eastAsia" w:hAnsi="宋体" w:cs="宋体"/>
          <w:color w:val="auto"/>
          <w:sz w:val="24"/>
          <w:highlight w:val="none"/>
        </w:rPr>
      </w:pPr>
      <w:r>
        <w:rPr>
          <w:rFonts w:hint="eastAsia" w:hAnsi="宋体" w:cs="宋体"/>
          <w:color w:val="auto"/>
          <w:sz w:val="24"/>
          <w:highlight w:val="none"/>
        </w:rPr>
        <w:t xml:space="preserve">        2.联合体投标应提供联合体各方满足以上要求的证明文件。</w:t>
      </w:r>
    </w:p>
    <w:p w14:paraId="5FD2FF46">
      <w:pPr>
        <w:pStyle w:val="3"/>
        <w:tabs>
          <w:tab w:val="left" w:pos="540"/>
        </w:tabs>
        <w:spacing w:line="240" w:lineRule="atLeast"/>
        <w:jc w:val="center"/>
        <w:rPr>
          <w:rFonts w:hint="eastAsia" w:ascii="宋体" w:hAnsi="宋体" w:cs="宋体"/>
          <w:color w:val="auto"/>
          <w:szCs w:val="28"/>
          <w:highlight w:val="none"/>
        </w:rPr>
      </w:pPr>
      <w:r>
        <w:rPr>
          <w:rFonts w:hint="eastAsia" w:ascii="宋体" w:hAnsi="宋体" w:cs="宋体"/>
          <w:color w:val="auto"/>
          <w:sz w:val="24"/>
          <w:szCs w:val="24"/>
          <w:highlight w:val="none"/>
        </w:rPr>
        <w:br w:type="page"/>
      </w:r>
      <w:bookmarkStart w:id="295" w:name="_Toc22472"/>
      <w:bookmarkStart w:id="296" w:name="_Toc23503"/>
      <w:bookmarkStart w:id="297" w:name="_Toc1083"/>
      <w:bookmarkStart w:id="298" w:name="_Toc515647807"/>
      <w:r>
        <w:rPr>
          <w:rFonts w:hint="eastAsia" w:asciiTheme="minorEastAsia" w:hAnsiTheme="minorEastAsia" w:eastAsiaTheme="minorEastAsia" w:cstheme="minorEastAsia"/>
          <w:color w:val="auto"/>
          <w:sz w:val="24"/>
          <w:szCs w:val="24"/>
          <w:highlight w:val="none"/>
        </w:rPr>
        <w:t xml:space="preserve"> </w:t>
      </w:r>
      <w:bookmarkStart w:id="299" w:name="_Toc1846"/>
      <w:bookmarkStart w:id="300" w:name="_Toc29028"/>
      <w:bookmarkStart w:id="301" w:name="_Toc23386"/>
      <w:r>
        <w:rPr>
          <w:rFonts w:hint="eastAsia" w:asciiTheme="minorEastAsia" w:hAnsiTheme="minorEastAsia" w:eastAsiaTheme="minorEastAsia" w:cstheme="minorEastAsia"/>
          <w:color w:val="auto"/>
          <w:sz w:val="24"/>
          <w:szCs w:val="24"/>
          <w:highlight w:val="none"/>
        </w:rPr>
        <w:t>（二）法定代表人授权委托书</w:t>
      </w:r>
      <w:bookmarkEnd w:id="295"/>
      <w:bookmarkEnd w:id="296"/>
      <w:bookmarkEnd w:id="297"/>
      <w:bookmarkEnd w:id="298"/>
      <w:bookmarkEnd w:id="299"/>
      <w:bookmarkEnd w:id="300"/>
      <w:bookmarkEnd w:id="301"/>
    </w:p>
    <w:p w14:paraId="59CB048D">
      <w:pPr>
        <w:pStyle w:val="3"/>
        <w:tabs>
          <w:tab w:val="left" w:pos="540"/>
        </w:tabs>
        <w:jc w:val="both"/>
        <w:rPr>
          <w:rFonts w:hint="eastAsia" w:ascii="宋体" w:hAnsi="宋体" w:cs="宋体"/>
          <w:color w:val="auto"/>
          <w:sz w:val="24"/>
          <w:highlight w:val="none"/>
        </w:rPr>
      </w:pPr>
      <w:bookmarkStart w:id="302" w:name="_Toc5232"/>
      <w:bookmarkStart w:id="303" w:name="_Toc30228"/>
      <w:bookmarkStart w:id="304" w:name="_Toc6592"/>
      <w:r>
        <w:rPr>
          <w:rFonts w:hint="eastAsia" w:ascii="宋体" w:hAnsi="宋体" w:cs="宋体"/>
          <w:color w:val="auto"/>
          <w:szCs w:val="28"/>
          <w:highlight w:val="none"/>
        </w:rPr>
        <w:cr/>
      </w:r>
      <w:r>
        <w:rPr>
          <w:rFonts w:hint="eastAsia" w:asciiTheme="minorEastAsia" w:hAnsiTheme="minorEastAsia" w:eastAsiaTheme="minorEastAsia" w:cstheme="minorEastAsia"/>
          <w:color w:val="auto"/>
          <w:sz w:val="24"/>
          <w:highlight w:val="none"/>
        </w:rPr>
        <w:t xml:space="preserve">    本授权书声明：注册于</w:t>
      </w:r>
      <w:r>
        <w:rPr>
          <w:rFonts w:hint="eastAsia" w:asciiTheme="minorEastAsia" w:hAnsiTheme="minorEastAsia" w:eastAsiaTheme="minorEastAsia" w:cstheme="minorEastAsia"/>
          <w:bCs/>
          <w:color w:val="auto"/>
          <w:sz w:val="24"/>
          <w:highlight w:val="none"/>
          <w:u w:val="single"/>
        </w:rPr>
        <w:t>（国家或地区的名称）</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投标人</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法人代表姓名、职务</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代表我单位授权</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单位名称</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被授权人的姓名、职务</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为我单位的合法代理人，就</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项目名称</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的投标，以我单位名义处理一切与之有关的事务。</w:t>
      </w:r>
      <w:r>
        <w:rPr>
          <w:rFonts w:hint="eastAsia" w:ascii="宋体" w:hAnsi="宋体" w:cs="宋体"/>
          <w:color w:val="auto"/>
          <w:sz w:val="24"/>
          <w:highlight w:val="none"/>
        </w:rPr>
        <w:cr/>
      </w:r>
      <w:bookmarkEnd w:id="302"/>
      <w:bookmarkEnd w:id="303"/>
      <w:bookmarkEnd w:id="304"/>
      <w:r>
        <w:rPr>
          <w:rFonts w:hint="eastAsia" w:ascii="宋体" w:hAnsi="宋体" w:cs="宋体"/>
          <w:color w:val="auto"/>
          <w:sz w:val="24"/>
          <w:highlight w:val="none"/>
        </w:rPr>
        <w:t>　　</w:t>
      </w:r>
    </w:p>
    <w:p w14:paraId="35F7043B">
      <w:pPr>
        <w:pStyle w:val="15"/>
        <w:tabs>
          <w:tab w:val="left" w:pos="5580"/>
        </w:tabs>
        <w:spacing w:line="240" w:lineRule="atLeast"/>
        <w:ind w:left="-539" w:leftChars="-257" w:firstLine="900" w:firstLineChars="375"/>
        <w:rPr>
          <w:rFonts w:hint="eastAsia" w:hAnsi="宋体" w:cs="宋体"/>
          <w:color w:val="auto"/>
          <w:sz w:val="24"/>
          <w:highlight w:val="none"/>
        </w:rPr>
      </w:pPr>
    </w:p>
    <w:p w14:paraId="358E80E4">
      <w:pPr>
        <w:pStyle w:val="15"/>
        <w:tabs>
          <w:tab w:val="left" w:pos="5580"/>
        </w:tabs>
        <w:spacing w:line="240" w:lineRule="atLeast"/>
        <w:ind w:left="-539" w:leftChars="-257" w:firstLine="900" w:firstLineChars="375"/>
        <w:rPr>
          <w:rFonts w:hint="eastAsia" w:hAnsi="宋体" w:cs="宋体"/>
          <w:color w:val="auto"/>
          <w:sz w:val="24"/>
          <w:highlight w:val="none"/>
        </w:rPr>
      </w:pPr>
      <w:r>
        <w:rPr>
          <w:rFonts w:hint="eastAsia" w:hAnsi="宋体" w:cs="宋体"/>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2827655</wp:posOffset>
                </wp:positionH>
                <wp:positionV relativeFrom="paragraph">
                  <wp:posOffset>581025</wp:posOffset>
                </wp:positionV>
                <wp:extent cx="2230755" cy="1239520"/>
                <wp:effectExtent l="8255" t="7620" r="8890" b="10160"/>
                <wp:wrapNone/>
                <wp:docPr id="12" name="圆角矩形 12"/>
                <wp:cNvGraphicFramePr/>
                <a:graphic xmlns:a="http://schemas.openxmlformats.org/drawingml/2006/main">
                  <a:graphicData uri="http://schemas.microsoft.com/office/word/2010/wordprocessingShape">
                    <wps:wsp>
                      <wps:cNvSpPr/>
                      <wps:spPr>
                        <a:xfrm>
                          <a:off x="0" y="0"/>
                          <a:ext cx="2230755" cy="123952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6E126DAB">
                            <w:pPr>
                              <w:jc w:val="center"/>
                              <w:rPr>
                                <w:rFonts w:hint="eastAsia" w:hAnsi="宋体"/>
                              </w:rPr>
                            </w:pPr>
                            <w:r>
                              <w:rPr>
                                <w:rFonts w:hint="eastAsia" w:hAnsi="宋体"/>
                              </w:rPr>
                              <w:t xml:space="preserve">  </w:t>
                            </w:r>
                          </w:p>
                          <w:p w14:paraId="4189B880">
                            <w:pPr>
                              <w:rPr>
                                <w:rFonts w:hint="eastAsia" w:hAnsi="宋体"/>
                              </w:rPr>
                            </w:pPr>
                          </w:p>
                          <w:p w14:paraId="2C9CF938">
                            <w:pPr>
                              <w:jc w:val="center"/>
                              <w:rPr>
                                <w:szCs w:val="21"/>
                              </w:rPr>
                            </w:pPr>
                            <w:r>
                              <w:rPr>
                                <w:rFonts w:hint="eastAsia" w:hAnsi="宋体"/>
                                <w:szCs w:val="21"/>
                              </w:rPr>
                              <w:t>法定代表人身份证复印件反面</w:t>
                            </w:r>
                          </w:p>
                          <w:p w14:paraId="44FC56DE"/>
                        </w:txbxContent>
                      </wps:txbx>
                      <wps:bodyPr upright="1"/>
                    </wps:wsp>
                  </a:graphicData>
                </a:graphic>
              </wp:anchor>
            </w:drawing>
          </mc:Choice>
          <mc:Fallback>
            <w:pict>
              <v:roundrect id="_x0000_s1026" o:spid="_x0000_s1026" o:spt="2" style="position:absolute;left:0pt;margin-left:222.65pt;margin-top:45.75pt;height:97.6pt;width:175.65pt;z-index:251664384;mso-width-relative:page;mso-height-relative:page;" fillcolor="#FFFFFF" filled="t" stroked="t" coordsize="21600,21600" arcsize="0.166666666666667" o:gfxdata="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qWaq90AAAAKAQAADwAAAAAAAAABACAAAAAiAAAAZHJzL2Rvd25yZXYueG1sUEsBAhQA&#10;FAAAAAgAh07iQIqj2s8mAgAAWgQAAA4AAAAAAAAAAQAgAAAALAEAAGRycy9lMm9Eb2MueG1sUEsF&#10;BgAAAAAGAAYAWQEAAMQFAAAAAA==&#10;">
                <v:fill on="t" focussize="0,0"/>
                <v:stroke weight="1.25pt" color="#808080" joinstyle="round"/>
                <v:imagedata o:title=""/>
                <o:lock v:ext="edit" aspectratio="f"/>
                <v:textbox>
                  <w:txbxContent>
                    <w:p w14:paraId="6E126DAB">
                      <w:pPr>
                        <w:jc w:val="center"/>
                        <w:rPr>
                          <w:rFonts w:hint="eastAsia" w:hAnsi="宋体"/>
                        </w:rPr>
                      </w:pPr>
                      <w:r>
                        <w:rPr>
                          <w:rFonts w:hint="eastAsia" w:hAnsi="宋体"/>
                        </w:rPr>
                        <w:t xml:space="preserve">  </w:t>
                      </w:r>
                    </w:p>
                    <w:p w14:paraId="4189B880">
                      <w:pPr>
                        <w:rPr>
                          <w:rFonts w:hint="eastAsia" w:hAnsi="宋体"/>
                        </w:rPr>
                      </w:pPr>
                    </w:p>
                    <w:p w14:paraId="2C9CF938">
                      <w:pPr>
                        <w:jc w:val="center"/>
                        <w:rPr>
                          <w:szCs w:val="21"/>
                        </w:rPr>
                      </w:pPr>
                      <w:r>
                        <w:rPr>
                          <w:rFonts w:hint="eastAsia" w:hAnsi="宋体"/>
                          <w:szCs w:val="21"/>
                        </w:rPr>
                        <w:t>法定代表人身份证复印件反面</w:t>
                      </w:r>
                    </w:p>
                    <w:p w14:paraId="44FC56DE"/>
                  </w:txbxContent>
                </v:textbox>
              </v:roundrect>
            </w:pict>
          </mc:Fallback>
        </mc:AlternateContent>
      </w:r>
      <w:r>
        <w:rPr>
          <w:rFonts w:hint="eastAsia" w:hAnsi="宋体" w:cs="宋体"/>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321945</wp:posOffset>
                </wp:positionH>
                <wp:positionV relativeFrom="paragraph">
                  <wp:posOffset>566420</wp:posOffset>
                </wp:positionV>
                <wp:extent cx="2270760" cy="1302385"/>
                <wp:effectExtent l="7620" t="7620" r="26670" b="23495"/>
                <wp:wrapNone/>
                <wp:docPr id="11" name="圆角矩形 11"/>
                <wp:cNvGraphicFramePr/>
                <a:graphic xmlns:a="http://schemas.openxmlformats.org/drawingml/2006/main">
                  <a:graphicData uri="http://schemas.microsoft.com/office/word/2010/wordprocessingShape">
                    <wps:wsp>
                      <wps:cNvSpPr/>
                      <wps:spPr>
                        <a:xfrm>
                          <a:off x="0" y="0"/>
                          <a:ext cx="2270760" cy="130238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4D384EAC">
                            <w:pPr>
                              <w:jc w:val="center"/>
                              <w:rPr>
                                <w:rFonts w:hint="eastAsia" w:hAnsi="宋体"/>
                              </w:rPr>
                            </w:pPr>
                          </w:p>
                          <w:p w14:paraId="5DF0A44F">
                            <w:pPr>
                              <w:rPr>
                                <w:rFonts w:hint="eastAsia" w:hAnsi="宋体"/>
                              </w:rPr>
                            </w:pPr>
                          </w:p>
                          <w:p w14:paraId="5F267DF1">
                            <w:pPr>
                              <w:jc w:val="center"/>
                              <w:rPr>
                                <w:rFonts w:hint="eastAsia"/>
                                <w:szCs w:val="21"/>
                              </w:rPr>
                            </w:pPr>
                            <w:r>
                              <w:rPr>
                                <w:rFonts w:hint="eastAsia" w:hAnsi="宋体"/>
                                <w:szCs w:val="21"/>
                              </w:rPr>
                              <w:t>法定代表人身份证复印件正面</w:t>
                            </w:r>
                          </w:p>
                          <w:p w14:paraId="73140367"/>
                        </w:txbxContent>
                      </wps:txbx>
                      <wps:bodyPr upright="1"/>
                    </wps:wsp>
                  </a:graphicData>
                </a:graphic>
              </wp:anchor>
            </w:drawing>
          </mc:Choice>
          <mc:Fallback>
            <w:pict>
              <v:roundrect id="_x0000_s1026" o:spid="_x0000_s1026" o:spt="2" style="position:absolute;left:0pt;margin-left:25.35pt;margin-top:44.6pt;height:102.55pt;width:178.8pt;z-index:251663360;mso-width-relative:page;mso-height-relative:page;" fillcolor="#FFFFFF" filled="t" stroked="t" coordsize="21600,21600" arcsize="0.166666666666667" o:gfxdata="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8xKFdsAAAAJAQAADwAAAAAAAAABACAAAAAiAAAAZHJzL2Rvd25yZXYueG1sUEsBAhQAFAAA&#10;AAgAh07iQN7ZmxYlAgAAWgQAAA4AAAAAAAAAAQAgAAAAKgEAAGRycy9lMm9Eb2MueG1sUEsFBgAA&#10;AAAGAAYAWQEAAMEFAAAAAA==&#10;">
                <v:fill on="t" focussize="0,0"/>
                <v:stroke weight="1.25pt" color="#808080" joinstyle="round"/>
                <v:imagedata o:title=""/>
                <o:lock v:ext="edit" aspectratio="f"/>
                <v:textbox>
                  <w:txbxContent>
                    <w:p w14:paraId="4D384EAC">
                      <w:pPr>
                        <w:jc w:val="center"/>
                        <w:rPr>
                          <w:rFonts w:hint="eastAsia" w:hAnsi="宋体"/>
                        </w:rPr>
                      </w:pPr>
                    </w:p>
                    <w:p w14:paraId="5DF0A44F">
                      <w:pPr>
                        <w:rPr>
                          <w:rFonts w:hint="eastAsia" w:hAnsi="宋体"/>
                        </w:rPr>
                      </w:pPr>
                    </w:p>
                    <w:p w14:paraId="5F267DF1">
                      <w:pPr>
                        <w:jc w:val="center"/>
                        <w:rPr>
                          <w:rFonts w:hint="eastAsia"/>
                          <w:szCs w:val="21"/>
                        </w:rPr>
                      </w:pPr>
                      <w:r>
                        <w:rPr>
                          <w:rFonts w:hint="eastAsia" w:hAnsi="宋体"/>
                          <w:szCs w:val="21"/>
                        </w:rPr>
                        <w:t>法定代表人身份证复印件正面</w:t>
                      </w:r>
                    </w:p>
                    <w:p w14:paraId="73140367"/>
                  </w:txbxContent>
                </v:textbox>
              </v:roundrect>
            </w:pict>
          </mc:Fallback>
        </mc:AlternateContent>
      </w:r>
      <w:r>
        <w:rPr>
          <w:rFonts w:hint="eastAsia" w:hAnsi="宋体" w:cs="宋体"/>
          <w:color w:val="auto"/>
          <w:sz w:val="24"/>
          <w:highlight w:val="none"/>
        </w:rPr>
        <w:t>本授权书于</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日签字生效,特此声明。</w:t>
      </w:r>
      <w:r>
        <w:rPr>
          <w:rFonts w:hint="eastAsia" w:hAnsi="宋体" w:cs="宋体"/>
          <w:color w:val="auto"/>
          <w:sz w:val="24"/>
          <w:highlight w:val="none"/>
        </w:rPr>
        <w:cr/>
      </w:r>
      <w:r>
        <w:rPr>
          <w:rFonts w:hint="eastAsia" w:hAnsi="宋体" w:cs="宋体"/>
          <w:color w:val="auto"/>
          <w:sz w:val="24"/>
          <w:highlight w:val="none"/>
        </w:rPr>
        <w:cr/>
      </w:r>
    </w:p>
    <w:p w14:paraId="43CF5F9C">
      <w:pPr>
        <w:pStyle w:val="15"/>
        <w:tabs>
          <w:tab w:val="left" w:pos="5580"/>
        </w:tabs>
        <w:spacing w:line="240" w:lineRule="atLeast"/>
        <w:ind w:left="-539" w:leftChars="-257" w:firstLine="900" w:firstLineChars="375"/>
        <w:rPr>
          <w:rFonts w:hint="eastAsia" w:hAnsi="宋体" w:cs="宋体"/>
          <w:color w:val="auto"/>
          <w:sz w:val="24"/>
          <w:highlight w:val="none"/>
        </w:rPr>
      </w:pPr>
    </w:p>
    <w:p w14:paraId="1FE508E0">
      <w:pPr>
        <w:spacing w:line="360" w:lineRule="auto"/>
        <w:ind w:firstLine="240" w:firstLineChars="100"/>
        <w:rPr>
          <w:rFonts w:hint="eastAsia" w:ascii="宋体" w:hAnsi="宋体" w:cs="宋体"/>
          <w:color w:val="auto"/>
          <w:sz w:val="24"/>
          <w:highlight w:val="none"/>
        </w:rPr>
      </w:pPr>
    </w:p>
    <w:p w14:paraId="03143ED9">
      <w:pPr>
        <w:spacing w:line="360" w:lineRule="auto"/>
        <w:ind w:firstLine="240" w:firstLineChars="100"/>
        <w:rPr>
          <w:rFonts w:hint="eastAsia" w:ascii="宋体" w:hAnsi="宋体" w:cs="宋体"/>
          <w:color w:val="auto"/>
          <w:sz w:val="24"/>
          <w:highlight w:val="none"/>
        </w:rPr>
      </w:pPr>
    </w:p>
    <w:p w14:paraId="052365F2">
      <w:pPr>
        <w:spacing w:line="360" w:lineRule="auto"/>
        <w:ind w:firstLine="240" w:firstLineChars="100"/>
        <w:rPr>
          <w:rFonts w:hint="eastAsia" w:ascii="宋体" w:hAnsi="宋体" w:cs="宋体"/>
          <w:color w:val="auto"/>
          <w:sz w:val="24"/>
          <w:highlight w:val="none"/>
        </w:rPr>
      </w:pPr>
    </w:p>
    <w:p w14:paraId="2AF8E21C">
      <w:pPr>
        <w:spacing w:line="360" w:lineRule="auto"/>
        <w:ind w:firstLine="240" w:firstLineChars="100"/>
        <w:rPr>
          <w:rFonts w:hint="eastAsia" w:ascii="宋体" w:hAnsi="宋体" w:cs="宋体"/>
          <w:color w:val="auto"/>
          <w:sz w:val="24"/>
          <w:highlight w:val="none"/>
        </w:rPr>
      </w:pPr>
    </w:p>
    <w:p w14:paraId="256033AE">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2877185</wp:posOffset>
                </wp:positionH>
                <wp:positionV relativeFrom="paragraph">
                  <wp:posOffset>44450</wp:posOffset>
                </wp:positionV>
                <wp:extent cx="2268855" cy="1211580"/>
                <wp:effectExtent l="7620" t="7620" r="9525" b="19050"/>
                <wp:wrapNone/>
                <wp:docPr id="10" name="圆角矩形 10"/>
                <wp:cNvGraphicFramePr/>
                <a:graphic xmlns:a="http://schemas.openxmlformats.org/drawingml/2006/main">
                  <a:graphicData uri="http://schemas.microsoft.com/office/word/2010/wordprocessingShape">
                    <wps:wsp>
                      <wps:cNvSpPr/>
                      <wps:spPr>
                        <a:xfrm>
                          <a:off x="0" y="0"/>
                          <a:ext cx="2268855" cy="121158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21542376">
                            <w:pPr>
                              <w:rPr>
                                <w:rFonts w:hint="eastAsia" w:hAnsi="宋体"/>
                              </w:rPr>
                            </w:pPr>
                          </w:p>
                          <w:p w14:paraId="7EDA30FC">
                            <w:pPr>
                              <w:rPr>
                                <w:rFonts w:hint="eastAsia" w:hAnsi="宋体"/>
                              </w:rPr>
                            </w:pPr>
                          </w:p>
                          <w:p w14:paraId="265955B0">
                            <w:r>
                              <w:rPr>
                                <w:rFonts w:hint="eastAsia" w:hAnsi="宋体"/>
                              </w:rPr>
                              <w:t>被授权委托人身份证复印件反面</w:t>
                            </w:r>
                          </w:p>
                          <w:p w14:paraId="04C4F07E"/>
                        </w:txbxContent>
                      </wps:txbx>
                      <wps:bodyPr upright="1"/>
                    </wps:wsp>
                  </a:graphicData>
                </a:graphic>
              </wp:anchor>
            </w:drawing>
          </mc:Choice>
          <mc:Fallback>
            <w:pict>
              <v:roundrect id="_x0000_s1026" o:spid="_x0000_s1026" o:spt="2" style="position:absolute;left:0pt;margin-left:226.55pt;margin-top:3.5pt;height:95.4pt;width:178.65pt;z-index:251662336;mso-width-relative:page;mso-height-relative:page;" fillcolor="#FFFFFF" filled="t" stroked="t" coordsize="21600,21600" arcsize="0.166666666666667" o:gfxdata="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ojqzr2gAAAAkBAAAPAAAAAAAAAAEAIAAAACIAAABkcnMvZG93bnJldi54bWxQSwECFAAUAAAA&#10;CACHTuJAJURdByUCAABaBAAADgAAAAAAAAABACAAAAApAQAAZHJzL2Uyb0RvYy54bWxQSwUGAAAA&#10;AAYABgBZAQAAwAUAAAAA&#10;">
                <v:fill on="t" focussize="0,0"/>
                <v:stroke weight="1.25pt" color="#808080" joinstyle="round"/>
                <v:imagedata o:title=""/>
                <o:lock v:ext="edit" aspectratio="f"/>
                <v:textbox>
                  <w:txbxContent>
                    <w:p w14:paraId="21542376">
                      <w:pPr>
                        <w:rPr>
                          <w:rFonts w:hint="eastAsia" w:hAnsi="宋体"/>
                        </w:rPr>
                      </w:pPr>
                    </w:p>
                    <w:p w14:paraId="7EDA30FC">
                      <w:pPr>
                        <w:rPr>
                          <w:rFonts w:hint="eastAsia" w:hAnsi="宋体"/>
                        </w:rPr>
                      </w:pPr>
                    </w:p>
                    <w:p w14:paraId="265955B0">
                      <w:r>
                        <w:rPr>
                          <w:rFonts w:hint="eastAsia" w:hAnsi="宋体"/>
                        </w:rPr>
                        <w:t>被授权委托人身份证复印件反面</w:t>
                      </w:r>
                    </w:p>
                    <w:p w14:paraId="04C4F07E"/>
                  </w:txbxContent>
                </v:textbox>
              </v:roundrect>
            </w:pict>
          </mc:Fallback>
        </mc:AlternateContent>
      </w:r>
      <w:r>
        <w:rPr>
          <w:rFonts w:hint="eastAsia" w:ascii="宋体" w:hAnsi="宋体" w:cs="宋体"/>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354330</wp:posOffset>
                </wp:positionH>
                <wp:positionV relativeFrom="paragraph">
                  <wp:posOffset>60325</wp:posOffset>
                </wp:positionV>
                <wp:extent cx="2259965" cy="1209675"/>
                <wp:effectExtent l="4445" t="4445" r="21590" b="5080"/>
                <wp:wrapNone/>
                <wp:docPr id="13" name="流程图: 可选过程 13"/>
                <wp:cNvGraphicFramePr/>
                <a:graphic xmlns:a="http://schemas.openxmlformats.org/drawingml/2006/main">
                  <a:graphicData uri="http://schemas.microsoft.com/office/word/2010/wordprocessingShape">
                    <wps:wsp>
                      <wps:cNvSpPr/>
                      <wps:spPr>
                        <a:xfrm>
                          <a:off x="0" y="0"/>
                          <a:ext cx="2259965" cy="120967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B584462">
                            <w:pPr>
                              <w:rPr>
                                <w:rFonts w:hint="eastAsia" w:hAnsi="宋体"/>
                              </w:rPr>
                            </w:pPr>
                          </w:p>
                          <w:p w14:paraId="43B02466">
                            <w:pPr>
                              <w:jc w:val="center"/>
                              <w:rPr>
                                <w:rFonts w:hint="eastAsia" w:hAnsi="宋体"/>
                              </w:rPr>
                            </w:pPr>
                          </w:p>
                          <w:p w14:paraId="30E4F74E">
                            <w:pPr>
                              <w:jc w:val="center"/>
                            </w:pPr>
                            <w:r>
                              <w:rPr>
                                <w:rFonts w:hint="eastAsia" w:hAnsi="宋体"/>
                              </w:rPr>
                              <w:t>被授权委托人身份证复印件正面</w:t>
                            </w:r>
                          </w:p>
                        </w:txbxContent>
                      </wps:txbx>
                      <wps:bodyPr upright="1"/>
                    </wps:wsp>
                  </a:graphicData>
                </a:graphic>
              </wp:anchor>
            </w:drawing>
          </mc:Choice>
          <mc:Fallback>
            <w:pict>
              <v:shape id="_x0000_s1026" o:spid="_x0000_s1026" o:spt="176" type="#_x0000_t176" style="position:absolute;left:0pt;margin-left:27.9pt;margin-top:4.75pt;height:95.25pt;width:177.95pt;z-index:251661312;mso-width-relative:page;mso-height-relative:page;" fillcolor="#FFFFFF" filled="t" stroked="t" coordsize="21600,21600" o:gfxdata="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M+O7tYAAAAIAQAADwAAAAAAAAABACAAAAAiAAAAZHJzL2Rvd25yZXYueG1sUEsBAhQAFAAA&#10;AAgAh07iQHQjn8sqAgAAUgQAAA4AAAAAAAAAAQAgAAAAJQEAAGRycy9lMm9Eb2MueG1sUEsFBgAA&#10;AAAGAAYAWQEAAMEFAAAAAA==&#10;">
                <v:fill on="t" focussize="0,0"/>
                <v:stroke color="#000000" joinstyle="miter"/>
                <v:imagedata o:title=""/>
                <o:lock v:ext="edit" aspectratio="f"/>
                <v:textbox>
                  <w:txbxContent>
                    <w:p w14:paraId="7B584462">
                      <w:pPr>
                        <w:rPr>
                          <w:rFonts w:hint="eastAsia" w:hAnsi="宋体"/>
                        </w:rPr>
                      </w:pPr>
                    </w:p>
                    <w:p w14:paraId="43B02466">
                      <w:pPr>
                        <w:jc w:val="center"/>
                        <w:rPr>
                          <w:rFonts w:hint="eastAsia" w:hAnsi="宋体"/>
                        </w:rPr>
                      </w:pPr>
                    </w:p>
                    <w:p w14:paraId="30E4F74E">
                      <w:pPr>
                        <w:jc w:val="center"/>
                      </w:pPr>
                      <w:r>
                        <w:rPr>
                          <w:rFonts w:hint="eastAsia" w:hAnsi="宋体"/>
                        </w:rPr>
                        <w:t>被授权委托人身份证复印件正面</w:t>
                      </w:r>
                    </w:p>
                  </w:txbxContent>
                </v:textbox>
              </v:shape>
            </w:pict>
          </mc:Fallback>
        </mc:AlternateContent>
      </w:r>
    </w:p>
    <w:p w14:paraId="372E7B1A">
      <w:pPr>
        <w:spacing w:line="360" w:lineRule="auto"/>
        <w:ind w:firstLine="240" w:firstLineChars="100"/>
        <w:rPr>
          <w:rFonts w:hint="eastAsia" w:ascii="宋体" w:hAnsi="宋体" w:cs="宋体"/>
          <w:color w:val="auto"/>
          <w:sz w:val="24"/>
          <w:highlight w:val="none"/>
        </w:rPr>
      </w:pPr>
    </w:p>
    <w:p w14:paraId="3569E8B8">
      <w:pPr>
        <w:spacing w:line="360" w:lineRule="auto"/>
        <w:ind w:firstLine="240" w:firstLineChars="100"/>
        <w:rPr>
          <w:rFonts w:hint="eastAsia" w:ascii="宋体" w:hAnsi="宋体" w:cs="宋体"/>
          <w:color w:val="auto"/>
          <w:sz w:val="24"/>
          <w:highlight w:val="none"/>
        </w:rPr>
      </w:pPr>
    </w:p>
    <w:p w14:paraId="235F5372">
      <w:pPr>
        <w:spacing w:line="360" w:lineRule="auto"/>
        <w:rPr>
          <w:rFonts w:hint="eastAsia" w:ascii="宋体" w:hAnsi="宋体" w:cs="宋体"/>
          <w:color w:val="auto"/>
          <w:sz w:val="24"/>
          <w:highlight w:val="none"/>
        </w:rPr>
      </w:pPr>
    </w:p>
    <w:p w14:paraId="4ACDAA89">
      <w:pPr>
        <w:pStyle w:val="15"/>
        <w:tabs>
          <w:tab w:val="left" w:pos="5580"/>
        </w:tabs>
        <w:spacing w:line="240" w:lineRule="atLeast"/>
        <w:rPr>
          <w:rFonts w:hint="eastAsia" w:hAnsi="宋体" w:cs="宋体"/>
          <w:color w:val="auto"/>
          <w:sz w:val="24"/>
          <w:highlight w:val="none"/>
        </w:rPr>
      </w:pPr>
    </w:p>
    <w:p w14:paraId="48C4BFA8">
      <w:pPr>
        <w:pStyle w:val="15"/>
        <w:tabs>
          <w:tab w:val="left" w:pos="5580"/>
        </w:tabs>
        <w:spacing w:line="360" w:lineRule="auto"/>
        <w:ind w:firstLine="960" w:firstLineChars="400"/>
        <w:rPr>
          <w:rFonts w:hint="eastAsia" w:hAnsi="宋体" w:cs="宋体"/>
          <w:color w:val="auto"/>
          <w:sz w:val="24"/>
          <w:highlight w:val="none"/>
          <w:u w:val="single"/>
        </w:rPr>
      </w:pPr>
      <w:r>
        <w:rPr>
          <w:rFonts w:hint="eastAsia" w:hAnsi="宋体" w:cs="宋体"/>
          <w:color w:val="auto"/>
          <w:sz w:val="24"/>
          <w:highlight w:val="none"/>
        </w:rPr>
        <w:t>投 标 人（盖章）：</w:t>
      </w:r>
      <w:r>
        <w:rPr>
          <w:rFonts w:hint="eastAsia" w:hAnsi="宋体" w:cs="宋体"/>
          <w:color w:val="auto"/>
          <w:sz w:val="24"/>
          <w:highlight w:val="none"/>
          <w:u w:val="single"/>
        </w:rPr>
        <w:t xml:space="preserve">                           </w:t>
      </w:r>
    </w:p>
    <w:p w14:paraId="224AFACE">
      <w:pPr>
        <w:pStyle w:val="15"/>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法定代表人</w:t>
      </w:r>
      <w:r>
        <w:rPr>
          <w:rFonts w:hint="eastAsia" w:ascii="宋体" w:hAnsi="宋体" w:cs="宋体"/>
          <w:color w:val="auto"/>
          <w:sz w:val="24"/>
          <w:highlight w:val="none"/>
        </w:rPr>
        <w:t>（</w:t>
      </w:r>
      <w:r>
        <w:rPr>
          <w:rFonts w:hint="eastAsia" w:hAnsi="宋体" w:cs="宋体"/>
          <w:color w:val="auto"/>
          <w:sz w:val="24"/>
          <w:highlight w:val="none"/>
          <w:lang w:eastAsia="zh-CN"/>
        </w:rPr>
        <w:t>签字或盖章</w:t>
      </w:r>
      <w:r>
        <w:rPr>
          <w:rFonts w:hint="eastAsia" w:ascii="宋体" w:hAnsi="宋体" w:cs="宋体"/>
          <w:color w:val="auto"/>
          <w:sz w:val="24"/>
          <w:highlight w:val="none"/>
        </w:rPr>
        <w:t>）</w:t>
      </w:r>
      <w:r>
        <w:rPr>
          <w:rFonts w:hint="eastAsia" w:hAnsi="宋体" w:cs="宋体"/>
          <w:color w:val="auto"/>
          <w:sz w:val="24"/>
          <w:highlight w:val="none"/>
        </w:rPr>
        <w:t>：</w:t>
      </w:r>
      <w:r>
        <w:rPr>
          <w:rFonts w:hint="eastAsia" w:hAnsi="宋体" w:cs="宋体"/>
          <w:color w:val="auto"/>
          <w:sz w:val="24"/>
          <w:highlight w:val="none"/>
          <w:u w:val="single"/>
        </w:rPr>
        <w:t xml:space="preserve">                        </w:t>
      </w:r>
    </w:p>
    <w:p w14:paraId="2C4B148A">
      <w:pPr>
        <w:pStyle w:val="15"/>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u w:val="single" w:color="EEECE1"/>
        </w:rPr>
        <w:t>身</w:t>
      </w:r>
      <w:r>
        <w:rPr>
          <w:rFonts w:hint="eastAsia" w:hAnsi="宋体" w:cs="宋体"/>
          <w:color w:val="auto"/>
          <w:sz w:val="24"/>
          <w:highlight w:val="none"/>
        </w:rPr>
        <w:t>份证号码：</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35B66382">
      <w:pPr>
        <w:pStyle w:val="15"/>
        <w:tabs>
          <w:tab w:val="left" w:pos="5580"/>
        </w:tabs>
        <w:spacing w:line="360" w:lineRule="auto"/>
        <w:ind w:firstLine="960" w:firstLineChars="400"/>
        <w:rPr>
          <w:rFonts w:hint="eastAsia" w:hAnsi="宋体" w:eastAsia="宋体" w:cs="宋体"/>
          <w:color w:val="auto"/>
          <w:sz w:val="24"/>
          <w:highlight w:val="none"/>
          <w:u w:val="single"/>
          <w:lang w:val="en-US" w:eastAsia="zh-CN"/>
        </w:rPr>
      </w:pPr>
      <w:r>
        <w:rPr>
          <w:rFonts w:hint="eastAsia" w:hAnsi="宋体" w:cs="宋体"/>
          <w:color w:val="auto"/>
          <w:sz w:val="24"/>
          <w:highlight w:val="none"/>
        </w:rPr>
        <w:t>委托代理人</w:t>
      </w:r>
      <w:r>
        <w:rPr>
          <w:rFonts w:hint="eastAsia" w:ascii="宋体" w:hAnsi="宋体" w:cs="宋体"/>
          <w:color w:val="auto"/>
          <w:sz w:val="24"/>
          <w:highlight w:val="none"/>
        </w:rPr>
        <w:t>（</w:t>
      </w:r>
      <w:r>
        <w:rPr>
          <w:rFonts w:hint="eastAsia" w:hAnsi="宋体" w:cs="宋体"/>
          <w:color w:val="auto"/>
          <w:sz w:val="24"/>
          <w:highlight w:val="none"/>
          <w:lang w:eastAsia="zh-CN"/>
        </w:rPr>
        <w:t>签字或盖章</w:t>
      </w:r>
      <w:r>
        <w:rPr>
          <w:rFonts w:hint="eastAsia" w:ascii="宋体" w:hAnsi="宋体" w:cs="宋体"/>
          <w:color w:val="auto"/>
          <w:sz w:val="24"/>
          <w:highlight w:val="none"/>
        </w:rPr>
        <w:t>）</w:t>
      </w:r>
      <w:r>
        <w:rPr>
          <w:rFonts w:hint="eastAsia" w:hAnsi="宋体" w:cs="宋体"/>
          <w:color w:val="auto"/>
          <w:sz w:val="24"/>
          <w:highlight w:val="none"/>
        </w:rPr>
        <w:t>：</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 xml:space="preserve"> </w:t>
      </w:r>
    </w:p>
    <w:p w14:paraId="6122B8B2">
      <w:pPr>
        <w:pStyle w:val="15"/>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身份证号码：</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31E9359E">
      <w:pPr>
        <w:pStyle w:val="15"/>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详细通讯地址：</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3C5F9E8C">
      <w:pPr>
        <w:pStyle w:val="15"/>
        <w:tabs>
          <w:tab w:val="left" w:pos="5580"/>
        </w:tabs>
        <w:spacing w:line="360" w:lineRule="auto"/>
        <w:ind w:firstLine="960" w:firstLineChars="400"/>
        <w:rPr>
          <w:rFonts w:hint="eastAsia" w:hAnsi="宋体" w:cs="宋体"/>
          <w:color w:val="auto"/>
          <w:sz w:val="24"/>
          <w:highlight w:val="none"/>
          <w:u w:val="single"/>
        </w:rPr>
      </w:pPr>
      <w:r>
        <w:rPr>
          <w:rFonts w:hint="eastAsia" w:hAnsi="宋体" w:cs="宋体"/>
          <w:color w:val="auto"/>
          <w:sz w:val="24"/>
          <w:highlight w:val="none"/>
        </w:rPr>
        <w:t>邮 政 编 码 ：</w:t>
      </w:r>
      <w:r>
        <w:rPr>
          <w:rFonts w:hint="eastAsia" w:hAnsi="宋体" w:cs="宋体"/>
          <w:color w:val="auto"/>
          <w:sz w:val="24"/>
          <w:highlight w:val="none"/>
          <w:u w:val="single"/>
        </w:rPr>
        <w:t xml:space="preserve">                               </w:t>
      </w:r>
    </w:p>
    <w:p w14:paraId="6F3D3D6A">
      <w:pPr>
        <w:pStyle w:val="15"/>
        <w:tabs>
          <w:tab w:val="left" w:pos="5580"/>
        </w:tabs>
        <w:spacing w:line="360" w:lineRule="auto"/>
        <w:ind w:firstLine="960" w:firstLineChars="400"/>
        <w:rPr>
          <w:rFonts w:hint="eastAsia" w:ascii="宋体" w:hAnsi="宋体" w:eastAsia="宋体" w:cs="宋体"/>
          <w:color w:val="auto"/>
          <w:sz w:val="24"/>
          <w:highlight w:val="none"/>
          <w:u w:val="single"/>
        </w:rPr>
      </w:pPr>
      <w:r>
        <w:rPr>
          <w:rFonts w:hint="eastAsia" w:hAnsi="宋体" w:cs="宋体"/>
          <w:color w:val="auto"/>
          <w:sz w:val="24"/>
          <w:highlight w:val="none"/>
        </w:rPr>
        <w:t>日       期 ：</w:t>
      </w:r>
      <w:r>
        <w:rPr>
          <w:rFonts w:hint="eastAsia" w:hAnsi="宋体" w:cs="宋体"/>
          <w:color w:val="auto"/>
          <w:sz w:val="24"/>
          <w:highlight w:val="none"/>
          <w:u w:val="single"/>
        </w:rPr>
        <w:t xml:space="preserve">                               </w:t>
      </w:r>
    </w:p>
    <w:p w14:paraId="1841C66D">
      <w:pPr>
        <w:pStyle w:val="15"/>
        <w:tabs>
          <w:tab w:val="left" w:pos="5580"/>
        </w:tabs>
        <w:spacing w:line="360" w:lineRule="auto"/>
        <w:ind w:firstLine="480" w:firstLineChars="200"/>
        <w:rPr>
          <w:rFonts w:hint="eastAsia" w:ascii="宋体" w:hAnsi="宋体" w:eastAsia="宋体" w:cs="宋体"/>
          <w:color w:val="auto"/>
          <w:sz w:val="24"/>
          <w:highlight w:val="none"/>
          <w:u w:val="single"/>
        </w:rPr>
      </w:pPr>
    </w:p>
    <w:p w14:paraId="04212E24">
      <w:pPr>
        <w:pStyle w:val="15"/>
        <w:tabs>
          <w:tab w:val="left" w:pos="5580"/>
        </w:tabs>
        <w:spacing w:line="360" w:lineRule="auto"/>
        <w:ind w:firstLine="480" w:firstLineChars="200"/>
        <w:rPr>
          <w:rFonts w:hint="eastAsia" w:ascii="宋体" w:hAnsi="宋体" w:eastAsia="宋体" w:cs="宋体"/>
          <w:color w:val="auto"/>
          <w:sz w:val="24"/>
          <w:highlight w:val="none"/>
          <w:u w:val="single"/>
        </w:rPr>
      </w:pPr>
    </w:p>
    <w:p w14:paraId="1E229DA0">
      <w:pPr>
        <w:pStyle w:val="29"/>
        <w:rPr>
          <w:rFonts w:hint="eastAsia"/>
          <w:color w:val="auto"/>
          <w:highlight w:val="none"/>
        </w:rPr>
      </w:pPr>
    </w:p>
    <w:p w14:paraId="0F3C6072">
      <w:pPr>
        <w:tabs>
          <w:tab w:val="left" w:pos="5580"/>
        </w:tabs>
        <w:spacing w:line="360" w:lineRule="exact"/>
        <w:rPr>
          <w:rFonts w:hint="eastAsia" w:ascii="宋体" w:hAnsi="宋体" w:eastAsia="宋体" w:cs="宋体"/>
          <w:b/>
          <w:bCs/>
          <w:color w:val="auto"/>
          <w:sz w:val="28"/>
          <w:szCs w:val="28"/>
          <w:highlight w:val="none"/>
        </w:rPr>
      </w:pPr>
    </w:p>
    <w:p w14:paraId="4EB67195">
      <w:pPr>
        <w:numPr>
          <w:ilvl w:val="0"/>
          <w:numId w:val="0"/>
        </w:numPr>
        <w:tabs>
          <w:tab w:val="left" w:pos="5580"/>
        </w:tabs>
        <w:spacing w:line="240" w:lineRule="atLeast"/>
        <w:ind w:leftChars="257"/>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5</w:t>
      </w:r>
      <w:r>
        <w:rPr>
          <w:rFonts w:hint="eastAsia" w:ascii="宋体" w:hAnsi="宋体" w:eastAsia="宋体" w:cs="宋体"/>
          <w:b/>
          <w:bCs/>
          <w:color w:val="auto"/>
          <w:sz w:val="28"/>
          <w:szCs w:val="28"/>
          <w:highlight w:val="none"/>
          <w:lang w:val="en-US" w:eastAsia="zh-CN"/>
        </w:rPr>
        <w:t>、</w:t>
      </w:r>
      <w:r>
        <w:rPr>
          <w:rFonts w:hint="eastAsia" w:ascii="宋体" w:hAnsi="宋体" w:cs="宋体"/>
          <w:b/>
          <w:bCs/>
          <w:color w:val="auto"/>
          <w:sz w:val="28"/>
          <w:szCs w:val="28"/>
          <w:highlight w:val="none"/>
          <w:lang w:val="en-US" w:eastAsia="zh-CN"/>
        </w:rPr>
        <w:t>依法缴纳近六个月中任意一个月的社保凭证；依法缴纳近六个月任意一个月的税收良好记录证明（零申报需加盖税务机关章、无拖欠税收证明需加盖税务机关章、完税证明为非社保缴纳明细）；</w:t>
      </w:r>
    </w:p>
    <w:p w14:paraId="10A37D66">
      <w:pPr>
        <w:pStyle w:val="5"/>
        <w:ind w:firstLine="0"/>
        <w:rPr>
          <w:rFonts w:hint="eastAsia" w:ascii="宋体" w:hAnsi="宋体" w:eastAsia="宋体" w:cs="宋体"/>
          <w:color w:val="auto"/>
          <w:highlight w:val="none"/>
        </w:rPr>
      </w:pPr>
    </w:p>
    <w:p w14:paraId="0E0B8882">
      <w:pPr>
        <w:pStyle w:val="5"/>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注：1.按照投标人须知资料表中的规定提供复印件。</w:t>
      </w:r>
    </w:p>
    <w:p w14:paraId="6C35B4F5">
      <w:pPr>
        <w:pStyle w:val="5"/>
        <w:ind w:firstLine="0"/>
        <w:rPr>
          <w:rFonts w:hint="eastAsia" w:ascii="宋体" w:hAnsi="宋体" w:eastAsia="宋体" w:cs="宋体"/>
          <w:color w:val="auto"/>
          <w:highlight w:val="none"/>
        </w:rPr>
      </w:pPr>
      <w:r>
        <w:rPr>
          <w:rFonts w:hint="eastAsia" w:ascii="宋体" w:hAnsi="宋体" w:eastAsia="宋体" w:cs="宋体"/>
          <w:color w:val="auto"/>
          <w:highlight w:val="none"/>
        </w:rPr>
        <w:t xml:space="preserve">      2.复印件上应加盖本单位章。</w:t>
      </w:r>
    </w:p>
    <w:p w14:paraId="762E9BF3">
      <w:pPr>
        <w:pStyle w:val="5"/>
        <w:ind w:firstLine="0"/>
        <w:rPr>
          <w:rFonts w:hint="eastAsia" w:ascii="宋体" w:hAnsi="宋体" w:eastAsia="宋体" w:cs="宋体"/>
          <w:color w:val="auto"/>
          <w:highlight w:val="none"/>
        </w:rPr>
      </w:pPr>
      <w:r>
        <w:rPr>
          <w:rFonts w:hint="eastAsia" w:ascii="宋体" w:hAnsi="宋体" w:eastAsia="宋体" w:cs="宋体"/>
          <w:color w:val="auto"/>
          <w:highlight w:val="none"/>
        </w:rPr>
        <w:t xml:space="preserve">      3.如果是联合体投标，联合体各方均需提供上述证明。</w:t>
      </w:r>
    </w:p>
    <w:p w14:paraId="4655E0F0">
      <w:pPr>
        <w:pStyle w:val="5"/>
        <w:ind w:firstLine="0"/>
        <w:rPr>
          <w:rFonts w:hint="eastAsia" w:ascii="宋体" w:hAnsi="宋体" w:eastAsia="宋体" w:cs="宋体"/>
          <w:color w:val="auto"/>
          <w:highlight w:val="none"/>
        </w:rPr>
      </w:pPr>
    </w:p>
    <w:p w14:paraId="33530C11">
      <w:pPr>
        <w:pStyle w:val="5"/>
        <w:ind w:firstLine="0"/>
        <w:rPr>
          <w:rFonts w:hint="eastAsia" w:ascii="宋体" w:hAnsi="宋体" w:eastAsia="宋体" w:cs="宋体"/>
          <w:color w:val="auto"/>
          <w:highlight w:val="none"/>
        </w:rPr>
      </w:pPr>
    </w:p>
    <w:p w14:paraId="6C545A5B">
      <w:pPr>
        <w:numPr>
          <w:ilvl w:val="0"/>
          <w:numId w:val="0"/>
        </w:numPr>
        <w:tabs>
          <w:tab w:val="left" w:pos="5580"/>
        </w:tabs>
        <w:spacing w:line="240" w:lineRule="atLeast"/>
        <w:ind w:leftChars="257"/>
        <w:rPr>
          <w:rFonts w:hint="default" w:ascii="宋体" w:hAnsi="宋体" w:eastAsia="宋体" w:cs="宋体"/>
          <w:color w:val="auto"/>
          <w:highlight w:val="none"/>
          <w:lang w:val="en-US" w:eastAsia="zh-CN"/>
        </w:rPr>
      </w:pPr>
      <w:r>
        <w:rPr>
          <w:rFonts w:hint="eastAsia" w:ascii="宋体" w:hAnsi="宋体" w:eastAsia="宋体" w:cs="宋体"/>
          <w:b/>
          <w:bCs/>
          <w:color w:val="auto"/>
          <w:sz w:val="28"/>
          <w:szCs w:val="28"/>
          <w:highlight w:val="none"/>
          <w:lang w:val="en-US" w:eastAsia="zh-CN"/>
        </w:rPr>
        <w:t>6、依法</w:t>
      </w:r>
      <w:r>
        <w:rPr>
          <w:rFonts w:hint="eastAsia" w:ascii="宋体" w:hAnsi="宋体" w:cs="宋体"/>
          <w:b/>
          <w:bCs/>
          <w:color w:val="auto"/>
          <w:sz w:val="28"/>
          <w:szCs w:val="28"/>
          <w:highlight w:val="none"/>
          <w:lang w:val="en-US" w:eastAsia="zh-CN"/>
        </w:rPr>
        <w:t>缴纳近六个月任意一个月的税收良好记录证明（零申报需加盖税务机关章、无拖欠税收证明需加盖税务机关章、完税证明为非社保缴纳明细）；</w:t>
      </w:r>
    </w:p>
    <w:p w14:paraId="6217261F">
      <w:pPr>
        <w:pStyle w:val="7"/>
        <w:rPr>
          <w:rFonts w:hint="eastAsia" w:ascii="宋体" w:hAnsi="宋体" w:eastAsia="宋体" w:cs="宋体"/>
          <w:color w:val="auto"/>
          <w:highlight w:val="none"/>
        </w:rPr>
      </w:pPr>
    </w:p>
    <w:p w14:paraId="5DF808AB">
      <w:pPr>
        <w:rPr>
          <w:rFonts w:hint="eastAsia" w:ascii="宋体" w:hAnsi="宋体" w:eastAsia="宋体" w:cs="宋体"/>
          <w:color w:val="auto"/>
          <w:highlight w:val="none"/>
        </w:rPr>
      </w:pPr>
    </w:p>
    <w:p w14:paraId="49F90867">
      <w:pPr>
        <w:pStyle w:val="26"/>
        <w:rPr>
          <w:rFonts w:hint="eastAsia" w:ascii="宋体" w:hAnsi="宋体" w:eastAsia="宋体" w:cs="宋体"/>
          <w:color w:val="auto"/>
          <w:highlight w:val="none"/>
        </w:rPr>
      </w:pPr>
    </w:p>
    <w:p w14:paraId="70448452">
      <w:pPr>
        <w:pStyle w:val="5"/>
        <w:ind w:firstLine="0"/>
        <w:rPr>
          <w:rFonts w:hint="eastAsia" w:ascii="宋体" w:hAnsi="宋体" w:eastAsia="宋体" w:cs="宋体"/>
          <w:color w:val="auto"/>
          <w:highlight w:val="none"/>
        </w:rPr>
      </w:pPr>
    </w:p>
    <w:p w14:paraId="7280107F">
      <w:pPr>
        <w:rPr>
          <w:rFonts w:hint="eastAsia" w:ascii="宋体" w:hAnsi="宋体" w:eastAsia="宋体" w:cs="宋体"/>
          <w:color w:val="auto"/>
          <w:highlight w:val="none"/>
        </w:rPr>
      </w:pPr>
    </w:p>
    <w:p w14:paraId="71AE67DF">
      <w:pPr>
        <w:pStyle w:val="26"/>
        <w:rPr>
          <w:rFonts w:hint="eastAsia" w:ascii="宋体" w:hAnsi="宋体" w:eastAsia="宋体" w:cs="宋体"/>
          <w:color w:val="auto"/>
          <w:highlight w:val="none"/>
        </w:rPr>
      </w:pPr>
    </w:p>
    <w:p w14:paraId="77D9C173">
      <w:pPr>
        <w:numPr>
          <w:ilvl w:val="0"/>
          <w:numId w:val="0"/>
        </w:numPr>
        <w:tabs>
          <w:tab w:val="left" w:pos="5580"/>
        </w:tabs>
        <w:spacing w:line="240" w:lineRule="atLeast"/>
        <w:ind w:leftChars="257"/>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7</w:t>
      </w:r>
      <w:r>
        <w:rPr>
          <w:rFonts w:hint="eastAsia" w:ascii="宋体" w:hAnsi="宋体" w:eastAsia="宋体" w:cs="宋体"/>
          <w:b/>
          <w:bCs/>
          <w:color w:val="auto"/>
          <w:sz w:val="28"/>
          <w:szCs w:val="28"/>
          <w:highlight w:val="none"/>
          <w:lang w:val="en-US" w:eastAsia="zh-CN"/>
        </w:rPr>
        <w:t>、具有良好的商业信誉和健全的财务会计制度，提供</w:t>
      </w:r>
      <w:r>
        <w:rPr>
          <w:rFonts w:hint="eastAsia" w:ascii="宋体" w:hAnsi="宋体" w:cs="宋体"/>
          <w:b/>
          <w:bCs/>
          <w:color w:val="auto"/>
          <w:sz w:val="28"/>
          <w:szCs w:val="28"/>
          <w:highlight w:val="none"/>
          <w:lang w:val="en-US" w:eastAsia="zh-CN"/>
        </w:rPr>
        <w:t>2024年度或2025年度经会计师事务所出具财务审计报告（2026年新成立的公司须提供近三个月任意一个月的银行资信证明）；</w:t>
      </w:r>
      <w:r>
        <w:rPr>
          <w:rFonts w:hint="eastAsia" w:ascii="宋体" w:hAnsi="宋体" w:eastAsia="宋体" w:cs="宋体"/>
          <w:b/>
          <w:bCs/>
          <w:color w:val="auto"/>
          <w:sz w:val="28"/>
          <w:szCs w:val="28"/>
          <w:highlight w:val="none"/>
          <w:lang w:val="en-US" w:eastAsia="zh-CN"/>
        </w:rPr>
        <w:t>；</w:t>
      </w:r>
    </w:p>
    <w:p w14:paraId="2ED287EA">
      <w:pPr>
        <w:pStyle w:val="5"/>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注：1、如提供本单位</w:t>
      </w:r>
      <w:r>
        <w:rPr>
          <w:rFonts w:hint="eastAsia" w:hAnsi="宋体" w:cs="宋体"/>
          <w:color w:val="auto"/>
          <w:highlight w:val="none"/>
          <w:lang w:val="en-US" w:eastAsia="zh-CN"/>
        </w:rPr>
        <w:t>2023年度或2024年度</w:t>
      </w:r>
      <w:r>
        <w:rPr>
          <w:rFonts w:hint="eastAsia" w:ascii="宋体" w:hAnsi="宋体" w:eastAsia="宋体" w:cs="宋体"/>
          <w:color w:val="auto"/>
          <w:highlight w:val="none"/>
          <w:lang w:val="en-US" w:eastAsia="zh-CN"/>
        </w:rPr>
        <w:t>经会计师事务所出具的审计报告复印件（新成立的公司须</w:t>
      </w:r>
      <w:r>
        <w:rPr>
          <w:rFonts w:hint="eastAsia" w:hAnsi="宋体" w:cs="宋体"/>
          <w:color w:val="auto"/>
          <w:highlight w:val="none"/>
          <w:lang w:val="en-US" w:eastAsia="zh-CN"/>
        </w:rPr>
        <w:t>提供近三个月任意一个月</w:t>
      </w:r>
      <w:r>
        <w:rPr>
          <w:rFonts w:hint="eastAsia" w:ascii="宋体" w:hAnsi="宋体" w:eastAsia="宋体" w:cs="宋体"/>
          <w:color w:val="auto"/>
          <w:highlight w:val="none"/>
          <w:lang w:val="en-US" w:eastAsia="zh-CN"/>
        </w:rPr>
        <w:t>的银行资信证明</w:t>
      </w:r>
      <w:r>
        <w:rPr>
          <w:rFonts w:hint="eastAsia" w:ascii="宋体" w:hAnsi="宋体" w:eastAsia="宋体" w:cs="宋体"/>
          <w:color w:val="auto"/>
          <w:highlight w:val="none"/>
        </w:rPr>
        <w:t>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，须加盖本单位章。</w:t>
      </w:r>
    </w:p>
    <w:p w14:paraId="455DCB18">
      <w:pPr>
        <w:pStyle w:val="5"/>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2、如提供银行出具的证明文件。银行证明文件可提供原件，也可提供银行开具证明文件的复印件。若提供的是复印件，招标采购单位保留审核原件的权利。银行出具的证明文件应能说明该投标人与银行之间业务往来正常，企业信誉良好等。</w:t>
      </w:r>
    </w:p>
    <w:p w14:paraId="6979B51D">
      <w:pPr>
        <w:pStyle w:val="5"/>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3、如果是联合体投标，联合体各方均需提供上述证明。</w:t>
      </w:r>
    </w:p>
    <w:p w14:paraId="0BF73D05">
      <w:pPr>
        <w:pStyle w:val="5"/>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4、如采用合格的投标担保函的，可提供投标担保函复印件替代。</w:t>
      </w:r>
    </w:p>
    <w:p w14:paraId="3B60B4A6">
      <w:pPr>
        <w:pStyle w:val="5"/>
        <w:ind w:firstLine="0"/>
        <w:rPr>
          <w:rFonts w:hint="eastAsia" w:ascii="宋体" w:hAnsi="宋体" w:eastAsia="宋体" w:cs="宋体"/>
          <w:color w:val="auto"/>
          <w:highlight w:val="none"/>
        </w:rPr>
      </w:pPr>
    </w:p>
    <w:p w14:paraId="7BB743CE">
      <w:pPr>
        <w:pStyle w:val="5"/>
        <w:ind w:firstLine="0"/>
        <w:rPr>
          <w:rFonts w:hint="eastAsia" w:ascii="宋体" w:hAnsi="宋体" w:eastAsia="宋体" w:cs="宋体"/>
          <w:color w:val="auto"/>
          <w:highlight w:val="none"/>
        </w:rPr>
      </w:pPr>
    </w:p>
    <w:p w14:paraId="080837F1">
      <w:pPr>
        <w:pStyle w:val="7"/>
        <w:rPr>
          <w:rFonts w:hint="eastAsia" w:ascii="宋体" w:hAnsi="宋体" w:eastAsia="宋体" w:cs="宋体"/>
          <w:color w:val="auto"/>
          <w:highlight w:val="none"/>
        </w:rPr>
      </w:pPr>
    </w:p>
    <w:p w14:paraId="151C1BD2">
      <w:pPr>
        <w:pStyle w:val="26"/>
        <w:rPr>
          <w:rFonts w:hint="eastAsia" w:ascii="宋体" w:hAnsi="宋体" w:eastAsia="宋体" w:cs="宋体"/>
          <w:color w:val="auto"/>
          <w:highlight w:val="none"/>
        </w:rPr>
      </w:pPr>
    </w:p>
    <w:p w14:paraId="73651E86">
      <w:pPr>
        <w:numPr>
          <w:ilvl w:val="0"/>
          <w:numId w:val="0"/>
        </w:numPr>
        <w:tabs>
          <w:tab w:val="left" w:pos="5580"/>
        </w:tabs>
        <w:spacing w:line="240" w:lineRule="atLeast"/>
        <w:ind w:left="539" w:leftChars="257"/>
        <w:rPr>
          <w:rFonts w:hint="eastAsia" w:ascii="宋体" w:hAnsi="宋体" w:eastAsia="宋体" w:cs="宋体"/>
          <w:b/>
          <w:bCs/>
          <w:color w:val="auto"/>
          <w:sz w:val="28"/>
          <w:szCs w:val="28"/>
          <w:highlight w:val="none"/>
          <w:lang w:val="en-US" w:eastAsia="zh-CN"/>
        </w:rPr>
      </w:pPr>
      <w:r>
        <w:rPr>
          <w:rFonts w:hint="eastAsia" w:ascii="宋体" w:hAnsi="宋体" w:cs="宋体"/>
          <w:b/>
          <w:bCs/>
          <w:color w:val="auto"/>
          <w:kern w:val="2"/>
          <w:sz w:val="28"/>
          <w:szCs w:val="28"/>
          <w:lang w:val="en-US" w:eastAsia="zh-CN" w:bidi="ar-SA"/>
        </w:rPr>
        <w:t>8</w:t>
      </w:r>
      <w:r>
        <w:rPr>
          <w:rFonts w:hint="eastAsia" w:ascii="宋体" w:hAnsi="宋体" w:eastAsia="宋体" w:cs="宋体"/>
          <w:b/>
          <w:bCs/>
          <w:color w:val="auto"/>
          <w:kern w:val="2"/>
          <w:sz w:val="28"/>
          <w:szCs w:val="28"/>
          <w:lang w:val="en-US" w:eastAsia="zh-CN" w:bidi="ar-SA"/>
        </w:rPr>
        <w:t>、</w:t>
      </w:r>
      <w:r>
        <w:rPr>
          <w:rFonts w:hint="eastAsia" w:ascii="宋体" w:hAnsi="宋体" w:eastAsia="宋体" w:cs="宋体"/>
          <w:b/>
          <w:bCs/>
          <w:color w:val="auto"/>
          <w:sz w:val="28"/>
          <w:szCs w:val="28"/>
          <w:highlight w:val="none"/>
          <w:lang w:val="en-US" w:eastAsia="zh-CN"/>
        </w:rPr>
        <w:t>未在“信用中国”网站 被列入失信被执行人、重大税收违法案件当事人名单；中国政府采购网，</w:t>
      </w:r>
      <w:r>
        <w:rPr>
          <w:rFonts w:hint="eastAsia" w:ascii="宋体" w:hAnsi="宋体" w:eastAsia="宋体" w:cs="宋体"/>
          <w:b/>
          <w:bCs/>
          <w:color w:val="auto"/>
          <w:sz w:val="28"/>
          <w:szCs w:val="28"/>
          <w:highlight w:val="none"/>
          <w:lang w:val="en-US" w:eastAsia="zh-CN"/>
        </w:rPr>
        <w:fldChar w:fldCharType="begin"/>
      </w:r>
      <w:r>
        <w:rPr>
          <w:rFonts w:hint="eastAsia" w:ascii="宋体" w:hAnsi="宋体" w:eastAsia="宋体" w:cs="宋体"/>
          <w:b/>
          <w:bCs/>
          <w:color w:val="auto"/>
          <w:sz w:val="28"/>
          <w:szCs w:val="28"/>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
          <w:bCs/>
          <w:color w:val="auto"/>
          <w:sz w:val="28"/>
          <w:szCs w:val="28"/>
          <w:highlight w:val="none"/>
          <w:lang w:val="en-US" w:eastAsia="zh-CN"/>
        </w:rPr>
        <w:fldChar w:fldCharType="end"/>
      </w:r>
      <w:r>
        <w:rPr>
          <w:rFonts w:hint="eastAsia" w:ascii="宋体" w:hAnsi="宋体" w:eastAsia="宋体" w:cs="宋体"/>
          <w:b/>
          <w:bCs/>
          <w:color w:val="auto"/>
          <w:sz w:val="28"/>
          <w:szCs w:val="28"/>
          <w:highlight w:val="none"/>
          <w:lang w:val="en-US" w:eastAsia="zh-CN"/>
        </w:rPr>
        <w:t>，附</w:t>
      </w:r>
      <w:r>
        <w:rPr>
          <w:rFonts w:hint="eastAsia" w:ascii="宋体" w:hAnsi="宋体" w:cs="宋体"/>
          <w:b/>
          <w:bCs/>
          <w:color w:val="auto"/>
          <w:sz w:val="28"/>
          <w:szCs w:val="28"/>
          <w:highlight w:val="none"/>
          <w:lang w:val="en-US" w:eastAsia="zh-CN"/>
        </w:rPr>
        <w:t>网站截图或报告</w:t>
      </w:r>
      <w:r>
        <w:rPr>
          <w:rFonts w:hint="eastAsia" w:ascii="宋体" w:hAnsi="宋体" w:eastAsia="宋体" w:cs="宋体"/>
          <w:b/>
          <w:bCs/>
          <w:color w:val="auto"/>
          <w:sz w:val="28"/>
          <w:szCs w:val="28"/>
          <w:highlight w:val="none"/>
          <w:lang w:val="en-US" w:eastAsia="zh-CN"/>
        </w:rPr>
        <w:t>。</w:t>
      </w:r>
    </w:p>
    <w:p w14:paraId="0034E341">
      <w:pPr>
        <w:pStyle w:val="26"/>
        <w:widowControl w:val="0"/>
        <w:numPr>
          <w:ilvl w:val="0"/>
          <w:numId w:val="0"/>
        </w:numPr>
        <w:snapToGrid w:val="0"/>
        <w:jc w:val="left"/>
        <w:rPr>
          <w:rFonts w:hint="eastAsia" w:ascii="宋体" w:hAnsi="宋体" w:eastAsia="宋体" w:cs="宋体"/>
          <w:color w:val="auto"/>
          <w:highlight w:val="none"/>
          <w:lang w:val="en-US" w:eastAsia="zh-CN"/>
        </w:rPr>
      </w:pPr>
    </w:p>
    <w:p w14:paraId="31F3EC02">
      <w:pPr>
        <w:pStyle w:val="10"/>
        <w:rPr>
          <w:rFonts w:hint="eastAsia" w:ascii="宋体" w:hAnsi="宋体" w:eastAsia="宋体" w:cs="宋体"/>
          <w:color w:val="auto"/>
          <w:highlight w:val="none"/>
          <w:lang w:val="en-US" w:eastAsia="zh-CN"/>
        </w:rPr>
      </w:pPr>
    </w:p>
    <w:p w14:paraId="30D29FF2">
      <w:pPr>
        <w:pStyle w:val="34"/>
        <w:rPr>
          <w:rFonts w:hint="eastAsia" w:ascii="宋体" w:hAnsi="宋体" w:eastAsia="宋体" w:cs="宋体"/>
          <w:color w:val="auto"/>
          <w:highlight w:val="none"/>
          <w:lang w:val="en-US" w:eastAsia="zh-CN"/>
        </w:rPr>
      </w:pPr>
    </w:p>
    <w:p w14:paraId="79690A9D">
      <w:pPr>
        <w:pStyle w:val="34"/>
        <w:rPr>
          <w:rFonts w:hint="eastAsia" w:ascii="宋体" w:hAnsi="宋体" w:eastAsia="宋体" w:cs="宋体"/>
          <w:color w:val="auto"/>
          <w:highlight w:val="none"/>
          <w:lang w:val="en-US" w:eastAsia="zh-CN"/>
        </w:rPr>
      </w:pPr>
    </w:p>
    <w:p w14:paraId="0E9975AC">
      <w:pPr>
        <w:tabs>
          <w:tab w:val="left" w:pos="5580"/>
        </w:tabs>
        <w:spacing w:line="360" w:lineRule="exact"/>
        <w:rPr>
          <w:rFonts w:hint="eastAsia" w:ascii="宋体" w:hAnsi="宋体" w:eastAsia="宋体" w:cs="宋体"/>
          <w:b/>
          <w:bCs/>
          <w:color w:val="auto"/>
          <w:sz w:val="28"/>
          <w:szCs w:val="28"/>
          <w:highlight w:val="none"/>
          <w:lang w:val="en-US" w:eastAsia="zh-CN"/>
        </w:rPr>
      </w:pPr>
    </w:p>
    <w:p w14:paraId="4B70C4B6">
      <w:pPr>
        <w:numPr>
          <w:ilvl w:val="0"/>
          <w:numId w:val="0"/>
        </w:numPr>
        <w:tabs>
          <w:tab w:val="left" w:pos="5580"/>
        </w:tabs>
        <w:spacing w:line="240" w:lineRule="atLeast"/>
        <w:jc w:val="center"/>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9</w:t>
      </w:r>
      <w:r>
        <w:rPr>
          <w:rFonts w:hint="eastAsia" w:ascii="宋体" w:hAnsi="宋体" w:eastAsia="宋体" w:cs="宋体"/>
          <w:b/>
          <w:bCs/>
          <w:color w:val="auto"/>
          <w:sz w:val="28"/>
          <w:szCs w:val="28"/>
          <w:highlight w:val="none"/>
          <w:lang w:val="en-US" w:eastAsia="zh-CN"/>
        </w:rPr>
        <w:t>、投标单位提供针对本次项目《反商业贿赂承诺书》；</w:t>
      </w:r>
    </w:p>
    <w:p w14:paraId="755DA994">
      <w:pPr>
        <w:pStyle w:val="15"/>
        <w:tabs>
          <w:tab w:val="left" w:pos="5580"/>
        </w:tabs>
        <w:spacing w:line="240" w:lineRule="atLeast"/>
        <w:outlineLvl w:val="1"/>
        <w:rPr>
          <w:rFonts w:hint="eastAsia" w:ascii="宋体" w:hAnsi="宋体" w:eastAsia="宋体" w:cs="宋体"/>
          <w:b/>
          <w:color w:val="000000"/>
          <w:kern w:val="0"/>
          <w:sz w:val="24"/>
          <w:szCs w:val="24"/>
          <w:highlight w:val="none"/>
        </w:rPr>
      </w:pPr>
    </w:p>
    <w:p w14:paraId="02CF1251">
      <w:pPr>
        <w:pStyle w:val="5"/>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我公司承诺在</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53D63778">
      <w:pPr>
        <w:pStyle w:val="5"/>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公司法人代表（</w:t>
      </w:r>
      <w:r>
        <w:rPr>
          <w:rFonts w:hint="eastAsia" w:hAnsi="宋体" w:cs="宋体"/>
          <w:color w:val="000000"/>
          <w:highlight w:val="none"/>
          <w:lang w:val="en-US" w:eastAsia="zh-CN"/>
        </w:rPr>
        <w:t>签字或盖章</w:t>
      </w:r>
      <w:r>
        <w:rPr>
          <w:rFonts w:hint="eastAsia" w:ascii="宋体" w:hAnsi="宋体" w:eastAsia="宋体" w:cs="宋体"/>
          <w:color w:val="000000"/>
          <w:highlight w:val="none"/>
        </w:rPr>
        <w:t>）：</w:t>
      </w:r>
    </w:p>
    <w:p w14:paraId="202FBD6D">
      <w:pPr>
        <w:pStyle w:val="5"/>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法人授权代表（</w:t>
      </w:r>
      <w:r>
        <w:rPr>
          <w:rFonts w:hint="eastAsia" w:hAnsi="宋体" w:cs="宋体"/>
          <w:color w:val="000000"/>
          <w:highlight w:val="none"/>
          <w:lang w:val="en-US" w:eastAsia="zh-CN"/>
        </w:rPr>
        <w:t>签字或盖章</w:t>
      </w:r>
      <w:r>
        <w:rPr>
          <w:rFonts w:hint="eastAsia" w:ascii="宋体" w:hAnsi="宋体" w:eastAsia="宋体" w:cs="宋体"/>
          <w:color w:val="000000"/>
          <w:highlight w:val="none"/>
        </w:rPr>
        <w:t>）：</w:t>
      </w:r>
    </w:p>
    <w:p w14:paraId="1528EFA9">
      <w:pPr>
        <w:pStyle w:val="5"/>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项目经办人（</w:t>
      </w:r>
      <w:r>
        <w:rPr>
          <w:rFonts w:hint="eastAsia" w:hAnsi="宋体" w:cs="宋体"/>
          <w:color w:val="000000"/>
          <w:highlight w:val="none"/>
          <w:lang w:val="en-US" w:eastAsia="zh-CN"/>
        </w:rPr>
        <w:t>签字或盖章</w:t>
      </w:r>
      <w:r>
        <w:rPr>
          <w:rFonts w:hint="eastAsia" w:ascii="宋体" w:hAnsi="宋体" w:eastAsia="宋体" w:cs="宋体"/>
          <w:color w:val="000000"/>
          <w:highlight w:val="none"/>
        </w:rPr>
        <w:t>）：</w:t>
      </w:r>
    </w:p>
    <w:p w14:paraId="1A8AF3BF">
      <w:pPr>
        <w:widowControl/>
        <w:spacing w:before="100" w:beforeAutospacing="1" w:after="100" w:afterAutospacing="1" w:line="360" w:lineRule="auto"/>
        <w:ind w:firstLine="897"/>
        <w:jc w:val="left"/>
        <w:rPr>
          <w:rFonts w:hint="eastAsia" w:ascii="宋体" w:hAnsi="宋体" w:eastAsia="宋体" w:cs="宋体"/>
          <w:color w:val="auto"/>
          <w:szCs w:val="21"/>
          <w:highlight w:val="none"/>
        </w:rPr>
      </w:pPr>
    </w:p>
    <w:p w14:paraId="791DCADA">
      <w:pPr>
        <w:pStyle w:val="5"/>
        <w:ind w:firstLine="0"/>
        <w:rPr>
          <w:rFonts w:hint="eastAsia" w:ascii="宋体" w:hAnsi="宋体" w:eastAsia="宋体" w:cs="宋体"/>
          <w:color w:val="auto"/>
          <w:highlight w:val="none"/>
        </w:rPr>
      </w:pPr>
    </w:p>
    <w:p w14:paraId="61A456C3">
      <w:pPr>
        <w:pStyle w:val="5"/>
        <w:numPr>
          <w:ilvl w:val="0"/>
          <w:numId w:val="0"/>
        </w:numPr>
        <w:rPr>
          <w:rFonts w:hint="eastAsia" w:ascii="宋体" w:hAnsi="宋体" w:eastAsia="宋体" w:cs="宋体"/>
          <w:b/>
          <w:bCs/>
          <w:color w:val="auto"/>
          <w:sz w:val="28"/>
          <w:szCs w:val="28"/>
          <w:highlight w:val="none"/>
        </w:rPr>
      </w:pPr>
      <w:r>
        <w:rPr>
          <w:rFonts w:hint="eastAsia" w:hAnsi="宋体" w:cs="宋体"/>
          <w:b/>
          <w:bCs/>
          <w:color w:val="auto"/>
          <w:sz w:val="28"/>
          <w:szCs w:val="28"/>
          <w:highlight w:val="none"/>
          <w:lang w:val="en-US" w:eastAsia="zh-CN"/>
        </w:rPr>
        <w:t>10</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sz w:val="28"/>
          <w:szCs w:val="28"/>
          <w:highlight w:val="none"/>
        </w:rPr>
        <w:t>参加政府采购活动近3年内，在经营活动中没有重大违法记录的书面声明；</w:t>
      </w:r>
    </w:p>
    <w:p w14:paraId="1647D8B9">
      <w:pPr>
        <w:pStyle w:val="5"/>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注：1.投标人应按照相关法规规定如实作出说明。</w:t>
      </w:r>
    </w:p>
    <w:p w14:paraId="15774F43">
      <w:pPr>
        <w:pStyle w:val="5"/>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2．按照招标文件的规定加盖本单位章（自然人投标的无需盖章，需要签字）。</w:t>
      </w:r>
    </w:p>
    <w:p w14:paraId="29B8C097">
      <w:pPr>
        <w:pStyle w:val="5"/>
        <w:ind w:firstLine="0"/>
        <w:rPr>
          <w:rFonts w:hint="eastAsia" w:ascii="宋体" w:hAnsi="宋体" w:eastAsia="宋体" w:cs="宋体"/>
          <w:color w:val="auto"/>
          <w:highlight w:val="none"/>
        </w:rPr>
      </w:pPr>
      <w:r>
        <w:rPr>
          <w:rFonts w:hint="eastAsia" w:ascii="宋体" w:hAnsi="宋体" w:eastAsia="宋体" w:cs="宋体"/>
          <w:color w:val="auto"/>
          <w:highlight w:val="none"/>
        </w:rPr>
        <w:t xml:space="preserve">      3.如果是联合体投标，联合体各方均需提供上述证明。</w:t>
      </w:r>
    </w:p>
    <w:p w14:paraId="173F3330">
      <w:pPr>
        <w:pStyle w:val="5"/>
        <w:ind w:firstLine="0"/>
        <w:rPr>
          <w:rFonts w:hint="eastAsia" w:ascii="宋体" w:hAnsi="宋体" w:eastAsia="宋体" w:cs="宋体"/>
          <w:color w:val="auto"/>
          <w:highlight w:val="none"/>
        </w:rPr>
      </w:pPr>
    </w:p>
    <w:p w14:paraId="4C862FA9">
      <w:pPr>
        <w:pStyle w:val="7"/>
        <w:rPr>
          <w:rFonts w:hint="eastAsia" w:ascii="宋体" w:hAnsi="宋体" w:eastAsia="宋体" w:cs="宋体"/>
          <w:color w:val="auto"/>
          <w:highlight w:val="none"/>
        </w:rPr>
      </w:pPr>
    </w:p>
    <w:p w14:paraId="37A17A0D">
      <w:pPr>
        <w:rPr>
          <w:rFonts w:hint="eastAsia" w:ascii="宋体" w:hAnsi="宋体" w:eastAsia="宋体" w:cs="宋体"/>
          <w:color w:val="auto"/>
          <w:highlight w:val="none"/>
        </w:rPr>
      </w:pPr>
    </w:p>
    <w:p w14:paraId="42C2E3A7">
      <w:pPr>
        <w:pStyle w:val="26"/>
        <w:rPr>
          <w:rFonts w:hint="eastAsia" w:ascii="宋体" w:hAnsi="宋体" w:eastAsia="宋体" w:cs="宋体"/>
          <w:color w:val="auto"/>
          <w:highlight w:val="none"/>
        </w:rPr>
      </w:pPr>
    </w:p>
    <w:p w14:paraId="1A7E0E1C">
      <w:pPr>
        <w:pStyle w:val="10"/>
        <w:rPr>
          <w:rFonts w:hint="eastAsia" w:ascii="宋体" w:hAnsi="宋体" w:eastAsia="宋体" w:cs="宋体"/>
          <w:color w:val="auto"/>
          <w:highlight w:val="none"/>
        </w:rPr>
      </w:pPr>
    </w:p>
    <w:p w14:paraId="76A9865E">
      <w:pPr>
        <w:pStyle w:val="34"/>
        <w:rPr>
          <w:rFonts w:hint="eastAsia" w:ascii="宋体" w:hAnsi="宋体" w:eastAsia="宋体" w:cs="宋体"/>
          <w:color w:val="auto"/>
          <w:highlight w:val="none"/>
        </w:rPr>
      </w:pPr>
    </w:p>
    <w:p w14:paraId="6CC722C0">
      <w:pPr>
        <w:rPr>
          <w:rFonts w:hint="eastAsia" w:ascii="宋体" w:hAnsi="宋体" w:eastAsia="宋体" w:cs="宋体"/>
          <w:color w:val="auto"/>
          <w:highlight w:val="none"/>
        </w:rPr>
      </w:pPr>
    </w:p>
    <w:p w14:paraId="5B43D328">
      <w:pPr>
        <w:pStyle w:val="26"/>
        <w:rPr>
          <w:rFonts w:hint="eastAsia" w:ascii="宋体" w:hAnsi="宋体" w:eastAsia="宋体" w:cs="宋体"/>
          <w:color w:val="auto"/>
          <w:highlight w:val="none"/>
        </w:rPr>
      </w:pPr>
    </w:p>
    <w:p w14:paraId="211CBB6B">
      <w:pPr>
        <w:pStyle w:val="10"/>
        <w:rPr>
          <w:rFonts w:hint="eastAsia" w:ascii="宋体" w:hAnsi="宋体" w:eastAsia="宋体" w:cs="宋体"/>
          <w:color w:val="auto"/>
          <w:highlight w:val="none"/>
        </w:rPr>
      </w:pPr>
    </w:p>
    <w:p w14:paraId="757A38B0">
      <w:pPr>
        <w:pStyle w:val="34"/>
        <w:rPr>
          <w:rFonts w:hint="eastAsia" w:ascii="宋体" w:hAnsi="宋体" w:eastAsia="宋体" w:cs="宋体"/>
          <w:color w:val="auto"/>
          <w:highlight w:val="none"/>
        </w:rPr>
      </w:pPr>
    </w:p>
    <w:p w14:paraId="3C476BE2">
      <w:pPr>
        <w:rPr>
          <w:rFonts w:hint="eastAsia" w:ascii="宋体" w:hAnsi="宋体" w:eastAsia="宋体" w:cs="宋体"/>
          <w:color w:val="auto"/>
          <w:highlight w:val="none"/>
        </w:rPr>
      </w:pPr>
    </w:p>
    <w:p w14:paraId="549A259A">
      <w:pPr>
        <w:pStyle w:val="26"/>
        <w:rPr>
          <w:rFonts w:hint="eastAsia" w:ascii="宋体" w:hAnsi="宋体" w:eastAsia="宋体" w:cs="宋体"/>
          <w:color w:val="auto"/>
          <w:highlight w:val="none"/>
        </w:rPr>
      </w:pPr>
    </w:p>
    <w:p w14:paraId="4777D89C">
      <w:pPr>
        <w:pStyle w:val="10"/>
        <w:rPr>
          <w:rFonts w:hint="eastAsia" w:ascii="宋体" w:hAnsi="宋体" w:eastAsia="宋体" w:cs="宋体"/>
          <w:color w:val="auto"/>
          <w:highlight w:val="none"/>
        </w:rPr>
      </w:pPr>
    </w:p>
    <w:p w14:paraId="2336BFCF">
      <w:pPr>
        <w:pStyle w:val="34"/>
        <w:rPr>
          <w:rFonts w:hint="eastAsia" w:ascii="宋体" w:hAnsi="宋体" w:eastAsia="宋体" w:cs="宋体"/>
          <w:color w:val="auto"/>
          <w:highlight w:val="none"/>
        </w:rPr>
      </w:pPr>
    </w:p>
    <w:p w14:paraId="1E1CBCED">
      <w:pPr>
        <w:rPr>
          <w:rFonts w:hint="eastAsia" w:ascii="宋体" w:hAnsi="宋体" w:eastAsia="宋体" w:cs="宋体"/>
          <w:color w:val="auto"/>
          <w:highlight w:val="none"/>
        </w:rPr>
      </w:pPr>
    </w:p>
    <w:p w14:paraId="51B35D44">
      <w:pPr>
        <w:pStyle w:val="26"/>
        <w:rPr>
          <w:rFonts w:hint="eastAsia" w:ascii="宋体" w:hAnsi="宋体" w:eastAsia="宋体" w:cs="宋体"/>
          <w:color w:val="auto"/>
          <w:highlight w:val="none"/>
        </w:rPr>
      </w:pPr>
    </w:p>
    <w:p w14:paraId="5B44DD04">
      <w:pPr>
        <w:pStyle w:val="10"/>
        <w:rPr>
          <w:rFonts w:hint="eastAsia" w:ascii="宋体" w:hAnsi="宋体" w:eastAsia="宋体" w:cs="宋体"/>
          <w:color w:val="auto"/>
          <w:highlight w:val="none"/>
        </w:rPr>
      </w:pPr>
    </w:p>
    <w:p w14:paraId="21032270">
      <w:pPr>
        <w:pStyle w:val="34"/>
        <w:rPr>
          <w:rFonts w:hint="eastAsia" w:ascii="宋体" w:hAnsi="宋体" w:eastAsia="宋体" w:cs="宋体"/>
          <w:color w:val="auto"/>
          <w:highlight w:val="none"/>
        </w:rPr>
      </w:pPr>
    </w:p>
    <w:p w14:paraId="1E2BFBA4">
      <w:pPr>
        <w:rPr>
          <w:rFonts w:hint="eastAsia" w:ascii="宋体" w:hAnsi="宋体" w:eastAsia="宋体" w:cs="宋体"/>
          <w:color w:val="auto"/>
          <w:highlight w:val="none"/>
        </w:rPr>
      </w:pPr>
    </w:p>
    <w:p w14:paraId="7D7F8D67">
      <w:pPr>
        <w:pStyle w:val="26"/>
        <w:rPr>
          <w:rFonts w:hint="eastAsia" w:ascii="宋体" w:hAnsi="宋体" w:eastAsia="宋体" w:cs="宋体"/>
          <w:color w:val="auto"/>
          <w:highlight w:val="none"/>
        </w:rPr>
      </w:pPr>
    </w:p>
    <w:p w14:paraId="2FD3FCB5">
      <w:pPr>
        <w:pStyle w:val="10"/>
        <w:rPr>
          <w:rFonts w:hint="eastAsia" w:ascii="宋体" w:hAnsi="宋体" w:eastAsia="宋体" w:cs="宋体"/>
          <w:color w:val="auto"/>
          <w:highlight w:val="none"/>
        </w:rPr>
      </w:pPr>
    </w:p>
    <w:p w14:paraId="083E1C94">
      <w:pPr>
        <w:pStyle w:val="34"/>
        <w:rPr>
          <w:rFonts w:hint="eastAsia" w:ascii="宋体" w:hAnsi="宋体" w:eastAsia="宋体" w:cs="宋体"/>
          <w:color w:val="auto"/>
          <w:highlight w:val="none"/>
        </w:rPr>
      </w:pPr>
    </w:p>
    <w:p w14:paraId="66A0CD00">
      <w:pPr>
        <w:rPr>
          <w:rFonts w:hint="eastAsia" w:ascii="宋体" w:hAnsi="宋体" w:eastAsia="宋体" w:cs="宋体"/>
          <w:color w:val="auto"/>
          <w:highlight w:val="none"/>
        </w:rPr>
      </w:pPr>
    </w:p>
    <w:p w14:paraId="4DB1BEE2">
      <w:pPr>
        <w:pStyle w:val="44"/>
        <w:rPr>
          <w:rFonts w:hint="eastAsia" w:ascii="宋体" w:hAnsi="宋体" w:eastAsia="宋体" w:cs="宋体"/>
          <w:color w:val="auto"/>
          <w:highlight w:val="none"/>
        </w:rPr>
      </w:pPr>
    </w:p>
    <w:p w14:paraId="0F029D2A">
      <w:pPr>
        <w:pStyle w:val="34"/>
        <w:rPr>
          <w:rFonts w:hint="eastAsia" w:ascii="宋体" w:hAnsi="宋体" w:eastAsia="宋体" w:cs="宋体"/>
          <w:color w:val="auto"/>
          <w:highlight w:val="none"/>
        </w:rPr>
      </w:pPr>
    </w:p>
    <w:p w14:paraId="66D177C1">
      <w:pPr>
        <w:rPr>
          <w:rFonts w:hint="eastAsia" w:ascii="宋体" w:hAnsi="宋体" w:eastAsia="宋体" w:cs="宋体"/>
          <w:color w:val="auto"/>
          <w:highlight w:val="none"/>
        </w:rPr>
      </w:pPr>
    </w:p>
    <w:p w14:paraId="2A49D3CE">
      <w:pPr>
        <w:pStyle w:val="26"/>
        <w:rPr>
          <w:rFonts w:hint="eastAsia" w:ascii="宋体" w:hAnsi="宋体" w:eastAsia="宋体" w:cs="宋体"/>
          <w:color w:val="auto"/>
          <w:highlight w:val="none"/>
        </w:rPr>
      </w:pPr>
    </w:p>
    <w:p w14:paraId="0EE1332B">
      <w:pPr>
        <w:rPr>
          <w:rFonts w:hint="eastAsia" w:ascii="宋体" w:hAnsi="宋体" w:eastAsia="宋体" w:cs="宋体"/>
          <w:color w:val="auto"/>
          <w:highlight w:val="none"/>
        </w:rPr>
      </w:pPr>
    </w:p>
    <w:p w14:paraId="2C8AFD8A">
      <w:pPr>
        <w:pStyle w:val="26"/>
        <w:rPr>
          <w:rFonts w:hint="eastAsia" w:ascii="宋体" w:hAnsi="宋体" w:eastAsia="宋体" w:cs="宋体"/>
          <w:color w:val="auto"/>
          <w:highlight w:val="none"/>
        </w:rPr>
      </w:pPr>
    </w:p>
    <w:p w14:paraId="60D61ABC">
      <w:pPr>
        <w:pStyle w:val="10"/>
        <w:rPr>
          <w:rFonts w:hint="eastAsia" w:ascii="宋体" w:hAnsi="宋体" w:eastAsia="宋体" w:cs="宋体"/>
          <w:color w:val="auto"/>
          <w:highlight w:val="none"/>
        </w:rPr>
      </w:pPr>
    </w:p>
    <w:p w14:paraId="2FEBFE44">
      <w:pPr>
        <w:pStyle w:val="34"/>
        <w:rPr>
          <w:rFonts w:hint="eastAsia" w:ascii="宋体" w:hAnsi="宋体" w:eastAsia="宋体" w:cs="宋体"/>
          <w:color w:val="auto"/>
          <w:highlight w:val="none"/>
        </w:rPr>
      </w:pPr>
    </w:p>
    <w:p w14:paraId="6081E947">
      <w:pPr>
        <w:tabs>
          <w:tab w:val="left" w:pos="5580"/>
        </w:tabs>
        <w:spacing w:line="360" w:lineRule="exact"/>
        <w:ind w:firstLine="560" w:firstLineChars="200"/>
        <w:jc w:val="center"/>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11</w:t>
      </w:r>
      <w:r>
        <w:rPr>
          <w:rFonts w:hint="eastAsia" w:ascii="宋体" w:hAnsi="宋体" w:eastAsia="宋体" w:cs="宋体"/>
          <w:b/>
          <w:bCs/>
          <w:color w:val="auto"/>
          <w:sz w:val="28"/>
          <w:szCs w:val="28"/>
          <w:highlight w:val="none"/>
        </w:rPr>
        <w:t>、投标保证金缴纳凭证或投标担保函</w:t>
      </w:r>
    </w:p>
    <w:p w14:paraId="1EA3DA72">
      <w:pPr>
        <w:pStyle w:val="26"/>
        <w:ind w:left="718" w:leftChars="342"/>
        <w:jc w:val="center"/>
        <w:rPr>
          <w:rFonts w:hint="eastAsia" w:ascii="宋体" w:hAnsi="宋体" w:eastAsia="宋体" w:cs="宋体"/>
          <w:color w:val="auto"/>
          <w:highlight w:val="none"/>
        </w:rPr>
      </w:pPr>
    </w:p>
    <w:p w14:paraId="7945BD00">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投标人可将本项目投标保证金支付的汇款凭证、支票、汇票或保证金收据（如有）的复印件作为缴纳凭证，复印件上应加盖本单位章；使用银行保函等其他投标担保函的，应将担保函</w:t>
      </w:r>
      <w:r>
        <w:rPr>
          <w:rFonts w:hint="eastAsia" w:ascii="宋体" w:hAnsi="宋体" w:eastAsia="宋体" w:cs="宋体"/>
          <w:color w:val="auto"/>
          <w:sz w:val="24"/>
          <w:highlight w:val="none"/>
          <w:lang w:val="en-US" w:eastAsia="zh-CN"/>
        </w:rPr>
        <w:t>扫描件做入电子文件中</w:t>
      </w:r>
      <w:r>
        <w:rPr>
          <w:rFonts w:hint="eastAsia" w:ascii="宋体" w:hAnsi="宋体" w:eastAsia="宋体" w:cs="宋体"/>
          <w:color w:val="auto"/>
          <w:sz w:val="24"/>
          <w:highlight w:val="none"/>
        </w:rPr>
        <w:t>；如采用政府采购信用担保形式的，应使用政府采购投标担保函（投标文件格式六）,将原件装订在本部分正本中。</w:t>
      </w:r>
    </w:p>
    <w:p w14:paraId="69E13DD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政府采购投标担保函 </w:t>
      </w:r>
    </w:p>
    <w:p w14:paraId="597653EE">
      <w:pPr>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p w14:paraId="203F06EC">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（采购人或采购代理机构）：</w:t>
      </w:r>
    </w:p>
    <w:p w14:paraId="355E266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鉴于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（以下简称“投标人”）拟参加编号为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BC10B10">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5E784C5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一、保证责任的情形及保证金额</w:t>
      </w:r>
    </w:p>
    <w:p w14:paraId="2280492F">
      <w:pPr>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（一）在投标人出现下列情形之一时，我方承担保证责任：</w:t>
      </w:r>
    </w:p>
    <w:p w14:paraId="694AD55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1．中标后投标人无正当理由不与采购人或者采购代理机构签订《政府采购合同》；</w:t>
      </w:r>
    </w:p>
    <w:p w14:paraId="114E0DC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2．招标文件规定的投标人应当缴纳保证金的其他情形。</w:t>
      </w:r>
    </w:p>
    <w:p w14:paraId="42F8BCED">
      <w:pPr>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（二）我方承担保证责任的最高金额为人民币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），即本项目的投标保证金金额。</w:t>
      </w:r>
    </w:p>
    <w:p w14:paraId="5C7DC87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二、保证的方式及保证期间</w:t>
      </w:r>
    </w:p>
    <w:p w14:paraId="64E9BF01">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我方保证的方式为：连带责任保证。</w:t>
      </w:r>
    </w:p>
    <w:p w14:paraId="5720813B">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我方的保证期间为：自本保函生效之日起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个月止。</w:t>
      </w:r>
    </w:p>
    <w:p w14:paraId="1604AC61">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三、承担保证责任的程序</w:t>
      </w:r>
    </w:p>
    <w:p w14:paraId="4C94951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3D4E753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2．我方在收到索赔通知及相关证明材料后，在</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个工作日内进行审查，符合应承担保证责任情形的，我方应按照你方的要求代投标人向你方支付投标保证金。</w:t>
      </w:r>
    </w:p>
    <w:p w14:paraId="5DC96CEE">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四、保证责任的终止</w:t>
      </w:r>
    </w:p>
    <w:p w14:paraId="53E12F0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1．保证期间届满你方未向我方书面主张保证责任的，自保证期间届满次日起，我方保证责任自动终止。</w:t>
      </w:r>
    </w:p>
    <w:p w14:paraId="215D72FC">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2．我方按照本保函向你贵方履行了保证责任后，自我方向你贵方支付款项（支付款项从我方账户划出）之日起，保证责任终止。</w:t>
      </w:r>
    </w:p>
    <w:p w14:paraId="00151DCF">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3．按照法律法规的规定或出现我方保证责任终止的其它情形的，我方在本保函项下的保证责任亦终止。</w:t>
      </w:r>
    </w:p>
    <w:p w14:paraId="2E908F7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五、免责条款</w:t>
      </w:r>
    </w:p>
    <w:p w14:paraId="54B1F123">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1．依照法律规定或你方与投标人的另行约定，全部或者部分免除投标人投标保证金义务时，我方亦免除相应的保证责任。</w:t>
      </w:r>
    </w:p>
    <w:p w14:paraId="2037C9D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2．因你方原因致使投标人发生本保函第一条第（一）款约定情形的，我方不承担保证责任。</w:t>
      </w:r>
    </w:p>
    <w:p w14:paraId="33EED92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3．因不可抗力造成投标人发生本保函第一条约定情形的，我方不承担保证责任。</w:t>
      </w:r>
    </w:p>
    <w:p w14:paraId="4FEE98B3">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4．你方或其他有权机关对招标文件进行任何澄清或修改，加重我方保证责任的，我方对加重部分不承担保证责任，但该澄清或修改经我方事先书面同意的除外。</w:t>
      </w:r>
    </w:p>
    <w:p w14:paraId="067BF22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六、争议的解决</w:t>
      </w:r>
    </w:p>
    <w:p w14:paraId="0D6E7FC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因本保函发生的纠纷，由你我双方协商解决，协商不成的，通过诉讼程序解决，诉讼管辖地法院为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法院。</w:t>
      </w:r>
    </w:p>
    <w:p w14:paraId="5CDD937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七、保函的生效</w:t>
      </w:r>
    </w:p>
    <w:p w14:paraId="116A811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本保函自我方加盖公章之日起生效。</w:t>
      </w:r>
    </w:p>
    <w:p w14:paraId="2590B8B4">
      <w:pPr>
        <w:ind w:firstLine="6360" w:firstLineChars="2650"/>
        <w:rPr>
          <w:rFonts w:hint="eastAsia" w:ascii="宋体" w:hAnsi="宋体" w:eastAsia="宋体" w:cs="宋体"/>
          <w:color w:val="auto"/>
          <w:sz w:val="24"/>
          <w:highlight w:val="none"/>
        </w:rPr>
      </w:pPr>
      <w:r>
        <w:rPr>
          <w:rFonts w:hint="eastAsia" w:ascii="宋体" w:hAnsi="宋体" w:eastAsia="宋体" w:cs="宋体"/>
          <w:color w:val="auto"/>
          <w:sz w:val="24"/>
          <w:highlight w:val="none"/>
        </w:rPr>
        <w:t>保证人：（公章）</w:t>
      </w:r>
    </w:p>
    <w:p w14:paraId="2C66995E">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739CEC8">
      <w:pPr>
        <w:tabs>
          <w:tab w:val="left" w:pos="5580"/>
        </w:tabs>
        <w:spacing w:line="360" w:lineRule="exact"/>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年     月</w:t>
      </w:r>
      <w:r>
        <w:rPr>
          <w:rFonts w:hint="eastAsia" w:ascii="宋体" w:hAnsi="宋体" w:eastAsia="宋体" w:cs="宋体"/>
          <w:color w:val="auto"/>
          <w:sz w:val="24"/>
          <w:highlight w:val="none"/>
          <w:lang w:val="en-US" w:eastAsia="zh-CN"/>
        </w:rPr>
        <w:t xml:space="preserve">     日</w:t>
      </w:r>
    </w:p>
    <w:p w14:paraId="02456A7F">
      <w:pPr>
        <w:tabs>
          <w:tab w:val="left" w:pos="5580"/>
        </w:tabs>
        <w:spacing w:line="360" w:lineRule="exact"/>
        <w:jc w:val="right"/>
        <w:rPr>
          <w:rFonts w:hint="eastAsia" w:ascii="宋体" w:hAnsi="宋体" w:eastAsia="宋体" w:cs="宋体"/>
          <w:color w:val="auto"/>
          <w:sz w:val="24"/>
          <w:highlight w:val="none"/>
          <w:lang w:val="en-US" w:eastAsia="zh-CN"/>
        </w:rPr>
      </w:pPr>
    </w:p>
    <w:p w14:paraId="566E9844">
      <w:pPr>
        <w:tabs>
          <w:tab w:val="left" w:pos="5580"/>
        </w:tabs>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cs="宋体"/>
          <w:color w:val="auto"/>
          <w:highlight w:val="none"/>
          <w:lang w:val="en-US" w:eastAsia="zh-CN"/>
        </w:rPr>
        <w:t xml:space="preserve">      </w:t>
      </w:r>
      <w:r>
        <w:rPr>
          <w:rFonts w:hint="eastAsia" w:ascii="宋体" w:hAnsi="宋体" w:eastAsia="宋体" w:cs="宋体"/>
          <w:b/>
          <w:bCs/>
          <w:color w:val="auto"/>
          <w:sz w:val="28"/>
          <w:szCs w:val="28"/>
          <w:highlight w:val="none"/>
          <w:lang w:val="en-US" w:eastAsia="zh-CN"/>
        </w:rPr>
        <w:t>1</w:t>
      </w: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、投标人须知资料表要求的其他资格证明文件</w:t>
      </w:r>
    </w:p>
    <w:p w14:paraId="6F6A275B">
      <w:pPr>
        <w:pStyle w:val="5"/>
        <w:ind w:left="718" w:leftChars="34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注：1.应提供投标人须知资料表要求的其他资格证明文件。</w:t>
      </w:r>
    </w:p>
    <w:p w14:paraId="7365248F">
      <w:pPr>
        <w:pStyle w:val="5"/>
        <w:ind w:left="720" w:hanging="720" w:hangingChars="300"/>
        <w:rPr>
          <w:rFonts w:hint="eastAsia" w:ascii="宋体" w:hAnsi="宋体" w:eastAsia="宋体" w:cs="宋体"/>
          <w:color w:val="auto"/>
          <w:highlight w:val="none"/>
        </w:rPr>
      </w:pPr>
      <w:r>
        <w:rPr>
          <w:rFonts w:hint="eastAsia" w:ascii="宋体" w:hAnsi="宋体" w:eastAsia="宋体" w:cs="宋体"/>
          <w:color w:val="auto"/>
          <w:highlight w:val="none"/>
        </w:rPr>
        <w:t xml:space="preserve">      2.复印件上应加盖本单位章（自然人投标的无需盖章，需要签字）。</w:t>
      </w:r>
    </w:p>
    <w:p w14:paraId="5D836CEF">
      <w:pPr>
        <w:pStyle w:val="5"/>
        <w:ind w:left="720" w:hanging="720" w:hangingChars="300"/>
        <w:rPr>
          <w:rFonts w:hint="eastAsia" w:ascii="宋体" w:hAnsi="宋体" w:eastAsia="宋体" w:cs="宋体"/>
          <w:color w:val="auto"/>
          <w:highlight w:val="none"/>
        </w:rPr>
      </w:pPr>
      <w:r>
        <w:rPr>
          <w:rFonts w:hint="eastAsia" w:ascii="宋体" w:hAnsi="宋体" w:eastAsia="宋体" w:cs="宋体"/>
          <w:color w:val="auto"/>
          <w:highlight w:val="none"/>
        </w:rPr>
        <w:t xml:space="preserve">      3. 如果是联合体投标，联合体各方需提供的满足招标文件要求的其他资格证明文件。</w:t>
      </w:r>
    </w:p>
    <w:p w14:paraId="2463FA29">
      <w:pPr>
        <w:rPr>
          <w:rFonts w:hint="eastAsia" w:ascii="宋体" w:hAnsi="宋体" w:eastAsia="宋体" w:cs="宋体"/>
          <w:color w:val="auto"/>
          <w:sz w:val="24"/>
          <w:highlight w:val="none"/>
        </w:rPr>
      </w:pPr>
    </w:p>
    <w:p w14:paraId="0E8A59FC">
      <w:pPr>
        <w:pStyle w:val="34"/>
        <w:ind w:firstLine="240"/>
        <w:rPr>
          <w:rFonts w:hint="eastAsia" w:ascii="宋体" w:hAnsi="宋体" w:eastAsia="宋体" w:cs="宋体"/>
          <w:color w:val="auto"/>
          <w:highlight w:val="none"/>
        </w:rPr>
      </w:pPr>
    </w:p>
    <w:p w14:paraId="03891F35">
      <w:pPr>
        <w:rPr>
          <w:rFonts w:hint="eastAsia" w:ascii="宋体" w:hAnsi="宋体" w:eastAsia="宋体" w:cs="宋体"/>
          <w:color w:val="auto"/>
          <w:sz w:val="24"/>
          <w:highlight w:val="none"/>
        </w:rPr>
      </w:pPr>
    </w:p>
    <w:p w14:paraId="544EFAF6">
      <w:pPr>
        <w:pStyle w:val="3"/>
        <w:tabs>
          <w:tab w:val="left" w:pos="540"/>
        </w:tabs>
        <w:rPr>
          <w:rFonts w:hint="eastAsia" w:ascii="宋体" w:hAnsi="宋体" w:eastAsia="宋体" w:cs="宋体"/>
          <w:color w:val="auto"/>
          <w:sz w:val="24"/>
          <w:szCs w:val="24"/>
          <w:highlight w:val="none"/>
        </w:rPr>
      </w:pPr>
    </w:p>
    <w:bookmarkEnd w:id="291"/>
    <w:bookmarkEnd w:id="292"/>
    <w:bookmarkEnd w:id="293"/>
    <w:bookmarkEnd w:id="294"/>
    <w:p w14:paraId="0DA423A4">
      <w:pPr>
        <w:rPr>
          <w:rFonts w:hint="eastAsia" w:ascii="宋体" w:hAnsi="宋体" w:eastAsia="宋体" w:cs="宋体"/>
          <w:color w:val="auto"/>
          <w:sz w:val="24"/>
          <w:highlight w:val="none"/>
        </w:rPr>
      </w:pPr>
    </w:p>
    <w:p w14:paraId="2EF59B0C">
      <w:pPr>
        <w:pStyle w:val="15"/>
        <w:tabs>
          <w:tab w:val="left" w:pos="5580"/>
        </w:tabs>
        <w:spacing w:line="240" w:lineRule="atLeast"/>
        <w:rPr>
          <w:rFonts w:hint="eastAsia" w:ascii="宋体" w:hAnsi="宋体" w:eastAsia="宋体" w:cs="宋体"/>
          <w:color w:val="auto"/>
          <w:sz w:val="24"/>
          <w:highlight w:val="none"/>
          <w:u w:val="single"/>
        </w:rPr>
      </w:pPr>
    </w:p>
    <w:p w14:paraId="3EB49ECE">
      <w:pPr>
        <w:pStyle w:val="15"/>
        <w:tabs>
          <w:tab w:val="left" w:pos="5580"/>
        </w:tabs>
        <w:spacing w:line="240" w:lineRule="atLeast"/>
        <w:ind w:left="58" w:leftChars="28" w:firstLine="3120" w:firstLineChars="1300"/>
        <w:rPr>
          <w:rFonts w:hint="eastAsia" w:ascii="宋体" w:hAnsi="宋体" w:eastAsia="宋体" w:cs="宋体"/>
          <w:b/>
          <w:color w:val="auto"/>
          <w:kern w:val="0"/>
          <w:sz w:val="24"/>
          <w:highlight w:val="none"/>
          <w:lang w:val="en-US" w:eastAsia="zh-CN"/>
        </w:rPr>
      </w:pPr>
    </w:p>
    <w:p w14:paraId="133FF3F0">
      <w:pPr>
        <w:pStyle w:val="15"/>
        <w:tabs>
          <w:tab w:val="left" w:pos="5580"/>
        </w:tabs>
        <w:spacing w:line="240" w:lineRule="atLeast"/>
        <w:ind w:left="58" w:leftChars="28" w:firstLine="3120" w:firstLineChars="1300"/>
        <w:rPr>
          <w:rFonts w:hint="eastAsia" w:ascii="宋体" w:hAnsi="宋体" w:eastAsia="宋体" w:cs="宋体"/>
          <w:b/>
          <w:color w:val="auto"/>
          <w:kern w:val="0"/>
          <w:sz w:val="24"/>
          <w:highlight w:val="none"/>
          <w:lang w:val="en-US" w:eastAsia="zh-CN"/>
        </w:rPr>
      </w:pPr>
    </w:p>
    <w:p w14:paraId="3FD79B6D">
      <w:pPr>
        <w:pStyle w:val="15"/>
        <w:tabs>
          <w:tab w:val="left" w:pos="5580"/>
        </w:tabs>
        <w:spacing w:line="240" w:lineRule="atLeast"/>
        <w:ind w:left="58" w:leftChars="28" w:firstLine="3120" w:firstLineChars="1300"/>
        <w:rPr>
          <w:rFonts w:hint="eastAsia" w:ascii="宋体" w:hAnsi="宋体" w:eastAsia="宋体" w:cs="宋体"/>
          <w:b/>
          <w:color w:val="auto"/>
          <w:kern w:val="0"/>
          <w:sz w:val="24"/>
          <w:highlight w:val="none"/>
          <w:lang w:val="en-US" w:eastAsia="zh-CN"/>
        </w:rPr>
      </w:pPr>
    </w:p>
    <w:p w14:paraId="65FEA3F8">
      <w:pPr>
        <w:pStyle w:val="15"/>
        <w:tabs>
          <w:tab w:val="left" w:pos="5580"/>
        </w:tabs>
        <w:spacing w:line="240" w:lineRule="atLeast"/>
        <w:ind w:left="58" w:leftChars="28" w:firstLine="3120" w:firstLineChars="1300"/>
        <w:rPr>
          <w:rFonts w:hint="eastAsia" w:ascii="宋体" w:hAnsi="宋体" w:eastAsia="宋体" w:cs="宋体"/>
          <w:b/>
          <w:color w:val="auto"/>
          <w:kern w:val="0"/>
          <w:sz w:val="24"/>
          <w:highlight w:val="none"/>
          <w:lang w:val="en-US" w:eastAsia="zh-CN"/>
        </w:rPr>
      </w:pPr>
    </w:p>
    <w:p w14:paraId="4A5CD782">
      <w:pPr>
        <w:pStyle w:val="15"/>
        <w:tabs>
          <w:tab w:val="left" w:pos="5580"/>
        </w:tabs>
        <w:spacing w:line="240" w:lineRule="atLeast"/>
        <w:ind w:left="58" w:leftChars="28" w:firstLine="3120" w:firstLineChars="1300"/>
        <w:rPr>
          <w:rFonts w:hint="eastAsia" w:ascii="宋体" w:hAnsi="宋体" w:eastAsia="宋体" w:cs="宋体"/>
          <w:b/>
          <w:color w:val="auto"/>
          <w:kern w:val="0"/>
          <w:sz w:val="24"/>
          <w:highlight w:val="none"/>
          <w:lang w:val="en-US" w:eastAsia="zh-CN"/>
        </w:rPr>
      </w:pPr>
    </w:p>
    <w:p w14:paraId="52E04796">
      <w:pPr>
        <w:pStyle w:val="15"/>
        <w:tabs>
          <w:tab w:val="left" w:pos="5580"/>
        </w:tabs>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 xml:space="preserve"> </w:t>
      </w:r>
    </w:p>
    <w:p w14:paraId="7C0A2A05">
      <w:pPr>
        <w:pStyle w:val="3"/>
        <w:numPr>
          <w:ilvl w:val="0"/>
          <w:numId w:val="2"/>
        </w:numPr>
        <w:spacing w:before="0" w:line="240" w:lineRule="atLeast"/>
        <w:ind w:left="1079" w:leftChars="257" w:hanging="540"/>
        <w:rPr>
          <w:rFonts w:hint="eastAsia" w:ascii="宋体" w:hAnsi="宋体" w:eastAsia="宋体" w:cs="宋体"/>
          <w:color w:val="auto"/>
          <w:sz w:val="28"/>
          <w:szCs w:val="21"/>
          <w:highlight w:val="none"/>
        </w:rPr>
      </w:pPr>
      <w:bookmarkStart w:id="305" w:name="_Toc11180"/>
      <w:bookmarkStart w:id="306" w:name="_Toc22967"/>
      <w:bookmarkStart w:id="307" w:name="_Toc30317"/>
      <w:bookmarkStart w:id="308" w:name="_Toc515647816"/>
      <w:r>
        <w:rPr>
          <w:rFonts w:hint="eastAsia" w:ascii="宋体" w:hAnsi="宋体" w:eastAsia="宋体" w:cs="宋体"/>
          <w:color w:val="auto"/>
          <w:sz w:val="24"/>
          <w:highlight w:val="none"/>
        </w:rPr>
        <w:t xml:space="preserve"> </w:t>
      </w:r>
      <w:r>
        <w:rPr>
          <w:rFonts w:hint="eastAsia" w:ascii="宋体" w:hAnsi="宋体" w:eastAsia="宋体" w:cs="宋体"/>
          <w:color w:val="auto"/>
          <w:sz w:val="28"/>
          <w:szCs w:val="21"/>
          <w:highlight w:val="none"/>
        </w:rPr>
        <w:t>商务及技术文件</w:t>
      </w:r>
      <w:bookmarkEnd w:id="305"/>
      <w:bookmarkEnd w:id="306"/>
      <w:bookmarkEnd w:id="307"/>
      <w:bookmarkEnd w:id="308"/>
    </w:p>
    <w:p w14:paraId="75C0688A">
      <w:pPr>
        <w:pStyle w:val="5"/>
        <w:numPr>
          <w:ilvl w:val="0"/>
          <w:numId w:val="0"/>
        </w:numPr>
        <w:rPr>
          <w:rFonts w:hint="eastAsia" w:ascii="宋体" w:hAnsi="宋体" w:eastAsia="宋体" w:cs="宋体"/>
          <w:color w:val="auto"/>
          <w:highlight w:val="none"/>
        </w:rPr>
      </w:pPr>
    </w:p>
    <w:p w14:paraId="7506C545">
      <w:pPr>
        <w:pStyle w:val="15"/>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1、投标书</w:t>
      </w:r>
    </w:p>
    <w:p w14:paraId="417CB541">
      <w:pPr>
        <w:pStyle w:val="15"/>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、投标分项报价表</w:t>
      </w:r>
    </w:p>
    <w:p w14:paraId="4673CAA8">
      <w:pPr>
        <w:pStyle w:val="15"/>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、货物说明一览表</w:t>
      </w:r>
    </w:p>
    <w:p w14:paraId="54C3D124">
      <w:pPr>
        <w:pStyle w:val="15"/>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、技术规格偏离表</w:t>
      </w:r>
    </w:p>
    <w:p w14:paraId="7F4D32E4">
      <w:pPr>
        <w:pStyle w:val="15"/>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、商务条款偏离表</w:t>
      </w:r>
    </w:p>
    <w:p w14:paraId="344DB9D4">
      <w:pPr>
        <w:pStyle w:val="15"/>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、中小企业声明函</w:t>
      </w:r>
    </w:p>
    <w:p w14:paraId="5F39D359">
      <w:pPr>
        <w:pStyle w:val="15"/>
        <w:ind w:left="1079"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7、投标人关联单位的说明（格式自拟）</w:t>
      </w:r>
    </w:p>
    <w:p w14:paraId="2577CBBC">
      <w:pPr>
        <w:pStyle w:val="15"/>
        <w:ind w:left="1079"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8、投标文件还应包括投标人其它技术文件</w:t>
      </w:r>
    </w:p>
    <w:p w14:paraId="37219434">
      <w:pPr>
        <w:pStyle w:val="15"/>
        <w:ind w:left="1079" w:leftChars="257" w:hanging="540"/>
        <w:rPr>
          <w:rFonts w:hint="eastAsia" w:ascii="宋体" w:hAnsi="宋体" w:eastAsia="宋体" w:cs="宋体"/>
          <w:color w:val="auto"/>
          <w:sz w:val="24"/>
          <w:highlight w:val="none"/>
          <w:lang w:val="en-US" w:eastAsia="zh-CN"/>
        </w:rPr>
      </w:pPr>
    </w:p>
    <w:p w14:paraId="55802BA2">
      <w:pPr>
        <w:pStyle w:val="15"/>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3ED924B3">
      <w:pPr>
        <w:pStyle w:val="3"/>
        <w:spacing w:before="0" w:line="240" w:lineRule="atLeast"/>
        <w:ind w:left="1079" w:leftChars="257" w:hanging="540"/>
        <w:rPr>
          <w:rFonts w:hint="eastAsia" w:ascii="宋体" w:hAnsi="宋体" w:eastAsia="宋体" w:cs="宋体"/>
          <w:color w:val="auto"/>
          <w:sz w:val="24"/>
          <w:highlight w:val="none"/>
        </w:rPr>
      </w:pPr>
      <w:bookmarkStart w:id="309" w:name="_Toc14915"/>
      <w:bookmarkStart w:id="310" w:name="_Toc2041"/>
      <w:bookmarkStart w:id="311" w:name="_Toc515647817"/>
      <w:bookmarkStart w:id="312" w:name="_Toc8525"/>
      <w:r>
        <w:rPr>
          <w:rFonts w:hint="eastAsia" w:ascii="宋体" w:hAnsi="宋体" w:eastAsia="宋体" w:cs="宋体"/>
          <w:color w:val="auto"/>
          <w:sz w:val="24"/>
          <w:highlight w:val="none"/>
        </w:rPr>
        <w:t xml:space="preserve">1   </w:t>
      </w:r>
      <w:bookmarkStart w:id="313" w:name="_Hlt520355504"/>
      <w:bookmarkEnd w:id="313"/>
      <w:r>
        <w:rPr>
          <w:rFonts w:hint="eastAsia" w:ascii="宋体" w:hAnsi="宋体" w:eastAsia="宋体" w:cs="宋体"/>
          <w:color w:val="auto"/>
          <w:sz w:val="24"/>
          <w:highlight w:val="none"/>
        </w:rPr>
        <w:t>投标</w:t>
      </w:r>
      <w:bookmarkEnd w:id="287"/>
      <w:bookmarkEnd w:id="288"/>
      <w:r>
        <w:rPr>
          <w:rFonts w:hint="eastAsia" w:ascii="宋体" w:hAnsi="宋体" w:eastAsia="宋体" w:cs="宋体"/>
          <w:color w:val="auto"/>
          <w:sz w:val="24"/>
          <w:highlight w:val="none"/>
        </w:rPr>
        <w:t>书</w:t>
      </w:r>
      <w:bookmarkEnd w:id="289"/>
      <w:bookmarkEnd w:id="290"/>
      <w:bookmarkEnd w:id="309"/>
      <w:bookmarkEnd w:id="310"/>
      <w:bookmarkEnd w:id="311"/>
      <w:bookmarkEnd w:id="312"/>
    </w:p>
    <w:p w14:paraId="5C078F8C">
      <w:pPr>
        <w:tabs>
          <w:tab w:val="left" w:pos="5580"/>
        </w:tabs>
        <w:spacing w:line="240" w:lineRule="atLeast"/>
        <w:ind w:left="1079" w:leftChars="257" w:hanging="540"/>
        <w:rPr>
          <w:rFonts w:hint="eastAsia" w:ascii="宋体" w:hAnsi="宋体" w:eastAsia="宋体" w:cs="宋体"/>
          <w:color w:val="auto"/>
          <w:sz w:val="24"/>
          <w:highlight w:val="none"/>
        </w:rPr>
      </w:pPr>
    </w:p>
    <w:p w14:paraId="6E8B4CDB">
      <w:pPr>
        <w:tabs>
          <w:tab w:val="left" w:pos="5580"/>
        </w:tabs>
        <w:spacing w:line="240" w:lineRule="atLeast"/>
        <w:ind w:left="1080" w:hanging="108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w:t>
      </w:r>
    </w:p>
    <w:p w14:paraId="6125CC69">
      <w:pPr>
        <w:pStyle w:val="15"/>
        <w:tabs>
          <w:tab w:val="left" w:pos="5580"/>
        </w:tabs>
        <w:spacing w:line="240" w:lineRule="atLeast"/>
        <w:ind w:left="1079" w:leftChars="257" w:hanging="540"/>
        <w:rPr>
          <w:rFonts w:hint="eastAsia" w:ascii="宋体" w:hAnsi="宋体" w:eastAsia="宋体" w:cs="宋体"/>
          <w:color w:val="auto"/>
          <w:sz w:val="24"/>
          <w:highlight w:val="none"/>
        </w:rPr>
      </w:pPr>
    </w:p>
    <w:p w14:paraId="7F9E075E">
      <w:pPr>
        <w:pStyle w:val="15"/>
        <w:keepNext w:val="0"/>
        <w:keepLines w:val="0"/>
        <w:pageBreakBefore w:val="0"/>
        <w:widowControl w:val="0"/>
        <w:tabs>
          <w:tab w:val="left" w:pos="5580"/>
        </w:tabs>
        <w:kinsoku/>
        <w:wordWrap w:val="0"/>
        <w:overflowPunct/>
        <w:topLinePunct/>
        <w:autoSpaceDE/>
        <w:autoSpaceDN/>
        <w:bidi w:val="0"/>
        <w:adjustRightInd/>
        <w:snapToGrid/>
        <w:spacing w:line="240" w:lineRule="atLeast"/>
        <w:ind w:left="2" w:leftChars="1"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w:t>
      </w:r>
      <w:r>
        <w:rPr>
          <w:rFonts w:hint="eastAsia" w:ascii="宋体" w:hAnsi="宋体" w:eastAsia="宋体" w:cs="宋体"/>
          <w:i/>
          <w:color w:val="auto"/>
          <w:sz w:val="24"/>
          <w:highlight w:val="none"/>
          <w:u w:val="single"/>
        </w:rPr>
        <w:t>项目名称</w:t>
      </w:r>
      <w:r>
        <w:rPr>
          <w:rFonts w:hint="eastAsia" w:ascii="宋体" w:hAnsi="宋体" w:eastAsia="宋体" w:cs="宋体"/>
          <w:color w:val="auto"/>
          <w:sz w:val="24"/>
          <w:highlight w:val="none"/>
        </w:rPr>
        <w:t>)项目的投标邀请(</w:t>
      </w:r>
      <w:r>
        <w:rPr>
          <w:rFonts w:hint="eastAsia" w:ascii="宋体" w:hAnsi="宋体" w:eastAsia="宋体" w:cs="宋体"/>
          <w:i/>
          <w:color w:val="auto"/>
          <w:sz w:val="24"/>
          <w:highlight w:val="none"/>
          <w:u w:val="single"/>
        </w:rPr>
        <w:t>招标编号</w:t>
      </w:r>
      <w:r>
        <w:rPr>
          <w:rFonts w:hint="eastAsia" w:ascii="宋体" w:hAnsi="宋体" w:eastAsia="宋体" w:cs="宋体"/>
          <w:color w:val="auto"/>
          <w:sz w:val="24"/>
          <w:highlight w:val="none"/>
        </w:rPr>
        <w:t>),签字代表(</w:t>
      </w:r>
      <w:r>
        <w:rPr>
          <w:rFonts w:hint="eastAsia" w:ascii="宋体" w:hAnsi="宋体" w:eastAsia="宋体" w:cs="宋体"/>
          <w:i/>
          <w:color w:val="auto"/>
          <w:sz w:val="24"/>
          <w:highlight w:val="none"/>
          <w:u w:val="single"/>
        </w:rPr>
        <w:t>姓名、职务</w:t>
      </w:r>
      <w:r>
        <w:rPr>
          <w:rFonts w:hint="eastAsia" w:ascii="宋体" w:hAnsi="宋体" w:eastAsia="宋体" w:cs="宋体"/>
          <w:color w:val="auto"/>
          <w:sz w:val="24"/>
          <w:highlight w:val="none"/>
        </w:rPr>
        <w:t>)经正式授权并代表投标人（</w:t>
      </w:r>
      <w:r>
        <w:rPr>
          <w:rFonts w:hint="eastAsia" w:ascii="宋体" w:hAnsi="宋体" w:eastAsia="宋体" w:cs="宋体"/>
          <w:i/>
          <w:color w:val="auto"/>
          <w:sz w:val="24"/>
          <w:highlight w:val="none"/>
          <w:u w:val="single"/>
        </w:rPr>
        <w:t>名称、地址</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形式出具的金额为人民币</w:t>
      </w:r>
      <w:r>
        <w:rPr>
          <w:rFonts w:hint="eastAsia" w:ascii="宋体" w:hAnsi="宋体" w:eastAsia="宋体" w:cs="宋体"/>
          <w:color w:val="auto"/>
          <w:sz w:val="24"/>
          <w:highlight w:val="none"/>
          <w:u w:val="single"/>
        </w:rPr>
        <w:t>　</w:t>
      </w:r>
      <w:r>
        <w:rPr>
          <w:rFonts w:hint="eastAsia"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元的投标保证金。</w:t>
      </w:r>
    </w:p>
    <w:p w14:paraId="650469BE">
      <w:pPr>
        <w:pStyle w:val="15"/>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据此，签字代表宣布同意如下：</w:t>
      </w:r>
    </w:p>
    <w:p w14:paraId="3844942E">
      <w:pPr>
        <w:pStyle w:val="15"/>
        <w:tabs>
          <w:tab w:val="left" w:pos="720"/>
          <w:tab w:val="left" w:pos="900"/>
        </w:tabs>
        <w:spacing w:line="240" w:lineRule="atLeast"/>
        <w:ind w:left="768" w:leftChars="257" w:hanging="22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（1）附投标价格表中规定的应提供货物的投标总价详见开标一览表，</w:t>
      </w:r>
      <w:r>
        <w:rPr>
          <w:rFonts w:hint="eastAsia" w:hAnsi="宋体" w:cs="宋体"/>
          <w:color w:val="auto"/>
          <w:sz w:val="24"/>
          <w:highlight w:val="none"/>
          <w:lang w:val="en-US" w:eastAsia="zh-CN"/>
        </w:rPr>
        <w:t>投标总价</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　　  （用文字和数字表示）</w:t>
      </w:r>
      <w:r>
        <w:rPr>
          <w:rFonts w:hint="eastAsia" w:ascii="宋体" w:hAnsi="宋体" w:eastAsia="宋体" w:cs="宋体"/>
          <w:color w:val="auto"/>
          <w:sz w:val="24"/>
          <w:highlight w:val="none"/>
        </w:rPr>
        <w:t>。</w:t>
      </w:r>
    </w:p>
    <w:p w14:paraId="0FC52027">
      <w:pPr>
        <w:pStyle w:val="15"/>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（2）本投标有效期为自投标截止之日起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个日历日。</w:t>
      </w:r>
    </w:p>
    <w:p w14:paraId="498087FF">
      <w:pPr>
        <w:pStyle w:val="15"/>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（3）联合体中的大中型企业和其他自然人、法人或者非法人组织，与联合体中的小型、微型企业之间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存在、不存在）投资关系（如果是联合体的话）。</w:t>
      </w:r>
    </w:p>
    <w:p w14:paraId="7C5882DB">
      <w:pPr>
        <w:pStyle w:val="15"/>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（4）已详细审查全部招标文件，包括所有补充通知（如果有的话），完全理解并同意放弃对这方面有不明、误解和质疑的权力。</w:t>
      </w:r>
    </w:p>
    <w:p w14:paraId="4F67D1A1">
      <w:pPr>
        <w:pStyle w:val="15"/>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（5）在规定的开标时间后，遵守招标文件中有关保证金的规定。</w:t>
      </w:r>
    </w:p>
    <w:p w14:paraId="1ECF2426">
      <w:pPr>
        <w:pStyle w:val="15"/>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（6）我方不是为本项目提供整体设计、规范编制或者项目管理、监理、检测等服务的供应商，我方不是采购代理机构的附属机构。</w:t>
      </w:r>
    </w:p>
    <w:p w14:paraId="4067BBE8">
      <w:pPr>
        <w:pStyle w:val="15"/>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（7）在领取中标通知书的同时按招标文件规定的形式，向贵方一次性支付中标服务费。</w:t>
      </w:r>
    </w:p>
    <w:p w14:paraId="59CB1D21">
      <w:pPr>
        <w:pStyle w:val="15"/>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（8）按照贵方可能要求，提供与其投标有关的一切数据或资料，完全理解贵方不一定接受最低价的投标或收到的任何投标。</w:t>
      </w:r>
    </w:p>
    <w:p w14:paraId="21877C73">
      <w:pPr>
        <w:pStyle w:val="15"/>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（9）按照招标文件的规定履行合同责任和义务。</w:t>
      </w:r>
    </w:p>
    <w:p w14:paraId="09890683">
      <w:pPr>
        <w:pStyle w:val="15"/>
        <w:tabs>
          <w:tab w:val="left" w:pos="5580"/>
        </w:tabs>
        <w:spacing w:line="240" w:lineRule="atLeast"/>
        <w:ind w:left="358" w:leftChars="68" w:hanging="216" w:hangingChars="9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与本投标有关的一切正式往来信函请寄：</w:t>
      </w:r>
    </w:p>
    <w:p w14:paraId="5B80EF64">
      <w:pPr>
        <w:pStyle w:val="15"/>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p>
    <w:p w14:paraId="6D656356">
      <w:pPr>
        <w:pStyle w:val="15"/>
        <w:tabs>
          <w:tab w:val="left" w:pos="5580"/>
        </w:tabs>
        <w:spacing w:line="240" w:lineRule="atLeast"/>
        <w:ind w:left="1079" w:leftChars="257" w:hanging="540"/>
        <w:rPr>
          <w:rFonts w:hint="eastAsia" w:ascii="宋体" w:hAnsi="宋体" w:eastAsia="宋体" w:cs="宋体"/>
          <w:b/>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电子函件</w:t>
      </w:r>
      <w:r>
        <w:rPr>
          <w:rFonts w:hint="eastAsia" w:ascii="宋体" w:hAnsi="宋体" w:eastAsia="宋体" w:cs="宋体"/>
          <w:color w:val="auto"/>
          <w:sz w:val="24"/>
          <w:highlight w:val="none"/>
          <w:u w:val="single"/>
        </w:rPr>
        <w:t xml:space="preserve">                         </w:t>
      </w:r>
    </w:p>
    <w:p w14:paraId="71EF1EFC">
      <w:pPr>
        <w:pStyle w:val="15"/>
        <w:tabs>
          <w:tab w:val="left" w:pos="5580"/>
        </w:tabs>
        <w:spacing w:line="240" w:lineRule="atLeast"/>
        <w:ind w:left="1079" w:leftChars="257" w:hanging="540"/>
        <w:rPr>
          <w:rFonts w:hint="eastAsia" w:ascii="宋体" w:hAnsi="宋体" w:eastAsia="宋体" w:cs="宋体"/>
          <w:color w:val="auto"/>
          <w:sz w:val="24"/>
          <w:highlight w:val="none"/>
        </w:rPr>
      </w:pPr>
    </w:p>
    <w:p w14:paraId="7C1AD417">
      <w:pPr>
        <w:pStyle w:val="15"/>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lang w:val="en-US" w:eastAsia="zh-CN"/>
        </w:rPr>
        <w:t>签字或盖章</w:t>
      </w:r>
      <w:r>
        <w:rPr>
          <w:rFonts w:hint="eastAsia" w:ascii="宋体" w:hAnsi="宋体" w:eastAsia="宋体" w:cs="宋体"/>
          <w:color w:val="auto"/>
          <w:sz w:val="24"/>
          <w:highlight w:val="none"/>
        </w:rPr>
        <w:t>）-----------------</w:t>
      </w:r>
    </w:p>
    <w:p w14:paraId="1E7642A5">
      <w:pPr>
        <w:pStyle w:val="15"/>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投标人名称（全称）-----------------</w:t>
      </w:r>
    </w:p>
    <w:p w14:paraId="787511E5">
      <w:pPr>
        <w:pStyle w:val="15"/>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投标人开户银行（全称）</w:t>
      </w:r>
      <w:r>
        <w:rPr>
          <w:rFonts w:hint="eastAsia" w:ascii="宋体" w:hAnsi="宋体" w:eastAsia="宋体" w:cs="宋体"/>
          <w:color w:val="auto"/>
          <w:sz w:val="24"/>
          <w:highlight w:val="none"/>
          <w:u w:val="single"/>
        </w:rPr>
        <w:t xml:space="preserve">　　　　　　 </w:t>
      </w:r>
    </w:p>
    <w:p w14:paraId="655BF4F3">
      <w:pPr>
        <w:pStyle w:val="15"/>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投标人银行帐号</w:t>
      </w:r>
      <w:r>
        <w:rPr>
          <w:rFonts w:hint="eastAsia" w:ascii="宋体" w:hAnsi="宋体" w:eastAsia="宋体" w:cs="宋体"/>
          <w:color w:val="auto"/>
          <w:sz w:val="24"/>
          <w:highlight w:val="none"/>
          <w:u w:val="single"/>
        </w:rPr>
        <w:t>　　　　　　　　 　　</w:t>
      </w:r>
    </w:p>
    <w:p w14:paraId="151DE930">
      <w:pPr>
        <w:pStyle w:val="15"/>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投标人单位章</w:t>
      </w:r>
      <w:r>
        <w:rPr>
          <w:rFonts w:hint="eastAsia" w:ascii="宋体" w:hAnsi="宋体" w:eastAsia="宋体" w:cs="宋体"/>
          <w:color w:val="auto"/>
          <w:sz w:val="24"/>
          <w:highlight w:val="none"/>
          <w:u w:val="none"/>
        </w:rPr>
        <w:t>-------------------------</w:t>
      </w:r>
    </w:p>
    <w:p w14:paraId="07EDC29B">
      <w:pPr>
        <w:pStyle w:val="15"/>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14:paraId="1E330322">
      <w:pPr>
        <w:pStyle w:val="15"/>
        <w:tabs>
          <w:tab w:val="left" w:pos="5580"/>
        </w:tabs>
        <w:spacing w:line="240" w:lineRule="atLeast"/>
        <w:rPr>
          <w:rFonts w:hint="eastAsia" w:ascii="宋体" w:hAnsi="宋体" w:eastAsia="宋体" w:cs="宋体"/>
          <w:color w:val="auto"/>
          <w:sz w:val="24"/>
          <w:highlight w:val="none"/>
          <w:lang w:val="en-US" w:eastAsia="zh-CN"/>
        </w:rPr>
        <w:sectPr>
          <w:footerReference r:id="rId5" w:type="default"/>
          <w:pgSz w:w="11906" w:h="16838"/>
          <w:pgMar w:top="1440" w:right="1701" w:bottom="1440" w:left="1701"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14:paraId="347CE5F7">
      <w:pPr>
        <w:pStyle w:val="3"/>
        <w:spacing w:before="0" w:line="240" w:lineRule="atLeast"/>
        <w:jc w:val="center"/>
        <w:rPr>
          <w:rFonts w:hint="eastAsia" w:ascii="宋体" w:hAnsi="宋体" w:eastAsia="宋体" w:cs="宋体"/>
          <w:color w:val="auto"/>
          <w:sz w:val="24"/>
          <w:highlight w:val="none"/>
        </w:rPr>
      </w:pPr>
      <w:bookmarkStart w:id="314" w:name="_Toc10388"/>
      <w:bookmarkStart w:id="315" w:name="_Toc1881"/>
      <w:bookmarkStart w:id="316" w:name="_Toc515647818"/>
      <w:bookmarkStart w:id="317" w:name="_Toc216582815"/>
      <w:bookmarkStart w:id="318" w:name="_Toc20897"/>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投标分项报价表</w:t>
      </w:r>
      <w:bookmarkEnd w:id="314"/>
      <w:bookmarkEnd w:id="315"/>
      <w:bookmarkEnd w:id="316"/>
      <w:bookmarkEnd w:id="317"/>
      <w:bookmarkEnd w:id="318"/>
    </w:p>
    <w:p w14:paraId="37A0BE3A">
      <w:pPr>
        <w:pStyle w:val="15"/>
        <w:spacing w:line="240" w:lineRule="atLeast"/>
        <w:ind w:left="1080" w:leftChars="257" w:hanging="540"/>
        <w:rPr>
          <w:rFonts w:hint="eastAsia" w:ascii="宋体" w:hAnsi="宋体" w:eastAsia="宋体" w:cs="宋体"/>
          <w:color w:val="auto"/>
          <w:sz w:val="24"/>
          <w:highlight w:val="none"/>
        </w:rPr>
      </w:pPr>
    </w:p>
    <w:p w14:paraId="5BBBF7C8">
      <w:pPr>
        <w:pStyle w:val="15"/>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613"/>
        <w:gridCol w:w="1844"/>
        <w:gridCol w:w="2310"/>
        <w:gridCol w:w="2029"/>
        <w:gridCol w:w="1591"/>
        <w:gridCol w:w="1377"/>
        <w:gridCol w:w="1453"/>
        <w:gridCol w:w="1020"/>
      </w:tblGrid>
      <w:tr w14:paraId="285B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97" w:type="dxa"/>
            <w:noWrap w:val="0"/>
            <w:vAlign w:val="center"/>
          </w:tcPr>
          <w:p w14:paraId="6B99061C">
            <w:pPr>
              <w:pStyle w:val="15"/>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3457" w:type="dxa"/>
            <w:gridSpan w:val="2"/>
            <w:noWrap w:val="0"/>
            <w:vAlign w:val="center"/>
          </w:tcPr>
          <w:p w14:paraId="55485280">
            <w:pPr>
              <w:pStyle w:val="15"/>
              <w:spacing w:line="240" w:lineRule="atLeast"/>
              <w:ind w:left="269" w:leftChars="128"/>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sz w:val="24"/>
                <w:highlight w:val="none"/>
                <w:lang w:val="en-US" w:eastAsia="zh-CN"/>
              </w:rPr>
              <w:t>货物名称</w:t>
            </w:r>
          </w:p>
        </w:tc>
        <w:tc>
          <w:tcPr>
            <w:tcW w:w="2310" w:type="dxa"/>
            <w:noWrap w:val="0"/>
            <w:vAlign w:val="center"/>
          </w:tcPr>
          <w:p w14:paraId="129E7246">
            <w:pPr>
              <w:pStyle w:val="15"/>
              <w:spacing w:line="240" w:lineRule="atLeast"/>
              <w:jc w:val="center"/>
              <w:rPr>
                <w:rFonts w:hint="default" w:ascii="宋体" w:hAnsi="宋体" w:eastAsia="宋体" w:cs="宋体"/>
                <w:color w:val="auto"/>
                <w:sz w:val="24"/>
                <w:highlight w:val="none"/>
                <w:lang w:val="en-US" w:eastAsia="zh-CN"/>
              </w:rPr>
            </w:pPr>
            <w:r>
              <w:rPr>
                <w:rFonts w:hint="eastAsia" w:hAnsi="宋体" w:cs="宋体"/>
                <w:color w:val="auto"/>
                <w:sz w:val="24"/>
                <w:highlight w:val="none"/>
                <w:lang w:val="en-US" w:eastAsia="zh-CN"/>
              </w:rPr>
              <w:t>品牌</w:t>
            </w:r>
          </w:p>
        </w:tc>
        <w:tc>
          <w:tcPr>
            <w:tcW w:w="2029" w:type="dxa"/>
            <w:noWrap w:val="0"/>
            <w:vAlign w:val="center"/>
          </w:tcPr>
          <w:p w14:paraId="729BAA16">
            <w:pPr>
              <w:pStyle w:val="15"/>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型号</w:t>
            </w:r>
          </w:p>
        </w:tc>
        <w:tc>
          <w:tcPr>
            <w:tcW w:w="1591" w:type="dxa"/>
            <w:noWrap w:val="0"/>
            <w:vAlign w:val="center"/>
          </w:tcPr>
          <w:p w14:paraId="4C36659C">
            <w:pPr>
              <w:pStyle w:val="15"/>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数量</w:t>
            </w:r>
          </w:p>
        </w:tc>
        <w:tc>
          <w:tcPr>
            <w:tcW w:w="1377" w:type="dxa"/>
            <w:noWrap w:val="0"/>
            <w:vAlign w:val="center"/>
          </w:tcPr>
          <w:p w14:paraId="6FF1F7EE">
            <w:pPr>
              <w:pStyle w:val="15"/>
              <w:tabs>
                <w:tab w:val="left" w:pos="248"/>
              </w:tabs>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单价（元）</w:t>
            </w:r>
          </w:p>
        </w:tc>
        <w:tc>
          <w:tcPr>
            <w:tcW w:w="1453" w:type="dxa"/>
            <w:noWrap w:val="0"/>
            <w:vAlign w:val="center"/>
          </w:tcPr>
          <w:p w14:paraId="6B478870">
            <w:pPr>
              <w:pStyle w:val="15"/>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合价（元）</w:t>
            </w:r>
          </w:p>
        </w:tc>
        <w:tc>
          <w:tcPr>
            <w:tcW w:w="1020" w:type="dxa"/>
            <w:noWrap w:val="0"/>
            <w:vAlign w:val="center"/>
          </w:tcPr>
          <w:p w14:paraId="2582822C">
            <w:pPr>
              <w:pStyle w:val="15"/>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w:t>
            </w:r>
          </w:p>
        </w:tc>
      </w:tr>
      <w:tr w14:paraId="4E30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97" w:type="dxa"/>
            <w:noWrap w:val="0"/>
            <w:vAlign w:val="center"/>
          </w:tcPr>
          <w:p w14:paraId="0774F1F7">
            <w:pPr>
              <w:pStyle w:val="15"/>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3457" w:type="dxa"/>
            <w:gridSpan w:val="2"/>
            <w:noWrap w:val="0"/>
            <w:vAlign w:val="center"/>
          </w:tcPr>
          <w:p w14:paraId="120C853B">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64226ACD">
            <w:pPr>
              <w:widowControl/>
              <w:jc w:val="center"/>
              <w:textAlignment w:val="center"/>
              <w:rPr>
                <w:rFonts w:hint="eastAsia" w:ascii="宋体" w:hAnsi="宋体" w:eastAsia="宋体" w:cs="宋体"/>
                <w:color w:val="auto"/>
                <w:sz w:val="24"/>
                <w:highlight w:val="none"/>
              </w:rPr>
            </w:pPr>
          </w:p>
        </w:tc>
        <w:tc>
          <w:tcPr>
            <w:tcW w:w="2029" w:type="dxa"/>
            <w:noWrap w:val="0"/>
            <w:vAlign w:val="center"/>
          </w:tcPr>
          <w:p w14:paraId="11859643">
            <w:pPr>
              <w:widowControl/>
              <w:jc w:val="center"/>
              <w:textAlignment w:val="center"/>
              <w:rPr>
                <w:rFonts w:hint="eastAsia" w:ascii="宋体" w:hAnsi="宋体" w:eastAsia="宋体" w:cs="宋体"/>
                <w:color w:val="auto"/>
                <w:sz w:val="24"/>
                <w:highlight w:val="none"/>
              </w:rPr>
            </w:pPr>
          </w:p>
        </w:tc>
        <w:tc>
          <w:tcPr>
            <w:tcW w:w="1591" w:type="dxa"/>
            <w:noWrap w:val="0"/>
            <w:vAlign w:val="center"/>
          </w:tcPr>
          <w:p w14:paraId="242C3FA8">
            <w:pPr>
              <w:widowControl/>
              <w:jc w:val="center"/>
              <w:textAlignment w:val="center"/>
              <w:rPr>
                <w:rFonts w:hint="eastAsia" w:ascii="宋体" w:hAnsi="宋体" w:eastAsia="宋体" w:cs="宋体"/>
                <w:color w:val="auto"/>
                <w:sz w:val="24"/>
                <w:highlight w:val="none"/>
              </w:rPr>
            </w:pPr>
          </w:p>
        </w:tc>
        <w:tc>
          <w:tcPr>
            <w:tcW w:w="1377" w:type="dxa"/>
            <w:noWrap w:val="0"/>
            <w:vAlign w:val="center"/>
          </w:tcPr>
          <w:p w14:paraId="3BB836E6">
            <w:pPr>
              <w:pStyle w:val="15"/>
              <w:spacing w:line="240" w:lineRule="atLeast"/>
              <w:jc w:val="center"/>
              <w:rPr>
                <w:rFonts w:hint="eastAsia" w:ascii="宋体" w:hAnsi="宋体" w:eastAsia="宋体" w:cs="宋体"/>
                <w:color w:val="auto"/>
                <w:sz w:val="24"/>
                <w:highlight w:val="none"/>
                <w:lang w:val="en-US" w:eastAsia="zh-CN"/>
              </w:rPr>
            </w:pPr>
          </w:p>
        </w:tc>
        <w:tc>
          <w:tcPr>
            <w:tcW w:w="1453" w:type="dxa"/>
            <w:noWrap w:val="0"/>
            <w:vAlign w:val="center"/>
          </w:tcPr>
          <w:p w14:paraId="2E3ED007">
            <w:pPr>
              <w:pStyle w:val="15"/>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10226B96">
            <w:pPr>
              <w:pStyle w:val="15"/>
              <w:spacing w:line="240" w:lineRule="atLeast"/>
              <w:jc w:val="center"/>
              <w:rPr>
                <w:rFonts w:hint="eastAsia" w:ascii="宋体" w:hAnsi="宋体" w:eastAsia="宋体" w:cs="宋体"/>
                <w:color w:val="auto"/>
                <w:sz w:val="24"/>
                <w:highlight w:val="none"/>
                <w:lang w:val="en-US" w:eastAsia="zh-CN"/>
              </w:rPr>
            </w:pPr>
          </w:p>
        </w:tc>
      </w:tr>
      <w:tr w14:paraId="1623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97" w:type="dxa"/>
            <w:noWrap w:val="0"/>
            <w:vAlign w:val="center"/>
          </w:tcPr>
          <w:p w14:paraId="0279C784">
            <w:pPr>
              <w:pStyle w:val="15"/>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3457" w:type="dxa"/>
            <w:gridSpan w:val="2"/>
            <w:noWrap w:val="0"/>
            <w:vAlign w:val="center"/>
          </w:tcPr>
          <w:p w14:paraId="63A25CC4">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23A3467F">
            <w:pPr>
              <w:widowControl/>
              <w:jc w:val="center"/>
              <w:textAlignment w:val="center"/>
              <w:rPr>
                <w:rFonts w:hint="eastAsia" w:ascii="宋体" w:hAnsi="宋体" w:eastAsia="宋体" w:cs="宋体"/>
                <w:color w:val="auto"/>
                <w:sz w:val="24"/>
                <w:highlight w:val="none"/>
              </w:rPr>
            </w:pPr>
          </w:p>
        </w:tc>
        <w:tc>
          <w:tcPr>
            <w:tcW w:w="2029" w:type="dxa"/>
            <w:noWrap w:val="0"/>
            <w:vAlign w:val="center"/>
          </w:tcPr>
          <w:p w14:paraId="4EA4A69A">
            <w:pPr>
              <w:widowControl/>
              <w:jc w:val="center"/>
              <w:textAlignment w:val="center"/>
              <w:rPr>
                <w:rFonts w:hint="eastAsia" w:ascii="宋体" w:hAnsi="宋体" w:eastAsia="宋体" w:cs="宋体"/>
                <w:color w:val="auto"/>
                <w:sz w:val="24"/>
                <w:highlight w:val="none"/>
              </w:rPr>
            </w:pPr>
          </w:p>
        </w:tc>
        <w:tc>
          <w:tcPr>
            <w:tcW w:w="1591" w:type="dxa"/>
            <w:noWrap w:val="0"/>
            <w:vAlign w:val="center"/>
          </w:tcPr>
          <w:p w14:paraId="5A5372B5">
            <w:pPr>
              <w:widowControl/>
              <w:jc w:val="center"/>
              <w:textAlignment w:val="center"/>
              <w:rPr>
                <w:rFonts w:hint="eastAsia" w:ascii="宋体" w:hAnsi="宋体" w:eastAsia="宋体" w:cs="宋体"/>
                <w:color w:val="auto"/>
                <w:sz w:val="24"/>
                <w:highlight w:val="none"/>
              </w:rPr>
            </w:pPr>
          </w:p>
        </w:tc>
        <w:tc>
          <w:tcPr>
            <w:tcW w:w="1377" w:type="dxa"/>
            <w:noWrap w:val="0"/>
            <w:vAlign w:val="center"/>
          </w:tcPr>
          <w:p w14:paraId="1ED77011">
            <w:pPr>
              <w:pStyle w:val="15"/>
              <w:spacing w:line="240" w:lineRule="atLeast"/>
              <w:jc w:val="center"/>
              <w:rPr>
                <w:rFonts w:hint="eastAsia" w:ascii="宋体" w:hAnsi="宋体" w:eastAsia="宋体" w:cs="宋体"/>
                <w:color w:val="auto"/>
                <w:sz w:val="24"/>
                <w:highlight w:val="none"/>
                <w:lang w:val="en-US" w:eastAsia="zh-CN"/>
              </w:rPr>
            </w:pPr>
          </w:p>
        </w:tc>
        <w:tc>
          <w:tcPr>
            <w:tcW w:w="1453" w:type="dxa"/>
            <w:noWrap w:val="0"/>
            <w:vAlign w:val="center"/>
          </w:tcPr>
          <w:p w14:paraId="2C44D004">
            <w:pPr>
              <w:pStyle w:val="15"/>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5FC58D91">
            <w:pPr>
              <w:pStyle w:val="15"/>
              <w:spacing w:line="240" w:lineRule="atLeast"/>
              <w:jc w:val="center"/>
              <w:rPr>
                <w:rFonts w:hint="eastAsia" w:ascii="宋体" w:hAnsi="宋体" w:eastAsia="宋体" w:cs="宋体"/>
                <w:color w:val="auto"/>
                <w:sz w:val="24"/>
                <w:highlight w:val="none"/>
                <w:lang w:val="en-US" w:eastAsia="zh-CN"/>
              </w:rPr>
            </w:pPr>
          </w:p>
        </w:tc>
      </w:tr>
      <w:tr w14:paraId="2D61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7" w:type="dxa"/>
            <w:noWrap w:val="0"/>
            <w:vAlign w:val="center"/>
          </w:tcPr>
          <w:p w14:paraId="1520E5C9">
            <w:pPr>
              <w:pStyle w:val="15"/>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3457" w:type="dxa"/>
            <w:gridSpan w:val="2"/>
            <w:noWrap w:val="0"/>
            <w:vAlign w:val="center"/>
          </w:tcPr>
          <w:p w14:paraId="4CB7ACA3">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7016A588">
            <w:pPr>
              <w:widowControl/>
              <w:jc w:val="center"/>
              <w:textAlignment w:val="center"/>
              <w:rPr>
                <w:rFonts w:hint="eastAsia" w:ascii="宋体" w:hAnsi="宋体" w:eastAsia="宋体" w:cs="宋体"/>
                <w:color w:val="auto"/>
                <w:sz w:val="24"/>
                <w:highlight w:val="none"/>
              </w:rPr>
            </w:pPr>
          </w:p>
        </w:tc>
        <w:tc>
          <w:tcPr>
            <w:tcW w:w="2029" w:type="dxa"/>
            <w:noWrap w:val="0"/>
            <w:vAlign w:val="center"/>
          </w:tcPr>
          <w:p w14:paraId="7DCA76E8">
            <w:pPr>
              <w:widowControl/>
              <w:jc w:val="center"/>
              <w:textAlignment w:val="center"/>
              <w:rPr>
                <w:rFonts w:hint="eastAsia" w:ascii="宋体" w:hAnsi="宋体" w:eastAsia="宋体" w:cs="宋体"/>
                <w:color w:val="auto"/>
                <w:sz w:val="24"/>
                <w:highlight w:val="none"/>
              </w:rPr>
            </w:pPr>
          </w:p>
        </w:tc>
        <w:tc>
          <w:tcPr>
            <w:tcW w:w="1591" w:type="dxa"/>
            <w:noWrap w:val="0"/>
            <w:vAlign w:val="center"/>
          </w:tcPr>
          <w:p w14:paraId="1217E216">
            <w:pPr>
              <w:widowControl/>
              <w:jc w:val="center"/>
              <w:textAlignment w:val="center"/>
              <w:rPr>
                <w:rFonts w:hint="eastAsia" w:ascii="宋体" w:hAnsi="宋体" w:eastAsia="宋体" w:cs="宋体"/>
                <w:color w:val="auto"/>
                <w:sz w:val="24"/>
                <w:highlight w:val="none"/>
              </w:rPr>
            </w:pPr>
          </w:p>
        </w:tc>
        <w:tc>
          <w:tcPr>
            <w:tcW w:w="1377" w:type="dxa"/>
            <w:noWrap w:val="0"/>
            <w:vAlign w:val="center"/>
          </w:tcPr>
          <w:p w14:paraId="0CB29BE3">
            <w:pPr>
              <w:pStyle w:val="15"/>
              <w:spacing w:line="240" w:lineRule="atLeast"/>
              <w:jc w:val="center"/>
              <w:rPr>
                <w:rFonts w:hint="eastAsia" w:ascii="宋体" w:hAnsi="宋体" w:eastAsia="宋体" w:cs="宋体"/>
                <w:color w:val="auto"/>
                <w:sz w:val="24"/>
                <w:highlight w:val="none"/>
                <w:lang w:val="en-US" w:eastAsia="zh-CN"/>
              </w:rPr>
            </w:pPr>
          </w:p>
        </w:tc>
        <w:tc>
          <w:tcPr>
            <w:tcW w:w="1453" w:type="dxa"/>
            <w:noWrap w:val="0"/>
            <w:vAlign w:val="center"/>
          </w:tcPr>
          <w:p w14:paraId="7CEFB9D3">
            <w:pPr>
              <w:pStyle w:val="15"/>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418E6341">
            <w:pPr>
              <w:pStyle w:val="15"/>
              <w:spacing w:line="240" w:lineRule="atLeast"/>
              <w:jc w:val="center"/>
              <w:rPr>
                <w:rFonts w:hint="eastAsia" w:ascii="宋体" w:hAnsi="宋体" w:eastAsia="宋体" w:cs="宋体"/>
                <w:color w:val="auto"/>
                <w:sz w:val="24"/>
                <w:highlight w:val="none"/>
                <w:lang w:val="en-US" w:eastAsia="zh-CN"/>
              </w:rPr>
            </w:pPr>
          </w:p>
        </w:tc>
      </w:tr>
      <w:tr w14:paraId="3542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7" w:type="dxa"/>
            <w:noWrap w:val="0"/>
            <w:vAlign w:val="center"/>
          </w:tcPr>
          <w:p w14:paraId="60BEE4D0">
            <w:pPr>
              <w:pStyle w:val="15"/>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3457" w:type="dxa"/>
            <w:gridSpan w:val="2"/>
            <w:noWrap w:val="0"/>
            <w:vAlign w:val="center"/>
          </w:tcPr>
          <w:p w14:paraId="40BA6C62">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32F7C0C6">
            <w:pPr>
              <w:widowControl/>
              <w:jc w:val="center"/>
              <w:textAlignment w:val="center"/>
              <w:rPr>
                <w:rFonts w:hint="eastAsia" w:ascii="宋体" w:hAnsi="宋体" w:eastAsia="宋体" w:cs="宋体"/>
                <w:color w:val="auto"/>
                <w:sz w:val="24"/>
                <w:highlight w:val="none"/>
              </w:rPr>
            </w:pPr>
          </w:p>
        </w:tc>
        <w:tc>
          <w:tcPr>
            <w:tcW w:w="2029" w:type="dxa"/>
            <w:noWrap w:val="0"/>
            <w:vAlign w:val="center"/>
          </w:tcPr>
          <w:p w14:paraId="2D7311A6">
            <w:pPr>
              <w:widowControl/>
              <w:jc w:val="center"/>
              <w:textAlignment w:val="center"/>
              <w:rPr>
                <w:rFonts w:hint="eastAsia" w:ascii="宋体" w:hAnsi="宋体" w:eastAsia="宋体" w:cs="宋体"/>
                <w:color w:val="auto"/>
                <w:sz w:val="24"/>
                <w:highlight w:val="none"/>
              </w:rPr>
            </w:pPr>
          </w:p>
        </w:tc>
        <w:tc>
          <w:tcPr>
            <w:tcW w:w="1591" w:type="dxa"/>
            <w:noWrap w:val="0"/>
            <w:vAlign w:val="center"/>
          </w:tcPr>
          <w:p w14:paraId="378AC251">
            <w:pPr>
              <w:widowControl/>
              <w:jc w:val="center"/>
              <w:textAlignment w:val="center"/>
              <w:rPr>
                <w:rFonts w:hint="eastAsia" w:ascii="宋体" w:hAnsi="宋体" w:eastAsia="宋体" w:cs="宋体"/>
                <w:color w:val="auto"/>
                <w:sz w:val="24"/>
                <w:highlight w:val="none"/>
              </w:rPr>
            </w:pPr>
          </w:p>
        </w:tc>
        <w:tc>
          <w:tcPr>
            <w:tcW w:w="1377" w:type="dxa"/>
            <w:noWrap w:val="0"/>
            <w:vAlign w:val="center"/>
          </w:tcPr>
          <w:p w14:paraId="08D3BD44">
            <w:pPr>
              <w:pStyle w:val="15"/>
              <w:spacing w:line="240" w:lineRule="atLeast"/>
              <w:jc w:val="center"/>
              <w:rPr>
                <w:rFonts w:hint="eastAsia" w:ascii="宋体" w:hAnsi="宋体" w:eastAsia="宋体" w:cs="宋体"/>
                <w:color w:val="auto"/>
                <w:sz w:val="24"/>
                <w:highlight w:val="none"/>
                <w:lang w:val="en-US" w:eastAsia="zh-CN"/>
              </w:rPr>
            </w:pPr>
          </w:p>
        </w:tc>
        <w:tc>
          <w:tcPr>
            <w:tcW w:w="1453" w:type="dxa"/>
            <w:noWrap w:val="0"/>
            <w:vAlign w:val="center"/>
          </w:tcPr>
          <w:p w14:paraId="5A6531AE">
            <w:pPr>
              <w:pStyle w:val="15"/>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0596FEED">
            <w:pPr>
              <w:pStyle w:val="15"/>
              <w:spacing w:line="240" w:lineRule="atLeast"/>
              <w:jc w:val="center"/>
              <w:rPr>
                <w:rFonts w:hint="eastAsia" w:ascii="宋体" w:hAnsi="宋体" w:eastAsia="宋体" w:cs="宋体"/>
                <w:color w:val="auto"/>
                <w:sz w:val="24"/>
                <w:highlight w:val="none"/>
                <w:lang w:val="en-US" w:eastAsia="zh-CN"/>
              </w:rPr>
            </w:pPr>
          </w:p>
        </w:tc>
      </w:tr>
      <w:tr w14:paraId="6F36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97" w:type="dxa"/>
            <w:noWrap w:val="0"/>
            <w:vAlign w:val="center"/>
          </w:tcPr>
          <w:p w14:paraId="7A1D4925">
            <w:pPr>
              <w:pStyle w:val="15"/>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3457" w:type="dxa"/>
            <w:gridSpan w:val="2"/>
            <w:noWrap w:val="0"/>
            <w:vAlign w:val="center"/>
          </w:tcPr>
          <w:p w14:paraId="22C57659">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2F840D9F">
            <w:pPr>
              <w:widowControl/>
              <w:jc w:val="center"/>
              <w:textAlignment w:val="center"/>
              <w:rPr>
                <w:rFonts w:hint="eastAsia" w:ascii="宋体" w:hAnsi="宋体" w:eastAsia="宋体" w:cs="宋体"/>
                <w:color w:val="auto"/>
                <w:sz w:val="24"/>
                <w:highlight w:val="none"/>
              </w:rPr>
            </w:pPr>
          </w:p>
        </w:tc>
        <w:tc>
          <w:tcPr>
            <w:tcW w:w="2029" w:type="dxa"/>
            <w:noWrap w:val="0"/>
            <w:vAlign w:val="center"/>
          </w:tcPr>
          <w:p w14:paraId="19743EB0">
            <w:pPr>
              <w:widowControl/>
              <w:jc w:val="center"/>
              <w:textAlignment w:val="center"/>
              <w:rPr>
                <w:rFonts w:hint="eastAsia" w:ascii="宋体" w:hAnsi="宋体" w:eastAsia="宋体" w:cs="宋体"/>
                <w:color w:val="auto"/>
                <w:sz w:val="24"/>
                <w:highlight w:val="none"/>
              </w:rPr>
            </w:pPr>
          </w:p>
        </w:tc>
        <w:tc>
          <w:tcPr>
            <w:tcW w:w="1591" w:type="dxa"/>
            <w:noWrap w:val="0"/>
            <w:vAlign w:val="center"/>
          </w:tcPr>
          <w:p w14:paraId="75E73F8B">
            <w:pPr>
              <w:widowControl/>
              <w:jc w:val="center"/>
              <w:textAlignment w:val="center"/>
              <w:rPr>
                <w:rFonts w:hint="eastAsia" w:ascii="宋体" w:hAnsi="宋体" w:eastAsia="宋体" w:cs="宋体"/>
                <w:color w:val="auto"/>
                <w:sz w:val="24"/>
                <w:highlight w:val="none"/>
              </w:rPr>
            </w:pPr>
          </w:p>
        </w:tc>
        <w:tc>
          <w:tcPr>
            <w:tcW w:w="1377" w:type="dxa"/>
            <w:noWrap w:val="0"/>
            <w:vAlign w:val="center"/>
          </w:tcPr>
          <w:p w14:paraId="5CDF9086">
            <w:pPr>
              <w:pStyle w:val="15"/>
              <w:spacing w:line="240" w:lineRule="atLeast"/>
              <w:jc w:val="center"/>
              <w:rPr>
                <w:rFonts w:hint="eastAsia" w:ascii="宋体" w:hAnsi="宋体" w:eastAsia="宋体" w:cs="宋体"/>
                <w:color w:val="auto"/>
                <w:sz w:val="24"/>
                <w:highlight w:val="none"/>
                <w:lang w:val="en-US" w:eastAsia="zh-CN"/>
              </w:rPr>
            </w:pPr>
          </w:p>
        </w:tc>
        <w:tc>
          <w:tcPr>
            <w:tcW w:w="1453" w:type="dxa"/>
            <w:noWrap w:val="0"/>
            <w:vAlign w:val="center"/>
          </w:tcPr>
          <w:p w14:paraId="5DBFCFC5">
            <w:pPr>
              <w:pStyle w:val="15"/>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23F6097A">
            <w:pPr>
              <w:pStyle w:val="15"/>
              <w:spacing w:line="240" w:lineRule="atLeast"/>
              <w:jc w:val="center"/>
              <w:rPr>
                <w:rFonts w:hint="eastAsia" w:ascii="宋体" w:hAnsi="宋体" w:eastAsia="宋体" w:cs="宋体"/>
                <w:color w:val="auto"/>
                <w:sz w:val="24"/>
                <w:highlight w:val="none"/>
                <w:lang w:val="en-US" w:eastAsia="zh-CN"/>
              </w:rPr>
            </w:pPr>
          </w:p>
        </w:tc>
      </w:tr>
      <w:tr w14:paraId="3B88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7" w:type="dxa"/>
            <w:noWrap w:val="0"/>
            <w:vAlign w:val="center"/>
          </w:tcPr>
          <w:p w14:paraId="4B9B4D5F">
            <w:pPr>
              <w:pStyle w:val="15"/>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3457" w:type="dxa"/>
            <w:gridSpan w:val="2"/>
            <w:noWrap w:val="0"/>
            <w:vAlign w:val="center"/>
          </w:tcPr>
          <w:p w14:paraId="5E3FECD6">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7FC21C13">
            <w:pPr>
              <w:widowControl/>
              <w:jc w:val="center"/>
              <w:textAlignment w:val="center"/>
              <w:rPr>
                <w:rFonts w:hint="eastAsia" w:ascii="宋体" w:hAnsi="宋体" w:eastAsia="宋体" w:cs="宋体"/>
                <w:color w:val="auto"/>
                <w:sz w:val="24"/>
                <w:highlight w:val="none"/>
              </w:rPr>
            </w:pPr>
          </w:p>
        </w:tc>
        <w:tc>
          <w:tcPr>
            <w:tcW w:w="2029" w:type="dxa"/>
            <w:noWrap w:val="0"/>
            <w:vAlign w:val="center"/>
          </w:tcPr>
          <w:p w14:paraId="6894E71D">
            <w:pPr>
              <w:widowControl/>
              <w:jc w:val="center"/>
              <w:textAlignment w:val="center"/>
              <w:rPr>
                <w:rFonts w:hint="eastAsia" w:ascii="宋体" w:hAnsi="宋体" w:eastAsia="宋体" w:cs="宋体"/>
                <w:color w:val="auto"/>
                <w:sz w:val="24"/>
                <w:highlight w:val="none"/>
              </w:rPr>
            </w:pPr>
          </w:p>
        </w:tc>
        <w:tc>
          <w:tcPr>
            <w:tcW w:w="1591" w:type="dxa"/>
            <w:noWrap w:val="0"/>
            <w:vAlign w:val="center"/>
          </w:tcPr>
          <w:p w14:paraId="53C98B99">
            <w:pPr>
              <w:widowControl/>
              <w:jc w:val="center"/>
              <w:textAlignment w:val="center"/>
              <w:rPr>
                <w:rFonts w:hint="eastAsia" w:ascii="宋体" w:hAnsi="宋体" w:eastAsia="宋体" w:cs="宋体"/>
                <w:color w:val="auto"/>
                <w:sz w:val="24"/>
                <w:highlight w:val="none"/>
              </w:rPr>
            </w:pPr>
          </w:p>
        </w:tc>
        <w:tc>
          <w:tcPr>
            <w:tcW w:w="1377" w:type="dxa"/>
            <w:noWrap w:val="0"/>
            <w:vAlign w:val="center"/>
          </w:tcPr>
          <w:p w14:paraId="55591206">
            <w:pPr>
              <w:pStyle w:val="15"/>
              <w:spacing w:line="240" w:lineRule="atLeast"/>
              <w:jc w:val="center"/>
              <w:rPr>
                <w:rFonts w:hint="eastAsia" w:ascii="宋体" w:hAnsi="宋体" w:eastAsia="宋体" w:cs="宋体"/>
                <w:color w:val="auto"/>
                <w:sz w:val="24"/>
                <w:highlight w:val="none"/>
                <w:lang w:val="en-US" w:eastAsia="zh-CN"/>
              </w:rPr>
            </w:pPr>
          </w:p>
        </w:tc>
        <w:tc>
          <w:tcPr>
            <w:tcW w:w="1453" w:type="dxa"/>
            <w:noWrap w:val="0"/>
            <w:vAlign w:val="center"/>
          </w:tcPr>
          <w:p w14:paraId="0D32E6AE">
            <w:pPr>
              <w:pStyle w:val="15"/>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683A5FFE">
            <w:pPr>
              <w:pStyle w:val="15"/>
              <w:spacing w:line="240" w:lineRule="atLeast"/>
              <w:jc w:val="center"/>
              <w:rPr>
                <w:rFonts w:hint="eastAsia" w:ascii="宋体" w:hAnsi="宋体" w:eastAsia="宋体" w:cs="宋体"/>
                <w:color w:val="auto"/>
                <w:sz w:val="24"/>
                <w:highlight w:val="none"/>
                <w:lang w:val="en-US" w:eastAsia="zh-CN"/>
              </w:rPr>
            </w:pPr>
          </w:p>
        </w:tc>
      </w:tr>
      <w:tr w14:paraId="54DA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7" w:type="dxa"/>
            <w:noWrap w:val="0"/>
            <w:vAlign w:val="center"/>
          </w:tcPr>
          <w:p w14:paraId="4BF23344">
            <w:pPr>
              <w:pStyle w:val="15"/>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3457" w:type="dxa"/>
            <w:gridSpan w:val="2"/>
            <w:noWrap w:val="0"/>
            <w:vAlign w:val="center"/>
          </w:tcPr>
          <w:p w14:paraId="5D2EB1D8">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18F6D19F">
            <w:pPr>
              <w:widowControl/>
              <w:jc w:val="center"/>
              <w:textAlignment w:val="center"/>
              <w:rPr>
                <w:rFonts w:hint="eastAsia" w:ascii="宋体" w:hAnsi="宋体" w:eastAsia="宋体" w:cs="宋体"/>
                <w:color w:val="auto"/>
                <w:sz w:val="24"/>
                <w:highlight w:val="none"/>
              </w:rPr>
            </w:pPr>
          </w:p>
        </w:tc>
        <w:tc>
          <w:tcPr>
            <w:tcW w:w="2029" w:type="dxa"/>
            <w:noWrap w:val="0"/>
            <w:vAlign w:val="center"/>
          </w:tcPr>
          <w:p w14:paraId="5029EF8C">
            <w:pPr>
              <w:widowControl/>
              <w:jc w:val="center"/>
              <w:textAlignment w:val="center"/>
              <w:rPr>
                <w:rFonts w:hint="eastAsia" w:ascii="宋体" w:hAnsi="宋体" w:eastAsia="宋体" w:cs="宋体"/>
                <w:color w:val="auto"/>
                <w:sz w:val="24"/>
                <w:highlight w:val="none"/>
              </w:rPr>
            </w:pPr>
          </w:p>
        </w:tc>
        <w:tc>
          <w:tcPr>
            <w:tcW w:w="1591" w:type="dxa"/>
            <w:noWrap w:val="0"/>
            <w:vAlign w:val="center"/>
          </w:tcPr>
          <w:p w14:paraId="4D9CCD9E">
            <w:pPr>
              <w:widowControl/>
              <w:jc w:val="center"/>
              <w:textAlignment w:val="center"/>
              <w:rPr>
                <w:rFonts w:hint="eastAsia" w:ascii="宋体" w:hAnsi="宋体" w:eastAsia="宋体" w:cs="宋体"/>
                <w:color w:val="auto"/>
                <w:sz w:val="24"/>
                <w:highlight w:val="none"/>
              </w:rPr>
            </w:pPr>
          </w:p>
        </w:tc>
        <w:tc>
          <w:tcPr>
            <w:tcW w:w="1377" w:type="dxa"/>
            <w:noWrap w:val="0"/>
            <w:vAlign w:val="center"/>
          </w:tcPr>
          <w:p w14:paraId="2F70970A">
            <w:pPr>
              <w:pStyle w:val="15"/>
              <w:spacing w:line="240" w:lineRule="atLeast"/>
              <w:jc w:val="center"/>
              <w:rPr>
                <w:rFonts w:hint="eastAsia" w:ascii="宋体" w:hAnsi="宋体" w:eastAsia="宋体" w:cs="宋体"/>
                <w:color w:val="auto"/>
                <w:sz w:val="24"/>
                <w:highlight w:val="none"/>
                <w:lang w:val="en-US" w:eastAsia="zh-CN"/>
              </w:rPr>
            </w:pPr>
          </w:p>
        </w:tc>
        <w:tc>
          <w:tcPr>
            <w:tcW w:w="1453" w:type="dxa"/>
            <w:noWrap w:val="0"/>
            <w:vAlign w:val="center"/>
          </w:tcPr>
          <w:p w14:paraId="41EF39C0">
            <w:pPr>
              <w:pStyle w:val="15"/>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5DE23E03">
            <w:pPr>
              <w:pStyle w:val="15"/>
              <w:spacing w:line="240" w:lineRule="atLeast"/>
              <w:jc w:val="center"/>
              <w:rPr>
                <w:rFonts w:hint="eastAsia" w:ascii="宋体" w:hAnsi="宋体" w:eastAsia="宋体" w:cs="宋体"/>
                <w:color w:val="auto"/>
                <w:sz w:val="24"/>
                <w:highlight w:val="none"/>
                <w:lang w:val="en-US" w:eastAsia="zh-CN"/>
              </w:rPr>
            </w:pPr>
          </w:p>
        </w:tc>
      </w:tr>
      <w:tr w14:paraId="0DBB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97" w:type="dxa"/>
            <w:noWrap w:val="0"/>
            <w:vAlign w:val="center"/>
          </w:tcPr>
          <w:p w14:paraId="7EFBCA22">
            <w:pPr>
              <w:pStyle w:val="15"/>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c>
          <w:tcPr>
            <w:tcW w:w="3457" w:type="dxa"/>
            <w:gridSpan w:val="2"/>
            <w:noWrap w:val="0"/>
            <w:vAlign w:val="center"/>
          </w:tcPr>
          <w:p w14:paraId="5A3B5736">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7DB8C47A">
            <w:pPr>
              <w:widowControl/>
              <w:jc w:val="center"/>
              <w:textAlignment w:val="center"/>
              <w:rPr>
                <w:rFonts w:hint="eastAsia" w:ascii="宋体" w:hAnsi="宋体" w:eastAsia="宋体" w:cs="宋体"/>
                <w:color w:val="auto"/>
                <w:sz w:val="24"/>
                <w:highlight w:val="none"/>
              </w:rPr>
            </w:pPr>
          </w:p>
        </w:tc>
        <w:tc>
          <w:tcPr>
            <w:tcW w:w="2029" w:type="dxa"/>
            <w:noWrap w:val="0"/>
            <w:vAlign w:val="center"/>
          </w:tcPr>
          <w:p w14:paraId="1D708634">
            <w:pPr>
              <w:widowControl/>
              <w:jc w:val="center"/>
              <w:textAlignment w:val="center"/>
              <w:rPr>
                <w:rFonts w:hint="eastAsia" w:ascii="宋体" w:hAnsi="宋体" w:eastAsia="宋体" w:cs="宋体"/>
                <w:color w:val="auto"/>
                <w:sz w:val="24"/>
                <w:highlight w:val="none"/>
              </w:rPr>
            </w:pPr>
          </w:p>
        </w:tc>
        <w:tc>
          <w:tcPr>
            <w:tcW w:w="1591" w:type="dxa"/>
            <w:noWrap w:val="0"/>
            <w:vAlign w:val="center"/>
          </w:tcPr>
          <w:p w14:paraId="759917AE">
            <w:pPr>
              <w:widowControl/>
              <w:jc w:val="center"/>
              <w:textAlignment w:val="center"/>
              <w:rPr>
                <w:rFonts w:hint="eastAsia" w:ascii="宋体" w:hAnsi="宋体" w:eastAsia="宋体" w:cs="宋体"/>
                <w:color w:val="auto"/>
                <w:sz w:val="24"/>
                <w:highlight w:val="none"/>
              </w:rPr>
            </w:pPr>
          </w:p>
        </w:tc>
        <w:tc>
          <w:tcPr>
            <w:tcW w:w="1377" w:type="dxa"/>
            <w:noWrap w:val="0"/>
            <w:vAlign w:val="center"/>
          </w:tcPr>
          <w:p w14:paraId="7D97F71E">
            <w:pPr>
              <w:pStyle w:val="15"/>
              <w:spacing w:line="240" w:lineRule="atLeast"/>
              <w:jc w:val="center"/>
              <w:rPr>
                <w:rFonts w:hint="eastAsia" w:ascii="宋体" w:hAnsi="宋体" w:eastAsia="宋体" w:cs="宋体"/>
                <w:color w:val="auto"/>
                <w:sz w:val="24"/>
                <w:highlight w:val="none"/>
                <w:lang w:val="en-US" w:eastAsia="zh-CN"/>
              </w:rPr>
            </w:pPr>
          </w:p>
        </w:tc>
        <w:tc>
          <w:tcPr>
            <w:tcW w:w="1453" w:type="dxa"/>
            <w:noWrap w:val="0"/>
            <w:vAlign w:val="center"/>
          </w:tcPr>
          <w:p w14:paraId="05C51B73">
            <w:pPr>
              <w:pStyle w:val="15"/>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6BBA9D44">
            <w:pPr>
              <w:pStyle w:val="15"/>
              <w:spacing w:line="240" w:lineRule="atLeast"/>
              <w:jc w:val="center"/>
              <w:rPr>
                <w:rFonts w:hint="eastAsia" w:ascii="宋体" w:hAnsi="宋体" w:eastAsia="宋体" w:cs="宋体"/>
                <w:color w:val="auto"/>
                <w:sz w:val="24"/>
                <w:highlight w:val="none"/>
                <w:lang w:val="en-US" w:eastAsia="zh-CN"/>
              </w:rPr>
            </w:pPr>
          </w:p>
        </w:tc>
      </w:tr>
      <w:tr w14:paraId="7B34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310" w:type="dxa"/>
            <w:gridSpan w:val="2"/>
            <w:noWrap w:val="0"/>
            <w:vAlign w:val="center"/>
          </w:tcPr>
          <w:p w14:paraId="7F5AFF47">
            <w:pPr>
              <w:widowControl/>
              <w:jc w:val="center"/>
              <w:textAlignment w:val="center"/>
              <w:rPr>
                <w:rFonts w:hint="eastAsia" w:ascii="宋体" w:hAnsi="宋体" w:eastAsia="宋体" w:cs="宋体"/>
                <w:color w:val="auto"/>
                <w:kern w:val="0"/>
                <w:sz w:val="22"/>
                <w:szCs w:val="22"/>
                <w:highlight w:val="none"/>
                <w:lang w:bidi="ar"/>
              </w:rPr>
            </w:pPr>
          </w:p>
        </w:tc>
        <w:tc>
          <w:tcPr>
            <w:tcW w:w="6183" w:type="dxa"/>
            <w:gridSpan w:val="3"/>
            <w:noWrap w:val="0"/>
            <w:vAlign w:val="center"/>
          </w:tcPr>
          <w:p w14:paraId="1756E2AA">
            <w:pPr>
              <w:widowControl/>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总价：</w:t>
            </w:r>
          </w:p>
        </w:tc>
        <w:tc>
          <w:tcPr>
            <w:tcW w:w="5441" w:type="dxa"/>
            <w:gridSpan w:val="4"/>
            <w:noWrap w:val="0"/>
            <w:vAlign w:val="center"/>
          </w:tcPr>
          <w:p w14:paraId="26AB6D62">
            <w:pPr>
              <w:pStyle w:val="15"/>
              <w:spacing w:line="240" w:lineRule="atLeast"/>
              <w:jc w:val="center"/>
              <w:rPr>
                <w:rFonts w:hint="eastAsia" w:ascii="宋体" w:hAnsi="宋体" w:eastAsia="宋体" w:cs="宋体"/>
                <w:color w:val="auto"/>
                <w:sz w:val="24"/>
                <w:highlight w:val="none"/>
                <w:lang w:val="en-US" w:eastAsia="zh-CN"/>
              </w:rPr>
            </w:pPr>
          </w:p>
        </w:tc>
      </w:tr>
    </w:tbl>
    <w:p w14:paraId="7C3C19E2">
      <w:pPr>
        <w:pStyle w:val="15"/>
        <w:spacing w:line="240" w:lineRule="atLeast"/>
        <w:jc w:val="center"/>
        <w:rPr>
          <w:rFonts w:hint="eastAsia" w:ascii="宋体" w:hAnsi="宋体" w:eastAsia="宋体" w:cs="宋体"/>
          <w:color w:val="auto"/>
          <w:sz w:val="24"/>
          <w:highlight w:val="none"/>
        </w:rPr>
      </w:pPr>
    </w:p>
    <w:p w14:paraId="71F7A88A">
      <w:pPr>
        <w:pStyle w:val="15"/>
        <w:spacing w:line="240" w:lineRule="atLeast"/>
        <w:ind w:left="1155" w:leftChars="371" w:hanging="376" w:hangingChars="157"/>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hAnsi="宋体" w:cs="宋体"/>
          <w:color w:val="auto"/>
          <w:sz w:val="24"/>
          <w:highlight w:val="none"/>
          <w:lang w:eastAsia="zh-CN"/>
        </w:rPr>
        <w:t>（签字或盖章）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2FC5426A">
      <w:pPr>
        <w:pStyle w:val="15"/>
        <w:tabs>
          <w:tab w:val="left" w:pos="5370"/>
        </w:tabs>
        <w:spacing w:line="240" w:lineRule="atLeast"/>
        <w:ind w:left="1155" w:leftChars="371" w:hanging="376" w:hangingChars="157"/>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14:paraId="237FC271">
      <w:pPr>
        <w:pStyle w:val="15"/>
        <w:spacing w:line="240" w:lineRule="atLeast"/>
        <w:ind w:left="1155" w:leftChars="371" w:hanging="376" w:hangingChars="157"/>
        <w:rPr>
          <w:rFonts w:hint="eastAsia" w:ascii="宋体" w:hAnsi="宋体" w:eastAsia="宋体" w:cs="宋体"/>
          <w:color w:val="auto"/>
          <w:sz w:val="24"/>
          <w:highlight w:val="none"/>
        </w:rPr>
      </w:pPr>
      <w:r>
        <w:rPr>
          <w:rFonts w:hint="eastAsia" w:ascii="宋体" w:hAnsi="宋体" w:eastAsia="宋体" w:cs="宋体"/>
          <w:color w:val="auto"/>
          <w:sz w:val="24"/>
          <w:highlight w:val="none"/>
        </w:rPr>
        <w:t>注:1.如果投标人认为需要，每种货物填写一份该表。</w:t>
      </w:r>
    </w:p>
    <w:p w14:paraId="7821A156">
      <w:pPr>
        <w:pStyle w:val="15"/>
        <w:spacing w:line="240" w:lineRule="atLeast"/>
        <w:ind w:left="1155" w:leftChars="371" w:hanging="376" w:hangingChars="157"/>
        <w:rPr>
          <w:rFonts w:hint="eastAsia" w:ascii="宋体" w:hAnsi="宋体" w:eastAsia="宋体" w:cs="宋体"/>
          <w:color w:val="auto"/>
          <w:sz w:val="24"/>
          <w:highlight w:val="none"/>
        </w:rPr>
      </w:pPr>
      <w:r>
        <w:rPr>
          <w:rFonts w:hint="eastAsia" w:ascii="宋体" w:hAnsi="宋体" w:eastAsia="宋体" w:cs="宋体"/>
          <w:color w:val="auto"/>
          <w:sz w:val="24"/>
          <w:highlight w:val="none"/>
        </w:rPr>
        <w:t>2.如果按单价计算的结果与总价不一致,以单价为准修正总价。</w:t>
      </w:r>
    </w:p>
    <w:p w14:paraId="1D608B54">
      <w:pPr>
        <w:pStyle w:val="15"/>
        <w:spacing w:line="240" w:lineRule="atLeast"/>
        <w:ind w:left="1155" w:leftChars="371" w:hanging="376" w:hangingChars="157"/>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3.如果不提供详细分项报价将视为没有实质性响应招标文件。</w:t>
      </w:r>
    </w:p>
    <w:p w14:paraId="3FECC3D1">
      <w:pPr>
        <w:pStyle w:val="15"/>
        <w:spacing w:line="240" w:lineRule="atLeast"/>
        <w:ind w:left="1155" w:leftChars="371" w:hanging="376" w:hangingChars="157"/>
        <w:rPr>
          <w:rFonts w:hint="eastAsia" w:ascii="宋体" w:hAnsi="宋体" w:eastAsia="宋体" w:cs="宋体"/>
          <w:color w:val="auto"/>
          <w:sz w:val="24"/>
          <w:highlight w:val="none"/>
        </w:rPr>
      </w:pPr>
      <w:r>
        <w:rPr>
          <w:rFonts w:hint="eastAsia" w:hAnsi="宋体" w:cs="宋体"/>
          <w:color w:val="auto"/>
          <w:sz w:val="24"/>
          <w:highlight w:val="none"/>
          <w:lang w:val="en-US" w:eastAsia="zh-CN"/>
        </w:rPr>
        <w:t>4</w:t>
      </w:r>
      <w:r>
        <w:rPr>
          <w:rFonts w:hint="eastAsia" w:ascii="宋体" w:hAnsi="宋体" w:eastAsia="宋体" w:cs="宋体"/>
          <w:color w:val="auto"/>
          <w:sz w:val="24"/>
          <w:highlight w:val="none"/>
        </w:rPr>
        <w:t>.如果开标一览表（报价表）内容与投标文件中明细表内容不一致的，以开标一览表（报价表）内容为准。</w:t>
      </w:r>
    </w:p>
    <w:p w14:paraId="37541032">
      <w:pPr>
        <w:pStyle w:val="15"/>
        <w:spacing w:line="240" w:lineRule="atLeast"/>
        <w:rPr>
          <w:rFonts w:hint="eastAsia" w:ascii="宋体" w:hAnsi="宋体" w:eastAsia="宋体" w:cs="宋体"/>
          <w:color w:val="auto"/>
          <w:sz w:val="24"/>
          <w:highlight w:val="none"/>
        </w:rPr>
      </w:pPr>
    </w:p>
    <w:p w14:paraId="26A03F97">
      <w:pPr>
        <w:pStyle w:val="3"/>
        <w:spacing w:before="0" w:line="240" w:lineRule="atLeast"/>
        <w:ind w:left="1080" w:leftChars="257" w:hanging="540"/>
        <w:rPr>
          <w:rFonts w:hint="eastAsia" w:ascii="宋体" w:hAnsi="宋体" w:eastAsia="宋体" w:cs="宋体"/>
          <w:color w:val="auto"/>
          <w:sz w:val="24"/>
          <w:highlight w:val="none"/>
        </w:rPr>
      </w:pPr>
      <w:bookmarkStart w:id="319" w:name="_Toc14037"/>
      <w:bookmarkStart w:id="320" w:name="_Toc18267"/>
      <w:bookmarkStart w:id="321" w:name="_Toc515647819"/>
      <w:bookmarkStart w:id="322" w:name="_Toc32398"/>
      <w:bookmarkStart w:id="323" w:name="_Toc216582816"/>
    </w:p>
    <w:p w14:paraId="78822A63">
      <w:pPr>
        <w:pStyle w:val="5"/>
        <w:rPr>
          <w:rFonts w:hint="eastAsia" w:ascii="宋体" w:hAnsi="宋体" w:eastAsia="宋体" w:cs="宋体"/>
          <w:color w:val="auto"/>
          <w:highlight w:val="none"/>
        </w:rPr>
      </w:pPr>
    </w:p>
    <w:p w14:paraId="7B4BC375">
      <w:pPr>
        <w:pStyle w:val="5"/>
        <w:rPr>
          <w:rFonts w:hint="eastAsia" w:ascii="宋体" w:hAnsi="宋体" w:eastAsia="宋体" w:cs="宋体"/>
          <w:color w:val="auto"/>
          <w:highlight w:val="none"/>
        </w:rPr>
      </w:pPr>
    </w:p>
    <w:p w14:paraId="764CC499">
      <w:pPr>
        <w:pStyle w:val="3"/>
        <w:spacing w:before="0"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   货物说明一览表</w:t>
      </w:r>
      <w:bookmarkEnd w:id="319"/>
      <w:bookmarkEnd w:id="320"/>
      <w:bookmarkEnd w:id="321"/>
      <w:bookmarkEnd w:id="322"/>
      <w:bookmarkEnd w:id="323"/>
    </w:p>
    <w:p w14:paraId="153FA6F5">
      <w:pPr>
        <w:pStyle w:val="15"/>
        <w:spacing w:line="240" w:lineRule="atLeast"/>
        <w:ind w:left="1080" w:leftChars="257" w:hanging="540"/>
        <w:rPr>
          <w:rFonts w:hint="eastAsia" w:ascii="宋体" w:hAnsi="宋体" w:eastAsia="宋体" w:cs="宋体"/>
          <w:color w:val="auto"/>
          <w:sz w:val="24"/>
          <w:highlight w:val="none"/>
        </w:rPr>
      </w:pPr>
    </w:p>
    <w:p w14:paraId="6E8D612C">
      <w:pPr>
        <w:pStyle w:val="15"/>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招标编号:                                            </w:t>
      </w:r>
    </w:p>
    <w:p w14:paraId="6C414F83">
      <w:pPr>
        <w:pStyle w:val="15"/>
        <w:spacing w:line="240" w:lineRule="atLeast"/>
        <w:ind w:left="1080" w:leftChars="257" w:hanging="540"/>
        <w:rPr>
          <w:rFonts w:hint="eastAsia" w:ascii="宋体" w:hAnsi="宋体" w:eastAsia="宋体" w:cs="宋体"/>
          <w:color w:val="auto"/>
          <w:sz w:val="24"/>
          <w:highlight w:val="none"/>
        </w:rPr>
      </w:pPr>
    </w:p>
    <w:tbl>
      <w:tblPr>
        <w:tblStyle w:val="35"/>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2875"/>
        <w:gridCol w:w="2000"/>
        <w:gridCol w:w="2081"/>
        <w:gridCol w:w="1435"/>
        <w:gridCol w:w="1807"/>
        <w:gridCol w:w="2129"/>
      </w:tblGrid>
      <w:tr w14:paraId="7C25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6EA20EB3">
            <w:pPr>
              <w:pStyle w:val="15"/>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2875" w:type="dxa"/>
            <w:noWrap w:val="0"/>
            <w:vAlign w:val="top"/>
          </w:tcPr>
          <w:p w14:paraId="03315EAA">
            <w:pPr>
              <w:pStyle w:val="15"/>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货物名称</w:t>
            </w:r>
          </w:p>
        </w:tc>
        <w:tc>
          <w:tcPr>
            <w:tcW w:w="2000" w:type="dxa"/>
            <w:noWrap w:val="0"/>
            <w:vAlign w:val="top"/>
          </w:tcPr>
          <w:p w14:paraId="4546AAAF">
            <w:pPr>
              <w:pStyle w:val="15"/>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主要规格</w:t>
            </w:r>
          </w:p>
        </w:tc>
        <w:tc>
          <w:tcPr>
            <w:tcW w:w="2081" w:type="dxa"/>
            <w:noWrap w:val="0"/>
            <w:vAlign w:val="top"/>
          </w:tcPr>
          <w:p w14:paraId="2698B8F3">
            <w:pPr>
              <w:pStyle w:val="15"/>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数量</w:t>
            </w:r>
          </w:p>
        </w:tc>
        <w:tc>
          <w:tcPr>
            <w:tcW w:w="1435" w:type="dxa"/>
            <w:noWrap w:val="0"/>
            <w:vAlign w:val="top"/>
          </w:tcPr>
          <w:p w14:paraId="60AC9EC9">
            <w:pPr>
              <w:pStyle w:val="15"/>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交货期</w:t>
            </w:r>
          </w:p>
        </w:tc>
        <w:tc>
          <w:tcPr>
            <w:tcW w:w="1807" w:type="dxa"/>
            <w:noWrap w:val="0"/>
            <w:vAlign w:val="top"/>
          </w:tcPr>
          <w:p w14:paraId="18A8CD08">
            <w:pPr>
              <w:pStyle w:val="15"/>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交货地点</w:t>
            </w:r>
          </w:p>
        </w:tc>
        <w:tc>
          <w:tcPr>
            <w:tcW w:w="2129" w:type="dxa"/>
            <w:noWrap w:val="0"/>
            <w:vAlign w:val="top"/>
          </w:tcPr>
          <w:p w14:paraId="6B44C83E">
            <w:pPr>
              <w:pStyle w:val="15"/>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其它</w:t>
            </w:r>
          </w:p>
        </w:tc>
      </w:tr>
      <w:tr w14:paraId="4A01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440" w:type="dxa"/>
            <w:noWrap w:val="0"/>
            <w:vAlign w:val="top"/>
          </w:tcPr>
          <w:p w14:paraId="099FA008">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875" w:type="dxa"/>
            <w:noWrap w:val="0"/>
            <w:vAlign w:val="top"/>
          </w:tcPr>
          <w:p w14:paraId="39E2ADE9">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00" w:type="dxa"/>
            <w:noWrap w:val="0"/>
            <w:vAlign w:val="top"/>
          </w:tcPr>
          <w:p w14:paraId="7E6B8984">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81" w:type="dxa"/>
            <w:noWrap w:val="0"/>
            <w:vAlign w:val="top"/>
          </w:tcPr>
          <w:p w14:paraId="1BF3D133">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35" w:type="dxa"/>
            <w:noWrap w:val="0"/>
            <w:vAlign w:val="top"/>
          </w:tcPr>
          <w:p w14:paraId="3E069DFF">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807" w:type="dxa"/>
            <w:noWrap w:val="0"/>
            <w:vAlign w:val="top"/>
          </w:tcPr>
          <w:p w14:paraId="60E20759">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129" w:type="dxa"/>
            <w:noWrap w:val="0"/>
            <w:vAlign w:val="top"/>
          </w:tcPr>
          <w:p w14:paraId="689E49D9">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r>
      <w:tr w14:paraId="4FB1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642D0AD0">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875" w:type="dxa"/>
            <w:noWrap w:val="0"/>
            <w:vAlign w:val="top"/>
          </w:tcPr>
          <w:p w14:paraId="3C7E856C">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00" w:type="dxa"/>
            <w:noWrap w:val="0"/>
            <w:vAlign w:val="top"/>
          </w:tcPr>
          <w:p w14:paraId="3D3901C1">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81" w:type="dxa"/>
            <w:noWrap w:val="0"/>
            <w:vAlign w:val="top"/>
          </w:tcPr>
          <w:p w14:paraId="184D78DA">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35" w:type="dxa"/>
            <w:noWrap w:val="0"/>
            <w:vAlign w:val="top"/>
          </w:tcPr>
          <w:p w14:paraId="562ECF09">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807" w:type="dxa"/>
            <w:noWrap w:val="0"/>
            <w:vAlign w:val="top"/>
          </w:tcPr>
          <w:p w14:paraId="41E88C59">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129" w:type="dxa"/>
            <w:noWrap w:val="0"/>
            <w:vAlign w:val="top"/>
          </w:tcPr>
          <w:p w14:paraId="6FF7AD31">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r>
      <w:tr w14:paraId="203B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0BFB6033">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875" w:type="dxa"/>
            <w:noWrap w:val="0"/>
            <w:vAlign w:val="top"/>
          </w:tcPr>
          <w:p w14:paraId="144D63A9">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00" w:type="dxa"/>
            <w:noWrap w:val="0"/>
            <w:vAlign w:val="top"/>
          </w:tcPr>
          <w:p w14:paraId="46282C38">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81" w:type="dxa"/>
            <w:noWrap w:val="0"/>
            <w:vAlign w:val="top"/>
          </w:tcPr>
          <w:p w14:paraId="6DA54397">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35" w:type="dxa"/>
            <w:noWrap w:val="0"/>
            <w:vAlign w:val="top"/>
          </w:tcPr>
          <w:p w14:paraId="58463192">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807" w:type="dxa"/>
            <w:noWrap w:val="0"/>
            <w:vAlign w:val="top"/>
          </w:tcPr>
          <w:p w14:paraId="5771D22A">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129" w:type="dxa"/>
            <w:noWrap w:val="0"/>
            <w:vAlign w:val="top"/>
          </w:tcPr>
          <w:p w14:paraId="443A3311">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r>
      <w:tr w14:paraId="305A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13130911">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875" w:type="dxa"/>
            <w:noWrap w:val="0"/>
            <w:vAlign w:val="top"/>
          </w:tcPr>
          <w:p w14:paraId="54C5515D">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00" w:type="dxa"/>
            <w:noWrap w:val="0"/>
            <w:vAlign w:val="top"/>
          </w:tcPr>
          <w:p w14:paraId="3EA45D17">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81" w:type="dxa"/>
            <w:noWrap w:val="0"/>
            <w:vAlign w:val="top"/>
          </w:tcPr>
          <w:p w14:paraId="57FF8874">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35" w:type="dxa"/>
            <w:noWrap w:val="0"/>
            <w:vAlign w:val="top"/>
          </w:tcPr>
          <w:p w14:paraId="79777FC1">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807" w:type="dxa"/>
            <w:noWrap w:val="0"/>
            <w:vAlign w:val="top"/>
          </w:tcPr>
          <w:p w14:paraId="4FE0A6E7">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129" w:type="dxa"/>
            <w:noWrap w:val="0"/>
            <w:vAlign w:val="top"/>
          </w:tcPr>
          <w:p w14:paraId="73299127">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r>
      <w:tr w14:paraId="65D5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4904BF3E">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875" w:type="dxa"/>
            <w:noWrap w:val="0"/>
            <w:vAlign w:val="top"/>
          </w:tcPr>
          <w:p w14:paraId="2E80D816">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00" w:type="dxa"/>
            <w:noWrap w:val="0"/>
            <w:vAlign w:val="top"/>
          </w:tcPr>
          <w:p w14:paraId="05725B2A">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81" w:type="dxa"/>
            <w:noWrap w:val="0"/>
            <w:vAlign w:val="top"/>
          </w:tcPr>
          <w:p w14:paraId="6CEA3662">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35" w:type="dxa"/>
            <w:noWrap w:val="0"/>
            <w:vAlign w:val="top"/>
          </w:tcPr>
          <w:p w14:paraId="1869EBF2">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807" w:type="dxa"/>
            <w:noWrap w:val="0"/>
            <w:vAlign w:val="top"/>
          </w:tcPr>
          <w:p w14:paraId="47324497">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129" w:type="dxa"/>
            <w:noWrap w:val="0"/>
            <w:vAlign w:val="top"/>
          </w:tcPr>
          <w:p w14:paraId="2A497714">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r>
      <w:tr w14:paraId="1A42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66913B23">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875" w:type="dxa"/>
            <w:noWrap w:val="0"/>
            <w:vAlign w:val="top"/>
          </w:tcPr>
          <w:p w14:paraId="613B0021">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00" w:type="dxa"/>
            <w:noWrap w:val="0"/>
            <w:vAlign w:val="top"/>
          </w:tcPr>
          <w:p w14:paraId="6D9E9668">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81" w:type="dxa"/>
            <w:noWrap w:val="0"/>
            <w:vAlign w:val="top"/>
          </w:tcPr>
          <w:p w14:paraId="5ACB5C4D">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35" w:type="dxa"/>
            <w:noWrap w:val="0"/>
            <w:vAlign w:val="top"/>
          </w:tcPr>
          <w:p w14:paraId="66F5B151">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807" w:type="dxa"/>
            <w:noWrap w:val="0"/>
            <w:vAlign w:val="top"/>
          </w:tcPr>
          <w:p w14:paraId="2FCE8C36">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129" w:type="dxa"/>
            <w:noWrap w:val="0"/>
            <w:vAlign w:val="top"/>
          </w:tcPr>
          <w:p w14:paraId="58F80384">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r>
      <w:tr w14:paraId="4FC1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3CF81A34">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875" w:type="dxa"/>
            <w:noWrap w:val="0"/>
            <w:vAlign w:val="top"/>
          </w:tcPr>
          <w:p w14:paraId="698B00E7">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00" w:type="dxa"/>
            <w:noWrap w:val="0"/>
            <w:vAlign w:val="top"/>
          </w:tcPr>
          <w:p w14:paraId="732DE423">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81" w:type="dxa"/>
            <w:noWrap w:val="0"/>
            <w:vAlign w:val="top"/>
          </w:tcPr>
          <w:p w14:paraId="57671E1A">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35" w:type="dxa"/>
            <w:noWrap w:val="0"/>
            <w:vAlign w:val="top"/>
          </w:tcPr>
          <w:p w14:paraId="773B6D4E">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807" w:type="dxa"/>
            <w:noWrap w:val="0"/>
            <w:vAlign w:val="top"/>
          </w:tcPr>
          <w:p w14:paraId="628BBC6A">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129" w:type="dxa"/>
            <w:noWrap w:val="0"/>
            <w:vAlign w:val="top"/>
          </w:tcPr>
          <w:p w14:paraId="54D3CA1C">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r>
      <w:tr w14:paraId="497E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2645164A">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875" w:type="dxa"/>
            <w:noWrap w:val="0"/>
            <w:vAlign w:val="top"/>
          </w:tcPr>
          <w:p w14:paraId="0B6714BD">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00" w:type="dxa"/>
            <w:noWrap w:val="0"/>
            <w:vAlign w:val="top"/>
          </w:tcPr>
          <w:p w14:paraId="23257FCA">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81" w:type="dxa"/>
            <w:noWrap w:val="0"/>
            <w:vAlign w:val="top"/>
          </w:tcPr>
          <w:p w14:paraId="2EFDE1BE">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35" w:type="dxa"/>
            <w:noWrap w:val="0"/>
            <w:vAlign w:val="top"/>
          </w:tcPr>
          <w:p w14:paraId="02379248">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807" w:type="dxa"/>
            <w:noWrap w:val="0"/>
            <w:vAlign w:val="top"/>
          </w:tcPr>
          <w:p w14:paraId="12D1E1E2">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129" w:type="dxa"/>
            <w:noWrap w:val="0"/>
            <w:vAlign w:val="top"/>
          </w:tcPr>
          <w:p w14:paraId="273D2B12">
            <w:pPr>
              <w:pStyle w:val="15"/>
              <w:spacing w:line="240" w:lineRule="atLeast"/>
              <w:ind w:left="1080" w:leftChars="257" w:hanging="540"/>
              <w:jc w:val="both"/>
              <w:rPr>
                <w:rFonts w:hint="eastAsia" w:ascii="宋体" w:hAnsi="宋体" w:eastAsia="宋体" w:cs="宋体"/>
                <w:color w:val="auto"/>
                <w:sz w:val="24"/>
                <w:highlight w:val="none"/>
                <w:lang w:val="en-US" w:eastAsia="zh-CN"/>
              </w:rPr>
            </w:pPr>
          </w:p>
        </w:tc>
      </w:tr>
    </w:tbl>
    <w:p w14:paraId="42918AC5">
      <w:pPr>
        <w:pStyle w:val="15"/>
        <w:spacing w:line="240" w:lineRule="atLeast"/>
        <w:ind w:left="1080" w:leftChars="257" w:hanging="540"/>
        <w:rPr>
          <w:rFonts w:hint="eastAsia" w:ascii="宋体" w:hAnsi="宋体" w:eastAsia="宋体" w:cs="宋体"/>
          <w:color w:val="auto"/>
          <w:sz w:val="24"/>
          <w:highlight w:val="none"/>
        </w:rPr>
      </w:pPr>
    </w:p>
    <w:p w14:paraId="0EAC1B94">
      <w:pPr>
        <w:pStyle w:val="15"/>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hAnsi="宋体" w:cs="宋体"/>
          <w:color w:val="auto"/>
          <w:sz w:val="24"/>
          <w:highlight w:val="none"/>
          <w:lang w:eastAsia="zh-CN"/>
        </w:rPr>
        <w:t>（签字或盖章）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06584833">
      <w:pPr>
        <w:pStyle w:val="15"/>
        <w:tabs>
          <w:tab w:val="left" w:pos="5370"/>
        </w:tabs>
        <w:spacing w:line="240" w:lineRule="atLeas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14:paraId="75F873B7">
      <w:pPr>
        <w:pStyle w:val="15"/>
        <w:spacing w:line="240" w:lineRule="atLeast"/>
        <w:ind w:left="1080" w:leftChars="257" w:hanging="540"/>
        <w:rPr>
          <w:rFonts w:hint="eastAsia" w:ascii="宋体" w:hAnsi="宋体" w:eastAsia="宋体" w:cs="宋体"/>
          <w:color w:val="auto"/>
          <w:sz w:val="24"/>
          <w:highlight w:val="none"/>
        </w:rPr>
      </w:pPr>
    </w:p>
    <w:p w14:paraId="2708E20A">
      <w:pPr>
        <w:pStyle w:val="15"/>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 各项货物详细技术性能应另页描述。</w:t>
      </w:r>
    </w:p>
    <w:p w14:paraId="4DB585A2">
      <w:pPr>
        <w:pStyle w:val="15"/>
        <w:spacing w:line="240" w:lineRule="atLeast"/>
        <w:ind w:left="1080" w:leftChars="257" w:hanging="540"/>
        <w:jc w:val="center"/>
        <w:rPr>
          <w:rFonts w:hint="eastAsia" w:ascii="宋体" w:hAnsi="宋体" w:eastAsia="宋体" w:cs="宋体"/>
          <w:color w:val="auto"/>
          <w:sz w:val="24"/>
          <w:highlight w:val="none"/>
        </w:rPr>
      </w:pPr>
    </w:p>
    <w:p w14:paraId="106172CC">
      <w:pPr>
        <w:pStyle w:val="15"/>
        <w:spacing w:line="240" w:lineRule="atLeast"/>
        <w:ind w:left="1080" w:leftChars="257" w:hanging="540"/>
        <w:jc w:val="center"/>
        <w:rPr>
          <w:rFonts w:hint="eastAsia" w:ascii="宋体" w:hAnsi="宋体" w:eastAsia="宋体" w:cs="宋体"/>
          <w:color w:val="auto"/>
          <w:sz w:val="24"/>
          <w:highlight w:val="none"/>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docGrid w:linePitch="312" w:charSpace="0"/>
        </w:sectPr>
      </w:pPr>
    </w:p>
    <w:p w14:paraId="22AA4BD6">
      <w:pPr>
        <w:pStyle w:val="3"/>
        <w:spacing w:before="0" w:line="240" w:lineRule="atLeast"/>
        <w:ind w:left="1079" w:leftChars="257" w:hanging="540"/>
        <w:rPr>
          <w:rFonts w:hint="eastAsia" w:ascii="宋体" w:hAnsi="宋体" w:eastAsia="宋体" w:cs="宋体"/>
          <w:color w:val="auto"/>
          <w:sz w:val="24"/>
          <w:highlight w:val="none"/>
        </w:rPr>
      </w:pPr>
      <w:bookmarkStart w:id="324" w:name="_Toc29780"/>
      <w:bookmarkStart w:id="325" w:name="_Toc22563"/>
      <w:bookmarkStart w:id="326" w:name="_Toc515647820"/>
      <w:bookmarkStart w:id="327" w:name="_Toc216582817"/>
      <w:bookmarkStart w:id="328" w:name="_Toc28959"/>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   技术规格偏离表</w:t>
      </w:r>
      <w:bookmarkEnd w:id="324"/>
      <w:bookmarkEnd w:id="325"/>
      <w:bookmarkEnd w:id="326"/>
      <w:bookmarkEnd w:id="327"/>
      <w:bookmarkEnd w:id="328"/>
    </w:p>
    <w:p w14:paraId="3F9D1867">
      <w:pPr>
        <w:pStyle w:val="15"/>
        <w:spacing w:line="240" w:lineRule="atLeast"/>
        <w:ind w:left="1079" w:leftChars="257" w:hanging="540"/>
        <w:rPr>
          <w:rFonts w:hint="eastAsia" w:ascii="宋体" w:hAnsi="宋体" w:eastAsia="宋体" w:cs="宋体"/>
          <w:color w:val="auto"/>
          <w:sz w:val="24"/>
          <w:highlight w:val="none"/>
        </w:rPr>
      </w:pPr>
    </w:p>
    <w:p w14:paraId="0327A1CA">
      <w:pPr>
        <w:pStyle w:val="15"/>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招标编号:                 包号:</w:t>
      </w:r>
    </w:p>
    <w:p w14:paraId="20BED719">
      <w:pPr>
        <w:pStyle w:val="15"/>
        <w:spacing w:line="240" w:lineRule="atLeast"/>
        <w:ind w:left="1079" w:leftChars="257" w:hanging="540"/>
        <w:rPr>
          <w:rFonts w:hint="eastAsia" w:ascii="宋体" w:hAnsi="宋体" w:eastAsia="宋体" w:cs="宋体"/>
          <w:color w:val="auto"/>
          <w:sz w:val="24"/>
          <w:highlight w:val="none"/>
        </w:rPr>
      </w:pPr>
    </w:p>
    <w:tbl>
      <w:tblPr>
        <w:tblStyle w:val="35"/>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14:paraId="4C09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14:paraId="10C84A6F">
            <w:pPr>
              <w:pStyle w:val="15"/>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1260" w:type="dxa"/>
            <w:noWrap w:val="0"/>
            <w:vAlign w:val="center"/>
          </w:tcPr>
          <w:p w14:paraId="3DD7F8CC">
            <w:pPr>
              <w:pStyle w:val="15"/>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货物名称</w:t>
            </w:r>
          </w:p>
        </w:tc>
        <w:tc>
          <w:tcPr>
            <w:tcW w:w="2340" w:type="dxa"/>
            <w:noWrap w:val="0"/>
            <w:vAlign w:val="center"/>
          </w:tcPr>
          <w:p w14:paraId="3FAF7DCB">
            <w:pPr>
              <w:pStyle w:val="15"/>
              <w:spacing w:line="240" w:lineRule="atLeast"/>
              <w:ind w:left="268" w:leftChars="1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招标文件条款号</w:t>
            </w:r>
          </w:p>
        </w:tc>
        <w:tc>
          <w:tcPr>
            <w:tcW w:w="1260" w:type="dxa"/>
            <w:noWrap w:val="0"/>
            <w:vAlign w:val="center"/>
          </w:tcPr>
          <w:p w14:paraId="6273085E">
            <w:pPr>
              <w:pStyle w:val="15"/>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招标规格</w:t>
            </w:r>
          </w:p>
        </w:tc>
        <w:tc>
          <w:tcPr>
            <w:tcW w:w="1260" w:type="dxa"/>
            <w:noWrap w:val="0"/>
            <w:vAlign w:val="center"/>
          </w:tcPr>
          <w:p w14:paraId="69EE6663">
            <w:pPr>
              <w:pStyle w:val="15"/>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投标规格</w:t>
            </w:r>
          </w:p>
        </w:tc>
        <w:tc>
          <w:tcPr>
            <w:tcW w:w="900" w:type="dxa"/>
            <w:noWrap w:val="0"/>
            <w:vAlign w:val="center"/>
          </w:tcPr>
          <w:p w14:paraId="1277F215">
            <w:pPr>
              <w:pStyle w:val="15"/>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偏离</w:t>
            </w:r>
          </w:p>
        </w:tc>
        <w:tc>
          <w:tcPr>
            <w:tcW w:w="900" w:type="dxa"/>
            <w:noWrap w:val="0"/>
            <w:vAlign w:val="center"/>
          </w:tcPr>
          <w:p w14:paraId="72D3AC08">
            <w:pPr>
              <w:pStyle w:val="15"/>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tc>
      </w:tr>
      <w:tr w14:paraId="256F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265BB5EF">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66CBD6A6">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4B8F3FEB">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B2A6AA6">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682F185C">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1D3A897C">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57F11C9">
            <w:pPr>
              <w:pStyle w:val="15"/>
              <w:spacing w:line="240" w:lineRule="atLeast"/>
              <w:ind w:left="1079" w:leftChars="257" w:hanging="540"/>
              <w:rPr>
                <w:rFonts w:hint="eastAsia" w:ascii="宋体" w:hAnsi="宋体" w:eastAsia="宋体" w:cs="宋体"/>
                <w:color w:val="auto"/>
                <w:sz w:val="24"/>
                <w:highlight w:val="none"/>
                <w:lang w:val="en-US" w:eastAsia="zh-CN"/>
              </w:rPr>
            </w:pPr>
          </w:p>
        </w:tc>
      </w:tr>
      <w:tr w14:paraId="586F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4809B3D4">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2B38BD37">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0A120D19">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1AE53F11">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1626740E">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EB197A1">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369864D">
            <w:pPr>
              <w:pStyle w:val="15"/>
              <w:spacing w:line="240" w:lineRule="atLeast"/>
              <w:ind w:left="1079" w:leftChars="257" w:hanging="540"/>
              <w:rPr>
                <w:rFonts w:hint="eastAsia" w:ascii="宋体" w:hAnsi="宋体" w:eastAsia="宋体" w:cs="宋体"/>
                <w:color w:val="auto"/>
                <w:sz w:val="24"/>
                <w:highlight w:val="none"/>
                <w:lang w:val="en-US" w:eastAsia="zh-CN"/>
              </w:rPr>
            </w:pPr>
          </w:p>
        </w:tc>
      </w:tr>
      <w:tr w14:paraId="677B9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62B15A2E">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505E63F0">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08A2B879">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69EA845E">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45CC3F9E">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CCE5C93">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4470290D">
            <w:pPr>
              <w:pStyle w:val="15"/>
              <w:spacing w:line="240" w:lineRule="atLeast"/>
              <w:ind w:left="1079" w:leftChars="257" w:hanging="540"/>
              <w:rPr>
                <w:rFonts w:hint="eastAsia" w:ascii="宋体" w:hAnsi="宋体" w:eastAsia="宋体" w:cs="宋体"/>
                <w:color w:val="auto"/>
                <w:sz w:val="24"/>
                <w:highlight w:val="none"/>
                <w:lang w:val="en-US" w:eastAsia="zh-CN"/>
              </w:rPr>
            </w:pPr>
          </w:p>
        </w:tc>
      </w:tr>
      <w:tr w14:paraId="040B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5933A0F4">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361FD60">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35CA3185">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C639DEE">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7C54034">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464CE85">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F4F3DCD">
            <w:pPr>
              <w:pStyle w:val="15"/>
              <w:spacing w:line="240" w:lineRule="atLeast"/>
              <w:ind w:left="1079" w:leftChars="257" w:hanging="540"/>
              <w:rPr>
                <w:rFonts w:hint="eastAsia" w:ascii="宋体" w:hAnsi="宋体" w:eastAsia="宋体" w:cs="宋体"/>
                <w:color w:val="auto"/>
                <w:sz w:val="24"/>
                <w:highlight w:val="none"/>
                <w:lang w:val="en-US" w:eastAsia="zh-CN"/>
              </w:rPr>
            </w:pPr>
          </w:p>
        </w:tc>
      </w:tr>
      <w:tr w14:paraId="4A15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377B1731">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92326D4">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2AFF09FE">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21437E22">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200F2DED">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4E07E141">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7CB3AC9">
            <w:pPr>
              <w:pStyle w:val="15"/>
              <w:spacing w:line="240" w:lineRule="atLeast"/>
              <w:ind w:left="1079" w:leftChars="257" w:hanging="540"/>
              <w:rPr>
                <w:rFonts w:hint="eastAsia" w:ascii="宋体" w:hAnsi="宋体" w:eastAsia="宋体" w:cs="宋体"/>
                <w:color w:val="auto"/>
                <w:sz w:val="24"/>
                <w:highlight w:val="none"/>
                <w:lang w:val="en-US" w:eastAsia="zh-CN"/>
              </w:rPr>
            </w:pPr>
          </w:p>
        </w:tc>
      </w:tr>
      <w:tr w14:paraId="5F99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5D71E0EB">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5D80014C">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0B270326">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5D046042">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B7FF4EC">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18F91835">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02EAB6C">
            <w:pPr>
              <w:pStyle w:val="15"/>
              <w:spacing w:line="240" w:lineRule="atLeast"/>
              <w:ind w:left="1079" w:leftChars="257" w:hanging="540"/>
              <w:rPr>
                <w:rFonts w:hint="eastAsia" w:ascii="宋体" w:hAnsi="宋体" w:eastAsia="宋体" w:cs="宋体"/>
                <w:color w:val="auto"/>
                <w:sz w:val="24"/>
                <w:highlight w:val="none"/>
                <w:lang w:val="en-US" w:eastAsia="zh-CN"/>
              </w:rPr>
            </w:pPr>
          </w:p>
        </w:tc>
      </w:tr>
      <w:tr w14:paraId="1301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0215ED1D">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57A9E79">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1EE373CB">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6E07CD0F">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59C4690F">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691AF193">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E5FF25D">
            <w:pPr>
              <w:pStyle w:val="15"/>
              <w:spacing w:line="240" w:lineRule="atLeast"/>
              <w:ind w:left="1079" w:leftChars="257" w:hanging="540"/>
              <w:rPr>
                <w:rFonts w:hint="eastAsia" w:ascii="宋体" w:hAnsi="宋体" w:eastAsia="宋体" w:cs="宋体"/>
                <w:color w:val="auto"/>
                <w:sz w:val="24"/>
                <w:highlight w:val="none"/>
                <w:lang w:val="en-US" w:eastAsia="zh-CN"/>
              </w:rPr>
            </w:pPr>
          </w:p>
        </w:tc>
      </w:tr>
      <w:tr w14:paraId="112D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626CEF1F">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154BC971">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069BE164">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29447DB6">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436D15D4">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4B896E9E">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058776F6">
            <w:pPr>
              <w:pStyle w:val="15"/>
              <w:spacing w:line="240" w:lineRule="atLeast"/>
              <w:ind w:left="1079" w:leftChars="257" w:hanging="540"/>
              <w:rPr>
                <w:rFonts w:hint="eastAsia" w:ascii="宋体" w:hAnsi="宋体" w:eastAsia="宋体" w:cs="宋体"/>
                <w:color w:val="auto"/>
                <w:sz w:val="24"/>
                <w:highlight w:val="none"/>
                <w:lang w:val="en-US" w:eastAsia="zh-CN"/>
              </w:rPr>
            </w:pPr>
          </w:p>
        </w:tc>
      </w:tr>
      <w:tr w14:paraId="77D8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2E99818D">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705229E5">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04325355">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0CB825B">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87D07F7">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340D007">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0CF97E0">
            <w:pPr>
              <w:pStyle w:val="15"/>
              <w:spacing w:line="240" w:lineRule="atLeast"/>
              <w:ind w:left="1079" w:leftChars="257" w:hanging="540"/>
              <w:rPr>
                <w:rFonts w:hint="eastAsia" w:ascii="宋体" w:hAnsi="宋体" w:eastAsia="宋体" w:cs="宋体"/>
                <w:color w:val="auto"/>
                <w:sz w:val="24"/>
                <w:highlight w:val="none"/>
                <w:lang w:val="en-US" w:eastAsia="zh-CN"/>
              </w:rPr>
            </w:pPr>
          </w:p>
        </w:tc>
      </w:tr>
      <w:tr w14:paraId="5DE2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1854D007">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76C90112">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207F0E30">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45213C11">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1DF78F3B">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1E97B95D">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8A453D1">
            <w:pPr>
              <w:pStyle w:val="15"/>
              <w:spacing w:line="240" w:lineRule="atLeast"/>
              <w:ind w:left="1079" w:leftChars="257" w:hanging="540"/>
              <w:rPr>
                <w:rFonts w:hint="eastAsia" w:ascii="宋体" w:hAnsi="宋体" w:eastAsia="宋体" w:cs="宋体"/>
                <w:color w:val="auto"/>
                <w:sz w:val="24"/>
                <w:highlight w:val="none"/>
                <w:lang w:val="en-US" w:eastAsia="zh-CN"/>
              </w:rPr>
            </w:pPr>
          </w:p>
        </w:tc>
      </w:tr>
      <w:tr w14:paraId="5880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6EA1B231">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71F530A6">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5EF9F10E">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190E7189">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F637FA6">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0C5EB5D2">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438A981B">
            <w:pPr>
              <w:pStyle w:val="15"/>
              <w:spacing w:line="240" w:lineRule="atLeast"/>
              <w:ind w:left="1079" w:leftChars="257" w:hanging="540"/>
              <w:rPr>
                <w:rFonts w:hint="eastAsia" w:ascii="宋体" w:hAnsi="宋体" w:eastAsia="宋体" w:cs="宋体"/>
                <w:color w:val="auto"/>
                <w:sz w:val="24"/>
                <w:highlight w:val="none"/>
                <w:lang w:val="en-US" w:eastAsia="zh-CN"/>
              </w:rPr>
            </w:pPr>
          </w:p>
        </w:tc>
      </w:tr>
      <w:tr w14:paraId="2E0E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42E72E06">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B607A6F">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7B982ABE">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5D9D20CE">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216DDED4">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3E91681">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24D31A8F">
            <w:pPr>
              <w:pStyle w:val="15"/>
              <w:spacing w:line="240" w:lineRule="atLeast"/>
              <w:ind w:left="1079" w:leftChars="257" w:hanging="540"/>
              <w:rPr>
                <w:rFonts w:hint="eastAsia" w:ascii="宋体" w:hAnsi="宋体" w:eastAsia="宋体" w:cs="宋体"/>
                <w:color w:val="auto"/>
                <w:sz w:val="24"/>
                <w:highlight w:val="none"/>
                <w:lang w:val="en-US" w:eastAsia="zh-CN"/>
              </w:rPr>
            </w:pPr>
          </w:p>
        </w:tc>
      </w:tr>
      <w:tr w14:paraId="6E97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3835A2B2">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6C88C44A">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1BA73BFB">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613A04E">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71B80D0">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0B292788">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ECDAF96">
            <w:pPr>
              <w:pStyle w:val="15"/>
              <w:spacing w:line="240" w:lineRule="atLeast"/>
              <w:ind w:left="1079" w:leftChars="257" w:hanging="540"/>
              <w:rPr>
                <w:rFonts w:hint="eastAsia" w:ascii="宋体" w:hAnsi="宋体" w:eastAsia="宋体" w:cs="宋体"/>
                <w:color w:val="auto"/>
                <w:sz w:val="24"/>
                <w:highlight w:val="none"/>
                <w:lang w:val="en-US" w:eastAsia="zh-CN"/>
              </w:rPr>
            </w:pPr>
          </w:p>
        </w:tc>
      </w:tr>
      <w:tr w14:paraId="56A5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0C4AA321">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73B65842">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7E9500BE">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EABDAEF">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525CC0D">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8D4E00C">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01F737C">
            <w:pPr>
              <w:pStyle w:val="15"/>
              <w:spacing w:line="240" w:lineRule="atLeast"/>
              <w:ind w:left="1079" w:leftChars="257" w:hanging="540"/>
              <w:rPr>
                <w:rFonts w:hint="eastAsia" w:ascii="宋体" w:hAnsi="宋体" w:eastAsia="宋体" w:cs="宋体"/>
                <w:color w:val="auto"/>
                <w:sz w:val="24"/>
                <w:highlight w:val="none"/>
                <w:lang w:val="en-US" w:eastAsia="zh-CN"/>
              </w:rPr>
            </w:pPr>
          </w:p>
        </w:tc>
      </w:tr>
    </w:tbl>
    <w:p w14:paraId="25874FAD">
      <w:pPr>
        <w:pStyle w:val="15"/>
        <w:spacing w:line="240" w:lineRule="atLeast"/>
        <w:ind w:left="1079" w:leftChars="257" w:hanging="540"/>
        <w:rPr>
          <w:rFonts w:hint="eastAsia" w:ascii="宋体" w:hAnsi="宋体" w:eastAsia="宋体" w:cs="宋体"/>
          <w:color w:val="auto"/>
          <w:sz w:val="24"/>
          <w:highlight w:val="none"/>
        </w:rPr>
      </w:pPr>
    </w:p>
    <w:p w14:paraId="4F850FED">
      <w:pPr>
        <w:pStyle w:val="15"/>
        <w:keepNext w:val="0"/>
        <w:keepLines w:val="0"/>
        <w:pageBreakBefore w:val="0"/>
        <w:widowControl w:val="0"/>
        <w:kinsoku/>
        <w:wordWrap/>
        <w:overflowPunct/>
        <w:topLinePunct w:val="0"/>
        <w:autoSpaceDE/>
        <w:autoSpaceDN/>
        <w:bidi w:val="0"/>
        <w:adjustRightInd/>
        <w:snapToGrid/>
        <w:spacing w:line="240" w:lineRule="atLeast"/>
        <w:ind w:left="0" w:leftChars="0" w:firstLine="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w:t>
      </w:r>
    </w:p>
    <w:p w14:paraId="55DF809E">
      <w:pPr>
        <w:pStyle w:val="15"/>
        <w:keepNext w:val="0"/>
        <w:keepLines w:val="0"/>
        <w:pageBreakBefore w:val="0"/>
        <w:widowControl w:val="0"/>
        <w:kinsoku/>
        <w:wordWrap/>
        <w:overflowPunct/>
        <w:topLinePunct w:val="0"/>
        <w:autoSpaceDE/>
        <w:autoSpaceDN/>
        <w:bidi w:val="0"/>
        <w:adjustRightInd/>
        <w:snapToGrid/>
        <w:spacing w:line="240" w:lineRule="atLeast"/>
        <w:ind w:left="0" w:leftChars="0" w:firstLine="0"/>
        <w:jc w:val="both"/>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1.技术要求不限于参数规格（如材料、尺寸、结构）或者服务内容和标准等；投标人要将投标文件和招标文件在参数规格部分汇集成表。</w:t>
      </w:r>
    </w:p>
    <w:p w14:paraId="227BD7D9">
      <w:pPr>
        <w:pStyle w:val="15"/>
        <w:keepNext w:val="0"/>
        <w:keepLines w:val="0"/>
        <w:pageBreakBefore w:val="0"/>
        <w:widowControl w:val="0"/>
        <w:kinsoku/>
        <w:wordWrap/>
        <w:overflowPunct/>
        <w:topLinePunct w:val="0"/>
        <w:autoSpaceDE/>
        <w:autoSpaceDN/>
        <w:bidi w:val="0"/>
        <w:adjustRightInd/>
        <w:snapToGrid/>
        <w:spacing w:line="240" w:lineRule="atLeast"/>
        <w:ind w:left="0" w:leftChars="0" w:firstLine="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2.投标人应根据投标产品的性能指标、对照招标文件要求在“偏离情况”栏注明“正偏离”、“负偏离”或“无偏离”。</w:t>
      </w:r>
    </w:p>
    <w:p w14:paraId="7E4F830C">
      <w:pPr>
        <w:pStyle w:val="15"/>
        <w:keepNext w:val="0"/>
        <w:keepLines w:val="0"/>
        <w:pageBreakBefore w:val="0"/>
        <w:widowControl w:val="0"/>
        <w:kinsoku/>
        <w:wordWrap/>
        <w:overflowPunct/>
        <w:topLinePunct w:val="0"/>
        <w:autoSpaceDE/>
        <w:autoSpaceDN/>
        <w:bidi w:val="0"/>
        <w:adjustRightInd/>
        <w:snapToGrid/>
        <w:spacing w:line="240" w:lineRule="atLeast"/>
        <w:ind w:left="0" w:leftChars="0" w:firstLine="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3.请投标人根据投标文件技术偏离表响应情况将印证资料放置页码具体详细的填写在说明栏中。</w:t>
      </w:r>
    </w:p>
    <w:p w14:paraId="37524B0B">
      <w:pPr>
        <w:pStyle w:val="15"/>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hAnsi="宋体" w:cs="宋体"/>
          <w:color w:val="auto"/>
          <w:sz w:val="24"/>
          <w:highlight w:val="none"/>
          <w:lang w:eastAsia="zh-CN"/>
        </w:rPr>
        <w:t>（签字或盖章）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2F75557E">
      <w:pPr>
        <w:pStyle w:val="15"/>
        <w:tabs>
          <w:tab w:val="left" w:pos="5370"/>
        </w:tabs>
        <w:spacing w:line="240" w:lineRule="atLeast"/>
        <w:ind w:left="1079"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14:paraId="017148F3">
      <w:pPr>
        <w:pStyle w:val="15"/>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br w:type="page"/>
      </w:r>
    </w:p>
    <w:p w14:paraId="1E2738EB">
      <w:pPr>
        <w:pStyle w:val="3"/>
        <w:spacing w:before="0" w:line="240" w:lineRule="atLeast"/>
        <w:jc w:val="center"/>
        <w:rPr>
          <w:rFonts w:hint="eastAsia" w:ascii="宋体" w:hAnsi="宋体" w:eastAsia="宋体" w:cs="宋体"/>
          <w:color w:val="auto"/>
          <w:sz w:val="24"/>
          <w:highlight w:val="none"/>
        </w:rPr>
      </w:pPr>
      <w:bookmarkStart w:id="329" w:name="_Toc28374"/>
      <w:bookmarkStart w:id="330" w:name="_Toc216582818"/>
      <w:bookmarkStart w:id="331" w:name="_Toc1980"/>
      <w:bookmarkStart w:id="332" w:name="_Toc515647821"/>
      <w:bookmarkStart w:id="333" w:name="_Toc23"/>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   商务条款偏离表</w:t>
      </w:r>
      <w:bookmarkEnd w:id="329"/>
      <w:bookmarkEnd w:id="330"/>
      <w:bookmarkEnd w:id="331"/>
      <w:bookmarkEnd w:id="332"/>
      <w:bookmarkEnd w:id="333"/>
    </w:p>
    <w:p w14:paraId="15487A0D">
      <w:pPr>
        <w:pStyle w:val="15"/>
        <w:spacing w:line="240" w:lineRule="atLeast"/>
        <w:ind w:left="1079" w:leftChars="257" w:hanging="540"/>
        <w:rPr>
          <w:rFonts w:hint="eastAsia" w:ascii="宋体" w:hAnsi="宋体" w:eastAsia="宋体" w:cs="宋体"/>
          <w:color w:val="auto"/>
          <w:sz w:val="24"/>
          <w:highlight w:val="none"/>
        </w:rPr>
      </w:pPr>
    </w:p>
    <w:p w14:paraId="629101FA">
      <w:pPr>
        <w:pStyle w:val="15"/>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招标编号:             包号:</w:t>
      </w:r>
    </w:p>
    <w:p w14:paraId="65A24A84">
      <w:pPr>
        <w:pStyle w:val="15"/>
        <w:spacing w:line="240" w:lineRule="atLeast"/>
        <w:ind w:left="1079" w:leftChars="257" w:hanging="540"/>
        <w:rPr>
          <w:rFonts w:hint="eastAsia" w:ascii="宋体" w:hAnsi="宋体" w:eastAsia="宋体" w:cs="宋体"/>
          <w:color w:val="auto"/>
          <w:sz w:val="24"/>
          <w:highlight w:val="none"/>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14:paraId="086E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B596C1F">
            <w:pPr>
              <w:pStyle w:val="15"/>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2040" w:type="dxa"/>
            <w:noWrap w:val="0"/>
            <w:vAlign w:val="top"/>
          </w:tcPr>
          <w:p w14:paraId="1720E242">
            <w:pPr>
              <w:pStyle w:val="15"/>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招标文件条款号</w:t>
            </w:r>
          </w:p>
        </w:tc>
        <w:tc>
          <w:tcPr>
            <w:tcW w:w="2520" w:type="dxa"/>
            <w:noWrap w:val="0"/>
            <w:vAlign w:val="top"/>
          </w:tcPr>
          <w:p w14:paraId="121DED3E">
            <w:pPr>
              <w:pStyle w:val="15"/>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招标文件的商务条款</w:t>
            </w:r>
          </w:p>
        </w:tc>
        <w:tc>
          <w:tcPr>
            <w:tcW w:w="2520" w:type="dxa"/>
            <w:noWrap w:val="0"/>
            <w:vAlign w:val="top"/>
          </w:tcPr>
          <w:p w14:paraId="1FFFB61E">
            <w:pPr>
              <w:pStyle w:val="15"/>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投标文件的商务条款</w:t>
            </w:r>
          </w:p>
        </w:tc>
        <w:tc>
          <w:tcPr>
            <w:tcW w:w="900" w:type="dxa"/>
            <w:noWrap w:val="0"/>
            <w:vAlign w:val="top"/>
          </w:tcPr>
          <w:p w14:paraId="1020F407">
            <w:pPr>
              <w:pStyle w:val="15"/>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tc>
      </w:tr>
      <w:tr w14:paraId="5F83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3FD0D3C">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1EF8BA12">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6DBA661B">
            <w:pPr>
              <w:pStyle w:val="15"/>
              <w:spacing w:line="240" w:lineRule="atLeast"/>
              <w:ind w:left="1079" w:leftChars="257" w:hanging="540"/>
              <w:jc w:val="center"/>
              <w:rPr>
                <w:rFonts w:hint="eastAsia" w:ascii="宋体" w:hAnsi="宋体" w:eastAsia="宋体" w:cs="宋体"/>
                <w:color w:val="auto"/>
                <w:sz w:val="24"/>
                <w:highlight w:val="none"/>
                <w:lang w:val="en-US" w:eastAsia="zh-CN"/>
              </w:rPr>
            </w:pPr>
          </w:p>
        </w:tc>
        <w:tc>
          <w:tcPr>
            <w:tcW w:w="2520" w:type="dxa"/>
            <w:noWrap w:val="0"/>
            <w:vAlign w:val="top"/>
          </w:tcPr>
          <w:p w14:paraId="6D646FB7">
            <w:pPr>
              <w:pStyle w:val="15"/>
              <w:spacing w:line="240" w:lineRule="atLeast"/>
              <w:ind w:left="1079" w:leftChars="257" w:hanging="540"/>
              <w:jc w:val="center"/>
              <w:rPr>
                <w:rFonts w:hint="eastAsia" w:ascii="宋体" w:hAnsi="宋体" w:eastAsia="宋体" w:cs="宋体"/>
                <w:color w:val="auto"/>
                <w:sz w:val="24"/>
                <w:highlight w:val="none"/>
                <w:lang w:val="en-US" w:eastAsia="zh-CN"/>
              </w:rPr>
            </w:pPr>
          </w:p>
        </w:tc>
        <w:tc>
          <w:tcPr>
            <w:tcW w:w="900" w:type="dxa"/>
            <w:noWrap w:val="0"/>
            <w:vAlign w:val="top"/>
          </w:tcPr>
          <w:p w14:paraId="4F69849A">
            <w:pPr>
              <w:pStyle w:val="15"/>
              <w:spacing w:line="240" w:lineRule="atLeast"/>
              <w:ind w:left="1079" w:leftChars="257" w:hanging="540"/>
              <w:rPr>
                <w:rFonts w:hint="eastAsia" w:ascii="宋体" w:hAnsi="宋体" w:eastAsia="宋体" w:cs="宋体"/>
                <w:color w:val="auto"/>
                <w:sz w:val="24"/>
                <w:highlight w:val="none"/>
                <w:lang w:val="en-US" w:eastAsia="zh-CN"/>
              </w:rPr>
            </w:pPr>
          </w:p>
        </w:tc>
      </w:tr>
      <w:tr w14:paraId="58CD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8D744D1">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51C9733D">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1877F8AB">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38DE06A">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7EA8850">
            <w:pPr>
              <w:pStyle w:val="15"/>
              <w:spacing w:line="240" w:lineRule="atLeast"/>
              <w:ind w:left="1079" w:leftChars="257" w:hanging="540"/>
              <w:rPr>
                <w:rFonts w:hint="eastAsia" w:ascii="宋体" w:hAnsi="宋体" w:eastAsia="宋体" w:cs="宋体"/>
                <w:color w:val="auto"/>
                <w:sz w:val="24"/>
                <w:highlight w:val="none"/>
                <w:lang w:val="en-US" w:eastAsia="zh-CN"/>
              </w:rPr>
            </w:pPr>
          </w:p>
        </w:tc>
      </w:tr>
      <w:tr w14:paraId="4A34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8AC45FB">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387D3CCE">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7D81AC04">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33E89266">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F5FC973">
            <w:pPr>
              <w:pStyle w:val="15"/>
              <w:spacing w:line="240" w:lineRule="atLeast"/>
              <w:ind w:left="1079" w:leftChars="257" w:hanging="540"/>
              <w:rPr>
                <w:rFonts w:hint="eastAsia" w:ascii="宋体" w:hAnsi="宋体" w:eastAsia="宋体" w:cs="宋体"/>
                <w:color w:val="auto"/>
                <w:sz w:val="24"/>
                <w:highlight w:val="none"/>
                <w:lang w:val="en-US" w:eastAsia="zh-CN"/>
              </w:rPr>
            </w:pPr>
          </w:p>
        </w:tc>
      </w:tr>
      <w:tr w14:paraId="5DC7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9F64D75">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75718851">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CD8C12D">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63FD5BFC">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ADFDB01">
            <w:pPr>
              <w:pStyle w:val="15"/>
              <w:spacing w:line="240" w:lineRule="atLeast"/>
              <w:ind w:left="1079" w:leftChars="257" w:hanging="540"/>
              <w:rPr>
                <w:rFonts w:hint="eastAsia" w:ascii="宋体" w:hAnsi="宋体" w:eastAsia="宋体" w:cs="宋体"/>
                <w:color w:val="auto"/>
                <w:sz w:val="24"/>
                <w:highlight w:val="none"/>
                <w:lang w:val="en-US" w:eastAsia="zh-CN"/>
              </w:rPr>
            </w:pPr>
          </w:p>
        </w:tc>
      </w:tr>
      <w:tr w14:paraId="7809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5BDE27B">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2D276CC8">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7CE0D91C">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06F8F4A8">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4036125C">
            <w:pPr>
              <w:pStyle w:val="15"/>
              <w:spacing w:line="240" w:lineRule="atLeast"/>
              <w:ind w:left="1079" w:leftChars="257" w:hanging="540"/>
              <w:rPr>
                <w:rFonts w:hint="eastAsia" w:ascii="宋体" w:hAnsi="宋体" w:eastAsia="宋体" w:cs="宋体"/>
                <w:color w:val="auto"/>
                <w:sz w:val="24"/>
                <w:highlight w:val="none"/>
                <w:lang w:val="en-US" w:eastAsia="zh-CN"/>
              </w:rPr>
            </w:pPr>
          </w:p>
        </w:tc>
      </w:tr>
      <w:tr w14:paraId="3350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A1D684A">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3ABA8A68">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066599E">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061FDC32">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6433548C">
            <w:pPr>
              <w:pStyle w:val="15"/>
              <w:spacing w:line="240" w:lineRule="atLeast"/>
              <w:ind w:left="1079" w:leftChars="257" w:hanging="540"/>
              <w:rPr>
                <w:rFonts w:hint="eastAsia" w:ascii="宋体" w:hAnsi="宋体" w:eastAsia="宋体" w:cs="宋体"/>
                <w:color w:val="auto"/>
                <w:sz w:val="24"/>
                <w:highlight w:val="none"/>
                <w:lang w:val="en-US" w:eastAsia="zh-CN"/>
              </w:rPr>
            </w:pPr>
          </w:p>
        </w:tc>
      </w:tr>
      <w:tr w14:paraId="27D2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BF2FD16">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0EBF63F6">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581DBE6C">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54DFCC39">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1ED20FF3">
            <w:pPr>
              <w:pStyle w:val="15"/>
              <w:spacing w:line="240" w:lineRule="atLeast"/>
              <w:ind w:left="1079" w:leftChars="257" w:hanging="540"/>
              <w:rPr>
                <w:rFonts w:hint="eastAsia" w:ascii="宋体" w:hAnsi="宋体" w:eastAsia="宋体" w:cs="宋体"/>
                <w:color w:val="auto"/>
                <w:sz w:val="24"/>
                <w:highlight w:val="none"/>
                <w:lang w:val="en-US" w:eastAsia="zh-CN"/>
              </w:rPr>
            </w:pPr>
          </w:p>
        </w:tc>
      </w:tr>
      <w:tr w14:paraId="0AC5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EB72A9A">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20D1CAB9">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26AC46C7">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6B931994">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2DE20C62">
            <w:pPr>
              <w:pStyle w:val="15"/>
              <w:spacing w:line="240" w:lineRule="atLeast"/>
              <w:ind w:left="1079" w:leftChars="257" w:hanging="540"/>
              <w:rPr>
                <w:rFonts w:hint="eastAsia" w:ascii="宋体" w:hAnsi="宋体" w:eastAsia="宋体" w:cs="宋体"/>
                <w:color w:val="auto"/>
                <w:sz w:val="24"/>
                <w:highlight w:val="none"/>
                <w:lang w:val="en-US" w:eastAsia="zh-CN"/>
              </w:rPr>
            </w:pPr>
          </w:p>
        </w:tc>
      </w:tr>
      <w:tr w14:paraId="1509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81D0AD6">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4998D7DB">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662A160A">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C9627D8">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23401228">
            <w:pPr>
              <w:pStyle w:val="15"/>
              <w:spacing w:line="240" w:lineRule="atLeast"/>
              <w:ind w:left="1079" w:leftChars="257" w:hanging="540"/>
              <w:rPr>
                <w:rFonts w:hint="eastAsia" w:ascii="宋体" w:hAnsi="宋体" w:eastAsia="宋体" w:cs="宋体"/>
                <w:color w:val="auto"/>
                <w:sz w:val="24"/>
                <w:highlight w:val="none"/>
                <w:lang w:val="en-US" w:eastAsia="zh-CN"/>
              </w:rPr>
            </w:pPr>
          </w:p>
        </w:tc>
      </w:tr>
      <w:tr w14:paraId="5524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D663B84">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181E0A47">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2B5F9764">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5D9EC3FB">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99E7652">
            <w:pPr>
              <w:pStyle w:val="15"/>
              <w:spacing w:line="240" w:lineRule="atLeast"/>
              <w:ind w:left="1079" w:leftChars="257" w:hanging="540"/>
              <w:rPr>
                <w:rFonts w:hint="eastAsia" w:ascii="宋体" w:hAnsi="宋体" w:eastAsia="宋体" w:cs="宋体"/>
                <w:color w:val="auto"/>
                <w:sz w:val="24"/>
                <w:highlight w:val="none"/>
                <w:lang w:val="en-US" w:eastAsia="zh-CN"/>
              </w:rPr>
            </w:pPr>
          </w:p>
        </w:tc>
      </w:tr>
      <w:tr w14:paraId="2FB7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54EBA1B">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427E29B2">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2A835D64">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6D18F8E9">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2EF36D6B">
            <w:pPr>
              <w:pStyle w:val="15"/>
              <w:spacing w:line="240" w:lineRule="atLeast"/>
              <w:ind w:left="1079" w:leftChars="257" w:hanging="540"/>
              <w:rPr>
                <w:rFonts w:hint="eastAsia" w:ascii="宋体" w:hAnsi="宋体" w:eastAsia="宋体" w:cs="宋体"/>
                <w:color w:val="auto"/>
                <w:sz w:val="24"/>
                <w:highlight w:val="none"/>
                <w:lang w:val="en-US" w:eastAsia="zh-CN"/>
              </w:rPr>
            </w:pPr>
          </w:p>
        </w:tc>
      </w:tr>
      <w:tr w14:paraId="620F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567193C">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616126ED">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6BAAC332">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53DEF646">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41D60F2">
            <w:pPr>
              <w:pStyle w:val="15"/>
              <w:spacing w:line="240" w:lineRule="atLeast"/>
              <w:ind w:left="1079" w:leftChars="257" w:hanging="540"/>
              <w:rPr>
                <w:rFonts w:hint="eastAsia" w:ascii="宋体" w:hAnsi="宋体" w:eastAsia="宋体" w:cs="宋体"/>
                <w:color w:val="auto"/>
                <w:sz w:val="24"/>
                <w:highlight w:val="none"/>
                <w:lang w:val="en-US" w:eastAsia="zh-CN"/>
              </w:rPr>
            </w:pPr>
          </w:p>
        </w:tc>
      </w:tr>
      <w:tr w14:paraId="41A0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27D8F4C">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22932505">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118BA08B">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7EF75D1D">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6A7336E">
            <w:pPr>
              <w:pStyle w:val="15"/>
              <w:spacing w:line="240" w:lineRule="atLeast"/>
              <w:ind w:left="1079" w:leftChars="257" w:hanging="540"/>
              <w:rPr>
                <w:rFonts w:hint="eastAsia" w:ascii="宋体" w:hAnsi="宋体" w:eastAsia="宋体" w:cs="宋体"/>
                <w:color w:val="auto"/>
                <w:sz w:val="24"/>
                <w:highlight w:val="none"/>
                <w:lang w:val="en-US" w:eastAsia="zh-CN"/>
              </w:rPr>
            </w:pPr>
          </w:p>
        </w:tc>
      </w:tr>
      <w:tr w14:paraId="3E64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C035382">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74C7C08C">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1BD10ABD">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1E5EBEC7">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25C82640">
            <w:pPr>
              <w:pStyle w:val="15"/>
              <w:spacing w:line="240" w:lineRule="atLeast"/>
              <w:ind w:left="1079" w:leftChars="257" w:hanging="540"/>
              <w:rPr>
                <w:rFonts w:hint="eastAsia" w:ascii="宋体" w:hAnsi="宋体" w:eastAsia="宋体" w:cs="宋体"/>
                <w:color w:val="auto"/>
                <w:sz w:val="24"/>
                <w:highlight w:val="none"/>
                <w:lang w:val="en-US" w:eastAsia="zh-CN"/>
              </w:rPr>
            </w:pPr>
          </w:p>
        </w:tc>
      </w:tr>
      <w:tr w14:paraId="56A9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FE7181F">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746DE216">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439BCA6">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4E78ABE">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08604A8F">
            <w:pPr>
              <w:pStyle w:val="15"/>
              <w:spacing w:line="240" w:lineRule="atLeast"/>
              <w:ind w:left="1079" w:leftChars="257" w:hanging="540"/>
              <w:rPr>
                <w:rFonts w:hint="eastAsia" w:ascii="宋体" w:hAnsi="宋体" w:eastAsia="宋体" w:cs="宋体"/>
                <w:color w:val="auto"/>
                <w:sz w:val="24"/>
                <w:highlight w:val="none"/>
                <w:lang w:val="en-US" w:eastAsia="zh-CN"/>
              </w:rPr>
            </w:pPr>
          </w:p>
        </w:tc>
      </w:tr>
      <w:tr w14:paraId="2366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5170E5D">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5D5C2848">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3FCB9F46">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16742E61">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9A899C1">
            <w:pPr>
              <w:pStyle w:val="15"/>
              <w:spacing w:line="240" w:lineRule="atLeast"/>
              <w:ind w:left="1079" w:leftChars="257" w:hanging="540"/>
              <w:rPr>
                <w:rFonts w:hint="eastAsia" w:ascii="宋体" w:hAnsi="宋体" w:eastAsia="宋体" w:cs="宋体"/>
                <w:color w:val="auto"/>
                <w:sz w:val="24"/>
                <w:highlight w:val="none"/>
                <w:lang w:val="en-US" w:eastAsia="zh-CN"/>
              </w:rPr>
            </w:pPr>
          </w:p>
        </w:tc>
      </w:tr>
      <w:tr w14:paraId="29B0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3FF1211">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46F1E4D0">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844DB04">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10AA4D01">
            <w:pPr>
              <w:pStyle w:val="15"/>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1C0C1416">
            <w:pPr>
              <w:pStyle w:val="15"/>
              <w:spacing w:line="240" w:lineRule="atLeast"/>
              <w:ind w:left="1079" w:leftChars="257" w:hanging="540"/>
              <w:rPr>
                <w:rFonts w:hint="eastAsia" w:ascii="宋体" w:hAnsi="宋体" w:eastAsia="宋体" w:cs="宋体"/>
                <w:color w:val="auto"/>
                <w:sz w:val="24"/>
                <w:highlight w:val="none"/>
                <w:lang w:val="en-US" w:eastAsia="zh-CN"/>
              </w:rPr>
            </w:pPr>
          </w:p>
        </w:tc>
      </w:tr>
    </w:tbl>
    <w:p w14:paraId="1BA63B17">
      <w:pPr>
        <w:pStyle w:val="15"/>
        <w:spacing w:line="240" w:lineRule="atLeast"/>
        <w:ind w:left="1079" w:leftChars="257" w:hanging="540"/>
        <w:rPr>
          <w:rFonts w:hint="eastAsia" w:ascii="宋体" w:hAnsi="宋体" w:eastAsia="宋体" w:cs="宋体"/>
          <w:color w:val="auto"/>
          <w:sz w:val="24"/>
          <w:highlight w:val="none"/>
        </w:rPr>
      </w:pPr>
    </w:p>
    <w:p w14:paraId="480F68DD">
      <w:pPr>
        <w:pStyle w:val="15"/>
        <w:keepNext w:val="0"/>
        <w:keepLines w:val="0"/>
        <w:pageBreakBefore w:val="0"/>
        <w:widowControl w:val="0"/>
        <w:kinsoku/>
        <w:wordWrap/>
        <w:overflowPunct/>
        <w:topLinePunct w:val="0"/>
        <w:autoSpaceDE/>
        <w:autoSpaceDN/>
        <w:bidi w:val="0"/>
        <w:adjustRightInd/>
        <w:snapToGrid/>
        <w:spacing w:line="240" w:lineRule="atLeast"/>
        <w:ind w:left="0" w:leftChars="0" w:firstLine="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注：商务要求不限于交付（实施）的时间（期限）和地点（范围），付款条件（进度和方式），包装和运输，售后服务，保险等；投标人要将投标文件和招标文件在商务部分汇集成表。</w:t>
      </w:r>
    </w:p>
    <w:p w14:paraId="67CABFAC">
      <w:pPr>
        <w:pStyle w:val="15"/>
        <w:spacing w:line="240" w:lineRule="atLeast"/>
        <w:ind w:left="1079" w:leftChars="257" w:hanging="540"/>
        <w:rPr>
          <w:rFonts w:hint="eastAsia" w:ascii="宋体" w:hAnsi="宋体" w:eastAsia="宋体" w:cs="宋体"/>
          <w:color w:val="auto"/>
          <w:sz w:val="24"/>
          <w:highlight w:val="none"/>
        </w:rPr>
      </w:pPr>
    </w:p>
    <w:p w14:paraId="0393D621">
      <w:pPr>
        <w:pStyle w:val="15"/>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hAnsi="宋体" w:cs="宋体"/>
          <w:color w:val="auto"/>
          <w:sz w:val="24"/>
          <w:highlight w:val="none"/>
          <w:lang w:eastAsia="zh-CN"/>
        </w:rPr>
        <w:t>（签字或盖章）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7634D3EF">
      <w:pPr>
        <w:pStyle w:val="15"/>
        <w:tabs>
          <w:tab w:val="left" w:pos="5370"/>
        </w:tabs>
        <w:spacing w:line="240" w:lineRule="atLeast"/>
        <w:ind w:left="1079"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14:paraId="7668B1B6">
      <w:pPr>
        <w:pStyle w:val="15"/>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br w:type="page"/>
      </w:r>
    </w:p>
    <w:p w14:paraId="44604321">
      <w:pPr>
        <w:pStyle w:val="3"/>
        <w:spacing w:before="0" w:line="240" w:lineRule="atLeast"/>
        <w:jc w:val="center"/>
        <w:rPr>
          <w:rFonts w:hint="eastAsia" w:ascii="宋体" w:hAnsi="宋体" w:eastAsia="宋体" w:cs="宋体"/>
          <w:b w:val="0"/>
          <w:color w:val="auto"/>
          <w:sz w:val="24"/>
          <w:highlight w:val="none"/>
          <w:lang w:val="en-US" w:eastAsia="zh-CN"/>
        </w:rPr>
      </w:pPr>
      <w:bookmarkStart w:id="334" w:name="_Hlt520350957"/>
      <w:bookmarkEnd w:id="334"/>
      <w:bookmarkStart w:id="335" w:name="_Hlt520274407"/>
      <w:bookmarkEnd w:id="335"/>
      <w:bookmarkStart w:id="336" w:name="_Hlt520350918"/>
      <w:bookmarkEnd w:id="336"/>
      <w:bookmarkStart w:id="337" w:name="_Hlt520271212"/>
      <w:bookmarkEnd w:id="337"/>
      <w:bookmarkStart w:id="338" w:name="_Hlt520273711"/>
      <w:bookmarkEnd w:id="338"/>
      <w:bookmarkStart w:id="339" w:name="_Hlt520343000"/>
      <w:bookmarkEnd w:id="339"/>
      <w:bookmarkStart w:id="340" w:name="_Hlt520274065"/>
      <w:bookmarkEnd w:id="340"/>
      <w:bookmarkStart w:id="341" w:name="_Hlt520274393"/>
      <w:bookmarkEnd w:id="341"/>
      <w:bookmarkStart w:id="342" w:name="_Hlt520274911"/>
      <w:bookmarkEnd w:id="342"/>
      <w:bookmarkStart w:id="343" w:name="_Hlt520273973"/>
      <w:bookmarkEnd w:id="343"/>
      <w:bookmarkStart w:id="344" w:name="_Hlt520343392"/>
      <w:bookmarkEnd w:id="344"/>
      <w:bookmarkStart w:id="345" w:name="_Toc21312"/>
      <w:bookmarkStart w:id="346" w:name="_Toc25347"/>
      <w:bookmarkStart w:id="347" w:name="_Toc10725"/>
      <w:bookmarkStart w:id="348" w:name="_Toc515647823"/>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 </w:t>
      </w:r>
      <w:r>
        <w:rPr>
          <w:rFonts w:hint="eastAsia" w:ascii="宋体" w:hAnsi="宋体" w:eastAsia="宋体" w:cs="宋体"/>
          <w:b w:val="0"/>
          <w:color w:val="auto"/>
          <w:sz w:val="24"/>
          <w:highlight w:val="none"/>
        </w:rPr>
        <w:t xml:space="preserve"> </w:t>
      </w:r>
      <w:r>
        <w:rPr>
          <w:rFonts w:hint="eastAsia" w:ascii="宋体" w:hAnsi="宋体" w:eastAsia="宋体" w:cs="宋体"/>
          <w:color w:val="auto"/>
          <w:sz w:val="24"/>
          <w:highlight w:val="none"/>
        </w:rPr>
        <w:t>投标人企业（单位）类型声明函</w:t>
      </w:r>
      <w:bookmarkEnd w:id="345"/>
      <w:bookmarkEnd w:id="346"/>
      <w:bookmarkEnd w:id="347"/>
      <w:bookmarkEnd w:id="348"/>
    </w:p>
    <w:p w14:paraId="374335CF">
      <w:pPr>
        <w:spacing w:line="240" w:lineRule="atLeast"/>
        <w:ind w:left="1079" w:leftChars="257" w:hanging="540"/>
        <w:jc w:val="center"/>
        <w:rPr>
          <w:rFonts w:hint="eastAsia" w:ascii="宋体" w:hAnsi="宋体" w:eastAsia="宋体" w:cs="宋体"/>
          <w:b/>
          <w:color w:val="auto"/>
          <w:kern w:val="0"/>
          <w:sz w:val="24"/>
          <w:szCs w:val="20"/>
          <w:highlight w:val="none"/>
        </w:rPr>
      </w:pPr>
    </w:p>
    <w:p w14:paraId="31BB89F3">
      <w:pPr>
        <w:pStyle w:val="68"/>
        <w:numPr>
          <w:ilvl w:val="0"/>
          <w:numId w:val="0"/>
        </w:numPr>
        <w:tabs>
          <w:tab w:val="left" w:pos="980"/>
          <w:tab w:val="left" w:pos="981"/>
        </w:tabs>
        <w:spacing w:before="71" w:after="0" w:line="240" w:lineRule="auto"/>
        <w:ind w:right="0" w:rightChars="0"/>
        <w:jc w:val="center"/>
        <w:outlineLvl w:val="1"/>
        <w:rPr>
          <w:rFonts w:hint="eastAsia" w:ascii="宋体" w:hAnsi="宋体" w:eastAsia="宋体" w:cs="宋体"/>
          <w:b/>
          <w:color w:val="auto"/>
          <w:highlight w:val="none"/>
        </w:rPr>
      </w:pPr>
      <w:bookmarkStart w:id="349" w:name="_Toc10166"/>
      <w:r>
        <w:rPr>
          <w:rFonts w:hint="eastAsia" w:ascii="宋体" w:hAnsi="宋体" w:eastAsia="宋体" w:cs="宋体"/>
          <w:b/>
          <w:bCs w:val="0"/>
          <w:color w:val="auto"/>
          <w:highlight w:val="none"/>
        </w:rPr>
        <w:t>中小企业声明函(货物)</w:t>
      </w:r>
      <w:bookmarkEnd w:id="349"/>
    </w:p>
    <w:p w14:paraId="08DC968E">
      <w:pPr>
        <w:pStyle w:val="10"/>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 </w:t>
      </w:r>
    </w:p>
    <w:p w14:paraId="043A23EA">
      <w:pPr>
        <w:widowControl/>
        <w:spacing w:before="100" w:beforeAutospacing="1" w:after="100" w:afterAutospacing="1" w:line="330" w:lineRule="atLeas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本企业（单位）郑重声明下列事项（按照实际情况勾选或填空）：</w:t>
      </w:r>
    </w:p>
    <w:p w14:paraId="12A3ED67">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1、□本企业（单位）为直接投标人，提供本企业（单位）服务。</w:t>
      </w:r>
    </w:p>
    <w:p w14:paraId="4D368A83">
      <w:pPr>
        <w:widowControl/>
        <w:spacing w:before="100" w:beforeAutospacing="1" w:after="100" w:afterAutospacing="1" w:line="330" w:lineRule="atLeast"/>
        <w:ind w:firstLine="240" w:firstLineChars="1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《政府采购促进中小企业发展管理办法》（财库﹝2020﹞46号）的规定</w:t>
      </w:r>
      <w:r>
        <w:rPr>
          <w:rFonts w:hint="eastAsia" w:ascii="宋体" w:hAnsi="宋体" w:cs="宋体"/>
          <w:color w:val="auto"/>
          <w:kern w:val="0"/>
          <w:sz w:val="24"/>
          <w:highlight w:val="none"/>
        </w:rPr>
        <w:t>的划分标准，本企业为______（请填写：</w:t>
      </w:r>
      <w:r>
        <w:rPr>
          <w:rFonts w:hint="eastAsia" w:ascii="宋体" w:hAnsi="宋体" w:cs="宋体"/>
          <w:color w:val="auto"/>
          <w:kern w:val="0"/>
          <w:sz w:val="24"/>
          <w:highlight w:val="none"/>
          <w:lang w:val="en-US" w:eastAsia="zh-CN"/>
        </w:rPr>
        <w:t>大型、</w:t>
      </w:r>
      <w:r>
        <w:rPr>
          <w:rFonts w:hint="eastAsia" w:ascii="宋体" w:hAnsi="宋体" w:cs="宋体"/>
          <w:color w:val="auto"/>
          <w:kern w:val="0"/>
          <w:sz w:val="24"/>
          <w:highlight w:val="none"/>
        </w:rPr>
        <w:t>中型、小型、微型）企业。</w:t>
      </w:r>
    </w:p>
    <w:p w14:paraId="7470EEBA">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（2）本企业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（请填写：是、不是）监狱企业。后附省级以上监狱管理局、戒毒管理局（含新疆生产建设兵团）出具的属于监狱企业的证明文件。</w:t>
      </w:r>
    </w:p>
    <w:p w14:paraId="30AF3D0F">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（3）根据《关于促进残疾人就业政府采购政策的通知》（财库〔2017〕141号）。本单位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（请填写：是、不是）残疾人福利性单位。</w:t>
      </w:r>
    </w:p>
    <w:p w14:paraId="6FACC1A8">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2、□本项目提供伴随货物，由其他______（请填写：中型、小型、微型）企业、监狱企业或残疾人福利性单位制造。本条所称货物不包括使用大型企业注册商标的货物。（后附制造商企业（单位）类型声明函）</w:t>
      </w:r>
    </w:p>
    <w:p w14:paraId="718E05C6">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3、□本企业（单位）为联合体一方，提供本企业（单位）制造的货物，由本企业（单位）承担工程、提供服务。本企业（单位）提供协议合同金额占到共同投标协议合同总金额的比例为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4A2AE5A">
      <w:pPr>
        <w:widowControl/>
        <w:spacing w:before="100" w:beforeAutospacing="1" w:after="100" w:afterAutospacing="1" w:line="33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　　本企业（单位）对上述声明的真实性负责。如有虚假，将依法承担相应责任。</w:t>
      </w:r>
    </w:p>
    <w:p w14:paraId="62E2F0D8">
      <w:pPr>
        <w:widowControl/>
        <w:spacing w:before="100" w:beforeAutospacing="1" w:after="100" w:afterAutospacing="1" w:line="33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14:paraId="4E567A16">
      <w:pPr>
        <w:widowControl/>
        <w:spacing w:before="100" w:beforeAutospacing="1" w:after="100" w:afterAutospacing="1" w:line="330" w:lineRule="atLeast"/>
        <w:jc w:val="left"/>
        <w:rPr>
          <w:rFonts w:hint="eastAsia" w:ascii="宋体" w:hAnsi="宋体" w:cs="宋体"/>
          <w:color w:val="auto"/>
          <w:kern w:val="0"/>
          <w:sz w:val="24"/>
          <w:highlight w:val="none"/>
        </w:rPr>
      </w:pPr>
    </w:p>
    <w:p w14:paraId="1F5721AF">
      <w:pPr>
        <w:widowControl/>
        <w:spacing w:before="100" w:beforeAutospacing="1" w:after="100" w:afterAutospacing="1" w:line="330" w:lineRule="atLeast"/>
        <w:jc w:val="left"/>
        <w:rPr>
          <w:rFonts w:hint="eastAsia" w:ascii="宋体" w:hAnsi="宋体" w:cs="宋体"/>
          <w:color w:val="auto"/>
          <w:kern w:val="0"/>
          <w:sz w:val="24"/>
          <w:highlight w:val="none"/>
        </w:rPr>
      </w:pPr>
    </w:p>
    <w:p w14:paraId="22F5AC36">
      <w:pPr>
        <w:spacing w:line="240" w:lineRule="atLeast"/>
        <w:ind w:left="1079" w:leftChars="257" w:hanging="540"/>
        <w:jc w:val="center"/>
        <w:rPr>
          <w:rFonts w:hint="eastAsia" w:ascii="宋体" w:hAnsi="宋体" w:cs="宋体"/>
          <w:b/>
          <w:color w:val="auto"/>
          <w:kern w:val="0"/>
          <w:sz w:val="24"/>
          <w:szCs w:val="20"/>
          <w:highlight w:val="none"/>
        </w:rPr>
      </w:pPr>
      <w:r>
        <w:rPr>
          <w:rFonts w:hint="eastAsia" w:ascii="宋体" w:hAnsi="宋体" w:cs="宋体"/>
          <w:b/>
          <w:color w:val="auto"/>
          <w:kern w:val="0"/>
          <w:sz w:val="24"/>
          <w:szCs w:val="20"/>
          <w:highlight w:val="none"/>
        </w:rPr>
        <w:t>　</w:t>
      </w:r>
    </w:p>
    <w:p w14:paraId="623EFC38">
      <w:pPr>
        <w:widowControl/>
        <w:spacing w:before="100" w:beforeAutospacing="1" w:after="100" w:afterAutospacing="1" w:line="330" w:lineRule="atLeast"/>
        <w:ind w:firstLine="3960" w:firstLineChars="16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投标人名称（盖单位章）：</w:t>
      </w:r>
      <w:r>
        <w:rPr>
          <w:rFonts w:hint="eastAsia" w:ascii="宋体" w:hAnsi="宋体" w:cs="宋体"/>
          <w:color w:val="auto"/>
          <w:kern w:val="0"/>
          <w:sz w:val="24"/>
          <w:highlight w:val="none"/>
          <w:u w:val="single"/>
        </w:rPr>
        <w:t xml:space="preserve">             </w:t>
      </w:r>
    </w:p>
    <w:p w14:paraId="276EDF96">
      <w:pPr>
        <w:widowControl/>
        <w:spacing w:before="100" w:beforeAutospacing="1" w:after="100" w:afterAutospacing="1" w:line="330" w:lineRule="atLeast"/>
        <w:ind w:firstLine="3720" w:firstLineChars="1550"/>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日　                期：</w:t>
      </w:r>
      <w:r>
        <w:rPr>
          <w:rFonts w:hint="eastAsia" w:ascii="宋体" w:hAnsi="宋体" w:cs="宋体"/>
          <w:color w:val="auto"/>
          <w:kern w:val="0"/>
          <w:sz w:val="24"/>
          <w:highlight w:val="none"/>
          <w:u w:val="single"/>
        </w:rPr>
        <w:t xml:space="preserve">             </w:t>
      </w:r>
    </w:p>
    <w:p w14:paraId="769E5B8F">
      <w:pPr>
        <w:pStyle w:val="10"/>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 </w:t>
      </w:r>
    </w:p>
    <w:p w14:paraId="71B2A2F9">
      <w:pPr>
        <w:pStyle w:val="5"/>
        <w:ind w:left="0" w:leftChars="0" w:firstLine="0" w:firstLineChars="0"/>
        <w:rPr>
          <w:rFonts w:hint="eastAsia" w:ascii="宋体" w:hAnsi="宋体" w:eastAsia="宋体" w:cs="宋体"/>
          <w:b w:val="0"/>
          <w:bCs/>
          <w:color w:val="auto"/>
          <w:highlight w:val="none"/>
        </w:rPr>
      </w:pPr>
    </w:p>
    <w:p w14:paraId="2BB4F958">
      <w:pPr>
        <w:pStyle w:val="5"/>
        <w:ind w:left="0" w:leftChars="0" w:firstLine="0" w:firstLineChars="0"/>
        <w:rPr>
          <w:rFonts w:hint="eastAsia" w:ascii="宋体" w:hAnsi="宋体" w:eastAsia="宋体" w:cs="宋体"/>
          <w:b w:val="0"/>
          <w:bCs/>
          <w:color w:val="auto"/>
          <w:highlight w:val="none"/>
        </w:rPr>
      </w:pPr>
    </w:p>
    <w:p w14:paraId="6A5EE1EE">
      <w:pPr>
        <w:pStyle w:val="5"/>
        <w:ind w:left="0" w:leftChars="0" w:firstLine="0" w:firstLineChars="0"/>
        <w:rPr>
          <w:rFonts w:hint="eastAsia" w:ascii="宋体" w:hAnsi="宋体" w:eastAsia="宋体" w:cs="宋体"/>
          <w:b w:val="0"/>
          <w:bCs/>
          <w:color w:val="auto"/>
          <w:highlight w:val="none"/>
        </w:rPr>
      </w:pPr>
    </w:p>
    <w:p w14:paraId="7C67C4AF">
      <w:pPr>
        <w:pStyle w:val="31"/>
        <w:keepNext w:val="0"/>
        <w:keepLines w:val="0"/>
        <w:widowControl/>
        <w:suppressLineNumbers w:val="0"/>
        <w:spacing w:line="420" w:lineRule="atLeast"/>
        <w:ind w:left="0" w:firstLine="420"/>
        <w:jc w:val="center"/>
        <w:rPr>
          <w:rFonts w:hint="eastAsia" w:ascii="Times New Roman" w:hAnsi="Times New Roman" w:eastAsia="宋体" w:cs="Times New Roman"/>
          <w:i w:val="0"/>
          <w:iCs w:val="0"/>
          <w:caps w:val="0"/>
          <w:color w:val="auto"/>
          <w:spacing w:val="0"/>
          <w:sz w:val="24"/>
          <w:szCs w:val="24"/>
          <w:highlight w:val="none"/>
          <w:lang w:eastAsia="zh-CN"/>
        </w:rPr>
      </w:pPr>
      <w:r>
        <w:rPr>
          <w:rStyle w:val="38"/>
          <w:rFonts w:hint="eastAsia" w:ascii="Times New Roman" w:hAnsi="Times New Roman" w:cs="Times New Roman"/>
          <w:i w:val="0"/>
          <w:iCs w:val="0"/>
          <w:caps w:val="0"/>
          <w:color w:val="auto"/>
          <w:spacing w:val="0"/>
          <w:sz w:val="24"/>
          <w:szCs w:val="24"/>
          <w:highlight w:val="none"/>
          <w:lang w:val="en-US" w:eastAsia="zh-CN"/>
        </w:rPr>
        <w:t>6-1</w:t>
      </w:r>
      <w:r>
        <w:rPr>
          <w:rStyle w:val="38"/>
          <w:rFonts w:hint="default" w:ascii="Times New Roman" w:hAnsi="Times New Roman" w:cs="Times New Roman"/>
          <w:i w:val="0"/>
          <w:iCs w:val="0"/>
          <w:caps w:val="0"/>
          <w:color w:val="auto"/>
          <w:spacing w:val="0"/>
          <w:sz w:val="24"/>
          <w:szCs w:val="24"/>
          <w:highlight w:val="none"/>
        </w:rPr>
        <w:t>中小企业声明函</w:t>
      </w:r>
      <w:r>
        <w:rPr>
          <w:rStyle w:val="38"/>
          <w:rFonts w:hint="eastAsia" w:ascii="Times New Roman" w:hAnsi="Times New Roman" w:cs="Times New Roman"/>
          <w:i w:val="0"/>
          <w:iCs w:val="0"/>
          <w:caps w:val="0"/>
          <w:color w:val="auto"/>
          <w:spacing w:val="0"/>
          <w:sz w:val="24"/>
          <w:szCs w:val="24"/>
          <w:highlight w:val="none"/>
          <w:lang w:eastAsia="zh-CN"/>
        </w:rPr>
        <w:t>（</w:t>
      </w:r>
      <w:r>
        <w:rPr>
          <w:rStyle w:val="38"/>
          <w:rFonts w:hint="eastAsia" w:ascii="Times New Roman" w:hAnsi="Times New Roman" w:cs="Times New Roman"/>
          <w:i w:val="0"/>
          <w:iCs w:val="0"/>
          <w:caps w:val="0"/>
          <w:color w:val="auto"/>
          <w:spacing w:val="0"/>
          <w:sz w:val="24"/>
          <w:szCs w:val="24"/>
          <w:highlight w:val="none"/>
          <w:lang w:val="en-US" w:eastAsia="zh-CN"/>
        </w:rPr>
        <w:t>货物</w:t>
      </w:r>
      <w:r>
        <w:rPr>
          <w:rStyle w:val="38"/>
          <w:rFonts w:hint="eastAsia" w:ascii="Times New Roman" w:hAnsi="Times New Roman" w:cs="Times New Roman"/>
          <w:i w:val="0"/>
          <w:iCs w:val="0"/>
          <w:caps w:val="0"/>
          <w:color w:val="auto"/>
          <w:spacing w:val="0"/>
          <w:sz w:val="24"/>
          <w:szCs w:val="24"/>
          <w:highlight w:val="none"/>
          <w:lang w:eastAsia="zh-CN"/>
        </w:rPr>
        <w:t>）</w:t>
      </w:r>
    </w:p>
    <w:p w14:paraId="2856F5EF">
      <w:pPr>
        <w:pStyle w:val="31"/>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 </w:t>
      </w:r>
    </w:p>
    <w:p w14:paraId="770E1F69">
      <w:pPr>
        <w:pStyle w:val="31"/>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本公司（联合体）郑重声明，根据《政府采购促进中小企业发展管理办法》（财库〔2020〕46号）的规定，本公司参加（单位名称）的（项目名称）采购活动，提供的货物全部由符合政策要求的中小企业制造。相关企业（含联合体中的中小企业、签订分包意向协议的中小企业）的具体情况如下：</w:t>
      </w:r>
    </w:p>
    <w:p w14:paraId="299E5C22">
      <w:pPr>
        <w:pStyle w:val="31"/>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1.（标的名称），属于（采购文件中明确的所属行业）；制造商为（企业名称），从业人员</w:t>
      </w:r>
      <w:r>
        <w:rPr>
          <w:rFonts w:hint="eastAsia" w:cs="Times New Roman"/>
          <w:i w:val="0"/>
          <w:iCs w:val="0"/>
          <w:caps w:val="0"/>
          <w:color w:val="auto"/>
          <w:spacing w:val="0"/>
          <w:sz w:val="24"/>
          <w:szCs w:val="24"/>
          <w:highlight w:val="none"/>
          <w:lang w:val="en-US" w:eastAsia="zh-CN"/>
        </w:rPr>
        <w:t xml:space="preserve"> </w:t>
      </w:r>
      <w:r>
        <w:rPr>
          <w:rFonts w:hint="eastAsia"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u w:val="single"/>
        </w:rPr>
        <w:t>  </w:t>
      </w:r>
      <w:r>
        <w:rPr>
          <w:rFonts w:hint="default" w:ascii="Times New Roman" w:hAnsi="Times New Roman" w:cs="Times New Roman"/>
          <w:i w:val="0"/>
          <w:iCs w:val="0"/>
          <w:caps w:val="0"/>
          <w:color w:val="auto"/>
          <w:spacing w:val="0"/>
          <w:sz w:val="24"/>
          <w:szCs w:val="24"/>
          <w:highlight w:val="none"/>
        </w:rPr>
        <w:t>人，营业收入为</w:t>
      </w:r>
      <w:r>
        <w:rPr>
          <w:rFonts w:hint="default" w:ascii="Times New Roman" w:hAnsi="Times New Roman" w:cs="Times New Roman"/>
          <w:i w:val="0"/>
          <w:iCs w:val="0"/>
          <w:caps w:val="0"/>
          <w:color w:val="auto"/>
          <w:spacing w:val="0"/>
          <w:sz w:val="24"/>
          <w:szCs w:val="24"/>
          <w:highlight w:val="none"/>
          <w:u w:val="single"/>
        </w:rPr>
        <w:t>  </w:t>
      </w:r>
      <w:r>
        <w:rPr>
          <w:rFonts w:hint="eastAsia" w:ascii="Times New Roman" w:hAnsi="Times New Roman"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rPr>
        <w:t>万元，资产总额为 </w:t>
      </w:r>
      <w:r>
        <w:rPr>
          <w:rFonts w:hint="default" w:ascii="Times New Roman" w:hAnsi="Times New Roman" w:cs="Times New Roman"/>
          <w:i w:val="0"/>
          <w:iCs w:val="0"/>
          <w:caps w:val="0"/>
          <w:color w:val="auto"/>
          <w:spacing w:val="0"/>
          <w:sz w:val="24"/>
          <w:szCs w:val="24"/>
          <w:highlight w:val="none"/>
          <w:u w:val="single"/>
        </w:rPr>
        <w:t> </w:t>
      </w:r>
      <w:r>
        <w:rPr>
          <w:rFonts w:hint="eastAsia" w:ascii="Times New Roman" w:hAnsi="Times New Roman"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rPr>
        <w:t>万元，属于（中型企业、小型企业、微型企业）；</w:t>
      </w:r>
    </w:p>
    <w:p w14:paraId="4422A5DC">
      <w:pPr>
        <w:pStyle w:val="31"/>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eastAsia" w:cs="Times New Roman"/>
          <w:i w:val="0"/>
          <w:iCs w:val="0"/>
          <w:caps w:val="0"/>
          <w:color w:val="auto"/>
          <w:spacing w:val="0"/>
          <w:sz w:val="24"/>
          <w:szCs w:val="24"/>
          <w:highlight w:val="none"/>
          <w:lang w:val="en-US" w:eastAsia="zh-CN"/>
        </w:rPr>
        <w:t>2</w:t>
      </w:r>
      <w:r>
        <w:rPr>
          <w:rFonts w:hint="default" w:ascii="Times New Roman" w:hAnsi="Times New Roman" w:cs="Times New Roman"/>
          <w:i w:val="0"/>
          <w:iCs w:val="0"/>
          <w:caps w:val="0"/>
          <w:color w:val="auto"/>
          <w:spacing w:val="0"/>
          <w:sz w:val="24"/>
          <w:szCs w:val="24"/>
          <w:highlight w:val="none"/>
        </w:rPr>
        <w:t>.（标的名称），属于（采购文件中明确的所属行业）；制造商为（企业名称），从业人员</w:t>
      </w:r>
      <w:r>
        <w:rPr>
          <w:rFonts w:hint="eastAsia" w:cs="Times New Roman"/>
          <w:i w:val="0"/>
          <w:iCs w:val="0"/>
          <w:caps w:val="0"/>
          <w:color w:val="auto"/>
          <w:spacing w:val="0"/>
          <w:sz w:val="24"/>
          <w:szCs w:val="24"/>
          <w:highlight w:val="none"/>
          <w:lang w:val="en-US" w:eastAsia="zh-CN"/>
        </w:rPr>
        <w:t xml:space="preserve"> </w:t>
      </w:r>
      <w:r>
        <w:rPr>
          <w:rFonts w:hint="eastAsia"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u w:val="single"/>
        </w:rPr>
        <w:t>  </w:t>
      </w:r>
      <w:r>
        <w:rPr>
          <w:rFonts w:hint="default" w:ascii="Times New Roman" w:hAnsi="Times New Roman" w:cs="Times New Roman"/>
          <w:i w:val="0"/>
          <w:iCs w:val="0"/>
          <w:caps w:val="0"/>
          <w:color w:val="auto"/>
          <w:spacing w:val="0"/>
          <w:sz w:val="24"/>
          <w:szCs w:val="24"/>
          <w:highlight w:val="none"/>
        </w:rPr>
        <w:t>人，营业收入为</w:t>
      </w:r>
      <w:r>
        <w:rPr>
          <w:rFonts w:hint="default" w:ascii="Times New Roman" w:hAnsi="Times New Roman" w:cs="Times New Roman"/>
          <w:i w:val="0"/>
          <w:iCs w:val="0"/>
          <w:caps w:val="0"/>
          <w:color w:val="auto"/>
          <w:spacing w:val="0"/>
          <w:sz w:val="24"/>
          <w:szCs w:val="24"/>
          <w:highlight w:val="none"/>
          <w:u w:val="single"/>
        </w:rPr>
        <w:t>  </w:t>
      </w:r>
      <w:r>
        <w:rPr>
          <w:rFonts w:hint="eastAsia" w:ascii="Times New Roman" w:hAnsi="Times New Roman"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rPr>
        <w:t>万元，资产总额为 </w:t>
      </w:r>
      <w:r>
        <w:rPr>
          <w:rFonts w:hint="default" w:ascii="Times New Roman" w:hAnsi="Times New Roman" w:cs="Times New Roman"/>
          <w:i w:val="0"/>
          <w:iCs w:val="0"/>
          <w:caps w:val="0"/>
          <w:color w:val="auto"/>
          <w:spacing w:val="0"/>
          <w:sz w:val="24"/>
          <w:szCs w:val="24"/>
          <w:highlight w:val="none"/>
          <w:u w:val="single"/>
        </w:rPr>
        <w:t> </w:t>
      </w:r>
      <w:r>
        <w:rPr>
          <w:rFonts w:hint="eastAsia" w:ascii="Times New Roman" w:hAnsi="Times New Roman"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rPr>
        <w:t>万元，属于（中型企业、小型企业、微型企业）；……</w:t>
      </w:r>
    </w:p>
    <w:p w14:paraId="32C6C5E1">
      <w:pPr>
        <w:pStyle w:val="31"/>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1CB269C4">
      <w:pPr>
        <w:pStyle w:val="31"/>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本企业对上述声明内容的真实性负责。如有虚假，将依法承担相应责任。</w:t>
      </w:r>
    </w:p>
    <w:p w14:paraId="10AACDC6">
      <w:pPr>
        <w:pStyle w:val="31"/>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 </w:t>
      </w:r>
    </w:p>
    <w:p w14:paraId="621E7443">
      <w:pPr>
        <w:pStyle w:val="31"/>
        <w:keepNext w:val="0"/>
        <w:keepLines w:val="0"/>
        <w:widowControl/>
        <w:suppressLineNumbers w:val="0"/>
        <w:spacing w:line="420" w:lineRule="atLeast"/>
        <w:ind w:left="0" w:firstLine="420"/>
        <w:jc w:val="right"/>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                     </w:t>
      </w:r>
    </w:p>
    <w:p w14:paraId="4452B5C9">
      <w:pPr>
        <w:pStyle w:val="31"/>
        <w:keepNext w:val="0"/>
        <w:keepLines w:val="0"/>
        <w:widowControl/>
        <w:suppressLineNumbers w:val="0"/>
        <w:spacing w:line="420" w:lineRule="atLeast"/>
        <w:ind w:left="0" w:firstLine="420"/>
        <w:jc w:val="right"/>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 企业名称（盖章）：</w:t>
      </w:r>
    </w:p>
    <w:p w14:paraId="75EC51F7">
      <w:pPr>
        <w:pStyle w:val="31"/>
        <w:keepNext w:val="0"/>
        <w:keepLines w:val="0"/>
        <w:widowControl/>
        <w:suppressLineNumbers w:val="0"/>
        <w:spacing w:line="420" w:lineRule="atLeast"/>
        <w:ind w:left="0" w:firstLine="420"/>
        <w:jc w:val="right"/>
        <w:rPr>
          <w:rFonts w:hint="default" w:ascii="Times New Roman" w:hAnsi="Times New Roman" w:cs="Times New Roman"/>
          <w:i w:val="0"/>
          <w:iCs w:val="0"/>
          <w:caps w:val="0"/>
          <w:color w:val="auto"/>
          <w:spacing w:val="0"/>
          <w:sz w:val="27"/>
          <w:szCs w:val="27"/>
          <w:highlight w:val="none"/>
        </w:rPr>
      </w:pPr>
      <w:r>
        <w:rPr>
          <w:rFonts w:hint="default" w:ascii="Times New Roman" w:hAnsi="Times New Roman" w:cs="Times New Roman"/>
          <w:i w:val="0"/>
          <w:iCs w:val="0"/>
          <w:caps w:val="0"/>
          <w:color w:val="auto"/>
          <w:spacing w:val="0"/>
          <w:sz w:val="24"/>
          <w:szCs w:val="24"/>
          <w:highlight w:val="none"/>
        </w:rPr>
        <w:t> 日期：</w:t>
      </w:r>
      <w:r>
        <w:rPr>
          <w:rFonts w:hint="default" w:ascii="Times New Roman" w:hAnsi="Times New Roman" w:cs="Times New Roman"/>
          <w:i w:val="0"/>
          <w:iCs w:val="0"/>
          <w:caps w:val="0"/>
          <w:color w:val="auto"/>
          <w:spacing w:val="0"/>
          <w:sz w:val="27"/>
          <w:szCs w:val="27"/>
          <w:highlight w:val="none"/>
        </w:rPr>
        <w:t>                    </w:t>
      </w:r>
    </w:p>
    <w:p w14:paraId="41DE494B">
      <w:pPr>
        <w:rPr>
          <w:rFonts w:hint="eastAsia" w:ascii="微软雅黑" w:hAnsi="微软雅黑" w:eastAsia="微软雅黑" w:cs="微软雅黑"/>
          <w:b/>
          <w:bCs/>
          <w:color w:val="auto"/>
          <w:kern w:val="0"/>
          <w:sz w:val="32"/>
          <w:szCs w:val="32"/>
          <w:highlight w:val="none"/>
          <w:lang w:val="en-US" w:eastAsia="zh-CN"/>
        </w:rPr>
      </w:pPr>
    </w:p>
    <w:p w14:paraId="7E709C55">
      <w:pPr>
        <w:rPr>
          <w:rFonts w:hint="eastAsia" w:ascii="微软雅黑" w:hAnsi="微软雅黑" w:eastAsia="微软雅黑" w:cs="微软雅黑"/>
          <w:b/>
          <w:bCs/>
          <w:color w:val="auto"/>
          <w:kern w:val="0"/>
          <w:sz w:val="32"/>
          <w:szCs w:val="32"/>
          <w:highlight w:val="none"/>
          <w:lang w:val="en-US" w:eastAsia="zh-CN"/>
        </w:rPr>
      </w:pPr>
    </w:p>
    <w:p w14:paraId="2099B30A">
      <w:pPr>
        <w:rPr>
          <w:rFonts w:hint="eastAsia" w:ascii="微软雅黑" w:hAnsi="微软雅黑" w:eastAsia="微软雅黑" w:cs="微软雅黑"/>
          <w:b/>
          <w:bCs/>
          <w:color w:val="auto"/>
          <w:kern w:val="0"/>
          <w:sz w:val="32"/>
          <w:szCs w:val="32"/>
          <w:highlight w:val="none"/>
          <w:lang w:val="en-US" w:eastAsia="zh-CN"/>
        </w:rPr>
      </w:pPr>
    </w:p>
    <w:p w14:paraId="164C81FB">
      <w:pPr>
        <w:rPr>
          <w:rFonts w:hint="default" w:ascii="宋体" w:hAnsi="宋体" w:eastAsia="微软雅黑" w:cs="宋体"/>
          <w:b/>
          <w:bCs/>
          <w:color w:val="auto"/>
          <w:kern w:val="0"/>
          <w:sz w:val="32"/>
          <w:szCs w:val="32"/>
          <w:highlight w:val="none"/>
          <w:lang w:val="en-US" w:eastAsia="zh-CN"/>
        </w:rPr>
      </w:pPr>
      <w:r>
        <w:rPr>
          <w:rFonts w:hint="eastAsia" w:ascii="微软雅黑" w:hAnsi="微软雅黑" w:eastAsia="微软雅黑" w:cs="微软雅黑"/>
          <w:b/>
          <w:bCs/>
          <w:color w:val="auto"/>
          <w:kern w:val="0"/>
          <w:sz w:val="32"/>
          <w:szCs w:val="32"/>
          <w:highlight w:val="none"/>
          <w:lang w:val="en-US" w:eastAsia="zh-CN"/>
        </w:rPr>
        <w:t>本项目所属行业为工业。</w:t>
      </w:r>
    </w:p>
    <w:p w14:paraId="7F9D5628">
      <w:pPr>
        <w:pStyle w:val="10"/>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注：潜在投标企业属于中小微企业的，请在投标文件中提供“投标人企业（单位）类型声明函”，如果未提供或提供虚假的“中小企业声明函”，投标企业将承担由此造成的一切不利后果。</w:t>
      </w:r>
    </w:p>
    <w:p w14:paraId="38C92652">
      <w:pPr>
        <w:pStyle w:val="10"/>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b/>
          <w:bCs/>
          <w:color w:val="auto"/>
          <w:sz w:val="24"/>
          <w:szCs w:val="24"/>
          <w:highlight w:val="none"/>
          <w:lang w:val="en-US" w:eastAsia="zh-CN"/>
        </w:rPr>
      </w:pPr>
    </w:p>
    <w:p w14:paraId="576B8F15">
      <w:pP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w:t>
      </w:r>
    </w:p>
    <w:p w14:paraId="006BDAEC">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中小微企业划型标准</w:t>
      </w:r>
    </w:p>
    <w:tbl>
      <w:tblPr>
        <w:tblStyle w:val="35"/>
        <w:tblW w:w="9610" w:type="dxa"/>
        <w:jc w:val="center"/>
        <w:tblLayout w:type="fixed"/>
        <w:tblCellMar>
          <w:top w:w="0" w:type="dxa"/>
          <w:left w:w="108" w:type="dxa"/>
          <w:bottom w:w="0" w:type="dxa"/>
          <w:right w:w="108" w:type="dxa"/>
        </w:tblCellMar>
      </w:tblPr>
      <w:tblGrid>
        <w:gridCol w:w="1570"/>
        <w:gridCol w:w="1660"/>
        <w:gridCol w:w="1466"/>
        <w:gridCol w:w="1903"/>
        <w:gridCol w:w="1877"/>
        <w:gridCol w:w="1134"/>
      </w:tblGrid>
      <w:tr w14:paraId="0C5FDC8D">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6F0565C7">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noWrap w:val="0"/>
            <w:vAlign w:val="center"/>
          </w:tcPr>
          <w:p w14:paraId="78828304">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14:paraId="37F1D915">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14:paraId="48559F21">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877" w:type="dxa"/>
            <w:tcBorders>
              <w:top w:val="single" w:color="auto" w:sz="4" w:space="0"/>
              <w:left w:val="nil"/>
              <w:bottom w:val="single" w:color="auto" w:sz="4" w:space="0"/>
              <w:right w:val="single" w:color="auto" w:sz="4" w:space="0"/>
            </w:tcBorders>
            <w:noWrap w:val="0"/>
            <w:vAlign w:val="center"/>
          </w:tcPr>
          <w:p w14:paraId="3B638524">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50B3F685">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14:paraId="1205AB8E">
        <w:tblPrEx>
          <w:tblCellMar>
            <w:top w:w="0" w:type="dxa"/>
            <w:left w:w="108" w:type="dxa"/>
            <w:bottom w:w="0" w:type="dxa"/>
            <w:right w:w="108" w:type="dxa"/>
          </w:tblCellMar>
        </w:tblPrEx>
        <w:trPr>
          <w:trHeight w:val="505" w:hRule="atLeast"/>
          <w:jc w:val="center"/>
        </w:trPr>
        <w:tc>
          <w:tcPr>
            <w:tcW w:w="1570" w:type="dxa"/>
            <w:tcBorders>
              <w:top w:val="nil"/>
              <w:left w:val="single" w:color="auto" w:sz="4" w:space="0"/>
              <w:bottom w:val="single" w:color="auto" w:sz="4" w:space="0"/>
              <w:right w:val="single" w:color="auto" w:sz="4" w:space="0"/>
            </w:tcBorders>
            <w:noWrap w:val="0"/>
            <w:vAlign w:val="center"/>
          </w:tcPr>
          <w:p w14:paraId="7AE9DF8E">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1660" w:type="dxa"/>
            <w:tcBorders>
              <w:top w:val="nil"/>
              <w:left w:val="nil"/>
              <w:bottom w:val="single" w:color="auto" w:sz="4" w:space="0"/>
              <w:right w:val="single" w:color="auto" w:sz="4" w:space="0"/>
            </w:tcBorders>
            <w:noWrap w:val="0"/>
            <w:vAlign w:val="center"/>
          </w:tcPr>
          <w:p w14:paraId="44A82E7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917F28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B768EE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877" w:type="dxa"/>
            <w:tcBorders>
              <w:top w:val="nil"/>
              <w:left w:val="nil"/>
              <w:bottom w:val="single" w:color="auto" w:sz="4" w:space="0"/>
              <w:right w:val="single" w:color="auto" w:sz="4" w:space="0"/>
            </w:tcBorders>
            <w:noWrap w:val="0"/>
            <w:vAlign w:val="center"/>
          </w:tcPr>
          <w:p w14:paraId="1C49A8B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134" w:type="dxa"/>
            <w:tcBorders>
              <w:top w:val="nil"/>
              <w:left w:val="nil"/>
              <w:bottom w:val="single" w:color="auto" w:sz="4" w:space="0"/>
              <w:right w:val="single" w:color="auto" w:sz="4" w:space="0"/>
            </w:tcBorders>
            <w:noWrap w:val="0"/>
            <w:vAlign w:val="center"/>
          </w:tcPr>
          <w:p w14:paraId="354B00A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7132EF5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4E9ACEB">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1660" w:type="dxa"/>
            <w:tcBorders>
              <w:top w:val="nil"/>
              <w:left w:val="nil"/>
              <w:bottom w:val="single" w:color="auto" w:sz="4" w:space="0"/>
              <w:right w:val="single" w:color="auto" w:sz="4" w:space="0"/>
            </w:tcBorders>
            <w:noWrap w:val="0"/>
            <w:vAlign w:val="center"/>
          </w:tcPr>
          <w:p w14:paraId="659585A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DA647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6909E4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14:paraId="4B6AFA5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14:paraId="7A82604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72D61E2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C4436F2">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1098398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BC4A2C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4AB5BC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877" w:type="dxa"/>
            <w:tcBorders>
              <w:top w:val="nil"/>
              <w:left w:val="nil"/>
              <w:bottom w:val="single" w:color="auto" w:sz="4" w:space="0"/>
              <w:right w:val="single" w:color="auto" w:sz="4" w:space="0"/>
            </w:tcBorders>
            <w:noWrap w:val="0"/>
            <w:vAlign w:val="center"/>
          </w:tcPr>
          <w:p w14:paraId="2831BF4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134" w:type="dxa"/>
            <w:tcBorders>
              <w:top w:val="nil"/>
              <w:left w:val="nil"/>
              <w:bottom w:val="single" w:color="auto" w:sz="4" w:space="0"/>
              <w:right w:val="single" w:color="auto" w:sz="4" w:space="0"/>
            </w:tcBorders>
            <w:noWrap w:val="0"/>
            <w:vAlign w:val="center"/>
          </w:tcPr>
          <w:p w14:paraId="7496478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216A2E38">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F0C81BF">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1660" w:type="dxa"/>
            <w:tcBorders>
              <w:top w:val="nil"/>
              <w:left w:val="nil"/>
              <w:bottom w:val="single" w:color="auto" w:sz="4" w:space="0"/>
              <w:right w:val="single" w:color="auto" w:sz="4" w:space="0"/>
            </w:tcBorders>
            <w:noWrap w:val="0"/>
            <w:vAlign w:val="center"/>
          </w:tcPr>
          <w:p w14:paraId="6FFD423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C70B52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162F37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877" w:type="dxa"/>
            <w:tcBorders>
              <w:top w:val="nil"/>
              <w:left w:val="nil"/>
              <w:bottom w:val="single" w:color="auto" w:sz="4" w:space="0"/>
              <w:right w:val="single" w:color="auto" w:sz="4" w:space="0"/>
            </w:tcBorders>
            <w:noWrap w:val="0"/>
            <w:vAlign w:val="center"/>
          </w:tcPr>
          <w:p w14:paraId="08775A2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134" w:type="dxa"/>
            <w:tcBorders>
              <w:top w:val="nil"/>
              <w:left w:val="nil"/>
              <w:bottom w:val="single" w:color="auto" w:sz="4" w:space="0"/>
              <w:right w:val="single" w:color="auto" w:sz="4" w:space="0"/>
            </w:tcBorders>
            <w:noWrap w:val="0"/>
            <w:vAlign w:val="center"/>
          </w:tcPr>
          <w:p w14:paraId="437AA4E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028E77E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E434A53">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2F10418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1963744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85DA41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877" w:type="dxa"/>
            <w:tcBorders>
              <w:top w:val="nil"/>
              <w:left w:val="nil"/>
              <w:bottom w:val="single" w:color="auto" w:sz="4" w:space="0"/>
              <w:right w:val="single" w:color="auto" w:sz="4" w:space="0"/>
            </w:tcBorders>
            <w:noWrap w:val="0"/>
            <w:vAlign w:val="center"/>
          </w:tcPr>
          <w:p w14:paraId="60A2C21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134" w:type="dxa"/>
            <w:tcBorders>
              <w:top w:val="nil"/>
              <w:left w:val="nil"/>
              <w:bottom w:val="single" w:color="auto" w:sz="4" w:space="0"/>
              <w:right w:val="single" w:color="auto" w:sz="4" w:space="0"/>
            </w:tcBorders>
            <w:noWrap w:val="0"/>
            <w:vAlign w:val="center"/>
          </w:tcPr>
          <w:p w14:paraId="17ED86A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14:paraId="133B1AF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B36A612">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1660" w:type="dxa"/>
            <w:tcBorders>
              <w:top w:val="nil"/>
              <w:left w:val="nil"/>
              <w:bottom w:val="single" w:color="auto" w:sz="4" w:space="0"/>
              <w:right w:val="single" w:color="auto" w:sz="4" w:space="0"/>
            </w:tcBorders>
            <w:noWrap w:val="0"/>
            <w:vAlign w:val="center"/>
          </w:tcPr>
          <w:p w14:paraId="3D26169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0B7345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C69B7F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877" w:type="dxa"/>
            <w:tcBorders>
              <w:top w:val="nil"/>
              <w:left w:val="nil"/>
              <w:bottom w:val="single" w:color="auto" w:sz="4" w:space="0"/>
              <w:right w:val="single" w:color="auto" w:sz="4" w:space="0"/>
            </w:tcBorders>
            <w:noWrap w:val="0"/>
            <w:vAlign w:val="center"/>
          </w:tcPr>
          <w:p w14:paraId="0DD9F7D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134" w:type="dxa"/>
            <w:tcBorders>
              <w:top w:val="nil"/>
              <w:left w:val="nil"/>
              <w:bottom w:val="single" w:color="auto" w:sz="4" w:space="0"/>
              <w:right w:val="single" w:color="auto" w:sz="4" w:space="0"/>
            </w:tcBorders>
            <w:noWrap w:val="0"/>
            <w:vAlign w:val="center"/>
          </w:tcPr>
          <w:p w14:paraId="577CC85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14:paraId="75A79F50">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B74537B">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B3736A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1BD59F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6C6AB2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877" w:type="dxa"/>
            <w:tcBorders>
              <w:top w:val="nil"/>
              <w:left w:val="nil"/>
              <w:bottom w:val="single" w:color="auto" w:sz="4" w:space="0"/>
              <w:right w:val="single" w:color="auto" w:sz="4" w:space="0"/>
            </w:tcBorders>
            <w:noWrap w:val="0"/>
            <w:vAlign w:val="center"/>
          </w:tcPr>
          <w:p w14:paraId="373E05B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134" w:type="dxa"/>
            <w:tcBorders>
              <w:top w:val="nil"/>
              <w:left w:val="nil"/>
              <w:bottom w:val="single" w:color="auto" w:sz="4" w:space="0"/>
              <w:right w:val="single" w:color="auto" w:sz="4" w:space="0"/>
            </w:tcBorders>
            <w:noWrap w:val="0"/>
            <w:vAlign w:val="center"/>
          </w:tcPr>
          <w:p w14:paraId="64970CD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14:paraId="0313EBE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3F79E86">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1660" w:type="dxa"/>
            <w:tcBorders>
              <w:top w:val="nil"/>
              <w:left w:val="nil"/>
              <w:bottom w:val="single" w:color="auto" w:sz="4" w:space="0"/>
              <w:right w:val="single" w:color="auto" w:sz="4" w:space="0"/>
            </w:tcBorders>
            <w:noWrap w:val="0"/>
            <w:vAlign w:val="center"/>
          </w:tcPr>
          <w:p w14:paraId="6E1D365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EE42AB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4CDD63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877" w:type="dxa"/>
            <w:tcBorders>
              <w:top w:val="nil"/>
              <w:left w:val="nil"/>
              <w:bottom w:val="single" w:color="auto" w:sz="4" w:space="0"/>
              <w:right w:val="single" w:color="auto" w:sz="4" w:space="0"/>
            </w:tcBorders>
            <w:noWrap w:val="0"/>
            <w:vAlign w:val="center"/>
          </w:tcPr>
          <w:p w14:paraId="2BDF3A7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134" w:type="dxa"/>
            <w:tcBorders>
              <w:top w:val="nil"/>
              <w:left w:val="nil"/>
              <w:bottom w:val="single" w:color="auto" w:sz="4" w:space="0"/>
              <w:right w:val="single" w:color="auto" w:sz="4" w:space="0"/>
            </w:tcBorders>
            <w:noWrap w:val="0"/>
            <w:vAlign w:val="center"/>
          </w:tcPr>
          <w:p w14:paraId="10E36E7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06A5D19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B9756FB">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78F9D8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31AFB6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A86F8F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877" w:type="dxa"/>
            <w:tcBorders>
              <w:top w:val="nil"/>
              <w:left w:val="nil"/>
              <w:bottom w:val="single" w:color="auto" w:sz="4" w:space="0"/>
              <w:right w:val="single" w:color="auto" w:sz="4" w:space="0"/>
            </w:tcBorders>
            <w:noWrap w:val="0"/>
            <w:vAlign w:val="center"/>
          </w:tcPr>
          <w:p w14:paraId="08C7BCB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134" w:type="dxa"/>
            <w:tcBorders>
              <w:top w:val="nil"/>
              <w:left w:val="nil"/>
              <w:bottom w:val="single" w:color="auto" w:sz="4" w:space="0"/>
              <w:right w:val="single" w:color="auto" w:sz="4" w:space="0"/>
            </w:tcBorders>
            <w:noWrap w:val="0"/>
            <w:vAlign w:val="center"/>
          </w:tcPr>
          <w:p w14:paraId="5870A12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6FB0FAB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4077CB2">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1660" w:type="dxa"/>
            <w:tcBorders>
              <w:top w:val="nil"/>
              <w:left w:val="nil"/>
              <w:bottom w:val="single" w:color="auto" w:sz="4" w:space="0"/>
              <w:right w:val="single" w:color="auto" w:sz="4" w:space="0"/>
            </w:tcBorders>
            <w:noWrap w:val="0"/>
            <w:vAlign w:val="center"/>
          </w:tcPr>
          <w:p w14:paraId="6E76FF1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470BFB7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F5C8ED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14:paraId="416AC4D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14:paraId="5A97A62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46B51258">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D222DB6">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025AC0C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C563D2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CA5386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877" w:type="dxa"/>
            <w:tcBorders>
              <w:top w:val="nil"/>
              <w:left w:val="nil"/>
              <w:bottom w:val="single" w:color="auto" w:sz="4" w:space="0"/>
              <w:right w:val="single" w:color="auto" w:sz="4" w:space="0"/>
            </w:tcBorders>
            <w:noWrap w:val="0"/>
            <w:vAlign w:val="center"/>
          </w:tcPr>
          <w:p w14:paraId="25A4C19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134" w:type="dxa"/>
            <w:tcBorders>
              <w:top w:val="nil"/>
              <w:left w:val="nil"/>
              <w:bottom w:val="single" w:color="auto" w:sz="4" w:space="0"/>
              <w:right w:val="single" w:color="auto" w:sz="4" w:space="0"/>
            </w:tcBorders>
            <w:noWrap w:val="0"/>
            <w:vAlign w:val="center"/>
          </w:tcPr>
          <w:p w14:paraId="2BC0DBC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14:paraId="2320E2E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232C2D8">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1660" w:type="dxa"/>
            <w:tcBorders>
              <w:top w:val="nil"/>
              <w:left w:val="nil"/>
              <w:bottom w:val="single" w:color="auto" w:sz="4" w:space="0"/>
              <w:right w:val="single" w:color="auto" w:sz="4" w:space="0"/>
            </w:tcBorders>
            <w:noWrap w:val="0"/>
            <w:vAlign w:val="center"/>
          </w:tcPr>
          <w:p w14:paraId="0EE676F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E228C4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1A0EDE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877" w:type="dxa"/>
            <w:tcBorders>
              <w:top w:val="nil"/>
              <w:left w:val="nil"/>
              <w:bottom w:val="single" w:color="auto" w:sz="4" w:space="0"/>
              <w:right w:val="single" w:color="auto" w:sz="4" w:space="0"/>
            </w:tcBorders>
            <w:noWrap w:val="0"/>
            <w:vAlign w:val="center"/>
          </w:tcPr>
          <w:p w14:paraId="5C66EE8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134" w:type="dxa"/>
            <w:tcBorders>
              <w:top w:val="nil"/>
              <w:left w:val="nil"/>
              <w:bottom w:val="single" w:color="auto" w:sz="4" w:space="0"/>
              <w:right w:val="single" w:color="auto" w:sz="4" w:space="0"/>
            </w:tcBorders>
            <w:noWrap w:val="0"/>
            <w:vAlign w:val="center"/>
          </w:tcPr>
          <w:p w14:paraId="4A524CE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04C1568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5141756">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22F2E98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1157C7A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2F68224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877" w:type="dxa"/>
            <w:tcBorders>
              <w:top w:val="nil"/>
              <w:left w:val="nil"/>
              <w:bottom w:val="single" w:color="auto" w:sz="4" w:space="0"/>
              <w:right w:val="single" w:color="auto" w:sz="4" w:space="0"/>
            </w:tcBorders>
            <w:noWrap w:val="0"/>
            <w:vAlign w:val="center"/>
          </w:tcPr>
          <w:p w14:paraId="054401C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134" w:type="dxa"/>
            <w:tcBorders>
              <w:top w:val="nil"/>
              <w:left w:val="nil"/>
              <w:bottom w:val="single" w:color="auto" w:sz="4" w:space="0"/>
              <w:right w:val="single" w:color="auto" w:sz="4" w:space="0"/>
            </w:tcBorders>
            <w:noWrap w:val="0"/>
            <w:vAlign w:val="center"/>
          </w:tcPr>
          <w:p w14:paraId="2405011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BC63312">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2FE3818C">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1660" w:type="dxa"/>
            <w:tcBorders>
              <w:top w:val="nil"/>
              <w:left w:val="nil"/>
              <w:bottom w:val="single" w:color="auto" w:sz="4" w:space="0"/>
              <w:right w:val="single" w:color="auto" w:sz="4" w:space="0"/>
            </w:tcBorders>
            <w:noWrap w:val="0"/>
            <w:vAlign w:val="center"/>
          </w:tcPr>
          <w:p w14:paraId="38E3A1D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1EEB41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5666665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14:paraId="4A7C0AD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14:paraId="3F9A735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518BF82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6F02A26">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A89451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283D1A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5E3B0C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877" w:type="dxa"/>
            <w:tcBorders>
              <w:top w:val="nil"/>
              <w:left w:val="nil"/>
              <w:bottom w:val="single" w:color="auto" w:sz="4" w:space="0"/>
              <w:right w:val="single" w:color="auto" w:sz="4" w:space="0"/>
            </w:tcBorders>
            <w:noWrap w:val="0"/>
            <w:vAlign w:val="center"/>
          </w:tcPr>
          <w:p w14:paraId="6DA1B25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14:paraId="70D0D24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54CAF24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334AC63">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1660" w:type="dxa"/>
            <w:tcBorders>
              <w:top w:val="nil"/>
              <w:left w:val="nil"/>
              <w:bottom w:val="single" w:color="auto" w:sz="4" w:space="0"/>
              <w:right w:val="single" w:color="auto" w:sz="4" w:space="0"/>
            </w:tcBorders>
            <w:noWrap w:val="0"/>
            <w:vAlign w:val="center"/>
          </w:tcPr>
          <w:p w14:paraId="0E35F95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4DBF25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E6B2A1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0BDB155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5693F7E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5EFD0820">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1CC5AE1">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499063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5BAE35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D5D207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877" w:type="dxa"/>
            <w:tcBorders>
              <w:top w:val="nil"/>
              <w:left w:val="nil"/>
              <w:bottom w:val="single" w:color="auto" w:sz="4" w:space="0"/>
              <w:right w:val="single" w:color="auto" w:sz="4" w:space="0"/>
            </w:tcBorders>
            <w:noWrap w:val="0"/>
            <w:vAlign w:val="center"/>
          </w:tcPr>
          <w:p w14:paraId="4B8984E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14:paraId="29D40E3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5CED667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EB278E4">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1660" w:type="dxa"/>
            <w:tcBorders>
              <w:top w:val="nil"/>
              <w:left w:val="nil"/>
              <w:bottom w:val="single" w:color="auto" w:sz="4" w:space="0"/>
              <w:right w:val="single" w:color="auto" w:sz="4" w:space="0"/>
            </w:tcBorders>
            <w:noWrap w:val="0"/>
            <w:vAlign w:val="center"/>
          </w:tcPr>
          <w:p w14:paraId="772C06F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E41E58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B565DF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073035A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739C8F0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2BEB093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8811741">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BDB1FD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2CC78A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ED416B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877" w:type="dxa"/>
            <w:tcBorders>
              <w:top w:val="nil"/>
              <w:left w:val="nil"/>
              <w:bottom w:val="single" w:color="auto" w:sz="4" w:space="0"/>
              <w:right w:val="single" w:color="auto" w:sz="4" w:space="0"/>
            </w:tcBorders>
            <w:noWrap w:val="0"/>
            <w:vAlign w:val="center"/>
          </w:tcPr>
          <w:p w14:paraId="6F03EF0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14:paraId="5785EE3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5B23D28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73B7B605">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1660" w:type="dxa"/>
            <w:tcBorders>
              <w:top w:val="nil"/>
              <w:left w:val="nil"/>
              <w:bottom w:val="single" w:color="auto" w:sz="4" w:space="0"/>
              <w:right w:val="single" w:color="auto" w:sz="4" w:space="0"/>
            </w:tcBorders>
            <w:noWrap w:val="0"/>
            <w:vAlign w:val="center"/>
          </w:tcPr>
          <w:p w14:paraId="0D40BE50">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33615B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A891D2F">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100≤X＜2000</w:t>
            </w:r>
          </w:p>
        </w:tc>
        <w:tc>
          <w:tcPr>
            <w:tcW w:w="1877" w:type="dxa"/>
            <w:tcBorders>
              <w:top w:val="nil"/>
              <w:left w:val="nil"/>
              <w:bottom w:val="single" w:color="auto" w:sz="4" w:space="0"/>
              <w:right w:val="single" w:color="auto" w:sz="4" w:space="0"/>
            </w:tcBorders>
            <w:noWrap w:val="0"/>
            <w:vAlign w:val="center"/>
          </w:tcPr>
          <w:p w14:paraId="7C6E029D">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2A6AD9C2">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158CFEA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E7D73B2">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25B58CB0">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532CBB98">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9337F01">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1000≤Y＜100000</w:t>
            </w:r>
          </w:p>
        </w:tc>
        <w:tc>
          <w:tcPr>
            <w:tcW w:w="1877" w:type="dxa"/>
            <w:tcBorders>
              <w:top w:val="nil"/>
              <w:left w:val="nil"/>
              <w:bottom w:val="single" w:color="auto" w:sz="4" w:space="0"/>
              <w:right w:val="single" w:color="auto" w:sz="4" w:space="0"/>
            </w:tcBorders>
            <w:noWrap w:val="0"/>
            <w:vAlign w:val="center"/>
          </w:tcPr>
          <w:p w14:paraId="37063AE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100≤Y＜1000</w:t>
            </w:r>
          </w:p>
        </w:tc>
        <w:tc>
          <w:tcPr>
            <w:tcW w:w="1134" w:type="dxa"/>
            <w:tcBorders>
              <w:top w:val="nil"/>
              <w:left w:val="nil"/>
              <w:bottom w:val="single" w:color="auto" w:sz="4" w:space="0"/>
              <w:right w:val="single" w:color="auto" w:sz="4" w:space="0"/>
            </w:tcBorders>
            <w:noWrap w:val="0"/>
            <w:vAlign w:val="center"/>
          </w:tcPr>
          <w:p w14:paraId="066B15D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Y＜100</w:t>
            </w:r>
          </w:p>
        </w:tc>
      </w:tr>
      <w:tr w14:paraId="1F1D54D1">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7764CF7">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1660" w:type="dxa"/>
            <w:tcBorders>
              <w:top w:val="nil"/>
              <w:left w:val="nil"/>
              <w:bottom w:val="single" w:color="auto" w:sz="4" w:space="0"/>
              <w:right w:val="single" w:color="auto" w:sz="4" w:space="0"/>
            </w:tcBorders>
            <w:noWrap w:val="0"/>
            <w:vAlign w:val="center"/>
          </w:tcPr>
          <w:p w14:paraId="77F1415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78F146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213047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10760A1C">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318EF8F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08537FBE">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7D9B171">
            <w:pPr>
              <w:widowControl/>
              <w:snapToGrid w:val="0"/>
              <w:contextualSpacing/>
              <w:jc w:val="center"/>
              <w:rPr>
                <w:rFonts w:hint="eastAsia" w:ascii="宋体" w:hAnsi="宋体" w:eastAsia="宋体" w:cs="宋体"/>
                <w:b w:val="0"/>
                <w:bCs w:val="0"/>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0D223042">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C28CCF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355895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w:t>
            </w:r>
          </w:p>
        </w:tc>
        <w:tc>
          <w:tcPr>
            <w:tcW w:w="1877" w:type="dxa"/>
            <w:tcBorders>
              <w:top w:val="nil"/>
              <w:left w:val="nil"/>
              <w:bottom w:val="single" w:color="auto" w:sz="4" w:space="0"/>
              <w:right w:val="single" w:color="auto" w:sz="4" w:space="0"/>
            </w:tcBorders>
            <w:noWrap w:val="0"/>
            <w:vAlign w:val="center"/>
          </w:tcPr>
          <w:p w14:paraId="7DDA53A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50≤Y＜1000</w:t>
            </w:r>
          </w:p>
        </w:tc>
        <w:tc>
          <w:tcPr>
            <w:tcW w:w="1134" w:type="dxa"/>
            <w:tcBorders>
              <w:top w:val="nil"/>
              <w:left w:val="nil"/>
              <w:bottom w:val="single" w:color="auto" w:sz="4" w:space="0"/>
              <w:right w:val="single" w:color="auto" w:sz="4" w:space="0"/>
            </w:tcBorders>
            <w:noWrap w:val="0"/>
            <w:vAlign w:val="center"/>
          </w:tcPr>
          <w:p w14:paraId="2586753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Y＜50</w:t>
            </w:r>
          </w:p>
        </w:tc>
      </w:tr>
      <w:tr w14:paraId="6B6E923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71BF754">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1660" w:type="dxa"/>
            <w:tcBorders>
              <w:top w:val="nil"/>
              <w:left w:val="nil"/>
              <w:bottom w:val="single" w:color="auto" w:sz="4" w:space="0"/>
              <w:right w:val="single" w:color="auto" w:sz="4" w:space="0"/>
            </w:tcBorders>
            <w:noWrap w:val="0"/>
            <w:vAlign w:val="center"/>
          </w:tcPr>
          <w:p w14:paraId="48681D9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CE618B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989C6A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877" w:type="dxa"/>
            <w:tcBorders>
              <w:top w:val="nil"/>
              <w:left w:val="nil"/>
              <w:bottom w:val="single" w:color="auto" w:sz="4" w:space="0"/>
              <w:right w:val="single" w:color="auto" w:sz="4" w:space="0"/>
            </w:tcBorders>
            <w:noWrap w:val="0"/>
            <w:vAlign w:val="center"/>
          </w:tcPr>
          <w:p w14:paraId="7B8F716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134" w:type="dxa"/>
            <w:tcBorders>
              <w:top w:val="nil"/>
              <w:left w:val="nil"/>
              <w:bottom w:val="single" w:color="auto" w:sz="4" w:space="0"/>
              <w:right w:val="single" w:color="auto" w:sz="4" w:space="0"/>
            </w:tcBorders>
            <w:noWrap w:val="0"/>
            <w:vAlign w:val="center"/>
          </w:tcPr>
          <w:p w14:paraId="1AD4764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3A262C7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5471D3E">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875B42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4E6EB0C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075B8B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877" w:type="dxa"/>
            <w:tcBorders>
              <w:top w:val="nil"/>
              <w:left w:val="nil"/>
              <w:bottom w:val="single" w:color="auto" w:sz="4" w:space="0"/>
              <w:right w:val="single" w:color="auto" w:sz="4" w:space="0"/>
            </w:tcBorders>
            <w:noWrap w:val="0"/>
            <w:vAlign w:val="center"/>
          </w:tcPr>
          <w:p w14:paraId="7F5C2EE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134" w:type="dxa"/>
            <w:tcBorders>
              <w:top w:val="nil"/>
              <w:left w:val="nil"/>
              <w:bottom w:val="single" w:color="auto" w:sz="4" w:space="0"/>
              <w:right w:val="single" w:color="auto" w:sz="4" w:space="0"/>
            </w:tcBorders>
            <w:noWrap w:val="0"/>
            <w:vAlign w:val="center"/>
          </w:tcPr>
          <w:p w14:paraId="27E3A18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14:paraId="1E552D6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2370A40">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1660" w:type="dxa"/>
            <w:tcBorders>
              <w:top w:val="nil"/>
              <w:left w:val="nil"/>
              <w:bottom w:val="single" w:color="auto" w:sz="4" w:space="0"/>
              <w:right w:val="single" w:color="auto" w:sz="4" w:space="0"/>
            </w:tcBorders>
            <w:noWrap w:val="0"/>
            <w:vAlign w:val="center"/>
          </w:tcPr>
          <w:p w14:paraId="66D35E4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5E5127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FFEBEE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14:paraId="613E698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134" w:type="dxa"/>
            <w:tcBorders>
              <w:top w:val="nil"/>
              <w:left w:val="nil"/>
              <w:bottom w:val="single" w:color="auto" w:sz="4" w:space="0"/>
              <w:right w:val="single" w:color="auto" w:sz="4" w:space="0"/>
            </w:tcBorders>
            <w:noWrap w:val="0"/>
            <w:vAlign w:val="center"/>
          </w:tcPr>
          <w:p w14:paraId="6AF021C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6FE2D757">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17E8AC9">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214E2BE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3D59FB7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E8A8AA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877" w:type="dxa"/>
            <w:tcBorders>
              <w:top w:val="nil"/>
              <w:left w:val="nil"/>
              <w:bottom w:val="single" w:color="auto" w:sz="4" w:space="0"/>
              <w:right w:val="single" w:color="auto" w:sz="4" w:space="0"/>
            </w:tcBorders>
            <w:noWrap w:val="0"/>
            <w:vAlign w:val="center"/>
          </w:tcPr>
          <w:p w14:paraId="40621CF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134" w:type="dxa"/>
            <w:tcBorders>
              <w:top w:val="nil"/>
              <w:left w:val="nil"/>
              <w:bottom w:val="single" w:color="auto" w:sz="4" w:space="0"/>
              <w:right w:val="single" w:color="auto" w:sz="4" w:space="0"/>
            </w:tcBorders>
            <w:noWrap w:val="0"/>
            <w:vAlign w:val="center"/>
          </w:tcPr>
          <w:p w14:paraId="0BDD813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14:paraId="73A1CBDE">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919865A">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1660" w:type="dxa"/>
            <w:tcBorders>
              <w:top w:val="nil"/>
              <w:left w:val="nil"/>
              <w:bottom w:val="single" w:color="auto" w:sz="4" w:space="0"/>
              <w:right w:val="single" w:color="auto" w:sz="4" w:space="0"/>
            </w:tcBorders>
            <w:noWrap w:val="0"/>
            <w:vAlign w:val="center"/>
          </w:tcPr>
          <w:p w14:paraId="36BDDEA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1B62A4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D4E81E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463EA90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011DF94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5A53DF0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26039C8">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4E801F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0EDD650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3ECD51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877" w:type="dxa"/>
            <w:tcBorders>
              <w:top w:val="nil"/>
              <w:left w:val="nil"/>
              <w:bottom w:val="single" w:color="auto" w:sz="4" w:space="0"/>
              <w:right w:val="single" w:color="auto" w:sz="4" w:space="0"/>
            </w:tcBorders>
            <w:noWrap w:val="0"/>
            <w:vAlign w:val="center"/>
          </w:tcPr>
          <w:p w14:paraId="00236BB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134" w:type="dxa"/>
            <w:tcBorders>
              <w:top w:val="nil"/>
              <w:left w:val="nil"/>
              <w:bottom w:val="single" w:color="auto" w:sz="4" w:space="0"/>
              <w:right w:val="single" w:color="auto" w:sz="4" w:space="0"/>
            </w:tcBorders>
            <w:noWrap w:val="0"/>
            <w:vAlign w:val="center"/>
          </w:tcPr>
          <w:p w14:paraId="00BD3AF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1A6EEE69">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650A51A6">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1660" w:type="dxa"/>
            <w:tcBorders>
              <w:top w:val="nil"/>
              <w:left w:val="nil"/>
              <w:bottom w:val="single" w:color="auto" w:sz="4" w:space="0"/>
              <w:right w:val="single" w:color="auto" w:sz="4" w:space="0"/>
            </w:tcBorders>
            <w:noWrap w:val="0"/>
            <w:vAlign w:val="center"/>
          </w:tcPr>
          <w:p w14:paraId="52659BC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681154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1AF3EE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7F29452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02B2050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14:paraId="181541E6">
      <w:pPr>
        <w:keepNext w:val="0"/>
        <w:keepLines w:val="0"/>
        <w:widowControl/>
        <w:suppressLineNumbers w:val="0"/>
        <w:jc w:val="left"/>
        <w:rPr>
          <w:rFonts w:hint="eastAsia" w:hAnsi="宋体" w:cs="宋体"/>
          <w:color w:val="auto"/>
          <w:sz w:val="24"/>
          <w:szCs w:val="24"/>
          <w:highlight w:val="none"/>
        </w:rPr>
        <w:sectPr>
          <w:footerReference r:id="rId9" w:type="first"/>
          <w:headerReference r:id="rId6" w:type="default"/>
          <w:footerReference r:id="rId7" w:type="default"/>
          <w:footerReference r:id="rId8" w:type="even"/>
          <w:pgSz w:w="11906" w:h="16838"/>
          <w:pgMar w:top="1474" w:right="1701" w:bottom="1474" w:left="1701"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hint="eastAsia" w:ascii="宋体" w:hAnsi="宋体" w:eastAsia="宋体" w:cs="宋体"/>
          <w:b/>
          <w:color w:val="auto"/>
          <w:sz w:val="24"/>
          <w:szCs w:val="24"/>
          <w:highlight w:val="none"/>
        </w:rPr>
        <w:t>说明：</w:t>
      </w:r>
      <w:r>
        <w:rPr>
          <w:rFonts w:hint="eastAsia" w:ascii="宋体" w:hAnsi="宋体" w:eastAsia="宋体" w:cs="宋体"/>
          <w:color w:val="auto"/>
          <w:sz w:val="24"/>
          <w:szCs w:val="24"/>
          <w:highlight w:val="none"/>
        </w:rPr>
        <w:t>上述标准参照</w:t>
      </w:r>
      <w:r>
        <w:rPr>
          <w:rFonts w:hint="eastAsia" w:ascii="宋体" w:hAnsi="宋体" w:eastAsia="宋体" w:cs="宋体"/>
          <w:color w:val="auto"/>
          <w:sz w:val="24"/>
          <w:szCs w:val="24"/>
          <w:highlight w:val="none"/>
          <w:lang w:val="en-US" w:eastAsia="zh-CN"/>
        </w:rPr>
        <w:t>《中华人民共和国中小企业促进法》和《国务院关于进一步促进中小企业发展的若干意见》(国发(2022)36号)，</w:t>
      </w:r>
      <w:r>
        <w:rPr>
          <w:rFonts w:hint="eastAsia" w:ascii="宋体" w:hAnsi="宋体" w:eastAsia="宋体" w:cs="宋体"/>
          <w:color w:val="auto"/>
          <w:sz w:val="24"/>
          <w:szCs w:val="24"/>
          <w:highlight w:val="none"/>
        </w:rPr>
        <w:t>大型、中型和小型企业须同时满足所列指标的下限，否则下划一档；微型企业只须满足所列指标中的一项即可</w:t>
      </w:r>
    </w:p>
    <w:p w14:paraId="127BAF56">
      <w:pPr>
        <w:pStyle w:val="5"/>
        <w:ind w:left="1918" w:leftChars="684" w:hanging="482" w:hangingChars="200"/>
        <w:rPr>
          <w:rFonts w:hint="eastAsia" w:ascii="宋体" w:hAnsi="宋体" w:eastAsia="宋体" w:cs="宋体"/>
          <w:b/>
          <w:color w:val="auto"/>
          <w:kern w:val="0"/>
          <w:sz w:val="24"/>
          <w:szCs w:val="20"/>
          <w:highlight w:val="none"/>
        </w:rPr>
      </w:pPr>
      <w:r>
        <w:rPr>
          <w:rFonts w:hint="eastAsia" w:ascii="宋体" w:hAnsi="宋体" w:eastAsia="宋体" w:cs="宋体"/>
          <w:b/>
          <w:color w:val="auto"/>
          <w:kern w:val="0"/>
          <w:sz w:val="24"/>
          <w:szCs w:val="20"/>
          <w:highlight w:val="none"/>
        </w:rPr>
        <w:t> </w:t>
      </w:r>
    </w:p>
    <w:p w14:paraId="70B57E17">
      <w:pPr>
        <w:pStyle w:val="31"/>
        <w:keepNext w:val="0"/>
        <w:keepLines w:val="0"/>
        <w:widowControl/>
        <w:suppressLineNumbers w:val="0"/>
        <w:spacing w:line="420" w:lineRule="atLeast"/>
        <w:ind w:left="0" w:firstLine="420"/>
        <w:jc w:val="center"/>
        <w:rPr>
          <w:rStyle w:val="38"/>
          <w:rFonts w:hint="eastAsia" w:ascii="Times New Roman" w:hAnsi="Times New Roman" w:eastAsia="宋体" w:cs="Times New Roman"/>
          <w:i w:val="0"/>
          <w:iCs w:val="0"/>
          <w:caps w:val="0"/>
          <w:color w:val="auto"/>
          <w:spacing w:val="0"/>
          <w:sz w:val="24"/>
          <w:szCs w:val="24"/>
          <w:highlight w:val="none"/>
          <w:lang w:val="en-US" w:eastAsia="zh-CN"/>
        </w:rPr>
      </w:pPr>
      <w:bookmarkStart w:id="350" w:name="_Toc30231"/>
      <w:bookmarkStart w:id="351" w:name="_Toc28076"/>
      <w:bookmarkStart w:id="352" w:name="_Toc518923122"/>
      <w:r>
        <w:rPr>
          <w:rStyle w:val="38"/>
          <w:rFonts w:hint="eastAsia" w:ascii="Times New Roman" w:hAnsi="Times New Roman" w:eastAsia="宋体" w:cs="Times New Roman"/>
          <w:i w:val="0"/>
          <w:iCs w:val="0"/>
          <w:caps w:val="0"/>
          <w:color w:val="auto"/>
          <w:spacing w:val="0"/>
          <w:sz w:val="24"/>
          <w:szCs w:val="24"/>
          <w:highlight w:val="none"/>
          <w:lang w:val="en-US" w:eastAsia="zh-CN"/>
        </w:rPr>
        <w:t>7、投标人关联单位的说明</w:t>
      </w:r>
      <w:bookmarkEnd w:id="350"/>
      <w:bookmarkEnd w:id="351"/>
      <w:bookmarkEnd w:id="352"/>
    </w:p>
    <w:p w14:paraId="0AACD539">
      <w:pPr>
        <w:pStyle w:val="31"/>
        <w:keepNext w:val="0"/>
        <w:keepLines w:val="0"/>
        <w:widowControl/>
        <w:suppressLineNumbers w:val="0"/>
        <w:spacing w:line="420" w:lineRule="atLeast"/>
        <w:ind w:left="0" w:firstLine="420"/>
        <w:jc w:val="center"/>
        <w:rPr>
          <w:rStyle w:val="38"/>
          <w:rFonts w:hint="eastAsia" w:ascii="Times New Roman" w:hAnsi="Times New Roman" w:eastAsia="宋体" w:cs="Times New Roman"/>
          <w:i w:val="0"/>
          <w:iCs w:val="0"/>
          <w:caps w:val="0"/>
          <w:color w:val="auto"/>
          <w:spacing w:val="0"/>
          <w:sz w:val="24"/>
          <w:szCs w:val="24"/>
          <w:highlight w:val="none"/>
          <w:lang w:val="en-US" w:eastAsia="zh-CN"/>
        </w:rPr>
      </w:pPr>
      <w:r>
        <w:rPr>
          <w:rStyle w:val="38"/>
          <w:rFonts w:hint="eastAsia" w:ascii="Times New Roman" w:hAnsi="Times New Roman" w:eastAsia="宋体" w:cs="Times New Roman"/>
          <w:i w:val="0"/>
          <w:iCs w:val="0"/>
          <w:caps w:val="0"/>
          <w:color w:val="auto"/>
          <w:spacing w:val="0"/>
          <w:sz w:val="24"/>
          <w:szCs w:val="24"/>
          <w:highlight w:val="none"/>
          <w:lang w:val="en-US" w:eastAsia="zh-CN"/>
        </w:rPr>
        <w:t>（内容自拟）</w:t>
      </w:r>
    </w:p>
    <w:p w14:paraId="7F3683BF">
      <w:pPr>
        <w:keepNext w:val="0"/>
        <w:keepLines w:val="0"/>
        <w:widowControl/>
        <w:suppressLineNumbers w:val="0"/>
        <w:jc w:val="left"/>
        <w:rPr>
          <w:rFonts w:hint="eastAsia" w:ascii="宋体" w:hAnsi="宋体" w:eastAsia="宋体" w:cs="宋体"/>
          <w:color w:val="auto"/>
          <w:sz w:val="24"/>
          <w:szCs w:val="24"/>
          <w:highlight w:val="none"/>
          <w:lang w:val="en-US" w:eastAsia="zh-CN"/>
        </w:rPr>
      </w:pPr>
    </w:p>
    <w:p w14:paraId="281C1003">
      <w:pPr>
        <w:keepNext w:val="0"/>
        <w:keepLines w:val="0"/>
        <w:widowControl/>
        <w:suppressLineNumbers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说明：投标人应当如实披露与本单位存在下列关联关系的单位名称</w:t>
      </w:r>
    </w:p>
    <w:p w14:paraId="29B98AFB">
      <w:pPr>
        <w:keepNext w:val="0"/>
        <w:keepLines w:val="0"/>
        <w:widowControl/>
        <w:suppressLineNumbers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（1）与投标人单位负责人为同一人的其他单位；</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（2）与投标人存在直接控股、管理关系的其他单位。</w:t>
      </w:r>
    </w:p>
    <w:p w14:paraId="31AC6940">
      <w:pPr>
        <w:pStyle w:val="5"/>
        <w:spacing w:line="340" w:lineRule="exact"/>
        <w:ind w:firstLine="0"/>
        <w:rPr>
          <w:rFonts w:hint="eastAsia" w:ascii="微软雅黑 Light" w:hAnsi="微软雅黑 Light" w:eastAsia="微软雅黑 Light" w:cs="微软雅黑 Light"/>
          <w:color w:val="auto"/>
          <w:szCs w:val="24"/>
          <w:highlight w:val="none"/>
        </w:rPr>
      </w:pPr>
    </w:p>
    <w:p w14:paraId="10A1D441">
      <w:pPr>
        <w:pStyle w:val="5"/>
        <w:spacing w:line="340" w:lineRule="exact"/>
        <w:ind w:firstLine="0"/>
        <w:rPr>
          <w:rFonts w:hint="eastAsia" w:ascii="微软雅黑 Light" w:hAnsi="微软雅黑 Light" w:eastAsia="微软雅黑 Light" w:cs="微软雅黑 Light"/>
          <w:color w:val="auto"/>
          <w:szCs w:val="24"/>
          <w:highlight w:val="none"/>
        </w:rPr>
      </w:pPr>
    </w:p>
    <w:p w14:paraId="490F616F">
      <w:pPr>
        <w:widowControl/>
        <w:spacing w:before="100" w:after="100" w:line="340" w:lineRule="exact"/>
        <w:ind w:firstLine="3960" w:firstLineChars="1650"/>
        <w:jc w:val="left"/>
        <w:rPr>
          <w:rFonts w:hint="eastAsia" w:ascii="微软雅黑 Light" w:hAnsi="微软雅黑 Light" w:eastAsia="微软雅黑 Light" w:cs="微软雅黑 Light"/>
          <w:color w:val="auto"/>
          <w:kern w:val="0"/>
          <w:sz w:val="24"/>
          <w:highlight w:val="none"/>
        </w:rPr>
      </w:pPr>
    </w:p>
    <w:p w14:paraId="6EBEF60F">
      <w:pPr>
        <w:widowControl/>
        <w:spacing w:before="100" w:after="100" w:line="340" w:lineRule="exact"/>
        <w:ind w:firstLine="3960" w:firstLineChars="1650"/>
        <w:jc w:val="both"/>
        <w:rPr>
          <w:rFonts w:hint="eastAsia" w:ascii="微软雅黑 Light" w:hAnsi="微软雅黑 Light" w:eastAsia="微软雅黑 Light" w:cs="微软雅黑 Light"/>
          <w:color w:val="auto"/>
          <w:kern w:val="0"/>
          <w:sz w:val="24"/>
          <w:highlight w:val="none"/>
        </w:rPr>
      </w:pPr>
      <w:r>
        <w:rPr>
          <w:rFonts w:hint="eastAsia" w:ascii="宋体" w:hAnsi="宋体" w:eastAsia="宋体" w:cs="宋体"/>
          <w:color w:val="auto"/>
          <w:sz w:val="24"/>
          <w:szCs w:val="24"/>
          <w:highlight w:val="none"/>
          <w:lang w:val="en-US" w:eastAsia="zh-CN"/>
        </w:rPr>
        <w:t>投标人名称（盖章）：</w:t>
      </w:r>
      <w:r>
        <w:rPr>
          <w:rFonts w:hint="eastAsia" w:ascii="微软雅黑 Light" w:hAnsi="微软雅黑 Light" w:eastAsia="微软雅黑 Light" w:cs="微软雅黑 Light"/>
          <w:color w:val="auto"/>
          <w:kern w:val="0"/>
          <w:sz w:val="24"/>
          <w:highlight w:val="none"/>
          <w:u w:val="single"/>
        </w:rPr>
        <w:t xml:space="preserve">             </w:t>
      </w:r>
    </w:p>
    <w:p w14:paraId="44E010F8">
      <w:pPr>
        <w:pStyle w:val="15"/>
        <w:spacing w:line="360" w:lineRule="exact"/>
        <w:ind w:firstLine="480"/>
        <w:jc w:val="center"/>
        <w:outlineLvl w:val="2"/>
        <w:rPr>
          <w:rFonts w:hint="eastAsia" w:ascii="微软雅黑 Light" w:hAnsi="微软雅黑 Light" w:eastAsia="微软雅黑 Light" w:cs="微软雅黑 Light"/>
          <w:color w:val="auto"/>
          <w:kern w:val="0"/>
          <w:sz w:val="24"/>
          <w:highlight w:val="none"/>
          <w:u w:val="single"/>
        </w:rPr>
      </w:pPr>
      <w:r>
        <w:rPr>
          <w:rFonts w:hint="eastAsia" w:ascii="宋体" w:hAnsi="宋体" w:eastAsia="宋体" w:cs="宋体"/>
          <w:color w:val="auto"/>
          <w:kern w:val="2"/>
          <w:sz w:val="24"/>
          <w:szCs w:val="24"/>
          <w:highlight w:val="none"/>
          <w:lang w:val="en-US" w:eastAsia="zh-CN" w:bidi="ar-SA"/>
        </w:rPr>
        <w:t>日　期：</w:t>
      </w:r>
      <w:r>
        <w:rPr>
          <w:rFonts w:hint="eastAsia" w:ascii="微软雅黑 Light" w:hAnsi="微软雅黑 Light" w:eastAsia="微软雅黑 Light" w:cs="微软雅黑 Light"/>
          <w:color w:val="auto"/>
          <w:kern w:val="0"/>
          <w:sz w:val="24"/>
          <w:highlight w:val="none"/>
          <w:u w:val="single"/>
        </w:rPr>
        <w:t xml:space="preserve">            </w:t>
      </w:r>
    </w:p>
    <w:p w14:paraId="5B7932F5">
      <w:pPr>
        <w:pStyle w:val="15"/>
        <w:spacing w:line="360" w:lineRule="exact"/>
        <w:ind w:firstLine="480"/>
        <w:jc w:val="center"/>
        <w:outlineLvl w:val="2"/>
        <w:rPr>
          <w:rFonts w:hint="eastAsia" w:ascii="宋体" w:hAnsi="宋体" w:eastAsia="宋体" w:cs="宋体"/>
          <w:color w:val="auto"/>
          <w:sz w:val="24"/>
          <w:highlight w:val="none"/>
        </w:rPr>
      </w:pPr>
    </w:p>
    <w:p w14:paraId="4D2208BC">
      <w:pPr>
        <w:pStyle w:val="15"/>
        <w:spacing w:line="360" w:lineRule="exact"/>
        <w:ind w:firstLine="480"/>
        <w:jc w:val="center"/>
        <w:outlineLvl w:val="2"/>
        <w:rPr>
          <w:rFonts w:hint="eastAsia" w:ascii="宋体" w:hAnsi="宋体" w:eastAsia="宋体" w:cs="宋体"/>
          <w:color w:val="auto"/>
          <w:sz w:val="24"/>
          <w:highlight w:val="none"/>
        </w:rPr>
      </w:pPr>
    </w:p>
    <w:p w14:paraId="3C497729">
      <w:pPr>
        <w:pStyle w:val="31"/>
        <w:keepNext w:val="0"/>
        <w:keepLines w:val="0"/>
        <w:widowControl/>
        <w:suppressLineNumbers w:val="0"/>
        <w:spacing w:line="420" w:lineRule="atLeast"/>
        <w:ind w:left="0" w:firstLine="420"/>
        <w:jc w:val="center"/>
        <w:rPr>
          <w:rStyle w:val="38"/>
          <w:rFonts w:hint="eastAsia" w:ascii="Times New Roman" w:hAnsi="Times New Roman" w:eastAsia="宋体" w:cs="Times New Roman"/>
          <w:i w:val="0"/>
          <w:iCs w:val="0"/>
          <w:caps w:val="0"/>
          <w:color w:val="auto"/>
          <w:spacing w:val="0"/>
          <w:sz w:val="24"/>
          <w:szCs w:val="24"/>
          <w:highlight w:val="none"/>
          <w:lang w:val="en-US" w:eastAsia="zh-CN"/>
        </w:rPr>
      </w:pPr>
      <w:r>
        <w:rPr>
          <w:rStyle w:val="38"/>
          <w:rFonts w:hint="eastAsia" w:ascii="Times New Roman" w:hAnsi="Times New Roman" w:eastAsia="宋体" w:cs="Times New Roman"/>
          <w:i w:val="0"/>
          <w:iCs w:val="0"/>
          <w:caps w:val="0"/>
          <w:color w:val="auto"/>
          <w:spacing w:val="0"/>
          <w:sz w:val="24"/>
          <w:szCs w:val="24"/>
          <w:highlight w:val="none"/>
          <w:lang w:val="en-US" w:eastAsia="zh-CN"/>
        </w:rPr>
        <w:t>8、投标文件还应包括投标人其它技术文件</w:t>
      </w:r>
    </w:p>
    <w:p w14:paraId="4FA94695">
      <w:pPr>
        <w:pStyle w:val="31"/>
        <w:keepNext w:val="0"/>
        <w:keepLines w:val="0"/>
        <w:widowControl/>
        <w:suppressLineNumbers w:val="0"/>
        <w:spacing w:line="420" w:lineRule="atLeast"/>
        <w:ind w:left="0" w:firstLine="420"/>
        <w:jc w:val="center"/>
        <w:rPr>
          <w:rFonts w:hint="eastAsia" w:ascii="宋体" w:hAnsi="宋体" w:eastAsia="宋体" w:cs="宋体"/>
          <w:color w:val="auto"/>
          <w:sz w:val="24"/>
          <w:highlight w:val="none"/>
        </w:rPr>
      </w:pPr>
      <w:r>
        <w:rPr>
          <w:rStyle w:val="38"/>
          <w:rFonts w:hint="eastAsia" w:ascii="Times New Roman" w:hAnsi="Times New Roman" w:eastAsia="宋体" w:cs="Times New Roman"/>
          <w:i w:val="0"/>
          <w:iCs w:val="0"/>
          <w:caps w:val="0"/>
          <w:color w:val="auto"/>
          <w:spacing w:val="0"/>
          <w:sz w:val="24"/>
          <w:szCs w:val="24"/>
          <w:highlight w:val="none"/>
          <w:lang w:val="en-US" w:eastAsia="zh-CN"/>
        </w:rPr>
        <w:t>（包括其他技术资料、评分方案等内容）</w:t>
      </w:r>
      <w:r>
        <w:rPr>
          <w:rFonts w:hint="eastAsia" w:ascii="宋体" w:hAnsi="宋体" w:eastAsia="宋体" w:cs="宋体"/>
          <w:color w:val="auto"/>
          <w:sz w:val="24"/>
          <w:highlight w:val="none"/>
        </w:rPr>
        <w:br w:type="page"/>
      </w:r>
      <w:r>
        <w:rPr>
          <w:rFonts w:hint="eastAsia" w:ascii="宋体" w:hAnsi="宋体" w:eastAsia="宋体" w:cs="宋体"/>
          <w:b/>
          <w:color w:val="auto"/>
          <w:kern w:val="0"/>
          <w:sz w:val="24"/>
          <w:szCs w:val="20"/>
          <w:highlight w:val="none"/>
          <w:lang w:val="en-US" w:eastAsia="zh-CN"/>
        </w:rPr>
        <w:t>投标</w:t>
      </w:r>
      <w:r>
        <w:rPr>
          <w:rFonts w:hint="eastAsia" w:ascii="宋体" w:hAnsi="宋体" w:eastAsia="宋体" w:cs="宋体"/>
          <w:b/>
          <w:color w:val="auto"/>
          <w:kern w:val="0"/>
          <w:sz w:val="24"/>
          <w:szCs w:val="20"/>
          <w:highlight w:val="none"/>
          <w:lang w:eastAsia="zh-CN"/>
        </w:rPr>
        <w:t>文件</w:t>
      </w:r>
      <w:r>
        <w:rPr>
          <w:rFonts w:hint="eastAsia" w:ascii="宋体" w:hAnsi="宋体" w:eastAsia="宋体" w:cs="宋体"/>
          <w:b/>
          <w:color w:val="auto"/>
          <w:kern w:val="0"/>
          <w:sz w:val="24"/>
          <w:szCs w:val="20"/>
          <w:highlight w:val="none"/>
        </w:rPr>
        <w:t>格式范本</w:t>
      </w:r>
    </w:p>
    <w:p w14:paraId="7685F37E">
      <w:pPr>
        <w:spacing w:line="240" w:lineRule="atLeast"/>
        <w:outlineLvl w:val="2"/>
        <w:rPr>
          <w:rFonts w:hint="eastAsia" w:ascii="宋体" w:hAnsi="宋体" w:eastAsia="宋体" w:cs="宋体"/>
          <w:b/>
          <w:color w:val="auto"/>
          <w:kern w:val="0"/>
          <w:sz w:val="24"/>
          <w:szCs w:val="20"/>
          <w:highlight w:val="none"/>
        </w:rPr>
      </w:pPr>
    </w:p>
    <w:tbl>
      <w:tblPr>
        <w:tblStyle w:val="35"/>
        <w:tblpPr w:leftFromText="180" w:rightFromText="180" w:vertAnchor="text" w:horzAnchor="page" w:tblpX="2052" w:tblpY="275"/>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14:paraId="46250F6A">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noWrap w:val="0"/>
            <w:vAlign w:val="top"/>
          </w:tcPr>
          <w:p w14:paraId="3E8B98C2">
            <w:pPr>
              <w:pStyle w:val="10"/>
              <w:jc w:val="right"/>
              <w:rPr>
                <w:rFonts w:hint="eastAsia" w:ascii="宋体" w:hAnsi="宋体" w:eastAsia="宋体" w:cs="宋体"/>
                <w:b/>
                <w:bCs/>
                <w:color w:val="auto"/>
                <w:sz w:val="28"/>
                <w:szCs w:val="28"/>
                <w:highlight w:val="none"/>
              </w:rPr>
            </w:pPr>
          </w:p>
          <w:p w14:paraId="6997EE8D">
            <w:pPr>
              <w:pStyle w:val="10"/>
              <w:ind w:firstLine="4216" w:firstLineChars="1500"/>
              <w:rPr>
                <w:rFonts w:hint="eastAsia" w:ascii="宋体" w:hAnsi="宋体" w:eastAsia="宋体" w:cs="宋体"/>
                <w:b/>
                <w:bCs/>
                <w:color w:val="auto"/>
                <w:sz w:val="28"/>
                <w:szCs w:val="28"/>
                <w:highlight w:val="none"/>
              </w:rPr>
            </w:pPr>
          </w:p>
          <w:p w14:paraId="52C1165D">
            <w:pPr>
              <w:pStyle w:val="10"/>
              <w:ind w:firstLine="4216" w:firstLineChars="1500"/>
              <w:rPr>
                <w:rFonts w:hint="eastAsia" w:ascii="宋体" w:hAnsi="宋体" w:eastAsia="宋体" w:cs="宋体"/>
                <w:b/>
                <w:bCs/>
                <w:color w:val="auto"/>
                <w:sz w:val="28"/>
                <w:szCs w:val="28"/>
                <w:highlight w:val="none"/>
              </w:rPr>
            </w:pPr>
          </w:p>
          <w:p w14:paraId="139D4535">
            <w:pPr>
              <w:pStyle w:val="10"/>
              <w:rPr>
                <w:rFonts w:hint="eastAsia" w:ascii="宋体" w:hAnsi="宋体" w:eastAsia="宋体" w:cs="宋体"/>
                <w:b/>
                <w:bCs/>
                <w:color w:val="auto"/>
                <w:sz w:val="28"/>
                <w:szCs w:val="28"/>
                <w:highlight w:val="none"/>
              </w:rPr>
            </w:pPr>
          </w:p>
          <w:p w14:paraId="1062F614">
            <w:pPr>
              <w:pStyle w:val="1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 *** *** ***   项目</w:t>
            </w:r>
          </w:p>
          <w:p w14:paraId="60D2B20E">
            <w:pPr>
              <w:pStyle w:val="10"/>
              <w:jc w:val="center"/>
              <w:rPr>
                <w:rFonts w:hint="eastAsia" w:ascii="宋体" w:hAnsi="宋体" w:eastAsia="宋体" w:cs="宋体"/>
                <w:b/>
                <w:bCs/>
                <w:color w:val="auto"/>
                <w:sz w:val="21"/>
                <w:szCs w:val="21"/>
                <w:highlight w:val="none"/>
              </w:rPr>
            </w:pPr>
          </w:p>
          <w:p w14:paraId="7D8F6F80">
            <w:pPr>
              <w:pStyle w:val="1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编号</w:t>
            </w:r>
            <w:r>
              <w:rPr>
                <w:rFonts w:hint="eastAsia" w:ascii="宋体" w:hAnsi="宋体" w:eastAsia="宋体" w:cs="宋体"/>
                <w:b/>
                <w:bCs/>
                <w:color w:val="auto"/>
                <w:sz w:val="21"/>
                <w:szCs w:val="21"/>
                <w:highlight w:val="none"/>
                <w:lang w:val="en-US" w:eastAsia="zh-CN"/>
              </w:rPr>
              <w:t>*****************</w:t>
            </w:r>
          </w:p>
          <w:p w14:paraId="03234136">
            <w:pPr>
              <w:pStyle w:val="10"/>
              <w:ind w:firstLine="3162" w:firstLineChars="1500"/>
              <w:rPr>
                <w:rFonts w:hint="eastAsia" w:ascii="宋体" w:hAnsi="宋体" w:eastAsia="宋体" w:cs="宋体"/>
                <w:b/>
                <w:bCs/>
                <w:color w:val="auto"/>
                <w:sz w:val="21"/>
                <w:szCs w:val="21"/>
                <w:highlight w:val="none"/>
                <w:lang w:val="en-US" w:eastAsia="zh-CN"/>
              </w:rPr>
            </w:pPr>
          </w:p>
          <w:p w14:paraId="17F268D5">
            <w:pPr>
              <w:pStyle w:val="10"/>
              <w:jc w:val="center"/>
              <w:rPr>
                <w:rFonts w:hint="eastAsia"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（包号）</w:t>
            </w:r>
          </w:p>
          <w:p w14:paraId="05D925DC">
            <w:pPr>
              <w:pStyle w:val="10"/>
              <w:jc w:val="center"/>
              <w:rPr>
                <w:rFonts w:hint="eastAsia" w:ascii="宋体" w:hAnsi="宋体" w:eastAsia="宋体" w:cs="宋体"/>
                <w:b/>
                <w:bCs/>
                <w:color w:val="auto"/>
                <w:sz w:val="48"/>
                <w:highlight w:val="none"/>
              </w:rPr>
            </w:pPr>
          </w:p>
          <w:p w14:paraId="477A59C2">
            <w:pPr>
              <w:pStyle w:val="10"/>
              <w:jc w:val="center"/>
              <w:rPr>
                <w:rFonts w:hint="eastAsia" w:ascii="宋体" w:hAnsi="宋体" w:eastAsia="宋体" w:cs="宋体"/>
                <w:b/>
                <w:bCs/>
                <w:color w:val="auto"/>
                <w:sz w:val="48"/>
                <w:highlight w:val="none"/>
              </w:rPr>
            </w:pPr>
            <w:r>
              <w:rPr>
                <w:rFonts w:hint="eastAsia" w:ascii="宋体" w:hAnsi="宋体" w:eastAsia="宋体" w:cs="宋体"/>
                <w:b/>
                <w:bCs/>
                <w:color w:val="auto"/>
                <w:sz w:val="48"/>
                <w:highlight w:val="none"/>
                <w:lang w:val="en-US" w:eastAsia="zh-CN"/>
              </w:rPr>
              <w:t>投标</w:t>
            </w:r>
            <w:r>
              <w:rPr>
                <w:rFonts w:hint="eastAsia" w:ascii="宋体" w:hAnsi="宋体" w:eastAsia="宋体" w:cs="宋体"/>
                <w:b/>
                <w:bCs/>
                <w:color w:val="auto"/>
                <w:sz w:val="48"/>
                <w:highlight w:val="none"/>
                <w:lang w:eastAsia="zh-CN"/>
              </w:rPr>
              <w:t>文件</w:t>
            </w:r>
          </w:p>
          <w:p w14:paraId="41591191">
            <w:pPr>
              <w:jc w:val="center"/>
              <w:rPr>
                <w:rFonts w:hint="eastAsia" w:ascii="宋体" w:hAnsi="宋体" w:eastAsia="宋体" w:cs="宋体"/>
                <w:b/>
                <w:color w:val="auto"/>
                <w:sz w:val="32"/>
                <w:highlight w:val="none"/>
              </w:rPr>
            </w:pPr>
          </w:p>
          <w:p w14:paraId="749C6B6C">
            <w:pPr>
              <w:pStyle w:val="5"/>
              <w:rPr>
                <w:rFonts w:hint="eastAsia" w:ascii="宋体" w:hAnsi="宋体" w:eastAsia="宋体" w:cs="宋体"/>
                <w:b/>
                <w:color w:val="auto"/>
                <w:sz w:val="32"/>
                <w:highlight w:val="none"/>
              </w:rPr>
            </w:pPr>
          </w:p>
          <w:p w14:paraId="20D4F736">
            <w:pPr>
              <w:pStyle w:val="5"/>
              <w:rPr>
                <w:rFonts w:hint="eastAsia" w:ascii="宋体" w:hAnsi="宋体" w:eastAsia="宋体" w:cs="宋体"/>
                <w:b/>
                <w:color w:val="auto"/>
                <w:sz w:val="32"/>
                <w:highlight w:val="none"/>
              </w:rPr>
            </w:pPr>
          </w:p>
          <w:p w14:paraId="207E3221">
            <w:pPr>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投标单位：（公章）</w:t>
            </w:r>
          </w:p>
          <w:p w14:paraId="17EC2352">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p>
          <w:p w14:paraId="7E5D9785">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p>
          <w:p w14:paraId="606377E8">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联系人：</w:t>
            </w:r>
          </w:p>
          <w:p w14:paraId="0E58523E">
            <w:pPr>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p w14:paraId="67C239BA">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p>
          <w:p w14:paraId="02F837CB">
            <w:pPr>
              <w:spacing w:line="360" w:lineRule="auto"/>
              <w:ind w:left="176" w:leftChars="84" w:firstLine="960" w:firstLineChars="400"/>
              <w:rPr>
                <w:rFonts w:hint="eastAsia" w:ascii="宋体" w:hAnsi="宋体" w:eastAsia="宋体" w:cs="宋体"/>
                <w:color w:val="auto"/>
                <w:sz w:val="24"/>
                <w:highlight w:val="none"/>
              </w:rPr>
            </w:pPr>
          </w:p>
          <w:p w14:paraId="533DE958">
            <w:pPr>
              <w:jc w:val="center"/>
              <w:rPr>
                <w:rFonts w:hint="eastAsia" w:ascii="宋体" w:hAnsi="宋体" w:eastAsia="宋体" w:cs="宋体"/>
                <w:b/>
                <w:bCs/>
                <w:color w:val="auto"/>
                <w:highlight w:val="none"/>
              </w:rPr>
            </w:pPr>
          </w:p>
          <w:p w14:paraId="7128E306">
            <w:pPr>
              <w:jc w:val="center"/>
              <w:rPr>
                <w:rFonts w:hint="eastAsia" w:ascii="宋体" w:hAnsi="宋体" w:eastAsia="宋体" w:cs="宋体"/>
                <w:b/>
                <w:bCs/>
                <w:color w:val="auto"/>
                <w:highlight w:val="none"/>
              </w:rPr>
            </w:pPr>
          </w:p>
          <w:p w14:paraId="23C4602C">
            <w:pPr>
              <w:jc w:val="center"/>
              <w:rPr>
                <w:rFonts w:hint="eastAsia" w:ascii="宋体" w:hAnsi="宋体" w:eastAsia="宋体" w:cs="宋体"/>
                <w:b/>
                <w:bCs/>
                <w:color w:val="auto"/>
                <w:highlight w:val="none"/>
              </w:rPr>
            </w:pPr>
          </w:p>
        </w:tc>
      </w:tr>
    </w:tbl>
    <w:p w14:paraId="661CDAB0">
      <w:pPr>
        <w:pStyle w:val="5"/>
        <w:rPr>
          <w:rFonts w:hint="eastAsia" w:ascii="宋体" w:hAnsi="宋体" w:eastAsia="宋体" w:cs="宋体"/>
          <w:color w:val="auto"/>
          <w:highlight w:val="none"/>
        </w:rPr>
      </w:pPr>
    </w:p>
    <w:p w14:paraId="4C939B71">
      <w:pPr>
        <w:spacing w:line="240" w:lineRule="atLeast"/>
        <w:ind w:left="1080" w:leftChars="257" w:hanging="540"/>
        <w:jc w:val="center"/>
        <w:rPr>
          <w:rFonts w:hint="eastAsia" w:ascii="宋体" w:hAnsi="宋体" w:eastAsia="宋体" w:cs="宋体"/>
          <w:b/>
          <w:color w:val="auto"/>
          <w:sz w:val="48"/>
          <w:szCs w:val="48"/>
          <w:highlight w:val="none"/>
        </w:rPr>
      </w:pPr>
    </w:p>
    <w:p w14:paraId="27D2AC4C">
      <w:pPr>
        <w:pStyle w:val="2"/>
        <w:numPr>
          <w:ilvl w:val="0"/>
          <w:numId w:val="1"/>
        </w:numPr>
        <w:tabs>
          <w:tab w:val="left" w:pos="0"/>
          <w:tab w:val="clear" w:pos="3134"/>
        </w:tabs>
        <w:spacing w:before="0" w:after="0" w:line="240" w:lineRule="atLeast"/>
        <w:ind w:left="3810" w:leftChars="0" w:hanging="1290" w:firstLineChars="0"/>
        <w:jc w:val="left"/>
        <w:rPr>
          <w:rFonts w:hint="eastAsia" w:ascii="宋体" w:hAnsi="宋体" w:eastAsia="宋体" w:cs="宋体"/>
          <w:color w:val="auto"/>
          <w:sz w:val="28"/>
          <w:szCs w:val="18"/>
          <w:highlight w:val="none"/>
          <w:lang w:val="en-US" w:eastAsia="zh-CN"/>
        </w:rPr>
      </w:pPr>
      <w:r>
        <w:rPr>
          <w:rFonts w:hint="eastAsia" w:ascii="宋体" w:hAnsi="宋体" w:eastAsia="宋体" w:cs="宋体"/>
          <w:color w:val="auto"/>
          <w:sz w:val="28"/>
          <w:szCs w:val="18"/>
          <w:highlight w:val="none"/>
          <w:lang w:val="en-US" w:eastAsia="zh-CN"/>
        </w:rPr>
        <w:t xml:space="preserve"> 招标公告</w:t>
      </w:r>
    </w:p>
    <w:p w14:paraId="08A23DEF">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项目概况</w:t>
      </w:r>
      <w:r>
        <w:rPr>
          <w:rFonts w:hint="eastAsia" w:ascii="宋体" w:hAnsi="宋体" w:eastAsia="宋体" w:cs="宋体"/>
          <w:color w:val="auto"/>
          <w:sz w:val="24"/>
          <w:szCs w:val="24"/>
          <w:highlight w:val="none"/>
          <w:lang w:eastAsia="zh-CN"/>
        </w:rPr>
        <w:t>：</w:t>
      </w:r>
    </w:p>
    <w:p w14:paraId="19E649F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lang w:eastAsia="zh-CN"/>
        </w:rPr>
        <w:t>喀什地区泽普县紧密型县域医共体资源共享中心、中心药房及次中心建设项目一标段招标项目的潜在供应商应在政采云平台线上获取采购文件，并于</w:t>
      </w:r>
      <w:r>
        <w:rPr>
          <w:rFonts w:hint="eastAsia" w:ascii="宋体" w:hAnsi="宋体" w:eastAsia="宋体" w:cs="宋体"/>
          <w:color w:val="auto"/>
          <w:sz w:val="24"/>
          <w:szCs w:val="24"/>
          <w:highlight w:val="none"/>
          <w:u w:val="none"/>
          <w:lang w:val="en-US" w:eastAsia="zh-CN"/>
        </w:rPr>
        <w:t>2026年0</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月</w:t>
      </w:r>
      <w:r>
        <w:rPr>
          <w:rFonts w:hint="eastAsia" w:ascii="宋体" w:hAnsi="宋体" w:cs="宋体"/>
          <w:color w:val="auto"/>
          <w:sz w:val="24"/>
          <w:szCs w:val="24"/>
          <w:highlight w:val="none"/>
          <w:u w:val="none"/>
          <w:lang w:val="en-US" w:eastAsia="zh-CN"/>
        </w:rPr>
        <w:t>08</w:t>
      </w:r>
      <w:r>
        <w:rPr>
          <w:rFonts w:hint="eastAsia" w:ascii="宋体" w:hAnsi="宋体" w:eastAsia="宋体" w:cs="宋体"/>
          <w:color w:val="auto"/>
          <w:sz w:val="24"/>
          <w:szCs w:val="24"/>
          <w:highlight w:val="none"/>
          <w:u w:val="none"/>
          <w:lang w:val="en-US" w:eastAsia="zh-CN"/>
        </w:rPr>
        <w:t>日11:00</w:t>
      </w:r>
      <w:r>
        <w:rPr>
          <w:rFonts w:hint="eastAsia" w:ascii="宋体" w:hAnsi="宋体" w:eastAsia="宋体" w:cs="宋体"/>
          <w:color w:val="auto"/>
          <w:sz w:val="24"/>
          <w:szCs w:val="24"/>
          <w:highlight w:val="none"/>
          <w:u w:val="none"/>
          <w:lang w:eastAsia="zh-CN"/>
        </w:rPr>
        <w:t>（北京时间）前提交响应文件。</w:t>
      </w:r>
    </w:p>
    <w:p w14:paraId="1FE514F6">
      <w:pPr>
        <w:numPr>
          <w:ilvl w:val="0"/>
          <w:numId w:val="0"/>
        </w:numPr>
        <w:ind w:left="2520" w:leftChars="0"/>
        <w:rPr>
          <w:rFonts w:hint="eastAsia"/>
          <w:lang w:eastAsia="zh-CN"/>
        </w:rPr>
      </w:pPr>
    </w:p>
    <w:p w14:paraId="37DDA064">
      <w:pPr>
        <w:pStyle w:val="85"/>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一、项目基本情况</w:t>
      </w:r>
    </w:p>
    <w:p w14:paraId="4AA63C7B">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项目编号：</w:t>
      </w:r>
      <w:r>
        <w:rPr>
          <w:rFonts w:hint="eastAsia" w:ascii="宋体" w:hAnsi="宋体" w:eastAsia="宋体" w:cs="宋体"/>
          <w:color w:val="auto"/>
          <w:highlight w:val="none"/>
          <w:lang w:eastAsia="zh-CN"/>
        </w:rPr>
        <w:t>ZPDL（202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052-1</w:t>
      </w:r>
    </w:p>
    <w:p w14:paraId="790CDFC6">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项目名称：</w:t>
      </w:r>
      <w:r>
        <w:rPr>
          <w:rFonts w:hint="eastAsia" w:ascii="宋体" w:hAnsi="宋体" w:cs="宋体"/>
          <w:color w:val="auto"/>
          <w:highlight w:val="none"/>
          <w:lang w:eastAsia="zh-CN"/>
        </w:rPr>
        <w:t>喀什地区泽普县紧密型县域医共体资源共享中心、中心药房及次中心建设项目一标段</w:t>
      </w:r>
      <w:r>
        <w:rPr>
          <w:rFonts w:hint="eastAsia" w:ascii="宋体" w:hAnsi="宋体" w:eastAsia="宋体" w:cs="宋体"/>
          <w:color w:val="auto"/>
          <w:highlight w:val="none"/>
          <w:lang w:eastAsia="zh-CN"/>
        </w:rPr>
        <w:t> </w:t>
      </w:r>
    </w:p>
    <w:p w14:paraId="141B178B">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采购方式：</w:t>
      </w:r>
      <w:r>
        <w:rPr>
          <w:rFonts w:hint="eastAsia" w:ascii="宋体" w:hAnsi="宋体" w:eastAsia="宋体" w:cs="宋体"/>
          <w:color w:val="auto"/>
          <w:highlight w:val="none"/>
          <w:lang w:val="en-US" w:eastAsia="zh-CN"/>
        </w:rPr>
        <w:t>公开招标</w:t>
      </w:r>
      <w:r>
        <w:rPr>
          <w:rFonts w:hint="eastAsia" w:ascii="宋体" w:hAnsi="宋体" w:eastAsia="宋体" w:cs="宋体"/>
          <w:color w:val="auto"/>
          <w:highlight w:val="none"/>
        </w:rPr>
        <w:t> </w:t>
      </w:r>
    </w:p>
    <w:p w14:paraId="3FD15CC8">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预算金额（元）：</w:t>
      </w:r>
      <w:r>
        <w:rPr>
          <w:rFonts w:hint="eastAsia" w:ascii="宋体" w:hAnsi="宋体" w:cs="宋体"/>
          <w:color w:val="auto"/>
          <w:highlight w:val="none"/>
          <w:lang w:val="en-US" w:eastAsia="zh-CN"/>
        </w:rPr>
        <w:t>7599300.00</w:t>
      </w:r>
      <w:r>
        <w:rPr>
          <w:rFonts w:hint="eastAsia" w:ascii="宋体" w:hAnsi="宋体" w:eastAsia="宋体" w:cs="宋体"/>
          <w:color w:val="auto"/>
          <w:highlight w:val="none"/>
        </w:rPr>
        <w:t>  </w:t>
      </w:r>
    </w:p>
    <w:p w14:paraId="1D8DFDAD">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最高限价（元）：</w:t>
      </w:r>
      <w:r>
        <w:rPr>
          <w:rFonts w:hint="eastAsia" w:ascii="宋体" w:hAnsi="宋体" w:cs="宋体"/>
          <w:color w:val="auto"/>
          <w:highlight w:val="none"/>
          <w:lang w:val="en-US" w:eastAsia="zh-CN"/>
        </w:rPr>
        <w:t>2700000.00；3352000.00；1547300.00</w:t>
      </w:r>
    </w:p>
    <w:p w14:paraId="05437EE8">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采购需求：</w:t>
      </w:r>
    </w:p>
    <w:p w14:paraId="2CAD7F0A">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标项一</w:t>
      </w:r>
    </w:p>
    <w:p w14:paraId="6E9215B4">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标项</w:t>
      </w:r>
      <w:r>
        <w:rPr>
          <w:rFonts w:hint="eastAsia" w:ascii="宋体" w:hAnsi="宋体" w:eastAsia="宋体" w:cs="宋体"/>
          <w:color w:val="auto"/>
          <w:highlight w:val="none"/>
        </w:rPr>
        <w:t>名称：</w:t>
      </w:r>
      <w:r>
        <w:rPr>
          <w:rFonts w:hint="eastAsia" w:ascii="宋体" w:hAnsi="宋体" w:cs="宋体"/>
          <w:color w:val="auto"/>
          <w:highlight w:val="none"/>
          <w:lang w:eastAsia="zh-CN"/>
        </w:rPr>
        <w:t>喀什地区泽普县紧密型县域医共体资源共享中心、中心药房及次中心建设项目（</w:t>
      </w:r>
      <w:r>
        <w:rPr>
          <w:rFonts w:hint="eastAsia" w:ascii="宋体" w:hAnsi="宋体" w:cs="宋体"/>
          <w:color w:val="auto"/>
          <w:highlight w:val="none"/>
          <w:lang w:val="en-US" w:eastAsia="zh-CN"/>
        </w:rPr>
        <w:t>一包</w:t>
      </w:r>
      <w:r>
        <w:rPr>
          <w:rFonts w:hint="eastAsia" w:ascii="宋体" w:hAnsi="宋体" w:cs="宋体"/>
          <w:color w:val="auto"/>
          <w:highlight w:val="none"/>
          <w:lang w:eastAsia="zh-CN"/>
        </w:rPr>
        <w:t>）</w:t>
      </w:r>
    </w:p>
    <w:p w14:paraId="6B51843B">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数</w:t>
      </w:r>
      <w:r>
        <w:rPr>
          <w:rFonts w:hint="eastAsia" w:ascii="宋体" w:hAnsi="宋体" w:eastAsia="宋体" w:cs="宋体"/>
          <w:color w:val="auto"/>
          <w:highlight w:val="none"/>
          <w:lang w:eastAsia="zh-CN"/>
        </w:rPr>
        <w:t>量:1</w:t>
      </w:r>
    </w:p>
    <w:p w14:paraId="45225F4E">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预算金额（元）:</w:t>
      </w:r>
      <w:r>
        <w:rPr>
          <w:rFonts w:hint="eastAsia" w:ascii="宋体" w:hAnsi="宋体" w:cs="宋体"/>
          <w:color w:val="auto"/>
          <w:highlight w:val="none"/>
          <w:lang w:val="en-US" w:eastAsia="zh-CN"/>
        </w:rPr>
        <w:t>2700000.00</w:t>
      </w:r>
    </w:p>
    <w:p w14:paraId="7D40C0FF">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单位：批</w:t>
      </w:r>
    </w:p>
    <w:p w14:paraId="56E23AFA">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cs="宋体"/>
          <w:color w:val="auto"/>
          <w:highlight w:val="none"/>
          <w:lang w:val="en-US" w:eastAsia="zh-CN"/>
        </w:rPr>
      </w:pPr>
      <w:r>
        <w:rPr>
          <w:rFonts w:hint="eastAsia" w:ascii="宋体" w:hAnsi="宋体" w:eastAsia="宋体" w:cs="宋体"/>
          <w:color w:val="auto"/>
          <w:highlight w:val="none"/>
          <w:lang w:eastAsia="zh-CN"/>
        </w:rPr>
        <w:t>简要规格描述或项目基本概况介绍、用途：</w:t>
      </w:r>
      <w:r>
        <w:rPr>
          <w:rFonts w:hint="eastAsia" w:ascii="宋体" w:hAnsi="宋体" w:cs="宋体"/>
          <w:color w:val="auto"/>
          <w:highlight w:val="none"/>
          <w:lang w:val="en-US" w:eastAsia="zh-CN"/>
        </w:rPr>
        <w:t>医疗设备一批</w:t>
      </w:r>
    </w:p>
    <w:p w14:paraId="53A3EF06">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标项</w:t>
      </w:r>
      <w:r>
        <w:rPr>
          <w:rFonts w:hint="eastAsia" w:ascii="宋体" w:hAnsi="宋体" w:eastAsia="宋体" w:cs="宋体"/>
          <w:color w:val="auto"/>
          <w:highlight w:val="none"/>
          <w:lang w:val="en-US" w:eastAsia="zh-CN"/>
        </w:rPr>
        <w:t>二</w:t>
      </w:r>
    </w:p>
    <w:p w14:paraId="6500F334">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标项</w:t>
      </w:r>
      <w:r>
        <w:rPr>
          <w:rFonts w:hint="eastAsia" w:ascii="宋体" w:hAnsi="宋体" w:eastAsia="宋体" w:cs="宋体"/>
          <w:color w:val="auto"/>
          <w:highlight w:val="none"/>
        </w:rPr>
        <w:t>名称：</w:t>
      </w:r>
      <w:r>
        <w:rPr>
          <w:rFonts w:hint="eastAsia" w:ascii="宋体" w:hAnsi="宋体" w:cs="宋体"/>
          <w:color w:val="auto"/>
          <w:highlight w:val="none"/>
          <w:lang w:eastAsia="zh-CN"/>
        </w:rPr>
        <w:t>喀什地区泽普县紧密型县域医共体资源共享中心、中心药房及次中心建设项目（</w:t>
      </w:r>
      <w:r>
        <w:rPr>
          <w:rFonts w:hint="eastAsia" w:ascii="宋体" w:hAnsi="宋体" w:cs="宋体"/>
          <w:color w:val="auto"/>
          <w:highlight w:val="none"/>
          <w:lang w:val="en-US" w:eastAsia="zh-CN"/>
        </w:rPr>
        <w:t>二包</w:t>
      </w:r>
      <w:r>
        <w:rPr>
          <w:rFonts w:hint="eastAsia" w:ascii="宋体" w:hAnsi="宋体" w:cs="宋体"/>
          <w:color w:val="auto"/>
          <w:highlight w:val="none"/>
          <w:lang w:eastAsia="zh-CN"/>
        </w:rPr>
        <w:t>）</w:t>
      </w:r>
      <w:r>
        <w:rPr>
          <w:rFonts w:hint="eastAsia" w:ascii="宋体" w:hAnsi="宋体" w:eastAsia="宋体" w:cs="宋体"/>
          <w:color w:val="auto"/>
          <w:highlight w:val="none"/>
        </w:rPr>
        <w:t> </w:t>
      </w:r>
    </w:p>
    <w:p w14:paraId="416B7068">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数</w:t>
      </w:r>
      <w:r>
        <w:rPr>
          <w:rFonts w:hint="eastAsia" w:ascii="宋体" w:hAnsi="宋体" w:eastAsia="宋体" w:cs="宋体"/>
          <w:color w:val="auto"/>
          <w:highlight w:val="none"/>
          <w:lang w:eastAsia="zh-CN"/>
        </w:rPr>
        <w:t>量:1</w:t>
      </w:r>
    </w:p>
    <w:p w14:paraId="0E4AD6A9">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预算金额（元）:</w:t>
      </w:r>
      <w:r>
        <w:rPr>
          <w:rFonts w:hint="eastAsia" w:ascii="宋体" w:hAnsi="宋体" w:cs="宋体"/>
          <w:color w:val="auto"/>
          <w:highlight w:val="none"/>
          <w:lang w:val="en-US" w:eastAsia="zh-CN"/>
        </w:rPr>
        <w:t>3352000.00</w:t>
      </w:r>
    </w:p>
    <w:p w14:paraId="2B5E0C4B">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单位：批</w:t>
      </w:r>
    </w:p>
    <w:p w14:paraId="21838505">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cs="宋体"/>
          <w:color w:val="auto"/>
          <w:highlight w:val="none"/>
          <w:lang w:val="en-US" w:eastAsia="zh-CN"/>
        </w:rPr>
      </w:pPr>
      <w:r>
        <w:rPr>
          <w:rFonts w:hint="eastAsia" w:ascii="宋体" w:hAnsi="宋体" w:eastAsia="宋体" w:cs="宋体"/>
          <w:color w:val="auto"/>
          <w:highlight w:val="none"/>
          <w:lang w:eastAsia="zh-CN"/>
        </w:rPr>
        <w:t>简要规格描述或项目基本概况介绍、用途：</w:t>
      </w:r>
      <w:r>
        <w:rPr>
          <w:rFonts w:hint="eastAsia" w:ascii="宋体" w:hAnsi="宋体" w:cs="宋体"/>
          <w:color w:val="auto"/>
          <w:highlight w:val="none"/>
          <w:lang w:val="en-US" w:eastAsia="zh-CN"/>
        </w:rPr>
        <w:t>医疗设备一批</w:t>
      </w:r>
    </w:p>
    <w:p w14:paraId="3479A741">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标项</w:t>
      </w:r>
      <w:r>
        <w:rPr>
          <w:rFonts w:hint="eastAsia" w:ascii="宋体" w:hAnsi="宋体" w:eastAsia="宋体" w:cs="宋体"/>
          <w:color w:val="auto"/>
          <w:highlight w:val="none"/>
          <w:lang w:val="en-US" w:eastAsia="zh-CN"/>
        </w:rPr>
        <w:t>三</w:t>
      </w:r>
    </w:p>
    <w:p w14:paraId="062BCA84">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标项</w:t>
      </w:r>
      <w:r>
        <w:rPr>
          <w:rFonts w:hint="eastAsia" w:ascii="宋体" w:hAnsi="宋体" w:eastAsia="宋体" w:cs="宋体"/>
          <w:color w:val="auto"/>
          <w:highlight w:val="none"/>
        </w:rPr>
        <w:t>名称：</w:t>
      </w:r>
      <w:r>
        <w:rPr>
          <w:rFonts w:hint="eastAsia" w:ascii="宋体" w:hAnsi="宋体" w:cs="宋体"/>
          <w:color w:val="auto"/>
          <w:highlight w:val="none"/>
          <w:lang w:eastAsia="zh-CN"/>
        </w:rPr>
        <w:t>喀什地区泽普县紧密型县域医共体资源共享中心、中心药房及次中心建设项目（</w:t>
      </w:r>
      <w:r>
        <w:rPr>
          <w:rFonts w:hint="eastAsia" w:ascii="宋体" w:hAnsi="宋体" w:cs="宋体"/>
          <w:color w:val="auto"/>
          <w:highlight w:val="none"/>
          <w:lang w:val="en-US" w:eastAsia="zh-CN"/>
        </w:rPr>
        <w:t>三包</w:t>
      </w:r>
      <w:r>
        <w:rPr>
          <w:rFonts w:hint="eastAsia" w:ascii="宋体" w:hAnsi="宋体" w:cs="宋体"/>
          <w:color w:val="auto"/>
          <w:highlight w:val="none"/>
          <w:lang w:eastAsia="zh-CN"/>
        </w:rPr>
        <w:t>）</w:t>
      </w:r>
      <w:r>
        <w:rPr>
          <w:rFonts w:hint="eastAsia" w:ascii="宋体" w:hAnsi="宋体" w:eastAsia="宋体" w:cs="宋体"/>
          <w:color w:val="auto"/>
          <w:highlight w:val="none"/>
        </w:rPr>
        <w:t> </w:t>
      </w:r>
    </w:p>
    <w:p w14:paraId="3A1A38C5">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数</w:t>
      </w:r>
      <w:r>
        <w:rPr>
          <w:rFonts w:hint="eastAsia" w:ascii="宋体" w:hAnsi="宋体" w:eastAsia="宋体" w:cs="宋体"/>
          <w:color w:val="auto"/>
          <w:highlight w:val="none"/>
          <w:lang w:eastAsia="zh-CN"/>
        </w:rPr>
        <w:t>量:1</w:t>
      </w:r>
    </w:p>
    <w:p w14:paraId="62A0819F">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预算金额（元）:</w:t>
      </w:r>
      <w:r>
        <w:rPr>
          <w:rFonts w:hint="eastAsia" w:ascii="宋体" w:hAnsi="宋体" w:cs="宋体"/>
          <w:color w:val="auto"/>
          <w:highlight w:val="none"/>
          <w:lang w:val="en-US" w:eastAsia="zh-CN"/>
        </w:rPr>
        <w:t>1547300.00</w:t>
      </w:r>
    </w:p>
    <w:p w14:paraId="470D5830">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单位：批</w:t>
      </w:r>
    </w:p>
    <w:p w14:paraId="64949851">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cs="宋体"/>
          <w:color w:val="auto"/>
          <w:highlight w:val="none"/>
          <w:lang w:val="en-US" w:eastAsia="zh-CN"/>
        </w:rPr>
      </w:pPr>
      <w:r>
        <w:rPr>
          <w:rFonts w:hint="eastAsia" w:ascii="宋体" w:hAnsi="宋体" w:eastAsia="宋体" w:cs="宋体"/>
          <w:color w:val="auto"/>
          <w:highlight w:val="none"/>
          <w:lang w:eastAsia="zh-CN"/>
        </w:rPr>
        <w:t>简要规格描述或项目基本概况介绍、用途：</w:t>
      </w:r>
      <w:r>
        <w:rPr>
          <w:rFonts w:hint="eastAsia" w:ascii="宋体" w:hAnsi="宋体" w:cs="宋体"/>
          <w:color w:val="auto"/>
          <w:highlight w:val="none"/>
          <w:lang w:val="en-US" w:eastAsia="zh-CN"/>
        </w:rPr>
        <w:t>医疗设备一批</w:t>
      </w:r>
    </w:p>
    <w:p w14:paraId="49A0A927">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合同履约期限：</w:t>
      </w:r>
      <w:r>
        <w:rPr>
          <w:rFonts w:hint="eastAsia" w:ascii="宋体" w:hAnsi="宋体" w:cs="宋体"/>
          <w:color w:val="auto"/>
          <w:highlight w:val="none"/>
          <w:lang w:val="en-US" w:eastAsia="zh-CN"/>
        </w:rPr>
        <w:t>合同签订完成后30日内完成安装调试</w:t>
      </w:r>
    </w:p>
    <w:p w14:paraId="05D7416C">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本项目（否）接受联合体投标。  </w:t>
      </w:r>
    </w:p>
    <w:p w14:paraId="3E2AE927">
      <w:pPr>
        <w:pStyle w:val="85"/>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二、申请人的资格要求：</w:t>
      </w:r>
    </w:p>
    <w:p w14:paraId="5EF86B84">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1.满足《中华人民共和国政府采购法》第二十二条规定；</w:t>
      </w:r>
    </w:p>
    <w:p w14:paraId="3C8127BB">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2.落实政府采购政策需满足的资格要求：标项1</w:t>
      </w:r>
      <w:r>
        <w:rPr>
          <w:rFonts w:hint="eastAsia" w:ascii="宋体" w:hAnsi="宋体" w:cs="宋体"/>
          <w:color w:val="auto"/>
          <w:highlight w:val="none"/>
          <w:lang w:eastAsia="zh-CN"/>
        </w:rPr>
        <w:t>、</w:t>
      </w:r>
      <w:r>
        <w:rPr>
          <w:rFonts w:hint="eastAsia" w:ascii="宋体" w:hAnsi="宋体" w:cs="宋体"/>
          <w:color w:val="auto"/>
          <w:highlight w:val="none"/>
          <w:lang w:val="en-US" w:eastAsia="zh-CN"/>
        </w:rPr>
        <w:t>2、3</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本项目不专门面向中小微企业；</w:t>
      </w:r>
    </w:p>
    <w:p w14:paraId="4051DF4A">
      <w:pPr>
        <w:pStyle w:val="85"/>
        <w:keepNext w:val="0"/>
        <w:keepLines w:val="0"/>
        <w:pageBreakBefore w:val="0"/>
        <w:widowControl/>
        <w:kinsoku/>
        <w:wordWrap/>
        <w:overflowPunct/>
        <w:topLinePunct w:val="0"/>
        <w:autoSpaceDE/>
        <w:autoSpaceDN/>
        <w:bidi w:val="0"/>
        <w:adjustRightInd/>
        <w:snapToGrid/>
        <w:spacing w:line="320" w:lineRule="exact"/>
        <w:ind w:right="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3.本项目的特定资格要求</w:t>
      </w:r>
      <w:r>
        <w:rPr>
          <w:rFonts w:hint="eastAsia" w:ascii="宋体" w:hAnsi="宋体" w:cs="宋体"/>
          <w:color w:val="auto"/>
          <w:highlight w:val="none"/>
          <w:lang w:eastAsia="zh-CN"/>
        </w:rPr>
        <w:t>：</w:t>
      </w:r>
      <w:r>
        <w:rPr>
          <w:rFonts w:hint="eastAsia" w:ascii="宋体" w:hAnsi="宋体" w:cs="宋体"/>
          <w:color w:val="auto"/>
          <w:sz w:val="24"/>
          <w:highlight w:val="none"/>
          <w:lang w:val="en-US" w:eastAsia="zh-CN"/>
        </w:rPr>
        <w:t>（1）所投产品为第一类医疗器械的可提供医疗器械经营备案凭证或按照国家医疗器械经营监督管理办法规定无需备案的可不提供；（2）所投产品为第二类医疗器械，生产商须提供有效的《医疗器械生产许可证》及所投产品的《医疗器械注册证》，代理商或经销商须提供有效的《第二类医疗器械经营备案凭证》及所投产品的《医疗器械注册证》；（3）所投产品为第三类医疗器械，生产商须提供有效的《医疗器械生产许可证》及所投产品的《医疗器械注册证》，代理商或经销商须提供有效的《医疗器械经营许可证》及所投产品的《医疗器械注册证》；</w:t>
      </w:r>
    </w:p>
    <w:p w14:paraId="55C32A87">
      <w:pPr>
        <w:pStyle w:val="85"/>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highlight w:val="none"/>
          <w:lang w:eastAsia="zh-CN"/>
        </w:rPr>
      </w:pPr>
      <w:r>
        <w:rPr>
          <w:rFonts w:hint="eastAsia" w:ascii="宋体" w:hAnsi="宋体" w:eastAsia="宋体" w:cs="宋体"/>
          <w:b/>
          <w:bCs/>
          <w:color w:val="auto"/>
          <w:highlight w:val="none"/>
        </w:rPr>
        <w:t>三、获取</w:t>
      </w:r>
      <w:r>
        <w:rPr>
          <w:rFonts w:hint="eastAsia" w:ascii="宋体" w:hAnsi="宋体" w:eastAsia="宋体" w:cs="宋体"/>
          <w:b/>
          <w:bCs/>
          <w:color w:val="auto"/>
          <w:highlight w:val="none"/>
          <w:lang w:val="en-US" w:eastAsia="zh-CN"/>
        </w:rPr>
        <w:t>招标文件</w:t>
      </w:r>
    </w:p>
    <w:p w14:paraId="0B300102">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时间：2026年</w:t>
      </w:r>
      <w:r>
        <w:rPr>
          <w:rFonts w:hint="eastAsia" w:ascii="宋体" w:hAnsi="宋体" w:cs="宋体"/>
          <w:color w:val="auto"/>
          <w:highlight w:val="none"/>
          <w:lang w:val="en-US" w:eastAsia="zh-CN"/>
        </w:rPr>
        <w:t>05</w:t>
      </w:r>
      <w:r>
        <w:rPr>
          <w:rFonts w:hint="eastAsia" w:ascii="宋体" w:hAnsi="宋体" w:eastAsia="宋体" w:cs="宋体"/>
          <w:color w:val="auto"/>
          <w:highlight w:val="none"/>
          <w:lang w:val="en-US" w:eastAsia="zh-CN"/>
        </w:rPr>
        <w:t>月</w:t>
      </w:r>
      <w:r>
        <w:rPr>
          <w:rFonts w:hint="eastAsia" w:ascii="宋体" w:hAnsi="宋体" w:cs="宋体"/>
          <w:color w:val="auto"/>
          <w:highlight w:val="none"/>
          <w:lang w:val="en-US" w:eastAsia="zh-CN"/>
        </w:rPr>
        <w:t>15</w:t>
      </w:r>
      <w:r>
        <w:rPr>
          <w:rFonts w:hint="eastAsia" w:ascii="宋体" w:hAnsi="宋体" w:eastAsia="宋体" w:cs="宋体"/>
          <w:color w:val="auto"/>
          <w:highlight w:val="none"/>
          <w:lang w:val="en-US" w:eastAsia="zh-CN"/>
        </w:rPr>
        <w:t>日至2026年</w:t>
      </w:r>
      <w:r>
        <w:rPr>
          <w:rFonts w:hint="eastAsia" w:ascii="宋体" w:hAnsi="宋体" w:cs="宋体"/>
          <w:color w:val="auto"/>
          <w:highlight w:val="none"/>
          <w:lang w:val="en-US" w:eastAsia="zh-CN"/>
        </w:rPr>
        <w:t>05</w:t>
      </w:r>
      <w:r>
        <w:rPr>
          <w:rFonts w:hint="eastAsia" w:ascii="宋体" w:hAnsi="宋体" w:eastAsia="宋体" w:cs="宋体"/>
          <w:color w:val="auto"/>
          <w:highlight w:val="none"/>
          <w:lang w:val="en-US" w:eastAsia="zh-CN"/>
        </w:rPr>
        <w:t>月</w:t>
      </w:r>
      <w:r>
        <w:rPr>
          <w:rFonts w:hint="eastAsia" w:ascii="宋体" w:hAnsi="宋体" w:cs="宋体"/>
          <w:color w:val="auto"/>
          <w:highlight w:val="none"/>
          <w:lang w:val="en-US" w:eastAsia="zh-CN"/>
        </w:rPr>
        <w:t>22</w:t>
      </w:r>
      <w:r>
        <w:rPr>
          <w:rFonts w:hint="eastAsia" w:ascii="宋体" w:hAnsi="宋体" w:eastAsia="宋体" w:cs="宋体"/>
          <w:color w:val="auto"/>
          <w:highlight w:val="none"/>
          <w:lang w:val="en-US" w:eastAsia="zh-CN"/>
        </w:rPr>
        <w:t>日，每天上午00:00至14:00，下午</w:t>
      </w:r>
      <w:r>
        <w:rPr>
          <w:rFonts w:hint="eastAsia" w:ascii="宋体" w:hAnsi="宋体" w:cs="宋体"/>
          <w:color w:val="auto"/>
          <w:highlight w:val="none"/>
          <w:lang w:val="en-US" w:eastAsia="zh-CN"/>
        </w:rPr>
        <w:t>14</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0</w:t>
      </w:r>
      <w:r>
        <w:rPr>
          <w:rFonts w:hint="eastAsia" w:ascii="宋体" w:hAnsi="宋体" w:eastAsia="宋体" w:cs="宋体"/>
          <w:color w:val="auto"/>
          <w:highlight w:val="none"/>
          <w:lang w:val="en-US" w:eastAsia="zh-CN"/>
        </w:rPr>
        <w:t>0至</w:t>
      </w:r>
      <w:r>
        <w:rPr>
          <w:rFonts w:hint="eastAsia" w:ascii="宋体" w:hAnsi="宋体" w:cs="宋体"/>
          <w:color w:val="auto"/>
          <w:highlight w:val="none"/>
          <w:lang w:val="en-US" w:eastAsia="zh-CN"/>
        </w:rPr>
        <w:t>23</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59</w:t>
      </w:r>
      <w:r>
        <w:rPr>
          <w:rFonts w:hint="eastAsia" w:ascii="宋体" w:hAnsi="宋体" w:eastAsia="宋体" w:cs="宋体"/>
          <w:color w:val="auto"/>
          <w:highlight w:val="none"/>
          <w:lang w:val="en-US" w:eastAsia="zh-CN"/>
        </w:rPr>
        <w:t>（北京时间，法定节假日除外）</w:t>
      </w:r>
    </w:p>
    <w:p w14:paraId="31FFEAF9">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地点：政采云平台线上</w:t>
      </w:r>
    </w:p>
    <w:p w14:paraId="5B212E6C">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方式：供应商登录政采云平台https://www.zcygov.cn/在线申请获取采购文件（进入“项目采购”应用，在获取采购文件菜单中选择项目，申请获取采购文件）</w:t>
      </w:r>
    </w:p>
    <w:p w14:paraId="6D94B0C0">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售价（元）：0</w:t>
      </w:r>
    </w:p>
    <w:p w14:paraId="402D3251">
      <w:pPr>
        <w:pStyle w:val="85"/>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四、</w:t>
      </w:r>
      <w:r>
        <w:rPr>
          <w:rFonts w:hint="eastAsia" w:ascii="宋体" w:hAnsi="宋体" w:eastAsia="宋体" w:cs="宋体"/>
          <w:b/>
          <w:bCs/>
          <w:color w:val="auto"/>
          <w:highlight w:val="none"/>
          <w:lang w:eastAsia="zh-CN"/>
        </w:rPr>
        <w:t>提交投标文件截止时间、开标时间和地点</w:t>
      </w:r>
    </w:p>
    <w:p w14:paraId="659C84D8">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提交投标文件截止时间：</w:t>
      </w:r>
      <w:r>
        <w:rPr>
          <w:rFonts w:hint="eastAsia" w:ascii="宋体" w:hAnsi="宋体" w:cs="宋体"/>
          <w:color w:val="auto"/>
          <w:highlight w:val="none"/>
          <w:lang w:val="en-US" w:eastAsia="zh-CN"/>
        </w:rPr>
        <w:t>2026年06月08 日11:00</w:t>
      </w:r>
      <w:r>
        <w:rPr>
          <w:rFonts w:hint="eastAsia" w:ascii="宋体" w:hAnsi="宋体" w:eastAsia="宋体" w:cs="宋体"/>
          <w:color w:val="auto"/>
          <w:highlight w:val="none"/>
          <w:lang w:val="en-US" w:eastAsia="zh-CN"/>
        </w:rPr>
        <w:t>（北京时间）</w:t>
      </w:r>
    </w:p>
    <w:p w14:paraId="44905629">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投标地点：请登录政采云投标客户端投标</w:t>
      </w:r>
    </w:p>
    <w:p w14:paraId="2EED4FB6">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开标时间：</w:t>
      </w:r>
      <w:r>
        <w:rPr>
          <w:rFonts w:hint="eastAsia" w:ascii="宋体" w:hAnsi="宋体" w:cs="宋体"/>
          <w:color w:val="auto"/>
          <w:highlight w:val="none"/>
          <w:lang w:val="en-US" w:eastAsia="zh-CN"/>
        </w:rPr>
        <w:t>2026年06月08日11:00</w:t>
      </w:r>
      <w:r>
        <w:rPr>
          <w:rFonts w:hint="eastAsia" w:ascii="宋体" w:hAnsi="宋体" w:eastAsia="宋体" w:cs="宋体"/>
          <w:color w:val="auto"/>
          <w:highlight w:val="none"/>
          <w:lang w:val="en-US" w:eastAsia="zh-CN"/>
        </w:rPr>
        <w:t>（北京时间）</w:t>
      </w:r>
    </w:p>
    <w:p w14:paraId="6D9C4AE3">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开标地点：投标人登录政采云平台https://www.zcygov.cn/，进入“项目采购-开标评标-右边选择对应项目点击“进入项目”进入开标大厅。</w:t>
      </w:r>
    </w:p>
    <w:p w14:paraId="2AD7A1F8">
      <w:pPr>
        <w:pStyle w:val="85"/>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rPr>
        <w:t>、公告期限</w:t>
      </w:r>
    </w:p>
    <w:p w14:paraId="076131D5">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自本公告发布之日起</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个工作日。</w:t>
      </w:r>
    </w:p>
    <w:p w14:paraId="0304FD07">
      <w:pPr>
        <w:pStyle w:val="85"/>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六</w:t>
      </w:r>
      <w:r>
        <w:rPr>
          <w:rFonts w:hint="eastAsia" w:ascii="宋体" w:hAnsi="宋体" w:eastAsia="宋体" w:cs="宋体"/>
          <w:b/>
          <w:bCs/>
          <w:color w:val="auto"/>
          <w:highlight w:val="none"/>
        </w:rPr>
        <w:t>、其他补充事宜</w:t>
      </w:r>
    </w:p>
    <w:p w14:paraId="71BE118C">
      <w:pPr>
        <w:pStyle w:val="85"/>
        <w:keepNext w:val="0"/>
        <w:keepLines w:val="0"/>
        <w:pageBreakBefore w:val="0"/>
        <w:widowControl/>
        <w:kinsoku/>
        <w:wordWrap w:val="0"/>
        <w:overflowPunct/>
        <w:topLinePunct/>
        <w:autoSpaceDE/>
        <w:autoSpaceDN/>
        <w:bidi w:val="0"/>
        <w:adjustRightInd/>
        <w:snapToGrid/>
        <w:spacing w:line="320" w:lineRule="exact"/>
        <w:ind w:left="0" w:right="0" w:firstLine="482"/>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1、本项目实行网上投标，采用电子投标文件。</w:t>
      </w:r>
    </w:p>
    <w:p w14:paraId="4732B6C8">
      <w:pPr>
        <w:pStyle w:val="85"/>
        <w:keepNext w:val="0"/>
        <w:keepLines w:val="0"/>
        <w:pageBreakBefore w:val="0"/>
        <w:widowControl/>
        <w:kinsoku/>
        <w:wordWrap w:val="0"/>
        <w:overflowPunct/>
        <w:topLinePunct/>
        <w:autoSpaceDE/>
        <w:autoSpaceDN/>
        <w:bidi w:val="0"/>
        <w:adjustRightInd/>
        <w:snapToGrid/>
        <w:spacing w:line="320" w:lineRule="exact"/>
        <w:ind w:left="0" w:right="0" w:firstLine="482"/>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12498F78">
      <w:pPr>
        <w:pStyle w:val="85"/>
        <w:keepNext w:val="0"/>
        <w:keepLines w:val="0"/>
        <w:pageBreakBefore w:val="0"/>
        <w:widowControl/>
        <w:kinsoku/>
        <w:wordWrap w:val="0"/>
        <w:overflowPunct/>
        <w:topLinePunct/>
        <w:autoSpaceDE/>
        <w:autoSpaceDN/>
        <w:bidi w:val="0"/>
        <w:adjustRightInd/>
        <w:snapToGrid/>
        <w:spacing w:line="320" w:lineRule="exact"/>
        <w:ind w:left="0" w:right="0" w:firstLine="482"/>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0A47DB02">
      <w:pPr>
        <w:pStyle w:val="85"/>
        <w:keepNext w:val="0"/>
        <w:keepLines w:val="0"/>
        <w:pageBreakBefore w:val="0"/>
        <w:widowControl/>
        <w:kinsoku/>
        <w:wordWrap w:val="0"/>
        <w:overflowPunct/>
        <w:topLinePunct/>
        <w:autoSpaceDE/>
        <w:autoSpaceDN/>
        <w:bidi w:val="0"/>
        <w:adjustRightInd/>
        <w:snapToGrid/>
        <w:spacing w:line="320" w:lineRule="exact"/>
        <w:ind w:left="0" w:right="0" w:firstLine="482"/>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其他事项：各供应商对不见面开评标系统的技术操作咨询，可通过https://edu.zcygov.cn/luban/xinjiang-e-biding自助查询，也可在政采云帮助中心常见问题解答和操作流程讲解视频中自助查询，网址为：https://service.zcygov.cn/，“项目采购”—“操作流程-电子招投标”—“政府采购项目电子交易管理操作指南-供应商”版面获取操作指南，同时对自助查询无法解决的问题可通过政采云在线客服获取服务。</w:t>
      </w:r>
      <w:r>
        <w:rPr>
          <w:rFonts w:hint="eastAsia" w:ascii="宋体" w:hAnsi="宋体" w:eastAsia="宋体" w:cs="宋体"/>
          <w:color w:val="auto"/>
          <w:highlight w:val="none"/>
          <w:lang w:eastAsia="zh-CN"/>
        </w:rPr>
        <w:t>  </w:t>
      </w:r>
    </w:p>
    <w:p w14:paraId="598EA81C">
      <w:pPr>
        <w:pStyle w:val="85"/>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right="0" w:rightChars="0"/>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七</w:t>
      </w:r>
      <w:r>
        <w:rPr>
          <w:rFonts w:hint="eastAsia" w:ascii="宋体" w:hAnsi="宋体" w:eastAsia="宋体" w:cs="宋体"/>
          <w:b/>
          <w:bCs/>
          <w:color w:val="auto"/>
          <w:highlight w:val="none"/>
        </w:rPr>
        <w:t>、对本次招标提出询问，请按以下方式联系</w:t>
      </w:r>
    </w:p>
    <w:p w14:paraId="740A69E2">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1.采购人信息</w:t>
      </w:r>
    </w:p>
    <w:p w14:paraId="0ECCFC0D">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bookmarkStart w:id="353" w:name="_Toc28359009"/>
      <w:bookmarkStart w:id="354" w:name="_Toc28359086"/>
      <w:r>
        <w:rPr>
          <w:rFonts w:hint="eastAsia" w:ascii="宋体" w:hAnsi="宋体" w:eastAsia="宋体" w:cs="宋体"/>
          <w:color w:val="auto"/>
          <w:highlight w:val="none"/>
          <w:lang w:val="en-US" w:eastAsia="zh-CN"/>
        </w:rPr>
        <w:t>名 称：</w:t>
      </w:r>
      <w:r>
        <w:rPr>
          <w:rFonts w:hint="eastAsia" w:ascii="宋体" w:hAnsi="宋体" w:cs="宋体"/>
          <w:color w:val="auto"/>
          <w:highlight w:val="none"/>
          <w:lang w:val="en-US" w:eastAsia="zh-CN"/>
        </w:rPr>
        <w:t>泽普县人民医院</w:t>
      </w:r>
    </w:p>
    <w:p w14:paraId="0B3DB7B1">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 址：泽普县团结西路13号</w:t>
      </w:r>
    </w:p>
    <w:p w14:paraId="55D33741">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联系方式：泽普县人民医院0998-8241735</w:t>
      </w:r>
    </w:p>
    <w:bookmarkEnd w:id="353"/>
    <w:bookmarkEnd w:id="354"/>
    <w:p w14:paraId="6331FF9A">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2.采购代理机构信息</w:t>
      </w:r>
    </w:p>
    <w:p w14:paraId="3FD60B0C">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名 称：</w:t>
      </w:r>
      <w:r>
        <w:rPr>
          <w:rFonts w:hint="eastAsia" w:ascii="宋体" w:hAnsi="宋体" w:cs="宋体"/>
          <w:color w:val="auto"/>
          <w:highlight w:val="none"/>
          <w:lang w:val="en-US" w:eastAsia="zh-CN"/>
        </w:rPr>
        <w:t>新疆昊泽工程管理有限公司</w:t>
      </w:r>
      <w:r>
        <w:rPr>
          <w:rFonts w:hint="eastAsia" w:ascii="宋体" w:hAnsi="宋体" w:eastAsia="宋体" w:cs="宋体"/>
          <w:color w:val="auto"/>
          <w:highlight w:val="none"/>
          <w:lang w:val="en-US" w:eastAsia="zh-CN"/>
        </w:rPr>
        <w:t>　</w:t>
      </w:r>
    </w:p>
    <w:p w14:paraId="40876C02">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 址：</w:t>
      </w:r>
      <w:r>
        <w:rPr>
          <w:rFonts w:hint="eastAsia" w:ascii="宋体" w:hAnsi="宋体" w:cs="宋体"/>
          <w:color w:val="auto"/>
          <w:highlight w:val="none"/>
          <w:lang w:val="en-US" w:eastAsia="zh-CN"/>
        </w:rPr>
        <w:t>新疆喀什地区泽普县塞尚江南小区53幢16号门面房</w:t>
      </w:r>
      <w:r>
        <w:rPr>
          <w:rFonts w:hint="eastAsia" w:ascii="宋体" w:hAnsi="宋体" w:eastAsia="宋体" w:cs="宋体"/>
          <w:color w:val="auto"/>
          <w:highlight w:val="none"/>
          <w:lang w:val="en-US" w:eastAsia="zh-CN"/>
        </w:rPr>
        <w:t>　</w:t>
      </w:r>
    </w:p>
    <w:p w14:paraId="366E52DA">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联系方式：</w:t>
      </w:r>
      <w:r>
        <w:rPr>
          <w:rFonts w:hint="eastAsia" w:ascii="宋体" w:hAnsi="宋体" w:cs="宋体"/>
          <w:color w:val="auto"/>
          <w:highlight w:val="none"/>
          <w:lang w:val="en-US" w:eastAsia="zh-CN"/>
        </w:rPr>
        <w:t>15276061261</w:t>
      </w:r>
      <w:r>
        <w:rPr>
          <w:rFonts w:hint="eastAsia" w:ascii="宋体" w:hAnsi="宋体" w:eastAsia="宋体" w:cs="宋体"/>
          <w:color w:val="auto"/>
          <w:highlight w:val="none"/>
          <w:lang w:val="en-US" w:eastAsia="zh-CN"/>
        </w:rPr>
        <w:t xml:space="preserve"> 　</w:t>
      </w:r>
    </w:p>
    <w:p w14:paraId="6DD0FE15">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3.项目联系方式</w:t>
      </w:r>
    </w:p>
    <w:p w14:paraId="681FB5FE">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项目联系人：</w:t>
      </w:r>
      <w:r>
        <w:rPr>
          <w:rFonts w:hint="eastAsia" w:ascii="宋体" w:hAnsi="宋体" w:cs="宋体"/>
          <w:color w:val="auto"/>
          <w:highlight w:val="none"/>
          <w:lang w:val="en-US" w:eastAsia="zh-CN"/>
        </w:rPr>
        <w:t>谷超超</w:t>
      </w:r>
    </w:p>
    <w:p w14:paraId="3BE970A4">
      <w:pPr>
        <w:pStyle w:val="85"/>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电 话：</w:t>
      </w:r>
      <w:r>
        <w:rPr>
          <w:rFonts w:hint="eastAsia" w:ascii="宋体" w:hAnsi="宋体" w:cs="宋体"/>
          <w:color w:val="auto"/>
          <w:highlight w:val="none"/>
          <w:lang w:val="en-US" w:eastAsia="zh-CN"/>
        </w:rPr>
        <w:t>15276061261</w:t>
      </w:r>
    </w:p>
    <w:p w14:paraId="6CEE2DC1">
      <w:pPr>
        <w:pStyle w:val="2"/>
        <w:numPr>
          <w:ilvl w:val="0"/>
          <w:numId w:val="0"/>
        </w:numPr>
        <w:tabs>
          <w:tab w:val="left" w:pos="0"/>
        </w:tabs>
        <w:spacing w:before="0" w:after="0" w:line="240" w:lineRule="atLeast"/>
        <w:ind w:leftChars="0"/>
        <w:jc w:val="center"/>
        <w:rPr>
          <w:rFonts w:hint="eastAsia" w:ascii="宋体" w:hAnsi="宋体" w:eastAsia="宋体" w:cs="宋体"/>
          <w:b w:val="0"/>
          <w:color w:val="auto"/>
          <w:szCs w:val="32"/>
          <w:highlight w:val="none"/>
        </w:rPr>
      </w:pPr>
      <w:r>
        <w:rPr>
          <w:rFonts w:hint="eastAsia" w:ascii="宋体" w:hAnsi="宋体" w:eastAsia="宋体" w:cs="宋体"/>
          <w:b/>
          <w:color w:val="auto"/>
          <w:highlight w:val="none"/>
          <w:lang w:eastAsia="zh-CN"/>
        </w:rPr>
        <w:br w:type="page"/>
      </w:r>
      <w:r>
        <w:rPr>
          <w:rFonts w:hint="eastAsia" w:ascii="宋体" w:hAnsi="宋体" w:eastAsia="宋体" w:cs="宋体"/>
          <w:b/>
          <w:color w:val="auto"/>
          <w:highlight w:val="none"/>
          <w:lang w:eastAsia="zh-CN"/>
        </w:rPr>
        <w:t>第</w:t>
      </w:r>
      <w:r>
        <w:rPr>
          <w:rFonts w:hint="eastAsia" w:ascii="宋体" w:hAnsi="宋体" w:eastAsia="宋体" w:cs="宋体"/>
          <w:b/>
          <w:color w:val="auto"/>
          <w:highlight w:val="none"/>
          <w:lang w:val="en-US" w:eastAsia="zh-CN"/>
        </w:rPr>
        <w:t>4</w:t>
      </w:r>
      <w:r>
        <w:rPr>
          <w:rFonts w:hint="eastAsia" w:ascii="宋体" w:hAnsi="宋体" w:eastAsia="宋体" w:cs="宋体"/>
          <w:b/>
          <w:color w:val="auto"/>
          <w:highlight w:val="none"/>
          <w:lang w:eastAsia="zh-CN"/>
        </w:rPr>
        <w:t>章</w:t>
      </w:r>
      <w:r>
        <w:rPr>
          <w:rFonts w:hint="eastAsia" w:ascii="宋体" w:hAnsi="宋体" w:eastAsia="宋体" w:cs="宋体"/>
          <w:b/>
          <w:color w:val="auto"/>
          <w:highlight w:val="none"/>
        </w:rPr>
        <w:t xml:space="preserve"> </w:t>
      </w:r>
      <w:bookmarkStart w:id="355" w:name="_Toc515647830"/>
      <w:bookmarkStart w:id="356" w:name="_Toc20439"/>
      <w:bookmarkStart w:id="357" w:name="_Toc216582823"/>
      <w:bookmarkStart w:id="358" w:name="_Toc10488"/>
      <w:bookmarkStart w:id="359" w:name="_Toc507399903"/>
      <w:bookmarkStart w:id="360" w:name="_Toc31583"/>
      <w:bookmarkStart w:id="361" w:name="_Toc512937850"/>
      <w:r>
        <w:rPr>
          <w:rFonts w:hint="eastAsia" w:ascii="宋体" w:hAnsi="宋体" w:eastAsia="宋体" w:cs="宋体"/>
          <w:color w:val="auto"/>
          <w:highlight w:val="none"/>
        </w:rPr>
        <w:t>投标人须知资料表</w:t>
      </w:r>
      <w:bookmarkEnd w:id="355"/>
      <w:bookmarkEnd w:id="356"/>
      <w:bookmarkEnd w:id="357"/>
      <w:bookmarkEnd w:id="358"/>
      <w:bookmarkEnd w:id="359"/>
      <w:bookmarkEnd w:id="360"/>
    </w:p>
    <w:bookmarkEnd w:id="361"/>
    <w:p w14:paraId="5EF5E124">
      <w:pPr>
        <w:spacing w:line="240" w:lineRule="atLeast"/>
        <w:ind w:left="1080" w:leftChars="257" w:hanging="540"/>
        <w:rPr>
          <w:rFonts w:hint="eastAsia" w:ascii="宋体" w:hAnsi="宋体" w:eastAsia="宋体" w:cs="宋体"/>
          <w:color w:val="auto"/>
          <w:sz w:val="24"/>
          <w:highlight w:val="none"/>
        </w:rPr>
      </w:pPr>
    </w:p>
    <w:p w14:paraId="6E4F4CF7">
      <w:pPr>
        <w:spacing w:line="240" w:lineRule="atLeas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本表是本招标项目的具体资料，是对投标人须知的具体补充和修改，如有矛盾，应以本资料表为准。</w:t>
      </w:r>
    </w:p>
    <w:tbl>
      <w:tblPr>
        <w:tblStyle w:val="3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01"/>
        <w:gridCol w:w="7207"/>
      </w:tblGrid>
      <w:tr w14:paraId="6590E0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101" w:type="dxa"/>
            <w:noWrap w:val="0"/>
            <w:vAlign w:val="center"/>
          </w:tcPr>
          <w:p w14:paraId="27279110">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条款号</w:t>
            </w:r>
          </w:p>
        </w:tc>
        <w:tc>
          <w:tcPr>
            <w:tcW w:w="7207" w:type="dxa"/>
            <w:noWrap w:val="0"/>
            <w:vAlign w:val="center"/>
          </w:tcPr>
          <w:p w14:paraId="7ED1B106">
            <w:pPr>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5E20A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3" w:hRule="atLeast"/>
        </w:trPr>
        <w:tc>
          <w:tcPr>
            <w:tcW w:w="1101" w:type="dxa"/>
            <w:noWrap w:val="0"/>
            <w:vAlign w:val="center"/>
          </w:tcPr>
          <w:p w14:paraId="2DFB6955">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7207" w:type="dxa"/>
            <w:noWrap w:val="0"/>
            <w:vAlign w:val="center"/>
          </w:tcPr>
          <w:p w14:paraId="0A8421CF">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w:t>
            </w:r>
            <w:r>
              <w:rPr>
                <w:rFonts w:hint="eastAsia" w:ascii="宋体" w:hAnsi="宋体" w:eastAsia="宋体" w:cs="宋体"/>
                <w:color w:val="auto"/>
                <w:sz w:val="24"/>
                <w:highlight w:val="none"/>
                <w:lang w:eastAsia="zh-CN"/>
              </w:rPr>
              <w:t xml:space="preserve"> 购 人：</w:t>
            </w:r>
            <w:r>
              <w:rPr>
                <w:rFonts w:hint="eastAsia" w:ascii="宋体" w:hAnsi="宋体" w:cs="宋体"/>
                <w:color w:val="auto"/>
                <w:sz w:val="24"/>
                <w:highlight w:val="none"/>
                <w:lang w:val="en-US" w:eastAsia="zh-CN"/>
              </w:rPr>
              <w:t>泽普县人民医院</w:t>
            </w:r>
            <w:r>
              <w:rPr>
                <w:rFonts w:hint="eastAsia" w:ascii="宋体" w:hAnsi="宋体" w:eastAsia="宋体" w:cs="宋体"/>
                <w:color w:val="auto"/>
                <w:sz w:val="24"/>
                <w:highlight w:val="none"/>
                <w:lang w:eastAsia="zh-CN"/>
              </w:rPr>
              <w:t xml:space="preserve">　　　　 </w:t>
            </w:r>
          </w:p>
          <w:p w14:paraId="0E14C035">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联系方式：泽普县人民医院0998-8241735</w:t>
            </w:r>
          </w:p>
        </w:tc>
      </w:tr>
      <w:tr w14:paraId="7E8988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101" w:type="dxa"/>
            <w:noWrap w:val="0"/>
            <w:vAlign w:val="center"/>
          </w:tcPr>
          <w:p w14:paraId="124079A2">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7207" w:type="dxa"/>
            <w:noWrap w:val="0"/>
            <w:vAlign w:val="center"/>
          </w:tcPr>
          <w:p w14:paraId="787DAE2B">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cs="宋体"/>
                <w:color w:val="auto"/>
                <w:sz w:val="24"/>
                <w:highlight w:val="none"/>
                <w:lang w:eastAsia="zh-CN"/>
              </w:rPr>
              <w:t>新疆昊泽工程管理有限公司</w:t>
            </w:r>
          </w:p>
          <w:p w14:paraId="5A637BBB">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地址：</w:t>
            </w:r>
            <w:r>
              <w:rPr>
                <w:rFonts w:hint="eastAsia" w:ascii="宋体" w:hAnsi="宋体" w:cs="宋体"/>
                <w:color w:val="auto"/>
                <w:sz w:val="24"/>
                <w:highlight w:val="none"/>
                <w:lang w:eastAsia="zh-CN"/>
              </w:rPr>
              <w:t>新疆喀什地区泽普县塞尚江南小区53幢16号门面房</w:t>
            </w:r>
          </w:p>
          <w:p w14:paraId="6A722E7A">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业务联系人：</w:t>
            </w:r>
            <w:r>
              <w:rPr>
                <w:rFonts w:hint="eastAsia" w:ascii="宋体" w:hAnsi="宋体" w:cs="宋体"/>
                <w:color w:val="auto"/>
                <w:sz w:val="24"/>
                <w:highlight w:val="none"/>
                <w:lang w:val="en-US" w:eastAsia="zh-CN"/>
              </w:rPr>
              <w:t>谷超超</w:t>
            </w:r>
            <w:r>
              <w:rPr>
                <w:rFonts w:hint="eastAsia" w:ascii="宋体" w:hAnsi="宋体" w:eastAsia="宋体" w:cs="宋体"/>
                <w:color w:val="auto"/>
                <w:sz w:val="24"/>
                <w:highlight w:val="none"/>
              </w:rPr>
              <w:t xml:space="preserve"> 电话：</w:t>
            </w:r>
            <w:r>
              <w:rPr>
                <w:rFonts w:hint="eastAsia" w:ascii="宋体" w:hAnsi="宋体" w:cs="宋体"/>
                <w:color w:val="auto"/>
                <w:sz w:val="24"/>
                <w:highlight w:val="none"/>
                <w:lang w:eastAsia="zh-CN"/>
              </w:rPr>
              <w:t>15276061261</w:t>
            </w:r>
            <w:r>
              <w:rPr>
                <w:rFonts w:hint="eastAsia" w:ascii="宋体" w:hAnsi="宋体" w:eastAsia="宋体" w:cs="宋体"/>
                <w:color w:val="auto"/>
                <w:sz w:val="24"/>
                <w:highlight w:val="none"/>
              </w:rPr>
              <w:t xml:space="preserve"> </w:t>
            </w:r>
          </w:p>
        </w:tc>
      </w:tr>
      <w:tr w14:paraId="79E5F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8" w:hRule="atLeast"/>
        </w:trPr>
        <w:tc>
          <w:tcPr>
            <w:tcW w:w="1101" w:type="dxa"/>
            <w:noWrap w:val="0"/>
            <w:vAlign w:val="center"/>
          </w:tcPr>
          <w:p w14:paraId="75541AA5">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1.3.4</w:t>
            </w:r>
          </w:p>
        </w:tc>
        <w:tc>
          <w:tcPr>
            <w:tcW w:w="7207" w:type="dxa"/>
            <w:noWrap w:val="0"/>
            <w:vAlign w:val="center"/>
          </w:tcPr>
          <w:p w14:paraId="424E962E">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合格投标人的其他资格要求：</w:t>
            </w:r>
          </w:p>
          <w:p w14:paraId="074C5986">
            <w:pPr>
              <w:pStyle w:val="5"/>
              <w:ind w:firstLine="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1.满足《中华人民共和国政府采购法》第二十二条规定；</w:t>
            </w:r>
          </w:p>
          <w:p w14:paraId="09B9FD20">
            <w:pPr>
              <w:pStyle w:val="5"/>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2.合格三证合一营业执照；</w:t>
            </w:r>
          </w:p>
          <w:p w14:paraId="2C0088BB">
            <w:pPr>
              <w:pStyle w:val="85"/>
              <w:keepNext w:val="0"/>
              <w:keepLines w:val="0"/>
              <w:pageBreakBefore w:val="0"/>
              <w:widowControl/>
              <w:kinsoku/>
              <w:wordWrap/>
              <w:overflowPunct/>
              <w:topLinePunct w:val="0"/>
              <w:autoSpaceDE/>
              <w:autoSpaceDN/>
              <w:bidi w:val="0"/>
              <w:adjustRightInd/>
              <w:snapToGrid/>
              <w:spacing w:line="320" w:lineRule="exact"/>
              <w:ind w:right="0"/>
              <w:textAlignment w:val="auto"/>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val="en-US" w:eastAsia="zh-CN"/>
              </w:rPr>
              <w:t>3、（1）所投产品为第一类医疗器械的可提供医疗器械经营备案凭证或按照国家医疗器械经营监督管理办法规定无需备案的可不提供；（2）所投产品为第二类医疗器械，生产商须提供有效的《医疗器械生产许可证》及所投产品的《医疗器械注册证》，代理商或经销商须提供有效的《第二类医疗器械经营备案凭证》及所投产品的《医疗器械注册证》；（3）所投产品为第三类医疗器械，生产商须提供有效的《医疗器械生产许可证》及所投产品的《医疗器械注册证》，代理商或经销商须提供有效的《医疗器械经营许可证》及所投产品的《医疗器械注册证》；</w:t>
            </w:r>
          </w:p>
          <w:p w14:paraId="2C587E06">
            <w:pPr>
              <w:pStyle w:val="5"/>
              <w:ind w:firstLine="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val="en-US" w:eastAsia="zh-CN"/>
              </w:rPr>
              <w:t>4</w:t>
            </w:r>
            <w:r>
              <w:rPr>
                <w:rFonts w:hint="eastAsia" w:ascii="宋体" w:hAnsi="宋体" w:eastAsia="宋体" w:cs="宋体"/>
                <w:b/>
                <w:bCs/>
                <w:color w:val="auto"/>
                <w:szCs w:val="24"/>
                <w:highlight w:val="none"/>
                <w:lang w:eastAsia="zh-CN"/>
              </w:rPr>
              <w:t>、法定代表人身份证明书；法定代表人授权委托书；</w:t>
            </w:r>
          </w:p>
          <w:p w14:paraId="1BED3A0E">
            <w:pPr>
              <w:pStyle w:val="5"/>
              <w:ind w:firstLine="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val="en-US" w:eastAsia="zh-CN"/>
              </w:rPr>
              <w:t>5、</w:t>
            </w:r>
            <w:r>
              <w:rPr>
                <w:rFonts w:hint="eastAsia" w:ascii="宋体" w:hAnsi="宋体" w:eastAsia="宋体" w:cs="宋体"/>
                <w:b/>
                <w:bCs/>
                <w:color w:val="auto"/>
                <w:szCs w:val="24"/>
                <w:highlight w:val="none"/>
                <w:lang w:eastAsia="zh-CN"/>
              </w:rPr>
              <w:t>依法缴纳近六个月中任意一个月的社保凭证；</w:t>
            </w:r>
          </w:p>
          <w:p w14:paraId="3B5F7186">
            <w:pPr>
              <w:pStyle w:val="5"/>
              <w:ind w:firstLine="0"/>
              <w:rPr>
                <w:rFonts w:hint="eastAsia" w:ascii="宋体" w:hAnsi="宋体" w:eastAsia="宋体" w:cs="宋体"/>
                <w:b/>
                <w:bCs/>
                <w:color w:val="auto"/>
                <w:szCs w:val="24"/>
                <w:highlight w:val="none"/>
              </w:rPr>
            </w:pPr>
            <w:r>
              <w:rPr>
                <w:rFonts w:hint="eastAsia" w:hAnsi="宋体" w:cs="宋体"/>
                <w:b/>
                <w:bCs/>
                <w:color w:val="auto"/>
                <w:szCs w:val="24"/>
                <w:highlight w:val="none"/>
                <w:lang w:val="en-US" w:eastAsia="zh-CN"/>
              </w:rPr>
              <w:t>6、</w:t>
            </w:r>
            <w:r>
              <w:rPr>
                <w:rFonts w:hint="eastAsia" w:ascii="宋体" w:hAnsi="宋体" w:eastAsia="宋体" w:cs="宋体"/>
                <w:b/>
                <w:bCs/>
                <w:color w:val="auto"/>
                <w:szCs w:val="24"/>
                <w:highlight w:val="none"/>
                <w:lang w:eastAsia="zh-CN"/>
              </w:rPr>
              <w:t>依法缴纳近六个月任意一个月的税收良好记录证明（零申报需加盖税务机关章、无拖欠税收证明需加盖税务机关章、完税证明为非社保缴纳明细）；</w:t>
            </w:r>
          </w:p>
          <w:p w14:paraId="432A1278">
            <w:pPr>
              <w:pStyle w:val="5"/>
              <w:ind w:firstLine="0"/>
              <w:rPr>
                <w:rFonts w:hint="eastAsia" w:ascii="宋体" w:hAnsi="宋体" w:eastAsia="宋体" w:cs="宋体"/>
                <w:b/>
                <w:bCs/>
                <w:color w:val="auto"/>
                <w:szCs w:val="24"/>
                <w:highlight w:val="none"/>
                <w:lang w:eastAsia="zh-CN"/>
              </w:rPr>
            </w:pPr>
            <w:r>
              <w:rPr>
                <w:rFonts w:hint="eastAsia" w:hAnsi="宋体" w:cs="宋体"/>
                <w:b/>
                <w:bCs/>
                <w:color w:val="auto"/>
                <w:szCs w:val="24"/>
                <w:highlight w:val="none"/>
                <w:lang w:val="en-US" w:eastAsia="zh-CN"/>
              </w:rPr>
              <w:t>7</w:t>
            </w:r>
            <w:r>
              <w:rPr>
                <w:rFonts w:hint="eastAsia" w:ascii="宋体" w:hAnsi="宋体" w:eastAsia="宋体" w:cs="宋体"/>
                <w:b/>
                <w:bCs/>
                <w:color w:val="auto"/>
                <w:szCs w:val="24"/>
                <w:highlight w:val="none"/>
              </w:rPr>
              <w:t>、</w:t>
            </w:r>
            <w:r>
              <w:rPr>
                <w:rFonts w:hint="eastAsia" w:ascii="宋体" w:hAnsi="宋体" w:eastAsia="宋体" w:cs="宋体"/>
                <w:b/>
                <w:bCs/>
                <w:color w:val="auto"/>
                <w:szCs w:val="24"/>
                <w:highlight w:val="none"/>
                <w:lang w:eastAsia="zh-CN"/>
              </w:rPr>
              <w:t>2024年度或2025年度经会计师事务所出具财务审计报告（2026年新成立的公司须</w:t>
            </w:r>
            <w:r>
              <w:rPr>
                <w:rFonts w:hint="eastAsia" w:hAnsi="宋体" w:cs="宋体"/>
                <w:b/>
                <w:bCs/>
                <w:color w:val="auto"/>
                <w:szCs w:val="24"/>
                <w:highlight w:val="none"/>
                <w:lang w:eastAsia="zh-CN"/>
              </w:rPr>
              <w:t>提供近三个月任意一个月</w:t>
            </w:r>
            <w:r>
              <w:rPr>
                <w:rFonts w:hint="eastAsia" w:ascii="宋体" w:hAnsi="宋体" w:eastAsia="宋体" w:cs="宋体"/>
                <w:b/>
                <w:bCs/>
                <w:color w:val="auto"/>
                <w:szCs w:val="24"/>
                <w:highlight w:val="none"/>
                <w:lang w:eastAsia="zh-CN"/>
              </w:rPr>
              <w:t>的银行资信证明）；</w:t>
            </w:r>
          </w:p>
          <w:p w14:paraId="4ABD9FF4">
            <w:pPr>
              <w:pStyle w:val="5"/>
              <w:ind w:firstLine="0"/>
              <w:rPr>
                <w:rFonts w:hint="eastAsia" w:ascii="宋体" w:hAnsi="宋体" w:eastAsia="宋体" w:cs="宋体"/>
                <w:b/>
                <w:bCs/>
                <w:color w:val="auto"/>
                <w:szCs w:val="24"/>
                <w:highlight w:val="none"/>
              </w:rPr>
            </w:pPr>
            <w:r>
              <w:rPr>
                <w:rFonts w:hint="eastAsia" w:hAnsi="宋体" w:cs="宋体"/>
                <w:b/>
                <w:bCs/>
                <w:color w:val="auto"/>
                <w:szCs w:val="24"/>
                <w:highlight w:val="none"/>
                <w:lang w:val="en-US" w:eastAsia="zh-CN"/>
              </w:rPr>
              <w:t>8</w:t>
            </w:r>
            <w:r>
              <w:rPr>
                <w:rFonts w:hint="eastAsia" w:ascii="宋体" w:hAnsi="宋体" w:eastAsia="宋体" w:cs="宋体"/>
                <w:b/>
                <w:bCs/>
                <w:color w:val="auto"/>
                <w:szCs w:val="24"/>
                <w:highlight w:val="none"/>
              </w:rPr>
              <w:t>、</w:t>
            </w:r>
            <w:r>
              <w:rPr>
                <w:rFonts w:hint="eastAsia" w:ascii="宋体" w:hAnsi="宋体" w:eastAsia="宋体" w:cs="宋体"/>
                <w:b/>
                <w:bCs/>
                <w:color w:val="auto"/>
                <w:szCs w:val="24"/>
                <w:highlight w:val="none"/>
                <w:lang w:val="en-US" w:eastAsia="zh-CN"/>
              </w:rPr>
              <w:t>未在“信用中国”网站 被列入失信被执行人、重大税收违法案件当事人名单；中国政府采购网，</w:t>
            </w:r>
            <w:r>
              <w:rPr>
                <w:rFonts w:hint="eastAsia" w:ascii="宋体" w:hAnsi="宋体" w:eastAsia="宋体" w:cs="宋体"/>
                <w:b/>
                <w:bCs/>
                <w:color w:val="auto"/>
                <w:szCs w:val="24"/>
                <w:highlight w:val="none"/>
                <w:lang w:val="en-US" w:eastAsia="zh-CN"/>
              </w:rPr>
              <w:fldChar w:fldCharType="begin"/>
            </w:r>
            <w:r>
              <w:rPr>
                <w:rFonts w:hint="eastAsia" w:ascii="宋体" w:hAnsi="宋体" w:eastAsia="宋体" w:cs="宋体"/>
                <w:b/>
                <w:bCs/>
                <w:color w:val="auto"/>
                <w:szCs w:val="24"/>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
                <w:bCs/>
                <w:color w:val="auto"/>
                <w:szCs w:val="24"/>
                <w:highlight w:val="none"/>
                <w:lang w:val="en-US" w:eastAsia="zh-CN"/>
              </w:rPr>
              <w:fldChar w:fldCharType="separate"/>
            </w:r>
            <w:r>
              <w:rPr>
                <w:rFonts w:hint="eastAsia" w:ascii="宋体" w:hAnsi="宋体" w:eastAsia="宋体" w:cs="宋体"/>
                <w:b/>
                <w:bCs/>
                <w:color w:val="auto"/>
                <w:szCs w:val="24"/>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
                <w:bCs/>
                <w:color w:val="auto"/>
                <w:szCs w:val="24"/>
                <w:highlight w:val="none"/>
                <w:lang w:val="en-US" w:eastAsia="zh-CN"/>
              </w:rPr>
              <w:fldChar w:fldCharType="end"/>
            </w:r>
            <w:r>
              <w:rPr>
                <w:rFonts w:hint="eastAsia" w:ascii="宋体" w:hAnsi="宋体" w:eastAsia="宋体" w:cs="宋体"/>
                <w:b/>
                <w:bCs/>
                <w:color w:val="auto"/>
                <w:szCs w:val="24"/>
                <w:highlight w:val="none"/>
                <w:lang w:val="en-US" w:eastAsia="zh-CN"/>
              </w:rPr>
              <w:t>，附网站截图或报告。</w:t>
            </w:r>
          </w:p>
          <w:p w14:paraId="2B21788C">
            <w:pPr>
              <w:pStyle w:val="5"/>
              <w:ind w:firstLine="0"/>
              <w:rPr>
                <w:rFonts w:hint="eastAsia" w:ascii="宋体" w:hAnsi="宋体" w:eastAsia="宋体" w:cs="宋体"/>
                <w:b/>
                <w:bCs/>
                <w:color w:val="auto"/>
                <w:szCs w:val="24"/>
                <w:highlight w:val="none"/>
              </w:rPr>
            </w:pPr>
            <w:r>
              <w:rPr>
                <w:rFonts w:hint="eastAsia" w:hAnsi="宋体" w:cs="宋体"/>
                <w:b/>
                <w:bCs/>
                <w:color w:val="auto"/>
                <w:szCs w:val="24"/>
                <w:highlight w:val="none"/>
                <w:lang w:val="en-US" w:eastAsia="zh-CN"/>
              </w:rPr>
              <w:t>9</w:t>
            </w:r>
            <w:r>
              <w:rPr>
                <w:rFonts w:hint="eastAsia" w:ascii="宋体" w:hAnsi="宋体" w:eastAsia="宋体" w:cs="宋体"/>
                <w:b/>
                <w:bCs/>
                <w:color w:val="auto"/>
                <w:szCs w:val="24"/>
                <w:highlight w:val="none"/>
              </w:rPr>
              <w:t>、投标单位（供应商）提供针对本次项目《反商业贿赂承诺书》</w:t>
            </w:r>
          </w:p>
          <w:p w14:paraId="3670DB8C">
            <w:pPr>
              <w:pStyle w:val="5"/>
              <w:ind w:firstLine="0"/>
              <w:rPr>
                <w:rFonts w:hint="eastAsia" w:ascii="宋体" w:hAnsi="宋体" w:eastAsia="宋体" w:cs="宋体"/>
                <w:b/>
                <w:bCs/>
                <w:color w:val="auto"/>
                <w:szCs w:val="24"/>
                <w:highlight w:val="none"/>
              </w:rPr>
            </w:pPr>
            <w:r>
              <w:rPr>
                <w:rFonts w:hint="eastAsia" w:hAnsi="宋体" w:cs="宋体"/>
                <w:b/>
                <w:bCs/>
                <w:color w:val="auto"/>
                <w:szCs w:val="24"/>
                <w:highlight w:val="none"/>
                <w:lang w:val="en-US" w:eastAsia="zh-CN"/>
              </w:rPr>
              <w:t>10</w:t>
            </w:r>
            <w:r>
              <w:rPr>
                <w:rFonts w:hint="eastAsia" w:ascii="宋体" w:hAnsi="宋体" w:eastAsia="宋体" w:cs="宋体"/>
                <w:b/>
                <w:bCs/>
                <w:color w:val="auto"/>
                <w:szCs w:val="24"/>
                <w:highlight w:val="none"/>
              </w:rPr>
              <w:t>、参加政府采购活动近3年内，在经营活动中没有重大违法记录的书面声明；</w:t>
            </w:r>
          </w:p>
          <w:p w14:paraId="11AAB233">
            <w:pPr>
              <w:pStyle w:val="5"/>
              <w:ind w:firstLine="0"/>
              <w:rPr>
                <w:rFonts w:hint="eastAsia" w:ascii="宋体" w:hAnsi="宋体" w:eastAsia="宋体" w:cs="宋体"/>
                <w:color w:val="auto"/>
                <w:sz w:val="24"/>
                <w:highlight w:val="none"/>
              </w:rPr>
            </w:pPr>
            <w:r>
              <w:rPr>
                <w:rFonts w:hint="eastAsia" w:ascii="宋体" w:hAnsi="宋体" w:eastAsia="宋体" w:cs="宋体"/>
                <w:b/>
                <w:bCs/>
                <w:color w:val="auto"/>
                <w:szCs w:val="24"/>
                <w:highlight w:val="none"/>
                <w:lang w:val="en-US" w:eastAsia="zh-CN"/>
              </w:rPr>
              <w:t>1</w:t>
            </w:r>
            <w:r>
              <w:rPr>
                <w:rFonts w:hint="eastAsia" w:hAnsi="宋体" w:cs="宋体"/>
                <w:b/>
                <w:bCs/>
                <w:color w:val="auto"/>
                <w:szCs w:val="24"/>
                <w:highlight w:val="none"/>
                <w:lang w:val="en-US" w:eastAsia="zh-CN"/>
              </w:rPr>
              <w:t>1</w:t>
            </w:r>
            <w:r>
              <w:rPr>
                <w:rFonts w:hint="eastAsia" w:ascii="宋体" w:hAnsi="宋体" w:eastAsia="宋体" w:cs="宋体"/>
                <w:b/>
                <w:bCs/>
                <w:color w:val="auto"/>
                <w:szCs w:val="24"/>
                <w:highlight w:val="none"/>
              </w:rPr>
              <w:t>、投标保证金缴纳凭证或投标担保函；</w:t>
            </w:r>
            <w:r>
              <w:rPr>
                <w:rFonts w:hint="eastAsia" w:ascii="宋体" w:hAnsi="宋体" w:eastAsia="宋体" w:cs="宋体"/>
                <w:b/>
                <w:bCs/>
                <w:color w:val="auto"/>
                <w:szCs w:val="24"/>
                <w:highlight w:val="none"/>
                <w:lang w:val="en-US" w:eastAsia="zh-CN"/>
              </w:rPr>
              <w:t xml:space="preserve">  </w:t>
            </w:r>
          </w:p>
        </w:tc>
      </w:tr>
      <w:tr w14:paraId="535EF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7" w:hRule="atLeast"/>
        </w:trPr>
        <w:tc>
          <w:tcPr>
            <w:tcW w:w="1101" w:type="dxa"/>
            <w:noWrap w:val="0"/>
            <w:vAlign w:val="center"/>
          </w:tcPr>
          <w:p w14:paraId="4C906628">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1.3.5</w:t>
            </w:r>
          </w:p>
        </w:tc>
        <w:tc>
          <w:tcPr>
            <w:tcW w:w="7207" w:type="dxa"/>
            <w:noWrap w:val="0"/>
            <w:vAlign w:val="center"/>
          </w:tcPr>
          <w:p w14:paraId="3EA12B47">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是否允许采购进口产品：</w:t>
            </w:r>
            <w:r>
              <w:rPr>
                <w:rFonts w:hint="eastAsia" w:ascii="宋体" w:hAnsi="宋体" w:eastAsia="宋体" w:cs="宋体"/>
                <w:color w:val="auto"/>
                <w:sz w:val="24"/>
                <w:highlight w:val="none"/>
                <w:u w:val="single"/>
              </w:rPr>
              <w:t>否</w:t>
            </w:r>
          </w:p>
        </w:tc>
      </w:tr>
      <w:tr w14:paraId="76B03B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9" w:hRule="atLeast"/>
        </w:trPr>
        <w:tc>
          <w:tcPr>
            <w:tcW w:w="1101" w:type="dxa"/>
            <w:noWrap w:val="0"/>
            <w:vAlign w:val="center"/>
          </w:tcPr>
          <w:p w14:paraId="3CEC6521">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1.3.6</w:t>
            </w:r>
          </w:p>
        </w:tc>
        <w:tc>
          <w:tcPr>
            <w:tcW w:w="7207" w:type="dxa"/>
            <w:noWrap w:val="0"/>
            <w:vAlign w:val="center"/>
          </w:tcPr>
          <w:p w14:paraId="23FD6D64">
            <w:pPr>
              <w:spacing w:line="240" w:lineRule="atLeast"/>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rPr>
              <w:t>是否为专门面向中小企业采购：</w:t>
            </w:r>
            <w:r>
              <w:rPr>
                <w:rFonts w:hint="eastAsia" w:ascii="宋体" w:hAnsi="宋体" w:eastAsia="宋体" w:cs="宋体"/>
                <w:color w:val="auto"/>
                <w:sz w:val="24"/>
                <w:highlight w:val="none"/>
                <w:u w:val="single"/>
              </w:rPr>
              <w:t>否</w:t>
            </w:r>
          </w:p>
        </w:tc>
      </w:tr>
      <w:tr w14:paraId="2AA87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101" w:type="dxa"/>
            <w:noWrap w:val="0"/>
            <w:vAlign w:val="center"/>
          </w:tcPr>
          <w:p w14:paraId="4E5B8AF4">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7207" w:type="dxa"/>
            <w:noWrap w:val="0"/>
            <w:vAlign w:val="center"/>
          </w:tcPr>
          <w:p w14:paraId="4C591005">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是否允许联合体投标：否</w:t>
            </w:r>
          </w:p>
        </w:tc>
      </w:tr>
      <w:tr w14:paraId="6DA445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101" w:type="dxa"/>
            <w:noWrap w:val="0"/>
            <w:vAlign w:val="center"/>
          </w:tcPr>
          <w:p w14:paraId="56586C76">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p>
        </w:tc>
        <w:tc>
          <w:tcPr>
            <w:tcW w:w="7207" w:type="dxa"/>
            <w:noWrap w:val="0"/>
            <w:vAlign w:val="center"/>
          </w:tcPr>
          <w:p w14:paraId="694A8814">
            <w:pPr>
              <w:pStyle w:val="85"/>
              <w:keepNext w:val="0"/>
              <w:keepLines w:val="0"/>
              <w:pageBreakBefore w:val="0"/>
              <w:widowControl/>
              <w:kinsoku/>
              <w:wordWrap/>
              <w:overflowPunct/>
              <w:topLinePunct w:val="0"/>
              <w:autoSpaceDE/>
              <w:autoSpaceDN/>
              <w:bidi w:val="0"/>
              <w:adjustRightInd/>
              <w:snapToGrid/>
              <w:spacing w:line="320" w:lineRule="exact"/>
              <w:ind w:right="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预算价：</w:t>
            </w:r>
            <w:r>
              <w:rPr>
                <w:rFonts w:hint="eastAsia" w:ascii="宋体" w:hAnsi="宋体" w:cs="宋体"/>
                <w:color w:val="auto"/>
                <w:sz w:val="24"/>
                <w:highlight w:val="none"/>
                <w:lang w:val="en-US" w:eastAsia="zh-CN"/>
              </w:rPr>
              <w:t>一包：</w:t>
            </w:r>
            <w:r>
              <w:rPr>
                <w:rFonts w:hint="eastAsia" w:ascii="宋体" w:hAnsi="宋体" w:cs="宋体"/>
                <w:color w:val="auto"/>
                <w:highlight w:val="none"/>
                <w:lang w:val="en-US" w:eastAsia="zh-CN"/>
              </w:rPr>
              <w:t>2700000.00元；二包：3352000.00元；三包：1547300.00元</w:t>
            </w:r>
            <w:r>
              <w:rPr>
                <w:rFonts w:hint="eastAsia" w:ascii="宋体" w:hAnsi="宋体" w:eastAsia="宋体" w:cs="宋体"/>
                <w:color w:val="auto"/>
                <w:sz w:val="24"/>
                <w:highlight w:val="none"/>
                <w:lang w:val="en-US" w:eastAsia="zh-CN"/>
              </w:rPr>
              <w:t>；</w:t>
            </w:r>
          </w:p>
          <w:p w14:paraId="236106F5">
            <w:pPr>
              <w:pStyle w:val="85"/>
              <w:keepNext w:val="0"/>
              <w:keepLines w:val="0"/>
              <w:pageBreakBefore w:val="0"/>
              <w:widowControl/>
              <w:kinsoku/>
              <w:wordWrap/>
              <w:overflowPunct/>
              <w:topLinePunct w:val="0"/>
              <w:autoSpaceDE/>
              <w:autoSpaceDN/>
              <w:bidi w:val="0"/>
              <w:adjustRightInd/>
              <w:snapToGrid/>
              <w:spacing w:line="320" w:lineRule="exact"/>
              <w:ind w:right="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最高限价：</w:t>
            </w:r>
            <w:r>
              <w:rPr>
                <w:rFonts w:hint="eastAsia" w:ascii="宋体" w:hAnsi="宋体" w:cs="宋体"/>
                <w:color w:val="auto"/>
                <w:sz w:val="24"/>
                <w:highlight w:val="none"/>
                <w:lang w:val="en-US" w:eastAsia="zh-CN"/>
              </w:rPr>
              <w:t>一包：</w:t>
            </w:r>
            <w:r>
              <w:rPr>
                <w:rFonts w:hint="eastAsia" w:ascii="宋体" w:hAnsi="宋体" w:cs="宋体"/>
                <w:color w:val="auto"/>
                <w:highlight w:val="none"/>
                <w:lang w:val="en-US" w:eastAsia="zh-CN"/>
              </w:rPr>
              <w:t>2700000.00元；二包：3352000.00元；三包：1547300.00元</w:t>
            </w:r>
            <w:r>
              <w:rPr>
                <w:rFonts w:hint="eastAsia" w:ascii="宋体" w:hAnsi="宋体" w:eastAsia="宋体" w:cs="宋体"/>
                <w:color w:val="auto"/>
                <w:sz w:val="24"/>
                <w:highlight w:val="none"/>
                <w:lang w:val="en-US" w:eastAsia="zh-CN"/>
              </w:rPr>
              <w:t>；</w:t>
            </w:r>
          </w:p>
        </w:tc>
      </w:tr>
      <w:tr w14:paraId="66E053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101" w:type="dxa"/>
            <w:noWrap w:val="0"/>
            <w:vAlign w:val="center"/>
          </w:tcPr>
          <w:p w14:paraId="49D57722">
            <w:pPr>
              <w:spacing w:line="240" w:lineRule="atLeas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2.2.3</w:t>
            </w:r>
          </w:p>
        </w:tc>
        <w:tc>
          <w:tcPr>
            <w:tcW w:w="7207" w:type="dxa"/>
            <w:noWrap w:val="0"/>
            <w:vAlign w:val="center"/>
          </w:tcPr>
          <w:p w14:paraId="3ACE746B">
            <w:pPr>
              <w:pStyle w:val="85"/>
              <w:keepNext w:val="0"/>
              <w:keepLines w:val="0"/>
              <w:pageBreakBefore w:val="0"/>
              <w:widowControl/>
              <w:kinsoku/>
              <w:wordWrap/>
              <w:overflowPunct/>
              <w:topLinePunct w:val="0"/>
              <w:autoSpaceDE/>
              <w:autoSpaceDN/>
              <w:bidi w:val="0"/>
              <w:adjustRightInd/>
              <w:snapToGrid/>
              <w:spacing w:line="320" w:lineRule="exact"/>
              <w:ind w:right="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供货期：</w:t>
            </w:r>
            <w:r>
              <w:rPr>
                <w:rFonts w:hint="eastAsia" w:ascii="宋体" w:hAnsi="宋体" w:cs="宋体"/>
                <w:color w:val="auto"/>
                <w:highlight w:val="none"/>
                <w:lang w:val="en-US" w:eastAsia="zh-CN"/>
              </w:rPr>
              <w:t>合同签订完成后30日内完成安装调试</w:t>
            </w:r>
          </w:p>
          <w:p w14:paraId="5AF4A570">
            <w:pPr>
              <w:pStyle w:val="85"/>
              <w:keepNext w:val="0"/>
              <w:keepLines w:val="0"/>
              <w:pageBreakBefore w:val="0"/>
              <w:widowControl/>
              <w:kinsoku/>
              <w:wordWrap/>
              <w:overflowPunct/>
              <w:topLinePunct w:val="0"/>
              <w:autoSpaceDE/>
              <w:autoSpaceDN/>
              <w:bidi w:val="0"/>
              <w:adjustRightInd/>
              <w:snapToGrid/>
              <w:spacing w:line="320" w:lineRule="exact"/>
              <w:ind w:right="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供货地点：甲方指定地点</w:t>
            </w:r>
          </w:p>
        </w:tc>
      </w:tr>
      <w:tr w14:paraId="6BFE43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trPr>
        <w:tc>
          <w:tcPr>
            <w:tcW w:w="1101" w:type="dxa"/>
            <w:noWrap w:val="0"/>
            <w:vAlign w:val="center"/>
          </w:tcPr>
          <w:p w14:paraId="62E33F4C">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8.1</w:t>
            </w:r>
          </w:p>
        </w:tc>
        <w:tc>
          <w:tcPr>
            <w:tcW w:w="7207" w:type="dxa"/>
            <w:noWrap w:val="0"/>
            <w:vAlign w:val="center"/>
          </w:tcPr>
          <w:p w14:paraId="4228BD19">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如投标商对多个包进行投标，可以中标</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1</w:t>
            </w:r>
            <w:r>
              <w:rPr>
                <w:rFonts w:hint="eastAsia" w:ascii="宋体" w:hAnsi="宋体" w:eastAsia="宋体" w:cs="宋体"/>
                <w:color w:val="auto"/>
                <w:sz w:val="24"/>
                <w:highlight w:val="none"/>
              </w:rPr>
              <w:t>包</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不能兼中兼得</w:t>
            </w:r>
            <w:r>
              <w:rPr>
                <w:rFonts w:hint="eastAsia" w:ascii="宋体" w:hAnsi="宋体" w:cs="宋体"/>
                <w:color w:val="auto"/>
                <w:sz w:val="24"/>
                <w:highlight w:val="none"/>
                <w:lang w:eastAsia="zh-CN"/>
              </w:rPr>
              <w:t>）</w:t>
            </w:r>
          </w:p>
        </w:tc>
      </w:tr>
      <w:tr w14:paraId="48905A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101" w:type="dxa"/>
            <w:noWrap w:val="0"/>
            <w:vAlign w:val="center"/>
          </w:tcPr>
          <w:p w14:paraId="26ABFB2E">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12.1</w:t>
            </w:r>
          </w:p>
        </w:tc>
        <w:tc>
          <w:tcPr>
            <w:tcW w:w="7207" w:type="dxa"/>
            <w:noWrap w:val="0"/>
            <w:vAlign w:val="center"/>
          </w:tcPr>
          <w:p w14:paraId="68A0C829">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保证金形式：☑保函  ☑电汇  ☑支票</w:t>
            </w:r>
          </w:p>
          <w:p w14:paraId="695EAF1B">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网银 （本项目允许的其他形式） </w:t>
            </w:r>
          </w:p>
          <w:p w14:paraId="22046E64">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保证金数额：</w:t>
            </w:r>
          </w:p>
          <w:p w14:paraId="3E611C4F">
            <w:pPr>
              <w:spacing w:line="240" w:lineRule="atLeas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一包：30000.00元（叁万元整）；</w:t>
            </w:r>
          </w:p>
          <w:p w14:paraId="2B65BB3E">
            <w:pPr>
              <w:spacing w:line="240" w:lineRule="atLeas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二包：40000.00元；（伍万元整）；</w:t>
            </w:r>
          </w:p>
          <w:p w14:paraId="0B5C9B1A">
            <w:pPr>
              <w:spacing w:line="240" w:lineRule="atLeast"/>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三包：20000.00元（贰万元整）</w:t>
            </w:r>
          </w:p>
          <w:p w14:paraId="0FD090AB">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开户名称：</w:t>
            </w:r>
            <w:r>
              <w:rPr>
                <w:rFonts w:hint="eastAsia" w:ascii="宋体" w:hAnsi="宋体" w:cs="宋体"/>
                <w:color w:val="auto"/>
                <w:sz w:val="24"/>
                <w:highlight w:val="none"/>
                <w:lang w:eastAsia="zh-CN"/>
              </w:rPr>
              <w:t>新疆昊泽工程管理有限公司</w:t>
            </w:r>
          </w:p>
          <w:p w14:paraId="62AE50ED">
            <w:pPr>
              <w:spacing w:line="240" w:lineRule="atLeas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账</w:t>
            </w:r>
            <w:r>
              <w:rPr>
                <w:rFonts w:hint="eastAsia" w:ascii="宋体" w:hAnsi="宋体" w:eastAsia="宋体" w:cs="宋体"/>
                <w:color w:val="auto"/>
                <w:sz w:val="24"/>
                <w:highlight w:val="none"/>
                <w:lang w:eastAsia="zh-CN"/>
              </w:rPr>
              <w:t>号：</w:t>
            </w:r>
            <w:r>
              <w:rPr>
                <w:rFonts w:hint="eastAsia" w:ascii="宋体" w:hAnsi="宋体" w:eastAsia="宋体" w:cs="宋体"/>
                <w:color w:val="auto"/>
                <w:sz w:val="24"/>
                <w:highlight w:val="none"/>
                <w:lang w:val="en-US" w:eastAsia="zh-CN"/>
              </w:rPr>
              <w:t>3012350009200106913</w:t>
            </w:r>
          </w:p>
          <w:p w14:paraId="5502C061">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开户银行：</w:t>
            </w:r>
            <w:r>
              <w:rPr>
                <w:rFonts w:hint="eastAsia" w:ascii="宋体" w:hAnsi="宋体" w:eastAsia="宋体" w:cs="宋体"/>
                <w:color w:val="auto"/>
                <w:sz w:val="24"/>
                <w:highlight w:val="none"/>
                <w:lang w:val="en-US" w:eastAsia="zh-CN"/>
              </w:rPr>
              <w:t>中国工商银行股份有限公司泽普支行</w:t>
            </w:r>
          </w:p>
          <w:p w14:paraId="24164170">
            <w:pPr>
              <w:spacing w:line="240" w:lineRule="atLeast"/>
              <w:rPr>
                <w:rFonts w:hint="eastAsia" w:ascii="宋体" w:hAnsi="宋体" w:eastAsia="宋体" w:cs="宋体"/>
                <w:color w:val="auto"/>
                <w:highlight w:val="none"/>
              </w:rPr>
            </w:pPr>
            <w:r>
              <w:rPr>
                <w:rFonts w:hint="eastAsia" w:ascii="宋体" w:hAnsi="宋体" w:eastAsia="宋体" w:cs="宋体"/>
                <w:b w:val="0"/>
                <w:bCs w:val="0"/>
                <w:color w:val="auto"/>
                <w:sz w:val="24"/>
                <w:highlight w:val="none"/>
                <w:u w:val="none"/>
                <w:lang w:val="en-US" w:eastAsia="zh-CN"/>
              </w:rPr>
              <w:t>到账截止时间：</w:t>
            </w:r>
            <w:r>
              <w:rPr>
                <w:rFonts w:hint="eastAsia" w:ascii="宋体" w:hAnsi="宋体" w:cs="宋体"/>
                <w:b w:val="0"/>
                <w:bCs w:val="0"/>
                <w:color w:val="auto"/>
                <w:sz w:val="24"/>
                <w:highlight w:val="none"/>
                <w:u w:val="none"/>
                <w:lang w:val="en-US" w:eastAsia="zh-CN"/>
              </w:rPr>
              <w:t>2026年06月08日11:00（北京时间）</w:t>
            </w:r>
          </w:p>
        </w:tc>
      </w:tr>
      <w:tr w14:paraId="259B7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101" w:type="dxa"/>
            <w:noWrap w:val="0"/>
            <w:vAlign w:val="center"/>
          </w:tcPr>
          <w:p w14:paraId="577F5AA2">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p>
        </w:tc>
        <w:tc>
          <w:tcPr>
            <w:tcW w:w="7207" w:type="dxa"/>
            <w:noWrap w:val="0"/>
            <w:vAlign w:val="center"/>
          </w:tcPr>
          <w:p w14:paraId="77FC7A5E">
            <w:pPr>
              <w:spacing w:line="240" w:lineRule="atLeas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投标有效期：</w:t>
            </w:r>
            <w:r>
              <w:rPr>
                <w:rFonts w:hint="eastAsia" w:ascii="宋体" w:hAnsi="宋体" w:eastAsia="宋体" w:cs="宋体"/>
                <w:color w:val="auto"/>
                <w:sz w:val="24"/>
                <w:highlight w:val="none"/>
                <w:u w:val="single"/>
              </w:rPr>
              <w:t>9</w:t>
            </w:r>
            <w:r>
              <w:rPr>
                <w:rFonts w:hint="eastAsia" w:ascii="宋体" w:hAnsi="宋体" w:eastAsia="宋体" w:cs="宋体"/>
                <w:color w:val="auto"/>
                <w:sz w:val="24"/>
                <w:highlight w:val="none"/>
                <w:u w:val="single"/>
                <w:lang w:val="en-US" w:eastAsia="zh-CN"/>
              </w:rPr>
              <w:t>0</w:t>
            </w:r>
            <w:r>
              <w:rPr>
                <w:rFonts w:hint="eastAsia" w:ascii="宋体" w:hAnsi="宋体" w:eastAsia="宋体" w:cs="宋体"/>
                <w:color w:val="auto"/>
                <w:sz w:val="24"/>
                <w:highlight w:val="none"/>
              </w:rPr>
              <w:t>日历日</w:t>
            </w:r>
          </w:p>
        </w:tc>
      </w:tr>
      <w:tr w14:paraId="07AC4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101" w:type="dxa"/>
            <w:noWrap w:val="0"/>
            <w:vAlign w:val="center"/>
          </w:tcPr>
          <w:p w14:paraId="4B2A965B">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14.1</w:t>
            </w:r>
          </w:p>
        </w:tc>
        <w:tc>
          <w:tcPr>
            <w:tcW w:w="7207" w:type="dxa"/>
            <w:noWrap w:val="0"/>
            <w:vAlign w:val="center"/>
          </w:tcPr>
          <w:p w14:paraId="4C0FB71E">
            <w:pPr>
              <w:spacing w:line="240" w:lineRule="atLeas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本项目实行全流程电子化“不见面”网上开标，请各潜在投标人自行下载学习（新疆政府采购网下载专区）注：投标截止时间前按要求在政采云上传电子版投标文件。</w:t>
            </w:r>
          </w:p>
        </w:tc>
      </w:tr>
      <w:tr w14:paraId="120113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101" w:type="dxa"/>
            <w:noWrap w:val="0"/>
            <w:vAlign w:val="center"/>
          </w:tcPr>
          <w:p w14:paraId="22F54355">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16.1</w:t>
            </w:r>
          </w:p>
        </w:tc>
        <w:tc>
          <w:tcPr>
            <w:tcW w:w="7207" w:type="dxa"/>
            <w:noWrap w:val="0"/>
            <w:vAlign w:val="center"/>
          </w:tcPr>
          <w:p w14:paraId="35FE3881">
            <w:pPr>
              <w:spacing w:line="240" w:lineRule="atLeast"/>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提交投标文件截止时间：</w:t>
            </w:r>
            <w:r>
              <w:rPr>
                <w:rFonts w:hint="eastAsia" w:ascii="宋体" w:hAnsi="宋体" w:cs="宋体"/>
                <w:b w:val="0"/>
                <w:bCs w:val="0"/>
                <w:color w:val="auto"/>
                <w:sz w:val="24"/>
                <w:highlight w:val="none"/>
                <w:u w:val="none"/>
                <w:lang w:val="en-US" w:eastAsia="zh-CN"/>
              </w:rPr>
              <w:t>2026年06月08日11:00（北京时间）</w:t>
            </w:r>
          </w:p>
          <w:p w14:paraId="750AFBF2">
            <w:pPr>
              <w:spacing w:line="240" w:lineRule="atLeast"/>
              <w:rPr>
                <w:rFonts w:hint="eastAsia" w:ascii="宋体" w:hAnsi="宋体" w:eastAsia="宋体" w:cs="宋体"/>
                <w:color w:val="auto"/>
                <w:highlight w:val="none"/>
              </w:rPr>
            </w:pPr>
            <w:r>
              <w:rPr>
                <w:rFonts w:hint="eastAsia" w:ascii="宋体" w:hAnsi="宋体" w:eastAsia="宋体" w:cs="宋体"/>
                <w:color w:val="auto"/>
                <w:sz w:val="24"/>
                <w:szCs w:val="32"/>
                <w:highlight w:val="none"/>
                <w:lang w:val="en-US" w:eastAsia="zh-CN"/>
              </w:rPr>
              <w:t>投标地点（网址）：</w:t>
            </w:r>
            <w:r>
              <w:rPr>
                <w:rFonts w:hint="eastAsia" w:ascii="宋体" w:hAnsi="宋体" w:eastAsia="宋体" w:cs="宋体"/>
                <w:color w:val="auto"/>
                <w:sz w:val="24"/>
                <w:szCs w:val="32"/>
                <w:highlight w:val="none"/>
                <w:lang w:val="en-US" w:eastAsia="zh-CN"/>
              </w:rPr>
              <w:fldChar w:fldCharType="begin"/>
            </w:r>
            <w:r>
              <w:rPr>
                <w:rFonts w:hint="eastAsia" w:ascii="宋体" w:hAnsi="宋体" w:eastAsia="宋体" w:cs="宋体"/>
                <w:color w:val="auto"/>
                <w:sz w:val="24"/>
                <w:szCs w:val="32"/>
                <w:highlight w:val="none"/>
                <w:lang w:val="en-US" w:eastAsia="zh-CN"/>
              </w:rPr>
              <w:instrText xml:space="preserve"> HYPERLINK "https://www.zcygov.cn" </w:instrText>
            </w:r>
            <w:r>
              <w:rPr>
                <w:rFonts w:hint="eastAsia" w:ascii="宋体" w:hAnsi="宋体" w:eastAsia="宋体" w:cs="宋体"/>
                <w:color w:val="auto"/>
                <w:sz w:val="24"/>
                <w:szCs w:val="32"/>
                <w:highlight w:val="none"/>
                <w:lang w:val="en-US" w:eastAsia="zh-CN"/>
              </w:rPr>
              <w:fldChar w:fldCharType="separate"/>
            </w:r>
            <w:r>
              <w:rPr>
                <w:rFonts w:hint="eastAsia" w:ascii="宋体" w:hAnsi="宋体" w:eastAsia="宋体" w:cs="宋体"/>
                <w:color w:val="auto"/>
                <w:sz w:val="24"/>
                <w:szCs w:val="32"/>
                <w:highlight w:val="none"/>
                <w:lang w:val="en-US" w:eastAsia="zh-CN"/>
              </w:rPr>
              <w:t>https://www.zcygov.cn</w:t>
            </w:r>
            <w:r>
              <w:rPr>
                <w:rFonts w:hint="eastAsia" w:ascii="宋体" w:hAnsi="宋体" w:eastAsia="宋体" w:cs="宋体"/>
                <w:color w:val="auto"/>
                <w:sz w:val="24"/>
                <w:szCs w:val="32"/>
                <w:highlight w:val="none"/>
                <w:lang w:val="en-US" w:eastAsia="zh-CN"/>
              </w:rPr>
              <w:fldChar w:fldCharType="end"/>
            </w:r>
            <w:r>
              <w:rPr>
                <w:rFonts w:hint="eastAsia" w:ascii="宋体" w:hAnsi="宋体" w:eastAsia="宋体" w:cs="宋体"/>
                <w:color w:val="auto"/>
                <w:sz w:val="24"/>
                <w:szCs w:val="32"/>
                <w:highlight w:val="none"/>
                <w:lang w:val="en-US" w:eastAsia="zh-CN"/>
              </w:rPr>
              <w:t>在线投标</w:t>
            </w:r>
          </w:p>
        </w:tc>
      </w:tr>
      <w:tr w14:paraId="38E00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101" w:type="dxa"/>
            <w:noWrap w:val="0"/>
            <w:vAlign w:val="center"/>
          </w:tcPr>
          <w:p w14:paraId="0D3217FD">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18.1</w:t>
            </w:r>
          </w:p>
        </w:tc>
        <w:tc>
          <w:tcPr>
            <w:tcW w:w="7207" w:type="dxa"/>
            <w:noWrap w:val="0"/>
            <w:vAlign w:val="center"/>
          </w:tcPr>
          <w:p w14:paraId="08968C91">
            <w:pPr>
              <w:spacing w:line="240" w:lineRule="atLeast"/>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开标时间：</w:t>
            </w:r>
            <w:r>
              <w:rPr>
                <w:rFonts w:hint="eastAsia" w:ascii="宋体" w:hAnsi="宋体" w:cs="宋体"/>
                <w:color w:val="auto"/>
                <w:sz w:val="24"/>
                <w:szCs w:val="32"/>
                <w:highlight w:val="none"/>
                <w:lang w:eastAsia="zh-CN"/>
              </w:rPr>
              <w:t>2026年</w:t>
            </w:r>
            <w:r>
              <w:rPr>
                <w:rFonts w:hint="eastAsia" w:ascii="宋体" w:hAnsi="宋体" w:cs="宋体"/>
                <w:color w:val="auto"/>
                <w:sz w:val="24"/>
                <w:szCs w:val="32"/>
                <w:highlight w:val="none"/>
                <w:lang w:val="en-US" w:eastAsia="zh-CN"/>
              </w:rPr>
              <w:t>06</w:t>
            </w:r>
            <w:r>
              <w:rPr>
                <w:rFonts w:hint="eastAsia" w:ascii="宋体" w:hAnsi="宋体" w:cs="宋体"/>
                <w:color w:val="auto"/>
                <w:sz w:val="24"/>
                <w:szCs w:val="32"/>
                <w:highlight w:val="none"/>
                <w:lang w:eastAsia="zh-CN"/>
              </w:rPr>
              <w:t>月</w:t>
            </w:r>
            <w:r>
              <w:rPr>
                <w:rFonts w:hint="eastAsia" w:ascii="宋体" w:hAnsi="宋体" w:cs="宋体"/>
                <w:color w:val="auto"/>
                <w:sz w:val="24"/>
                <w:szCs w:val="32"/>
                <w:highlight w:val="none"/>
                <w:lang w:val="en-US" w:eastAsia="zh-CN"/>
              </w:rPr>
              <w:t>08</w:t>
            </w:r>
            <w:r>
              <w:rPr>
                <w:rFonts w:hint="eastAsia" w:ascii="宋体" w:hAnsi="宋体" w:cs="宋体"/>
                <w:color w:val="auto"/>
                <w:sz w:val="24"/>
                <w:szCs w:val="32"/>
                <w:highlight w:val="none"/>
                <w:lang w:eastAsia="zh-CN"/>
              </w:rPr>
              <w:t>日</w:t>
            </w:r>
            <w:r>
              <w:rPr>
                <w:rFonts w:hint="eastAsia" w:ascii="宋体" w:hAnsi="宋体" w:cs="宋体"/>
                <w:b w:val="0"/>
                <w:bCs w:val="0"/>
                <w:color w:val="auto"/>
                <w:sz w:val="24"/>
                <w:highlight w:val="none"/>
                <w:u w:val="none"/>
                <w:lang w:val="en-US" w:eastAsia="zh-CN"/>
              </w:rPr>
              <w:t>11:00（北京时间）</w:t>
            </w:r>
          </w:p>
          <w:p w14:paraId="52D697DB">
            <w:pPr>
              <w:spacing w:line="240" w:lineRule="atLeast"/>
              <w:rPr>
                <w:rFonts w:hint="eastAsia" w:ascii="宋体" w:hAnsi="宋体" w:eastAsia="宋体" w:cs="宋体"/>
                <w:color w:val="auto"/>
                <w:highlight w:val="none"/>
              </w:rPr>
            </w:pPr>
            <w:r>
              <w:rPr>
                <w:rFonts w:hint="eastAsia" w:ascii="宋体" w:hAnsi="宋体" w:eastAsia="宋体" w:cs="宋体"/>
                <w:color w:val="auto"/>
                <w:sz w:val="24"/>
                <w:szCs w:val="32"/>
                <w:highlight w:val="none"/>
                <w:lang w:val="en-US" w:eastAsia="zh-CN"/>
              </w:rPr>
              <w:t>开标地点：https://www.zcygov.cn  </w:t>
            </w:r>
          </w:p>
        </w:tc>
      </w:tr>
      <w:tr w14:paraId="141D7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101" w:type="dxa"/>
            <w:noWrap w:val="0"/>
            <w:vAlign w:val="center"/>
          </w:tcPr>
          <w:p w14:paraId="12DF7BF9">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20.5</w:t>
            </w:r>
          </w:p>
        </w:tc>
        <w:tc>
          <w:tcPr>
            <w:tcW w:w="7207" w:type="dxa"/>
            <w:noWrap w:val="0"/>
            <w:vAlign w:val="center"/>
          </w:tcPr>
          <w:p w14:paraId="623E672E">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产品：</w:t>
            </w:r>
            <w:r>
              <w:rPr>
                <w:rFonts w:hint="eastAsia" w:ascii="宋体" w:hAnsi="宋体" w:eastAsia="宋体" w:cs="宋体"/>
                <w:b/>
                <w:bCs/>
                <w:i w:val="0"/>
                <w:caps w:val="0"/>
                <w:color w:val="auto"/>
                <w:spacing w:val="0"/>
                <w:w w:val="100"/>
                <w:kern w:val="2"/>
                <w:sz w:val="24"/>
                <w:szCs w:val="24"/>
                <w:highlight w:val="none"/>
                <w:lang w:val="en-US" w:eastAsia="zh-CN" w:bidi="ar-SA"/>
              </w:rPr>
              <w:t>带“★”号的</w:t>
            </w:r>
            <w:r>
              <w:rPr>
                <w:rFonts w:hint="eastAsia" w:ascii="宋体" w:hAnsi="宋体" w:cs="宋体"/>
                <w:b/>
                <w:bCs/>
                <w:i w:val="0"/>
                <w:caps w:val="0"/>
                <w:color w:val="auto"/>
                <w:spacing w:val="0"/>
                <w:w w:val="100"/>
                <w:kern w:val="2"/>
                <w:sz w:val="24"/>
                <w:szCs w:val="24"/>
                <w:highlight w:val="none"/>
                <w:lang w:val="en-US" w:eastAsia="zh-CN" w:bidi="ar-SA"/>
              </w:rPr>
              <w:t>实质性参数</w:t>
            </w:r>
            <w:r>
              <w:rPr>
                <w:rFonts w:hint="eastAsia" w:ascii="宋体" w:hAnsi="宋体" w:eastAsia="宋体" w:cs="宋体"/>
                <w:b/>
                <w:bCs/>
                <w:i w:val="0"/>
                <w:caps w:val="0"/>
                <w:color w:val="auto"/>
                <w:spacing w:val="0"/>
                <w:w w:val="100"/>
                <w:kern w:val="2"/>
                <w:sz w:val="24"/>
                <w:szCs w:val="24"/>
                <w:highlight w:val="none"/>
                <w:lang w:val="en-US" w:eastAsia="zh-CN" w:bidi="ar-SA"/>
              </w:rPr>
              <w:t>、标注“▲”号的重要参数</w:t>
            </w:r>
            <w:r>
              <w:rPr>
                <w:rFonts w:hint="eastAsia" w:ascii="宋体" w:hAnsi="宋体" w:eastAsia="宋体" w:cs="宋体"/>
                <w:color w:val="auto"/>
                <w:sz w:val="24"/>
                <w:highlight w:val="none"/>
              </w:rPr>
              <w:t xml:space="preserve">（详细产品要求详见招标文件第5章 货物需求一览表及技术规格）  </w:t>
            </w:r>
          </w:p>
          <w:p w14:paraId="4A7247D7">
            <w:pPr>
              <w:spacing w:line="240" w:lineRule="atLeast"/>
              <w:rPr>
                <w:rFonts w:hint="eastAsia" w:ascii="宋体" w:hAnsi="宋体" w:eastAsia="宋体" w:cs="宋体"/>
                <w:color w:val="auto"/>
                <w:sz w:val="24"/>
                <w:highlight w:val="none"/>
              </w:rPr>
            </w:pPr>
            <w:r>
              <w:rPr>
                <w:rFonts w:hint="eastAsia" w:ascii="宋体" w:hAnsi="宋体" w:cs="宋体"/>
                <w:b/>
                <w:bCs/>
                <w:color w:val="auto"/>
                <w:sz w:val="24"/>
                <w:highlight w:val="none"/>
                <w:lang w:val="en-US" w:eastAsia="zh-CN"/>
              </w:rPr>
              <w:t>本项目核心产品为一包：：</w:t>
            </w:r>
            <w:r>
              <w:rPr>
                <w:rFonts w:hint="eastAsia" w:ascii="宋体" w:hAnsi="宋体" w:cs="宋体"/>
                <w:b/>
                <w:bCs/>
                <w:color w:val="auto"/>
                <w:sz w:val="24"/>
                <w:highlight w:val="none"/>
                <w:u w:val="single"/>
                <w:lang w:val="en-US" w:eastAsia="zh-CN"/>
              </w:rPr>
              <w:t>C型臂、关节及脊椎内窥镜系统；二包：心电监护；三包：主动脉内球囊反搏（IABP）</w:t>
            </w:r>
            <w:r>
              <w:rPr>
                <w:rFonts w:hint="eastAsia" w:ascii="宋体" w:hAnsi="宋体" w:eastAsia="宋体" w:cs="宋体"/>
                <w:b/>
                <w:bCs/>
                <w:color w:val="auto"/>
                <w:sz w:val="24"/>
                <w:highlight w:val="none"/>
              </w:rPr>
              <w:t xml:space="preserve">  </w:t>
            </w:r>
            <w:r>
              <w:rPr>
                <w:rFonts w:hint="eastAsia" w:ascii="宋体" w:hAnsi="宋体" w:eastAsia="宋体" w:cs="宋体"/>
                <w:color w:val="auto"/>
                <w:sz w:val="24"/>
                <w:highlight w:val="none"/>
              </w:rPr>
              <w:t xml:space="preserve">                 </w:t>
            </w:r>
          </w:p>
        </w:tc>
      </w:tr>
      <w:tr w14:paraId="142CE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101" w:type="dxa"/>
            <w:noWrap w:val="0"/>
            <w:vAlign w:val="center"/>
          </w:tcPr>
          <w:p w14:paraId="5CCEAA15">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23.2</w:t>
            </w:r>
          </w:p>
        </w:tc>
        <w:tc>
          <w:tcPr>
            <w:tcW w:w="7207" w:type="dxa"/>
            <w:noWrap w:val="0"/>
            <w:vAlign w:val="center"/>
          </w:tcPr>
          <w:p w14:paraId="6018857C">
            <w:pPr>
              <w:spacing w:line="240" w:lineRule="atLeast"/>
              <w:rPr>
                <w:rFonts w:hint="eastAsia" w:ascii="宋体" w:hAnsi="宋体" w:eastAsia="宋体" w:cs="宋体"/>
                <w:i/>
                <w:color w:val="auto"/>
                <w:sz w:val="24"/>
                <w:highlight w:val="none"/>
              </w:rPr>
            </w:pPr>
            <w:r>
              <w:rPr>
                <w:rFonts w:hint="eastAsia" w:ascii="宋体" w:hAnsi="宋体" w:eastAsia="宋体" w:cs="宋体"/>
                <w:color w:val="auto"/>
                <w:sz w:val="24"/>
                <w:highlight w:val="none"/>
              </w:rPr>
              <w:t>评标方法：</w:t>
            </w:r>
            <w:r>
              <w:rPr>
                <w:rFonts w:hint="eastAsia" w:ascii="宋体" w:hAnsi="宋体" w:eastAsia="宋体" w:cs="宋体"/>
                <w:color w:val="auto"/>
                <w:sz w:val="24"/>
                <w:highlight w:val="none"/>
                <w:lang w:val="en-US" w:eastAsia="zh-CN"/>
              </w:rPr>
              <w:t>综合评分法</w:t>
            </w:r>
            <w:r>
              <w:rPr>
                <w:rFonts w:hint="eastAsia" w:ascii="宋体" w:hAnsi="宋体" w:eastAsia="宋体" w:cs="宋体"/>
                <w:color w:val="auto"/>
                <w:sz w:val="24"/>
                <w:highlight w:val="none"/>
              </w:rPr>
              <w:t>　　　　　</w:t>
            </w:r>
          </w:p>
        </w:tc>
      </w:tr>
      <w:tr w14:paraId="32881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101" w:type="dxa"/>
            <w:noWrap w:val="0"/>
            <w:vAlign w:val="center"/>
          </w:tcPr>
          <w:p w14:paraId="1AB1F4AB">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p>
        </w:tc>
        <w:tc>
          <w:tcPr>
            <w:tcW w:w="7207" w:type="dxa"/>
            <w:noWrap w:val="0"/>
            <w:vAlign w:val="center"/>
          </w:tcPr>
          <w:p w14:paraId="2A74FB70">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推荐中标候选供应商的数量：</w:t>
            </w:r>
            <w:r>
              <w:rPr>
                <w:rFonts w:hint="eastAsia" w:ascii="宋体" w:hAnsi="宋体" w:eastAsia="宋体" w:cs="宋体"/>
                <w:color w:val="auto"/>
                <w:sz w:val="24"/>
                <w:highlight w:val="none"/>
                <w:u w:val="single"/>
              </w:rPr>
              <w:t>3个</w:t>
            </w:r>
          </w:p>
        </w:tc>
      </w:tr>
      <w:tr w14:paraId="04423A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101" w:type="dxa"/>
            <w:noWrap w:val="0"/>
            <w:vAlign w:val="center"/>
          </w:tcPr>
          <w:p w14:paraId="0824AAF3">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p>
        </w:tc>
        <w:tc>
          <w:tcPr>
            <w:tcW w:w="7207" w:type="dxa"/>
            <w:noWrap w:val="0"/>
            <w:vAlign w:val="center"/>
          </w:tcPr>
          <w:p w14:paraId="311E3295">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招标人是否委托评标委员会直接确定中标人：</w:t>
            </w:r>
            <w:r>
              <w:rPr>
                <w:rFonts w:hint="eastAsia" w:ascii="宋体" w:hAnsi="宋体" w:eastAsia="宋体" w:cs="宋体"/>
                <w:color w:val="auto"/>
                <w:sz w:val="24"/>
                <w:highlight w:val="none"/>
                <w:u w:val="single"/>
              </w:rPr>
              <w:t>否</w:t>
            </w:r>
            <w:r>
              <w:rPr>
                <w:rFonts w:hint="eastAsia" w:ascii="宋体" w:hAnsi="宋体" w:eastAsia="宋体" w:cs="宋体"/>
                <w:color w:val="auto"/>
                <w:sz w:val="24"/>
                <w:highlight w:val="none"/>
              </w:rPr>
              <w:t xml:space="preserve"> </w:t>
            </w:r>
          </w:p>
        </w:tc>
      </w:tr>
      <w:tr w14:paraId="0451B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101" w:type="dxa"/>
            <w:noWrap w:val="0"/>
            <w:vAlign w:val="center"/>
          </w:tcPr>
          <w:p w14:paraId="086BB928">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p>
        </w:tc>
        <w:tc>
          <w:tcPr>
            <w:tcW w:w="7207" w:type="dxa"/>
            <w:noWrap w:val="0"/>
            <w:vAlign w:val="center"/>
          </w:tcPr>
          <w:p w14:paraId="4D0ADDDE">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履约保证金金额：</w:t>
            </w:r>
            <w:r>
              <w:rPr>
                <w:rFonts w:hint="eastAsia" w:ascii="宋体" w:hAnsi="宋体" w:eastAsia="宋体" w:cs="宋体"/>
                <w:color w:val="auto"/>
                <w:sz w:val="24"/>
                <w:highlight w:val="none"/>
                <w:lang w:eastAsia="zh-CN"/>
              </w:rPr>
              <w:t>中标价的</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w:t>
            </w:r>
          </w:p>
          <w:p w14:paraId="22B5E2C3">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履约保证金形式：</w:t>
            </w:r>
            <w:r>
              <w:rPr>
                <w:rFonts w:hint="eastAsia" w:ascii="宋体" w:hAnsi="宋体" w:eastAsia="宋体" w:cs="宋体"/>
                <w:color w:val="auto"/>
                <w:sz w:val="24"/>
                <w:highlight w:val="none"/>
                <w:lang w:eastAsia="zh-CN"/>
              </w:rPr>
              <w:t>转账、电汇</w:t>
            </w:r>
          </w:p>
          <w:p w14:paraId="33364E01">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提交履约保证金的时间：签订合同前 5 日内</w:t>
            </w:r>
          </w:p>
          <w:p w14:paraId="437BC93F">
            <w:pPr>
              <w:spacing w:line="240" w:lineRule="atLeast"/>
              <w:rPr>
                <w:rFonts w:hint="eastAsia" w:ascii="宋体" w:hAnsi="宋体" w:eastAsia="宋体" w:cs="宋体"/>
                <w:color w:val="auto"/>
                <w:highlight w:val="none"/>
                <w:lang w:eastAsia="zh-CN"/>
              </w:rPr>
            </w:pPr>
            <w:r>
              <w:rPr>
                <w:rFonts w:hint="eastAsia" w:ascii="宋体" w:hAnsi="宋体" w:eastAsia="宋体" w:cs="宋体"/>
                <w:color w:val="auto"/>
                <w:sz w:val="24"/>
                <w:highlight w:val="none"/>
                <w:lang w:val="en-US" w:eastAsia="zh-CN"/>
              </w:rPr>
              <w:t>服务验收合格后无息返还（双方也可以通过协商另行约定其他退还时间和方式及用途）。</w:t>
            </w:r>
          </w:p>
        </w:tc>
      </w:tr>
      <w:tr w14:paraId="321440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101" w:type="dxa"/>
            <w:noWrap w:val="0"/>
            <w:vAlign w:val="center"/>
          </w:tcPr>
          <w:p w14:paraId="16326C09">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32</w:t>
            </w:r>
          </w:p>
        </w:tc>
        <w:tc>
          <w:tcPr>
            <w:tcW w:w="7207" w:type="dxa"/>
            <w:noWrap w:val="0"/>
            <w:vAlign w:val="center"/>
          </w:tcPr>
          <w:p w14:paraId="44880EB7">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招标代理服务费：根据发改价格【</w:t>
            </w:r>
            <w:r>
              <w:rPr>
                <w:rFonts w:hint="eastAsia" w:ascii="宋体" w:hAnsi="宋体" w:cs="宋体"/>
                <w:color w:val="auto"/>
                <w:sz w:val="24"/>
                <w:highlight w:val="none"/>
                <w:lang w:val="en-US" w:eastAsia="zh-CN"/>
              </w:rPr>
              <w:t>2002</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1980</w:t>
            </w:r>
            <w:r>
              <w:rPr>
                <w:rFonts w:hint="eastAsia" w:ascii="宋体" w:hAnsi="宋体" w:eastAsia="宋体" w:cs="宋体"/>
                <w:color w:val="auto"/>
                <w:sz w:val="24"/>
                <w:highlight w:val="none"/>
                <w:lang w:val="en-US" w:eastAsia="zh-CN"/>
              </w:rPr>
              <w:t>号文件</w:t>
            </w:r>
            <w:r>
              <w:rPr>
                <w:rFonts w:hint="eastAsia" w:ascii="宋体" w:hAnsi="宋体" w:cs="宋体"/>
                <w:color w:val="auto"/>
                <w:sz w:val="24"/>
                <w:highlight w:val="none"/>
                <w:lang w:val="en-US" w:eastAsia="zh-CN"/>
              </w:rPr>
              <w:t>下浮20%计取</w:t>
            </w:r>
            <w:r>
              <w:rPr>
                <w:rFonts w:hint="eastAsia" w:ascii="宋体" w:hAnsi="宋体" w:eastAsia="宋体" w:cs="宋体"/>
                <w:color w:val="auto"/>
                <w:sz w:val="24"/>
                <w:highlight w:val="none"/>
                <w:lang w:val="en-US" w:eastAsia="zh-CN"/>
              </w:rPr>
              <w:t>，由中标单位支付，</w:t>
            </w:r>
          </w:p>
          <w:p w14:paraId="3B2D640D">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支付形式：对公转账  </w:t>
            </w:r>
          </w:p>
          <w:p w14:paraId="7F6C9DD5">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支付时间：领取招标通知书时</w:t>
            </w:r>
          </w:p>
        </w:tc>
      </w:tr>
      <w:tr w14:paraId="6A88E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6" w:hRule="atLeast"/>
        </w:trPr>
        <w:tc>
          <w:tcPr>
            <w:tcW w:w="1101" w:type="dxa"/>
            <w:noWrap w:val="0"/>
            <w:vAlign w:val="center"/>
          </w:tcPr>
          <w:p w14:paraId="00E35DFD">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33.1</w:t>
            </w:r>
          </w:p>
        </w:tc>
        <w:tc>
          <w:tcPr>
            <w:tcW w:w="7207" w:type="dxa"/>
            <w:noWrap w:val="0"/>
            <w:vAlign w:val="center"/>
          </w:tcPr>
          <w:p w14:paraId="5BD0A940">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本项目是否属于信用担保试点范围：否</w:t>
            </w:r>
          </w:p>
        </w:tc>
      </w:tr>
      <w:tr w14:paraId="5256AF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6" w:hRule="atLeast"/>
        </w:trPr>
        <w:tc>
          <w:tcPr>
            <w:tcW w:w="1101" w:type="dxa"/>
            <w:shd w:val="clear" w:color="auto" w:fill="auto"/>
            <w:noWrap w:val="0"/>
            <w:vAlign w:val="center"/>
          </w:tcPr>
          <w:p w14:paraId="0B73CEE6">
            <w:pPr>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w:t>
            </w:r>
          </w:p>
        </w:tc>
        <w:tc>
          <w:tcPr>
            <w:tcW w:w="7207" w:type="dxa"/>
            <w:shd w:val="clear" w:color="auto" w:fill="auto"/>
            <w:noWrap w:val="0"/>
            <w:vAlign w:val="center"/>
          </w:tcPr>
          <w:p w14:paraId="3B7F109F">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关于推动解决政府采购异常低价问题的通知》财库〔2026〕2号、《财政部令第87号》第六十条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tc>
      </w:tr>
      <w:tr w14:paraId="3ECA5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6" w:hRule="atLeast"/>
        </w:trPr>
        <w:tc>
          <w:tcPr>
            <w:tcW w:w="1101" w:type="dxa"/>
            <w:shd w:val="clear" w:color="auto" w:fill="auto"/>
            <w:noWrap w:val="0"/>
            <w:vAlign w:val="center"/>
          </w:tcPr>
          <w:p w14:paraId="271F6D75">
            <w:pPr>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w:t>
            </w:r>
          </w:p>
        </w:tc>
        <w:tc>
          <w:tcPr>
            <w:tcW w:w="7207" w:type="dxa"/>
            <w:shd w:val="clear" w:color="auto" w:fill="auto"/>
            <w:noWrap w:val="0"/>
            <w:vAlign w:val="center"/>
          </w:tcPr>
          <w:p w14:paraId="02583665">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强化政府采购异常低价审查</w:t>
            </w:r>
          </w:p>
          <w:p w14:paraId="0DD3CAF3">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（一）采购人应当在采购文件中明确，政府采购评审中出现下列情形之一的，评审委员会应当启动异常低价投标（响应）审查程序： </w:t>
            </w:r>
          </w:p>
          <w:p w14:paraId="3BC9F2F1">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1.投标（响应）报价低于全部通过符合性审查供应商投标（响应）报价平均值50%的，即投标（响应）报价&lt;全部通过符合性审查供应商投标（响应）报价平均值×50%； </w:t>
            </w:r>
          </w:p>
          <w:p w14:paraId="7AA903E4">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2.投标（响应）报价低于通过符合性审查的次低报价供应商投标（响应）报价50%的，即投标（响应）报价&lt;通过符合性审查的次低报价供应商投标（响应）报价×50%； </w:t>
            </w:r>
          </w:p>
          <w:p w14:paraId="61650029">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3.投标（响应）报价低于采购项目最高限价45%的，即投标（响应）报价&lt;采购项目最高限价×45%； </w:t>
            </w:r>
          </w:p>
          <w:p w14:paraId="3F4898B7">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4.评审委员会基于专业判断，认为供应商报价过低，有可能影响产品质量或者不能诚信履约的其他情形。 </w:t>
            </w:r>
          </w:p>
          <w:p w14:paraId="6C111ACE">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采购人可以结合具体项目实际情况，提高上述第1项至第3项中启动异常低价投标（响应）审查的数值标准，但是最高不得超过65%。 </w:t>
            </w:r>
          </w:p>
          <w:p w14:paraId="7309E12B">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相关法律法规对供应商报价有规定的，从其规定。 </w:t>
            </w:r>
          </w:p>
          <w:p w14:paraId="1A77BD18">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1A9B3C18">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2E89924C">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42F393AA">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异常低价投标（响应）审查的启动原因、审查意见和审查结果应当在评审报告中记录，并随供应商提供的相关书面说明及证明材料，以及评审委员会有关互联网浏览、查询历史一并归档。</w:t>
            </w:r>
          </w:p>
        </w:tc>
      </w:tr>
    </w:tbl>
    <w:p w14:paraId="4FBDFD3F">
      <w:pPr>
        <w:spacing w:line="240" w:lineRule="atLeast"/>
        <w:ind w:left="1080" w:leftChars="257" w:hanging="540"/>
        <w:rPr>
          <w:rFonts w:hint="eastAsia" w:ascii="宋体" w:hAnsi="宋体" w:eastAsia="宋体" w:cs="宋体"/>
          <w:color w:val="auto"/>
          <w:sz w:val="24"/>
          <w:highlight w:val="none"/>
        </w:rPr>
        <w:sectPr>
          <w:headerReference r:id="rId10" w:type="default"/>
          <w:headerReference r:id="rId11" w:type="even"/>
          <w:footerReference r:id="rId12" w:type="even"/>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38F2FBD7">
      <w:pPr>
        <w:pStyle w:val="2"/>
        <w:numPr>
          <w:ilvl w:val="0"/>
          <w:numId w:val="1"/>
        </w:numPr>
        <w:tabs>
          <w:tab w:val="left" w:pos="0"/>
          <w:tab w:val="clear" w:pos="3134"/>
        </w:tabs>
        <w:spacing w:before="0" w:after="0" w:line="240" w:lineRule="atLeast"/>
        <w:ind w:left="3810" w:leftChars="0" w:hanging="1290" w:firstLineChars="0"/>
        <w:jc w:val="center"/>
        <w:rPr>
          <w:rFonts w:hint="eastAsia" w:ascii="宋体" w:hAnsi="宋体" w:eastAsia="宋体" w:cs="宋体"/>
          <w:color w:val="auto"/>
          <w:highlight w:val="none"/>
        </w:rPr>
      </w:pPr>
      <w:bookmarkStart w:id="362" w:name="_Toc216582825"/>
      <w:bookmarkStart w:id="363" w:name="_Toc219175638"/>
      <w:bookmarkStart w:id="364" w:name="_Toc9032"/>
      <w:bookmarkStart w:id="365" w:name="_Toc9887"/>
      <w:bookmarkStart w:id="366" w:name="_Toc507399906"/>
      <w:bookmarkStart w:id="367" w:name="_Toc515647831"/>
      <w:bookmarkStart w:id="368" w:name="_Toc218935354"/>
      <w:bookmarkStart w:id="369" w:name="_Toc22779"/>
      <w:bookmarkStart w:id="370" w:name="_Toc512937852"/>
      <w:r>
        <w:rPr>
          <w:rFonts w:hint="eastAsia" w:hAnsi="宋体" w:cs="宋体"/>
          <w:color w:val="auto"/>
          <w:highlight w:val="none"/>
          <w:lang w:val="en-US" w:eastAsia="zh-CN"/>
        </w:rPr>
        <w:t xml:space="preserve"> </w:t>
      </w:r>
      <w:r>
        <w:rPr>
          <w:rFonts w:hint="eastAsia" w:ascii="宋体" w:hAnsi="宋体" w:eastAsia="宋体" w:cs="宋体"/>
          <w:color w:val="auto"/>
          <w:highlight w:val="none"/>
        </w:rPr>
        <w:t>货物需求一览表及技术规格</w:t>
      </w:r>
      <w:bookmarkEnd w:id="362"/>
      <w:bookmarkEnd w:id="363"/>
      <w:bookmarkEnd w:id="364"/>
      <w:bookmarkEnd w:id="365"/>
      <w:bookmarkEnd w:id="366"/>
      <w:bookmarkEnd w:id="367"/>
      <w:bookmarkEnd w:id="368"/>
      <w:bookmarkEnd w:id="369"/>
    </w:p>
    <w:p w14:paraId="3686BC7C">
      <w:pPr>
        <w:rPr>
          <w:rFonts w:hint="eastAsia" w:ascii="宋体" w:hAnsi="宋体" w:eastAsia="宋体" w:cs="宋体"/>
          <w:color w:val="auto"/>
          <w:highlight w:val="none"/>
        </w:rPr>
      </w:pPr>
    </w:p>
    <w:p w14:paraId="798B08D0">
      <w:pPr>
        <w:rPr>
          <w:rFonts w:hint="eastAsia" w:ascii="宋体" w:hAnsi="宋体" w:eastAsia="宋体" w:cs="宋体"/>
          <w:color w:val="auto"/>
          <w:highlight w:val="none"/>
        </w:rPr>
      </w:pPr>
    </w:p>
    <w:p w14:paraId="470024A3">
      <w:pPr>
        <w:rPr>
          <w:rFonts w:hint="eastAsia" w:ascii="宋体" w:hAnsi="宋体" w:eastAsia="宋体" w:cs="宋体"/>
          <w:color w:val="auto"/>
          <w:highlight w:val="none"/>
        </w:rPr>
      </w:pPr>
    </w:p>
    <w:tbl>
      <w:tblPr>
        <w:tblStyle w:val="36"/>
        <w:tblpPr w:leftFromText="180" w:rightFromText="180" w:vertAnchor="text" w:horzAnchor="page" w:tblpX="1801" w:tblpY="457"/>
        <w:tblOverlap w:val="never"/>
        <w:tblW w:w="8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1062"/>
        <w:gridCol w:w="1062"/>
        <w:gridCol w:w="1062"/>
        <w:gridCol w:w="1062"/>
        <w:gridCol w:w="1062"/>
        <w:gridCol w:w="1062"/>
        <w:gridCol w:w="1528"/>
      </w:tblGrid>
      <w:tr w14:paraId="216E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1" w:type="dxa"/>
            <w:gridSpan w:val="8"/>
          </w:tcPr>
          <w:p w14:paraId="125610DE">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b/>
                <w:bCs/>
                <w:sz w:val="28"/>
                <w:szCs w:val="28"/>
                <w:vertAlign w:val="baseline"/>
                <w:lang w:val="en-US" w:eastAsia="zh-CN"/>
              </w:rPr>
              <w:t>第一包</w:t>
            </w:r>
          </w:p>
        </w:tc>
      </w:tr>
      <w:tr w14:paraId="33FE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tcPr>
          <w:p w14:paraId="7F3D79A0">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062" w:type="dxa"/>
          </w:tcPr>
          <w:p w14:paraId="49723C1F">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设备名称</w:t>
            </w:r>
          </w:p>
        </w:tc>
        <w:tc>
          <w:tcPr>
            <w:tcW w:w="1062" w:type="dxa"/>
          </w:tcPr>
          <w:p w14:paraId="146EBFAE">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规格型号</w:t>
            </w:r>
          </w:p>
        </w:tc>
        <w:tc>
          <w:tcPr>
            <w:tcW w:w="1062" w:type="dxa"/>
          </w:tcPr>
          <w:p w14:paraId="2E7A2BED">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1062" w:type="dxa"/>
          </w:tcPr>
          <w:p w14:paraId="0A9DFAFB">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1062" w:type="dxa"/>
          </w:tcPr>
          <w:p w14:paraId="7CAF4F53">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单价（万元）</w:t>
            </w:r>
          </w:p>
        </w:tc>
        <w:tc>
          <w:tcPr>
            <w:tcW w:w="1062" w:type="dxa"/>
          </w:tcPr>
          <w:p w14:paraId="32058DE4">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总价（万元）</w:t>
            </w:r>
          </w:p>
        </w:tc>
        <w:tc>
          <w:tcPr>
            <w:tcW w:w="1528" w:type="dxa"/>
          </w:tcPr>
          <w:p w14:paraId="5FB4FFEF">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4727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tcPr>
          <w:p w14:paraId="6199488B">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062" w:type="dxa"/>
          </w:tcPr>
          <w:p w14:paraId="6D94FA02">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C型臂</w:t>
            </w:r>
          </w:p>
        </w:tc>
        <w:tc>
          <w:tcPr>
            <w:tcW w:w="1062" w:type="dxa"/>
          </w:tcPr>
          <w:p w14:paraId="0574605C">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另页描述</w:t>
            </w:r>
          </w:p>
        </w:tc>
        <w:tc>
          <w:tcPr>
            <w:tcW w:w="1062" w:type="dxa"/>
          </w:tcPr>
          <w:p w14:paraId="04AD2F50">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台（套）</w:t>
            </w:r>
          </w:p>
        </w:tc>
        <w:tc>
          <w:tcPr>
            <w:tcW w:w="1062" w:type="dxa"/>
          </w:tcPr>
          <w:p w14:paraId="5EC9E36E">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062" w:type="dxa"/>
          </w:tcPr>
          <w:p w14:paraId="2BF1B7B2">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110</w:t>
            </w:r>
          </w:p>
        </w:tc>
        <w:tc>
          <w:tcPr>
            <w:tcW w:w="1062" w:type="dxa"/>
          </w:tcPr>
          <w:p w14:paraId="3847C875">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110</w:t>
            </w:r>
          </w:p>
        </w:tc>
        <w:tc>
          <w:tcPr>
            <w:tcW w:w="1528" w:type="dxa"/>
            <w:vMerge w:val="restart"/>
          </w:tcPr>
          <w:p w14:paraId="7EA59148">
            <w:pPr>
              <w:numPr>
                <w:ilvl w:val="0"/>
                <w:numId w:val="0"/>
              </w:numPr>
              <w:jc w:val="center"/>
              <w:rPr>
                <w:rFonts w:hint="eastAsia" w:ascii="宋体" w:hAnsi="宋体" w:cs="宋体"/>
                <w:sz w:val="24"/>
                <w:szCs w:val="24"/>
                <w:vertAlign w:val="baseline"/>
                <w:lang w:val="en-US" w:eastAsia="zh-CN"/>
              </w:rPr>
            </w:pPr>
          </w:p>
          <w:p w14:paraId="5E8B185F">
            <w:pPr>
              <w:numPr>
                <w:ilvl w:val="0"/>
                <w:numId w:val="0"/>
              </w:numPr>
              <w:jc w:val="center"/>
              <w:rPr>
                <w:rFonts w:hint="eastAsia" w:ascii="宋体" w:hAnsi="宋体" w:cs="宋体"/>
                <w:sz w:val="24"/>
                <w:szCs w:val="24"/>
                <w:vertAlign w:val="baseline"/>
                <w:lang w:val="en-US" w:eastAsia="zh-CN"/>
              </w:rPr>
            </w:pPr>
          </w:p>
          <w:p w14:paraId="434917F8">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最高限价：2700000元</w:t>
            </w:r>
          </w:p>
        </w:tc>
      </w:tr>
      <w:tr w14:paraId="42BAE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tcPr>
          <w:p w14:paraId="310237AA">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062" w:type="dxa"/>
          </w:tcPr>
          <w:p w14:paraId="5C84FEC0">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关节及脊椎内窥镜系统</w:t>
            </w:r>
          </w:p>
        </w:tc>
        <w:tc>
          <w:tcPr>
            <w:tcW w:w="1062" w:type="dxa"/>
          </w:tcPr>
          <w:p w14:paraId="0B141CB6">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另页描述</w:t>
            </w:r>
          </w:p>
        </w:tc>
        <w:tc>
          <w:tcPr>
            <w:tcW w:w="1062" w:type="dxa"/>
          </w:tcPr>
          <w:p w14:paraId="19609983">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台（套）</w:t>
            </w:r>
          </w:p>
        </w:tc>
        <w:tc>
          <w:tcPr>
            <w:tcW w:w="1062" w:type="dxa"/>
          </w:tcPr>
          <w:p w14:paraId="53CE556F">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062" w:type="dxa"/>
          </w:tcPr>
          <w:p w14:paraId="3D1A0D38">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160</w:t>
            </w:r>
          </w:p>
        </w:tc>
        <w:tc>
          <w:tcPr>
            <w:tcW w:w="1062" w:type="dxa"/>
          </w:tcPr>
          <w:p w14:paraId="247CC36B">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160</w:t>
            </w:r>
          </w:p>
        </w:tc>
        <w:tc>
          <w:tcPr>
            <w:tcW w:w="1528" w:type="dxa"/>
            <w:vMerge w:val="continue"/>
          </w:tcPr>
          <w:p w14:paraId="55E618BF">
            <w:pPr>
              <w:numPr>
                <w:ilvl w:val="0"/>
                <w:numId w:val="0"/>
              </w:numPr>
              <w:jc w:val="center"/>
              <w:rPr>
                <w:rFonts w:hint="eastAsia" w:ascii="宋体" w:hAnsi="宋体" w:eastAsia="宋体" w:cs="宋体"/>
                <w:sz w:val="24"/>
                <w:szCs w:val="24"/>
                <w:vertAlign w:val="baseline"/>
              </w:rPr>
            </w:pPr>
          </w:p>
        </w:tc>
      </w:tr>
      <w:tr w14:paraId="748FB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1" w:type="dxa"/>
            <w:gridSpan w:val="8"/>
          </w:tcPr>
          <w:p w14:paraId="0AC26EFD">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合计：</w:t>
            </w:r>
          </w:p>
        </w:tc>
      </w:tr>
    </w:tbl>
    <w:p w14:paraId="5723F0E2">
      <w:pPr>
        <w:numPr>
          <w:ilvl w:val="0"/>
          <w:numId w:val="0"/>
        </w:numPr>
        <w:ind w:left="2520" w:leftChars="0"/>
        <w:rPr>
          <w:rFonts w:hint="eastAsia"/>
        </w:rPr>
      </w:pPr>
    </w:p>
    <w:bookmarkEnd w:id="370"/>
    <w:p w14:paraId="6996E0A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jc w:val="center"/>
        <w:textAlignment w:val="auto"/>
        <w:rPr>
          <w:rFonts w:hint="eastAsia"/>
          <w:b/>
          <w:bCs/>
          <w:sz w:val="28"/>
          <w:szCs w:val="36"/>
          <w:lang w:val="en-US" w:eastAsia="zh-CN"/>
        </w:rPr>
      </w:pPr>
    </w:p>
    <w:p w14:paraId="1BD078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jc w:val="center"/>
        <w:textAlignment w:val="auto"/>
        <w:rPr>
          <w:rFonts w:hint="eastAsia"/>
          <w:b/>
          <w:bCs/>
          <w:sz w:val="28"/>
          <w:szCs w:val="36"/>
          <w:lang w:val="en-US" w:eastAsia="zh-CN"/>
        </w:rPr>
      </w:pPr>
    </w:p>
    <w:tbl>
      <w:tblPr>
        <w:tblStyle w:val="36"/>
        <w:tblpPr w:leftFromText="180" w:rightFromText="180" w:vertAnchor="text" w:horzAnchor="page" w:tblpX="1801" w:tblpY="457"/>
        <w:tblOverlap w:val="never"/>
        <w:tblW w:w="8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1062"/>
        <w:gridCol w:w="1062"/>
        <w:gridCol w:w="1062"/>
        <w:gridCol w:w="1062"/>
        <w:gridCol w:w="1062"/>
        <w:gridCol w:w="1062"/>
        <w:gridCol w:w="1562"/>
      </w:tblGrid>
      <w:tr w14:paraId="753D8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5" w:type="dxa"/>
            <w:gridSpan w:val="8"/>
          </w:tcPr>
          <w:p w14:paraId="5BD3E4D0">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b/>
                <w:bCs/>
                <w:sz w:val="28"/>
                <w:szCs w:val="28"/>
                <w:vertAlign w:val="baseline"/>
                <w:lang w:val="en-US" w:eastAsia="zh-CN"/>
              </w:rPr>
              <w:t>第</w:t>
            </w:r>
            <w:r>
              <w:rPr>
                <w:rFonts w:hint="eastAsia" w:ascii="宋体" w:hAnsi="宋体" w:cs="宋体"/>
                <w:b/>
                <w:bCs/>
                <w:sz w:val="28"/>
                <w:szCs w:val="28"/>
                <w:vertAlign w:val="baseline"/>
                <w:lang w:val="en-US" w:eastAsia="zh-CN"/>
              </w:rPr>
              <w:t>二</w:t>
            </w:r>
            <w:r>
              <w:rPr>
                <w:rFonts w:hint="eastAsia" w:ascii="宋体" w:hAnsi="宋体" w:eastAsia="宋体" w:cs="宋体"/>
                <w:b/>
                <w:bCs/>
                <w:sz w:val="28"/>
                <w:szCs w:val="28"/>
                <w:vertAlign w:val="baseline"/>
                <w:lang w:val="en-US" w:eastAsia="zh-CN"/>
              </w:rPr>
              <w:t>包</w:t>
            </w:r>
          </w:p>
        </w:tc>
      </w:tr>
      <w:tr w14:paraId="5773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tcPr>
          <w:p w14:paraId="337F1459">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062" w:type="dxa"/>
          </w:tcPr>
          <w:p w14:paraId="7ECE02D8">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设备名称</w:t>
            </w:r>
          </w:p>
        </w:tc>
        <w:tc>
          <w:tcPr>
            <w:tcW w:w="1062" w:type="dxa"/>
          </w:tcPr>
          <w:p w14:paraId="6A351B8A">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规格型号</w:t>
            </w:r>
          </w:p>
        </w:tc>
        <w:tc>
          <w:tcPr>
            <w:tcW w:w="1062" w:type="dxa"/>
          </w:tcPr>
          <w:p w14:paraId="5B8111A5">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1062" w:type="dxa"/>
          </w:tcPr>
          <w:p w14:paraId="59A06691">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1062" w:type="dxa"/>
          </w:tcPr>
          <w:p w14:paraId="339FB09A">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单价</w:t>
            </w:r>
            <w:r>
              <w:rPr>
                <w:rFonts w:hint="eastAsia" w:ascii="宋体" w:hAnsi="宋体" w:cs="宋体"/>
                <w:sz w:val="24"/>
                <w:szCs w:val="24"/>
                <w:vertAlign w:val="baseline"/>
                <w:lang w:val="en-US" w:eastAsia="zh-CN"/>
              </w:rPr>
              <w:t>（万元）</w:t>
            </w:r>
          </w:p>
        </w:tc>
        <w:tc>
          <w:tcPr>
            <w:tcW w:w="1062" w:type="dxa"/>
          </w:tcPr>
          <w:p w14:paraId="3B45CD2B">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合计</w:t>
            </w:r>
            <w:r>
              <w:rPr>
                <w:rFonts w:hint="eastAsia" w:ascii="宋体" w:hAnsi="宋体" w:cs="宋体"/>
                <w:sz w:val="24"/>
                <w:szCs w:val="24"/>
                <w:vertAlign w:val="baseline"/>
                <w:lang w:val="en-US" w:eastAsia="zh-CN"/>
              </w:rPr>
              <w:t>（万元）</w:t>
            </w:r>
          </w:p>
        </w:tc>
        <w:tc>
          <w:tcPr>
            <w:tcW w:w="1562" w:type="dxa"/>
          </w:tcPr>
          <w:p w14:paraId="28B3AE53">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5ED6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tcPr>
          <w:p w14:paraId="0C210AFD">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062" w:type="dxa"/>
          </w:tcPr>
          <w:p w14:paraId="58496E5D">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心电监护</w:t>
            </w:r>
          </w:p>
        </w:tc>
        <w:tc>
          <w:tcPr>
            <w:tcW w:w="1062" w:type="dxa"/>
          </w:tcPr>
          <w:p w14:paraId="73A2946D">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另页描述</w:t>
            </w:r>
          </w:p>
        </w:tc>
        <w:tc>
          <w:tcPr>
            <w:tcW w:w="1062" w:type="dxa"/>
          </w:tcPr>
          <w:p w14:paraId="17A48751">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台（套）</w:t>
            </w:r>
          </w:p>
        </w:tc>
        <w:tc>
          <w:tcPr>
            <w:tcW w:w="1062" w:type="dxa"/>
          </w:tcPr>
          <w:p w14:paraId="50ABD839">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60</w:t>
            </w:r>
          </w:p>
        </w:tc>
        <w:tc>
          <w:tcPr>
            <w:tcW w:w="1062" w:type="dxa"/>
          </w:tcPr>
          <w:p w14:paraId="0D77E25B">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3.475</w:t>
            </w:r>
          </w:p>
        </w:tc>
        <w:tc>
          <w:tcPr>
            <w:tcW w:w="1062" w:type="dxa"/>
          </w:tcPr>
          <w:p w14:paraId="0AD594B5">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208.5</w:t>
            </w:r>
          </w:p>
        </w:tc>
        <w:tc>
          <w:tcPr>
            <w:tcW w:w="1562" w:type="dxa"/>
            <w:vMerge w:val="restart"/>
          </w:tcPr>
          <w:p w14:paraId="286C1D40">
            <w:pPr>
              <w:numPr>
                <w:ilvl w:val="0"/>
                <w:numId w:val="0"/>
              </w:numPr>
              <w:jc w:val="center"/>
              <w:rPr>
                <w:rFonts w:hint="eastAsia" w:ascii="宋体" w:hAnsi="宋体" w:cs="宋体"/>
                <w:sz w:val="24"/>
                <w:szCs w:val="24"/>
                <w:vertAlign w:val="baseline"/>
                <w:lang w:val="en-US" w:eastAsia="zh-CN"/>
              </w:rPr>
            </w:pPr>
          </w:p>
          <w:p w14:paraId="3E160711">
            <w:pPr>
              <w:numPr>
                <w:ilvl w:val="0"/>
                <w:numId w:val="0"/>
              </w:numPr>
              <w:jc w:val="center"/>
              <w:rPr>
                <w:rFonts w:hint="eastAsia" w:ascii="宋体" w:hAnsi="宋体" w:cs="宋体"/>
                <w:sz w:val="24"/>
                <w:szCs w:val="24"/>
                <w:vertAlign w:val="baseline"/>
                <w:lang w:val="en-US" w:eastAsia="zh-CN"/>
              </w:rPr>
            </w:pPr>
          </w:p>
          <w:p w14:paraId="4258CE23">
            <w:pPr>
              <w:numPr>
                <w:ilvl w:val="0"/>
                <w:numId w:val="0"/>
              </w:numPr>
              <w:jc w:val="center"/>
              <w:rPr>
                <w:rFonts w:hint="eastAsia" w:ascii="宋体" w:hAnsi="宋体" w:cs="宋体"/>
                <w:sz w:val="24"/>
                <w:szCs w:val="24"/>
                <w:vertAlign w:val="baseline"/>
                <w:lang w:val="en-US" w:eastAsia="zh-CN"/>
              </w:rPr>
            </w:pPr>
          </w:p>
          <w:p w14:paraId="598CF669">
            <w:pPr>
              <w:numPr>
                <w:ilvl w:val="0"/>
                <w:numId w:val="0"/>
              </w:numPr>
              <w:jc w:val="center"/>
              <w:rPr>
                <w:rFonts w:hint="eastAsia" w:ascii="宋体" w:hAnsi="宋体" w:cs="宋体"/>
                <w:sz w:val="24"/>
                <w:szCs w:val="24"/>
                <w:vertAlign w:val="baseline"/>
                <w:lang w:val="en-US" w:eastAsia="zh-CN"/>
              </w:rPr>
            </w:pPr>
          </w:p>
          <w:p w14:paraId="79B3893D">
            <w:pPr>
              <w:numPr>
                <w:ilvl w:val="0"/>
                <w:numId w:val="0"/>
              </w:numPr>
              <w:jc w:val="center"/>
              <w:rPr>
                <w:rFonts w:hint="eastAsia" w:ascii="宋体" w:hAnsi="宋体" w:cs="宋体"/>
                <w:sz w:val="24"/>
                <w:szCs w:val="24"/>
                <w:vertAlign w:val="baseline"/>
                <w:lang w:val="en-US" w:eastAsia="zh-CN"/>
              </w:rPr>
            </w:pPr>
          </w:p>
          <w:p w14:paraId="4E087625">
            <w:pPr>
              <w:numPr>
                <w:ilvl w:val="0"/>
                <w:numId w:val="0"/>
              </w:numPr>
              <w:jc w:val="center"/>
              <w:rPr>
                <w:rFonts w:hint="eastAsia" w:ascii="宋体" w:hAnsi="宋体" w:cs="宋体"/>
                <w:sz w:val="24"/>
                <w:szCs w:val="24"/>
                <w:vertAlign w:val="baseline"/>
                <w:lang w:val="en-US" w:eastAsia="zh-CN"/>
              </w:rPr>
            </w:pPr>
          </w:p>
          <w:p w14:paraId="296D5B25">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最高限价：</w:t>
            </w:r>
            <w:r>
              <w:rPr>
                <w:rFonts w:hint="eastAsia" w:ascii="宋体" w:hAnsi="宋体" w:cs="宋体"/>
                <w:color w:val="auto"/>
                <w:highlight w:val="none"/>
                <w:lang w:val="en-US" w:eastAsia="zh-CN"/>
              </w:rPr>
              <w:t>3352000元</w:t>
            </w:r>
          </w:p>
        </w:tc>
      </w:tr>
      <w:tr w14:paraId="2DA3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tcPr>
          <w:p w14:paraId="7E887EDD">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062" w:type="dxa"/>
          </w:tcPr>
          <w:p w14:paraId="3261DE74">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移动式心电图机</w:t>
            </w:r>
          </w:p>
        </w:tc>
        <w:tc>
          <w:tcPr>
            <w:tcW w:w="1062" w:type="dxa"/>
          </w:tcPr>
          <w:p w14:paraId="3498354F">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另页描述</w:t>
            </w:r>
          </w:p>
        </w:tc>
        <w:tc>
          <w:tcPr>
            <w:tcW w:w="1062" w:type="dxa"/>
          </w:tcPr>
          <w:p w14:paraId="2AC98C26">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台（套）</w:t>
            </w:r>
          </w:p>
        </w:tc>
        <w:tc>
          <w:tcPr>
            <w:tcW w:w="1062" w:type="dxa"/>
          </w:tcPr>
          <w:p w14:paraId="7630681D">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13</w:t>
            </w:r>
          </w:p>
        </w:tc>
        <w:tc>
          <w:tcPr>
            <w:tcW w:w="1062" w:type="dxa"/>
          </w:tcPr>
          <w:p w14:paraId="5C98780A">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2</w:t>
            </w:r>
          </w:p>
        </w:tc>
        <w:tc>
          <w:tcPr>
            <w:tcW w:w="1062" w:type="dxa"/>
          </w:tcPr>
          <w:p w14:paraId="5CED184C">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26</w:t>
            </w:r>
          </w:p>
        </w:tc>
        <w:tc>
          <w:tcPr>
            <w:tcW w:w="1562" w:type="dxa"/>
            <w:vMerge w:val="continue"/>
          </w:tcPr>
          <w:p w14:paraId="1843FCA3">
            <w:pPr>
              <w:numPr>
                <w:ilvl w:val="0"/>
                <w:numId w:val="0"/>
              </w:numPr>
              <w:jc w:val="center"/>
              <w:rPr>
                <w:rFonts w:hint="eastAsia" w:ascii="宋体" w:hAnsi="宋体" w:eastAsia="宋体" w:cs="宋体"/>
                <w:sz w:val="24"/>
                <w:szCs w:val="24"/>
                <w:vertAlign w:val="baseline"/>
              </w:rPr>
            </w:pPr>
          </w:p>
        </w:tc>
      </w:tr>
      <w:tr w14:paraId="4E655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tcPr>
          <w:p w14:paraId="6B88EB05">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w:t>
            </w:r>
          </w:p>
        </w:tc>
        <w:tc>
          <w:tcPr>
            <w:tcW w:w="1062" w:type="dxa"/>
          </w:tcPr>
          <w:p w14:paraId="2D26A149">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除颤式心电监护仪</w:t>
            </w:r>
          </w:p>
        </w:tc>
        <w:tc>
          <w:tcPr>
            <w:tcW w:w="1062" w:type="dxa"/>
          </w:tcPr>
          <w:p w14:paraId="3250B55F">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另页描述</w:t>
            </w:r>
          </w:p>
        </w:tc>
        <w:tc>
          <w:tcPr>
            <w:tcW w:w="1062" w:type="dxa"/>
          </w:tcPr>
          <w:p w14:paraId="2577C207">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台</w:t>
            </w:r>
          </w:p>
        </w:tc>
        <w:tc>
          <w:tcPr>
            <w:tcW w:w="1062" w:type="dxa"/>
          </w:tcPr>
          <w:p w14:paraId="6F17ADB6">
            <w:pPr>
              <w:numPr>
                <w:ilvl w:val="0"/>
                <w:numId w:val="0"/>
              </w:num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6</w:t>
            </w:r>
          </w:p>
        </w:tc>
        <w:tc>
          <w:tcPr>
            <w:tcW w:w="1062" w:type="dxa"/>
          </w:tcPr>
          <w:p w14:paraId="199D5462">
            <w:pPr>
              <w:numPr>
                <w:ilvl w:val="0"/>
                <w:numId w:val="0"/>
              </w:num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4.45</w:t>
            </w:r>
          </w:p>
        </w:tc>
        <w:tc>
          <w:tcPr>
            <w:tcW w:w="1062" w:type="dxa"/>
          </w:tcPr>
          <w:p w14:paraId="315094A2">
            <w:pPr>
              <w:numPr>
                <w:ilvl w:val="0"/>
                <w:numId w:val="0"/>
              </w:num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26.7</w:t>
            </w:r>
          </w:p>
        </w:tc>
        <w:tc>
          <w:tcPr>
            <w:tcW w:w="1562" w:type="dxa"/>
            <w:vMerge w:val="continue"/>
          </w:tcPr>
          <w:p w14:paraId="0542155B">
            <w:pPr>
              <w:numPr>
                <w:ilvl w:val="0"/>
                <w:numId w:val="0"/>
              </w:numPr>
              <w:jc w:val="center"/>
              <w:rPr>
                <w:rFonts w:hint="eastAsia" w:ascii="宋体" w:hAnsi="宋体" w:eastAsia="宋体" w:cs="宋体"/>
                <w:sz w:val="24"/>
                <w:szCs w:val="24"/>
                <w:vertAlign w:val="baseline"/>
              </w:rPr>
            </w:pPr>
          </w:p>
        </w:tc>
      </w:tr>
      <w:tr w14:paraId="06B77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tcPr>
          <w:p w14:paraId="6E7A2A10">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4</w:t>
            </w:r>
          </w:p>
        </w:tc>
        <w:tc>
          <w:tcPr>
            <w:tcW w:w="1062" w:type="dxa"/>
          </w:tcPr>
          <w:p w14:paraId="5B28057E">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呼吸机</w:t>
            </w:r>
          </w:p>
        </w:tc>
        <w:tc>
          <w:tcPr>
            <w:tcW w:w="1062" w:type="dxa"/>
          </w:tcPr>
          <w:p w14:paraId="656DB74C">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另页描述</w:t>
            </w:r>
          </w:p>
        </w:tc>
        <w:tc>
          <w:tcPr>
            <w:tcW w:w="1062" w:type="dxa"/>
          </w:tcPr>
          <w:p w14:paraId="67A730EA">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台（套）</w:t>
            </w:r>
          </w:p>
        </w:tc>
        <w:tc>
          <w:tcPr>
            <w:tcW w:w="1062" w:type="dxa"/>
          </w:tcPr>
          <w:p w14:paraId="7A1627F4">
            <w:pPr>
              <w:numPr>
                <w:ilvl w:val="0"/>
                <w:numId w:val="0"/>
              </w:num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1</w:t>
            </w:r>
          </w:p>
        </w:tc>
        <w:tc>
          <w:tcPr>
            <w:tcW w:w="1062" w:type="dxa"/>
          </w:tcPr>
          <w:p w14:paraId="217BA387">
            <w:pPr>
              <w:numPr>
                <w:ilvl w:val="0"/>
                <w:numId w:val="0"/>
              </w:num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20</w:t>
            </w:r>
          </w:p>
        </w:tc>
        <w:tc>
          <w:tcPr>
            <w:tcW w:w="1062" w:type="dxa"/>
          </w:tcPr>
          <w:p w14:paraId="79C01C3F">
            <w:pPr>
              <w:numPr>
                <w:ilvl w:val="0"/>
                <w:numId w:val="0"/>
              </w:num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20</w:t>
            </w:r>
          </w:p>
        </w:tc>
        <w:tc>
          <w:tcPr>
            <w:tcW w:w="1562" w:type="dxa"/>
            <w:vMerge w:val="continue"/>
          </w:tcPr>
          <w:p w14:paraId="10FBB18C">
            <w:pPr>
              <w:numPr>
                <w:ilvl w:val="0"/>
                <w:numId w:val="0"/>
              </w:numPr>
              <w:jc w:val="center"/>
              <w:rPr>
                <w:rFonts w:hint="eastAsia" w:ascii="宋体" w:hAnsi="宋体" w:eastAsia="宋体" w:cs="宋体"/>
                <w:sz w:val="24"/>
                <w:szCs w:val="24"/>
                <w:vertAlign w:val="baseline"/>
              </w:rPr>
            </w:pPr>
          </w:p>
        </w:tc>
      </w:tr>
      <w:tr w14:paraId="05B7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tcPr>
          <w:p w14:paraId="79DE26B6">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5</w:t>
            </w:r>
          </w:p>
        </w:tc>
        <w:tc>
          <w:tcPr>
            <w:tcW w:w="1062" w:type="dxa"/>
          </w:tcPr>
          <w:p w14:paraId="2210F3BA">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麻醉机</w:t>
            </w:r>
          </w:p>
        </w:tc>
        <w:tc>
          <w:tcPr>
            <w:tcW w:w="1062" w:type="dxa"/>
          </w:tcPr>
          <w:p w14:paraId="468727F2">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另页描述</w:t>
            </w:r>
          </w:p>
        </w:tc>
        <w:tc>
          <w:tcPr>
            <w:tcW w:w="1062" w:type="dxa"/>
          </w:tcPr>
          <w:p w14:paraId="1BBAA5B5">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台（套）</w:t>
            </w:r>
          </w:p>
        </w:tc>
        <w:tc>
          <w:tcPr>
            <w:tcW w:w="1062" w:type="dxa"/>
          </w:tcPr>
          <w:p w14:paraId="3C5A1270">
            <w:pPr>
              <w:numPr>
                <w:ilvl w:val="0"/>
                <w:numId w:val="0"/>
              </w:num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2</w:t>
            </w:r>
          </w:p>
        </w:tc>
        <w:tc>
          <w:tcPr>
            <w:tcW w:w="1062" w:type="dxa"/>
          </w:tcPr>
          <w:p w14:paraId="3C178B89">
            <w:pPr>
              <w:numPr>
                <w:ilvl w:val="0"/>
                <w:numId w:val="0"/>
              </w:num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23</w:t>
            </w:r>
          </w:p>
        </w:tc>
        <w:tc>
          <w:tcPr>
            <w:tcW w:w="1062" w:type="dxa"/>
          </w:tcPr>
          <w:p w14:paraId="0DCF76A0">
            <w:pPr>
              <w:numPr>
                <w:ilvl w:val="0"/>
                <w:numId w:val="0"/>
              </w:num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46</w:t>
            </w:r>
          </w:p>
        </w:tc>
        <w:tc>
          <w:tcPr>
            <w:tcW w:w="1562" w:type="dxa"/>
            <w:vMerge w:val="continue"/>
          </w:tcPr>
          <w:p w14:paraId="6CE3BA4E">
            <w:pPr>
              <w:numPr>
                <w:ilvl w:val="0"/>
                <w:numId w:val="0"/>
              </w:numPr>
              <w:jc w:val="center"/>
              <w:rPr>
                <w:rFonts w:hint="eastAsia" w:ascii="宋体" w:hAnsi="宋体" w:eastAsia="宋体" w:cs="宋体"/>
                <w:sz w:val="24"/>
                <w:szCs w:val="24"/>
                <w:vertAlign w:val="baseline"/>
              </w:rPr>
            </w:pPr>
          </w:p>
        </w:tc>
      </w:tr>
      <w:tr w14:paraId="4703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tcPr>
          <w:p w14:paraId="7031763D">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6</w:t>
            </w:r>
          </w:p>
        </w:tc>
        <w:tc>
          <w:tcPr>
            <w:tcW w:w="1062" w:type="dxa"/>
          </w:tcPr>
          <w:p w14:paraId="57E9DAA0">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转运呼吸机</w:t>
            </w:r>
          </w:p>
        </w:tc>
        <w:tc>
          <w:tcPr>
            <w:tcW w:w="1062" w:type="dxa"/>
          </w:tcPr>
          <w:p w14:paraId="4F6C8C52">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另页描述</w:t>
            </w:r>
          </w:p>
        </w:tc>
        <w:tc>
          <w:tcPr>
            <w:tcW w:w="1062" w:type="dxa"/>
          </w:tcPr>
          <w:p w14:paraId="39B4C4AA">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台（套）</w:t>
            </w:r>
          </w:p>
        </w:tc>
        <w:tc>
          <w:tcPr>
            <w:tcW w:w="1062" w:type="dxa"/>
          </w:tcPr>
          <w:p w14:paraId="0F4C0102">
            <w:pPr>
              <w:numPr>
                <w:ilvl w:val="0"/>
                <w:numId w:val="0"/>
              </w:num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1</w:t>
            </w:r>
          </w:p>
        </w:tc>
        <w:tc>
          <w:tcPr>
            <w:tcW w:w="1062" w:type="dxa"/>
          </w:tcPr>
          <w:p w14:paraId="24315C1F">
            <w:pPr>
              <w:numPr>
                <w:ilvl w:val="0"/>
                <w:numId w:val="0"/>
              </w:num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8</w:t>
            </w:r>
          </w:p>
        </w:tc>
        <w:tc>
          <w:tcPr>
            <w:tcW w:w="1062" w:type="dxa"/>
          </w:tcPr>
          <w:p w14:paraId="64A98281">
            <w:pPr>
              <w:numPr>
                <w:ilvl w:val="0"/>
                <w:numId w:val="0"/>
              </w:num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8</w:t>
            </w:r>
          </w:p>
        </w:tc>
        <w:tc>
          <w:tcPr>
            <w:tcW w:w="1562" w:type="dxa"/>
            <w:vMerge w:val="continue"/>
          </w:tcPr>
          <w:p w14:paraId="51B32F32">
            <w:pPr>
              <w:numPr>
                <w:ilvl w:val="0"/>
                <w:numId w:val="0"/>
              </w:numPr>
              <w:jc w:val="center"/>
              <w:rPr>
                <w:rFonts w:hint="eastAsia" w:ascii="宋体" w:hAnsi="宋体" w:eastAsia="宋体" w:cs="宋体"/>
                <w:sz w:val="24"/>
                <w:szCs w:val="24"/>
                <w:vertAlign w:val="baseline"/>
              </w:rPr>
            </w:pPr>
          </w:p>
        </w:tc>
      </w:tr>
      <w:tr w14:paraId="5DE9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5" w:type="dxa"/>
            <w:gridSpan w:val="8"/>
          </w:tcPr>
          <w:p w14:paraId="77C0632F">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合计：</w:t>
            </w:r>
          </w:p>
        </w:tc>
      </w:tr>
    </w:tbl>
    <w:p w14:paraId="29DC2DD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jc w:val="center"/>
        <w:textAlignment w:val="auto"/>
        <w:rPr>
          <w:rFonts w:hint="eastAsia"/>
          <w:b/>
          <w:bCs/>
          <w:sz w:val="28"/>
          <w:szCs w:val="36"/>
          <w:lang w:val="en-US" w:eastAsia="zh-CN"/>
        </w:rPr>
      </w:pPr>
    </w:p>
    <w:p w14:paraId="12EB0E7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jc w:val="center"/>
        <w:textAlignment w:val="auto"/>
        <w:rPr>
          <w:rFonts w:hint="eastAsia"/>
          <w:b/>
          <w:bCs/>
          <w:sz w:val="28"/>
          <w:szCs w:val="36"/>
          <w:lang w:val="en-US" w:eastAsia="zh-CN"/>
        </w:rPr>
      </w:pPr>
    </w:p>
    <w:p w14:paraId="319690D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jc w:val="center"/>
        <w:textAlignment w:val="auto"/>
        <w:rPr>
          <w:rFonts w:hint="eastAsia"/>
          <w:b/>
          <w:bCs/>
          <w:sz w:val="28"/>
          <w:szCs w:val="36"/>
          <w:lang w:val="en-US" w:eastAsia="zh-CN"/>
        </w:rPr>
      </w:pPr>
    </w:p>
    <w:p w14:paraId="65DD403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jc w:val="center"/>
        <w:textAlignment w:val="auto"/>
        <w:rPr>
          <w:rFonts w:hint="eastAsia"/>
          <w:b/>
          <w:bCs/>
          <w:sz w:val="28"/>
          <w:szCs w:val="36"/>
          <w:lang w:val="en-US" w:eastAsia="zh-CN"/>
        </w:rPr>
      </w:pPr>
    </w:p>
    <w:p w14:paraId="60D8E02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jc w:val="center"/>
        <w:textAlignment w:val="auto"/>
        <w:rPr>
          <w:rFonts w:hint="eastAsia"/>
          <w:b/>
          <w:bCs/>
          <w:sz w:val="28"/>
          <w:szCs w:val="36"/>
          <w:lang w:val="en-US" w:eastAsia="zh-CN"/>
        </w:rPr>
      </w:pPr>
    </w:p>
    <w:tbl>
      <w:tblPr>
        <w:tblStyle w:val="36"/>
        <w:tblpPr w:leftFromText="180" w:rightFromText="180" w:vertAnchor="text" w:horzAnchor="page" w:tblpX="1801" w:tblpY="457"/>
        <w:tblOverlap w:val="never"/>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176"/>
        <w:gridCol w:w="1041"/>
        <w:gridCol w:w="1058"/>
        <w:gridCol w:w="1041"/>
        <w:gridCol w:w="1049"/>
        <w:gridCol w:w="1049"/>
        <w:gridCol w:w="1557"/>
      </w:tblGrid>
      <w:tr w14:paraId="7F79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1" w:type="dxa"/>
            <w:gridSpan w:val="8"/>
          </w:tcPr>
          <w:p w14:paraId="29B5CB13">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b/>
                <w:bCs/>
                <w:sz w:val="28"/>
                <w:szCs w:val="28"/>
                <w:vertAlign w:val="baseline"/>
                <w:lang w:val="en-US" w:eastAsia="zh-CN"/>
              </w:rPr>
              <w:t>第</w:t>
            </w:r>
            <w:r>
              <w:rPr>
                <w:rFonts w:hint="eastAsia" w:ascii="宋体" w:hAnsi="宋体" w:cs="宋体"/>
                <w:b/>
                <w:bCs/>
                <w:sz w:val="28"/>
                <w:szCs w:val="28"/>
                <w:vertAlign w:val="baseline"/>
                <w:lang w:val="en-US" w:eastAsia="zh-CN"/>
              </w:rPr>
              <w:t>三</w:t>
            </w:r>
            <w:r>
              <w:rPr>
                <w:rFonts w:hint="eastAsia" w:ascii="宋体" w:hAnsi="宋体" w:eastAsia="宋体" w:cs="宋体"/>
                <w:b/>
                <w:bCs/>
                <w:sz w:val="28"/>
                <w:szCs w:val="28"/>
                <w:vertAlign w:val="baseline"/>
                <w:lang w:val="en-US" w:eastAsia="zh-CN"/>
              </w:rPr>
              <w:t>包</w:t>
            </w:r>
          </w:p>
        </w:tc>
      </w:tr>
      <w:tr w14:paraId="71B8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Pr>
          <w:p w14:paraId="01B97B33">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176" w:type="dxa"/>
          </w:tcPr>
          <w:p w14:paraId="05B60990">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设备名称</w:t>
            </w:r>
          </w:p>
        </w:tc>
        <w:tc>
          <w:tcPr>
            <w:tcW w:w="1041" w:type="dxa"/>
          </w:tcPr>
          <w:p w14:paraId="152449EB">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规格型号</w:t>
            </w:r>
          </w:p>
        </w:tc>
        <w:tc>
          <w:tcPr>
            <w:tcW w:w="1058" w:type="dxa"/>
          </w:tcPr>
          <w:p w14:paraId="12F699B0">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1041" w:type="dxa"/>
          </w:tcPr>
          <w:p w14:paraId="32A29300">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1049" w:type="dxa"/>
          </w:tcPr>
          <w:p w14:paraId="24B7010D">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单价</w:t>
            </w:r>
            <w:r>
              <w:rPr>
                <w:rFonts w:hint="eastAsia" w:ascii="宋体" w:hAnsi="宋体" w:cs="宋体"/>
                <w:sz w:val="24"/>
                <w:szCs w:val="24"/>
                <w:vertAlign w:val="baseline"/>
                <w:lang w:val="en-US" w:eastAsia="zh-CN"/>
              </w:rPr>
              <w:t>（万元）</w:t>
            </w:r>
          </w:p>
        </w:tc>
        <w:tc>
          <w:tcPr>
            <w:tcW w:w="1049" w:type="dxa"/>
          </w:tcPr>
          <w:p w14:paraId="0661D6E3">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合计</w:t>
            </w:r>
            <w:r>
              <w:rPr>
                <w:rFonts w:hint="eastAsia" w:ascii="宋体" w:hAnsi="宋体" w:cs="宋体"/>
                <w:sz w:val="24"/>
                <w:szCs w:val="24"/>
                <w:vertAlign w:val="baseline"/>
                <w:lang w:val="en-US" w:eastAsia="zh-CN"/>
              </w:rPr>
              <w:t>（万元）</w:t>
            </w:r>
          </w:p>
        </w:tc>
        <w:tc>
          <w:tcPr>
            <w:tcW w:w="1557" w:type="dxa"/>
          </w:tcPr>
          <w:p w14:paraId="017D0A0B">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383C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40" w:type="dxa"/>
          </w:tcPr>
          <w:p w14:paraId="29A48EE2">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176" w:type="dxa"/>
          </w:tcPr>
          <w:p w14:paraId="59D007C4">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主动脉内球囊反搏（IABP</w:t>
            </w:r>
            <w:r>
              <w:rPr>
                <w:rFonts w:hint="eastAsia" w:ascii="宋体" w:hAnsi="宋体" w:cs="宋体"/>
                <w:sz w:val="24"/>
                <w:szCs w:val="24"/>
                <w:vertAlign w:val="baseline"/>
                <w:lang w:val="en-US" w:eastAsia="zh-CN"/>
              </w:rPr>
              <w:t>）</w:t>
            </w:r>
          </w:p>
        </w:tc>
        <w:tc>
          <w:tcPr>
            <w:tcW w:w="1041" w:type="dxa"/>
          </w:tcPr>
          <w:p w14:paraId="4BAD775C">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另页描述</w:t>
            </w:r>
          </w:p>
        </w:tc>
        <w:tc>
          <w:tcPr>
            <w:tcW w:w="1058" w:type="dxa"/>
          </w:tcPr>
          <w:p w14:paraId="0E88295D">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台（套）</w:t>
            </w:r>
          </w:p>
        </w:tc>
        <w:tc>
          <w:tcPr>
            <w:tcW w:w="1041" w:type="dxa"/>
          </w:tcPr>
          <w:p w14:paraId="7F11B0CA">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w:t>
            </w:r>
          </w:p>
        </w:tc>
        <w:tc>
          <w:tcPr>
            <w:tcW w:w="1049" w:type="dxa"/>
          </w:tcPr>
          <w:p w14:paraId="77EE992C">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100</w:t>
            </w:r>
          </w:p>
        </w:tc>
        <w:tc>
          <w:tcPr>
            <w:tcW w:w="1049" w:type="dxa"/>
          </w:tcPr>
          <w:p w14:paraId="16E36FFE">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100</w:t>
            </w:r>
          </w:p>
        </w:tc>
        <w:tc>
          <w:tcPr>
            <w:tcW w:w="1557" w:type="dxa"/>
            <w:vMerge w:val="restart"/>
          </w:tcPr>
          <w:p w14:paraId="2CC1337F">
            <w:pPr>
              <w:numPr>
                <w:ilvl w:val="0"/>
                <w:numId w:val="0"/>
              </w:numPr>
              <w:jc w:val="center"/>
              <w:rPr>
                <w:rFonts w:hint="eastAsia" w:ascii="宋体" w:hAnsi="宋体" w:cs="宋体"/>
                <w:sz w:val="24"/>
                <w:szCs w:val="24"/>
                <w:vertAlign w:val="baseline"/>
                <w:lang w:val="en-US" w:eastAsia="zh-CN"/>
              </w:rPr>
            </w:pPr>
          </w:p>
          <w:p w14:paraId="3A8827CD">
            <w:pPr>
              <w:numPr>
                <w:ilvl w:val="0"/>
                <w:numId w:val="0"/>
              </w:numPr>
              <w:jc w:val="center"/>
              <w:rPr>
                <w:rFonts w:hint="eastAsia" w:ascii="宋体" w:hAnsi="宋体" w:cs="宋体"/>
                <w:sz w:val="24"/>
                <w:szCs w:val="24"/>
                <w:vertAlign w:val="baseline"/>
                <w:lang w:val="en-US" w:eastAsia="zh-CN"/>
              </w:rPr>
            </w:pPr>
          </w:p>
          <w:p w14:paraId="10CB99CA">
            <w:pPr>
              <w:numPr>
                <w:ilvl w:val="0"/>
                <w:numId w:val="0"/>
              </w:numPr>
              <w:jc w:val="center"/>
              <w:rPr>
                <w:rFonts w:hint="eastAsia" w:ascii="宋体" w:hAnsi="宋体" w:cs="宋体"/>
                <w:sz w:val="24"/>
                <w:szCs w:val="24"/>
                <w:vertAlign w:val="baseline"/>
                <w:lang w:val="en-US" w:eastAsia="zh-CN"/>
              </w:rPr>
            </w:pPr>
          </w:p>
          <w:p w14:paraId="3C9B49DE">
            <w:pPr>
              <w:numPr>
                <w:ilvl w:val="0"/>
                <w:numId w:val="0"/>
              </w:numPr>
              <w:jc w:val="center"/>
              <w:rPr>
                <w:rFonts w:hint="eastAsia" w:ascii="宋体" w:hAnsi="宋体" w:cs="宋体"/>
                <w:sz w:val="24"/>
                <w:szCs w:val="24"/>
                <w:vertAlign w:val="baseline"/>
                <w:lang w:val="en-US" w:eastAsia="zh-CN"/>
              </w:rPr>
            </w:pPr>
          </w:p>
          <w:p w14:paraId="55DB991A">
            <w:pPr>
              <w:numPr>
                <w:ilvl w:val="0"/>
                <w:numId w:val="0"/>
              </w:numPr>
              <w:jc w:val="center"/>
              <w:rPr>
                <w:rFonts w:hint="eastAsia" w:ascii="宋体" w:hAnsi="宋体" w:cs="宋体"/>
                <w:sz w:val="24"/>
                <w:szCs w:val="24"/>
                <w:vertAlign w:val="baseline"/>
                <w:lang w:val="en-US" w:eastAsia="zh-CN"/>
              </w:rPr>
            </w:pPr>
          </w:p>
          <w:p w14:paraId="4EBDEE3E">
            <w:pPr>
              <w:numPr>
                <w:ilvl w:val="0"/>
                <w:numId w:val="0"/>
              </w:numPr>
              <w:jc w:val="center"/>
              <w:rPr>
                <w:rFonts w:hint="eastAsia" w:ascii="宋体" w:hAnsi="宋体" w:cs="宋体"/>
                <w:sz w:val="24"/>
                <w:szCs w:val="24"/>
                <w:vertAlign w:val="baseline"/>
                <w:lang w:val="en-US" w:eastAsia="zh-CN"/>
              </w:rPr>
            </w:pPr>
          </w:p>
          <w:p w14:paraId="09721BAE">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最高限价：</w:t>
            </w:r>
            <w:r>
              <w:rPr>
                <w:rFonts w:hint="eastAsia" w:ascii="宋体" w:hAnsi="宋体" w:cs="宋体"/>
                <w:color w:val="auto"/>
                <w:highlight w:val="none"/>
                <w:lang w:val="en-US" w:eastAsia="zh-CN"/>
              </w:rPr>
              <w:t>1547300元</w:t>
            </w:r>
          </w:p>
        </w:tc>
      </w:tr>
      <w:tr w14:paraId="29C1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Pr>
          <w:p w14:paraId="370C8F5A">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176" w:type="dxa"/>
          </w:tcPr>
          <w:p w14:paraId="49BE135D">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心肺复苏机</w:t>
            </w:r>
          </w:p>
        </w:tc>
        <w:tc>
          <w:tcPr>
            <w:tcW w:w="1041" w:type="dxa"/>
          </w:tcPr>
          <w:p w14:paraId="443C15EC">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另页描述</w:t>
            </w:r>
          </w:p>
        </w:tc>
        <w:tc>
          <w:tcPr>
            <w:tcW w:w="1058" w:type="dxa"/>
          </w:tcPr>
          <w:p w14:paraId="4A4C58B2">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台（套）</w:t>
            </w:r>
          </w:p>
        </w:tc>
        <w:tc>
          <w:tcPr>
            <w:tcW w:w="1041" w:type="dxa"/>
          </w:tcPr>
          <w:p w14:paraId="3C6B0F44">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w:t>
            </w:r>
          </w:p>
        </w:tc>
        <w:tc>
          <w:tcPr>
            <w:tcW w:w="1049" w:type="dxa"/>
          </w:tcPr>
          <w:p w14:paraId="560384AA">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8</w:t>
            </w:r>
          </w:p>
        </w:tc>
        <w:tc>
          <w:tcPr>
            <w:tcW w:w="1049" w:type="dxa"/>
          </w:tcPr>
          <w:p w14:paraId="14657AE2">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8</w:t>
            </w:r>
          </w:p>
        </w:tc>
        <w:tc>
          <w:tcPr>
            <w:tcW w:w="1557" w:type="dxa"/>
            <w:vMerge w:val="continue"/>
          </w:tcPr>
          <w:p w14:paraId="5410A502">
            <w:pPr>
              <w:numPr>
                <w:ilvl w:val="0"/>
                <w:numId w:val="0"/>
              </w:numPr>
              <w:jc w:val="center"/>
              <w:rPr>
                <w:rFonts w:hint="eastAsia" w:ascii="宋体" w:hAnsi="宋体" w:eastAsia="宋体" w:cs="宋体"/>
                <w:sz w:val="24"/>
                <w:szCs w:val="24"/>
                <w:vertAlign w:val="baseline"/>
              </w:rPr>
            </w:pPr>
          </w:p>
        </w:tc>
      </w:tr>
      <w:tr w14:paraId="771F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Pr>
          <w:p w14:paraId="6557EC8C">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w:t>
            </w:r>
          </w:p>
        </w:tc>
        <w:tc>
          <w:tcPr>
            <w:tcW w:w="1176" w:type="dxa"/>
          </w:tcPr>
          <w:p w14:paraId="119537E4">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电动吸痰器</w:t>
            </w:r>
          </w:p>
        </w:tc>
        <w:tc>
          <w:tcPr>
            <w:tcW w:w="1041" w:type="dxa"/>
          </w:tcPr>
          <w:p w14:paraId="2805B7D6">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另页描述</w:t>
            </w:r>
          </w:p>
        </w:tc>
        <w:tc>
          <w:tcPr>
            <w:tcW w:w="1058" w:type="dxa"/>
          </w:tcPr>
          <w:p w14:paraId="32B96B21">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台</w:t>
            </w:r>
          </w:p>
        </w:tc>
        <w:tc>
          <w:tcPr>
            <w:tcW w:w="1041" w:type="dxa"/>
          </w:tcPr>
          <w:p w14:paraId="64348C53">
            <w:pPr>
              <w:numPr>
                <w:ilvl w:val="0"/>
                <w:numId w:val="0"/>
              </w:num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2</w:t>
            </w:r>
          </w:p>
        </w:tc>
        <w:tc>
          <w:tcPr>
            <w:tcW w:w="1049" w:type="dxa"/>
          </w:tcPr>
          <w:p w14:paraId="3208431A">
            <w:pPr>
              <w:numPr>
                <w:ilvl w:val="0"/>
                <w:numId w:val="0"/>
              </w:num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0.2</w:t>
            </w:r>
          </w:p>
        </w:tc>
        <w:tc>
          <w:tcPr>
            <w:tcW w:w="1049" w:type="dxa"/>
          </w:tcPr>
          <w:p w14:paraId="4F239E13">
            <w:pPr>
              <w:numPr>
                <w:ilvl w:val="0"/>
                <w:numId w:val="0"/>
              </w:num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0.4</w:t>
            </w:r>
          </w:p>
        </w:tc>
        <w:tc>
          <w:tcPr>
            <w:tcW w:w="1557" w:type="dxa"/>
            <w:vMerge w:val="continue"/>
          </w:tcPr>
          <w:p w14:paraId="337D4BD8">
            <w:pPr>
              <w:numPr>
                <w:ilvl w:val="0"/>
                <w:numId w:val="0"/>
              </w:numPr>
              <w:jc w:val="center"/>
              <w:rPr>
                <w:rFonts w:hint="eastAsia" w:ascii="宋体" w:hAnsi="宋体" w:eastAsia="宋体" w:cs="宋体"/>
                <w:sz w:val="24"/>
                <w:szCs w:val="24"/>
                <w:vertAlign w:val="baseline"/>
              </w:rPr>
            </w:pPr>
          </w:p>
        </w:tc>
      </w:tr>
      <w:tr w14:paraId="7BA4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Pr>
          <w:p w14:paraId="3A993740">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4</w:t>
            </w:r>
          </w:p>
        </w:tc>
        <w:tc>
          <w:tcPr>
            <w:tcW w:w="1176" w:type="dxa"/>
          </w:tcPr>
          <w:p w14:paraId="1DA2D158">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输液泵</w:t>
            </w:r>
          </w:p>
        </w:tc>
        <w:tc>
          <w:tcPr>
            <w:tcW w:w="1041" w:type="dxa"/>
          </w:tcPr>
          <w:p w14:paraId="09D55A2E">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另页描述</w:t>
            </w:r>
          </w:p>
        </w:tc>
        <w:tc>
          <w:tcPr>
            <w:tcW w:w="1058" w:type="dxa"/>
          </w:tcPr>
          <w:p w14:paraId="2719C4E2">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套</w:t>
            </w:r>
          </w:p>
        </w:tc>
        <w:tc>
          <w:tcPr>
            <w:tcW w:w="1041" w:type="dxa"/>
          </w:tcPr>
          <w:p w14:paraId="04EA4984">
            <w:pPr>
              <w:numPr>
                <w:ilvl w:val="0"/>
                <w:numId w:val="0"/>
              </w:num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5</w:t>
            </w:r>
          </w:p>
        </w:tc>
        <w:tc>
          <w:tcPr>
            <w:tcW w:w="1049" w:type="dxa"/>
          </w:tcPr>
          <w:p w14:paraId="26A62D9B">
            <w:pPr>
              <w:numPr>
                <w:ilvl w:val="0"/>
                <w:numId w:val="0"/>
              </w:num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0.64</w:t>
            </w:r>
          </w:p>
        </w:tc>
        <w:tc>
          <w:tcPr>
            <w:tcW w:w="1049" w:type="dxa"/>
          </w:tcPr>
          <w:p w14:paraId="2194729E">
            <w:pPr>
              <w:numPr>
                <w:ilvl w:val="0"/>
                <w:numId w:val="0"/>
              </w:num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3.2</w:t>
            </w:r>
          </w:p>
        </w:tc>
        <w:tc>
          <w:tcPr>
            <w:tcW w:w="1557" w:type="dxa"/>
            <w:vMerge w:val="continue"/>
          </w:tcPr>
          <w:p w14:paraId="682B6E41">
            <w:pPr>
              <w:numPr>
                <w:ilvl w:val="0"/>
                <w:numId w:val="0"/>
              </w:numPr>
              <w:jc w:val="center"/>
              <w:rPr>
                <w:rFonts w:hint="eastAsia" w:ascii="宋体" w:hAnsi="宋体" w:eastAsia="宋体" w:cs="宋体"/>
                <w:sz w:val="24"/>
                <w:szCs w:val="24"/>
                <w:vertAlign w:val="baseline"/>
              </w:rPr>
            </w:pPr>
          </w:p>
        </w:tc>
      </w:tr>
      <w:tr w14:paraId="2B7D3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Pr>
          <w:p w14:paraId="24D16E6A">
            <w:pPr>
              <w:numPr>
                <w:ilvl w:val="0"/>
                <w:numId w:val="0"/>
              </w:num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5</w:t>
            </w:r>
          </w:p>
        </w:tc>
        <w:tc>
          <w:tcPr>
            <w:tcW w:w="1176" w:type="dxa"/>
          </w:tcPr>
          <w:p w14:paraId="65D23917">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注射泵</w:t>
            </w:r>
          </w:p>
        </w:tc>
        <w:tc>
          <w:tcPr>
            <w:tcW w:w="1041" w:type="dxa"/>
          </w:tcPr>
          <w:p w14:paraId="19A02D06">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另页描述</w:t>
            </w:r>
          </w:p>
        </w:tc>
        <w:tc>
          <w:tcPr>
            <w:tcW w:w="1058" w:type="dxa"/>
          </w:tcPr>
          <w:p w14:paraId="497F043B">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台</w:t>
            </w:r>
          </w:p>
        </w:tc>
        <w:tc>
          <w:tcPr>
            <w:tcW w:w="1041" w:type="dxa"/>
          </w:tcPr>
          <w:p w14:paraId="0C942852">
            <w:pPr>
              <w:numPr>
                <w:ilvl w:val="0"/>
                <w:numId w:val="0"/>
              </w:num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3</w:t>
            </w:r>
          </w:p>
        </w:tc>
        <w:tc>
          <w:tcPr>
            <w:tcW w:w="1049" w:type="dxa"/>
          </w:tcPr>
          <w:p w14:paraId="6BBE485F">
            <w:pPr>
              <w:numPr>
                <w:ilvl w:val="0"/>
                <w:numId w:val="0"/>
              </w:num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0.9</w:t>
            </w:r>
          </w:p>
        </w:tc>
        <w:tc>
          <w:tcPr>
            <w:tcW w:w="1049" w:type="dxa"/>
          </w:tcPr>
          <w:p w14:paraId="338068CB">
            <w:pPr>
              <w:numPr>
                <w:ilvl w:val="0"/>
                <w:numId w:val="0"/>
              </w:num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2.7</w:t>
            </w:r>
          </w:p>
        </w:tc>
        <w:tc>
          <w:tcPr>
            <w:tcW w:w="1557" w:type="dxa"/>
            <w:vMerge w:val="continue"/>
          </w:tcPr>
          <w:p w14:paraId="10909A7C">
            <w:pPr>
              <w:numPr>
                <w:ilvl w:val="0"/>
                <w:numId w:val="0"/>
              </w:numPr>
              <w:jc w:val="center"/>
              <w:rPr>
                <w:rFonts w:hint="eastAsia" w:ascii="宋体" w:hAnsi="宋体" w:eastAsia="宋体" w:cs="宋体"/>
                <w:sz w:val="24"/>
                <w:szCs w:val="24"/>
                <w:vertAlign w:val="baseline"/>
              </w:rPr>
            </w:pPr>
          </w:p>
        </w:tc>
      </w:tr>
      <w:tr w14:paraId="1A1B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Pr>
          <w:p w14:paraId="02DB69ED">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6</w:t>
            </w:r>
          </w:p>
        </w:tc>
        <w:tc>
          <w:tcPr>
            <w:tcW w:w="1176" w:type="dxa"/>
          </w:tcPr>
          <w:p w14:paraId="74D61F41">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电子支气管镜</w:t>
            </w:r>
          </w:p>
        </w:tc>
        <w:tc>
          <w:tcPr>
            <w:tcW w:w="1041" w:type="dxa"/>
          </w:tcPr>
          <w:p w14:paraId="762A0378">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另页描述</w:t>
            </w:r>
          </w:p>
        </w:tc>
        <w:tc>
          <w:tcPr>
            <w:tcW w:w="1058" w:type="dxa"/>
          </w:tcPr>
          <w:p w14:paraId="01627EE3">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台（套）</w:t>
            </w:r>
          </w:p>
        </w:tc>
        <w:tc>
          <w:tcPr>
            <w:tcW w:w="1041" w:type="dxa"/>
          </w:tcPr>
          <w:p w14:paraId="27641887">
            <w:pPr>
              <w:numPr>
                <w:ilvl w:val="0"/>
                <w:numId w:val="0"/>
              </w:num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1</w:t>
            </w:r>
          </w:p>
        </w:tc>
        <w:tc>
          <w:tcPr>
            <w:tcW w:w="1049" w:type="dxa"/>
          </w:tcPr>
          <w:p w14:paraId="00E1D459">
            <w:pPr>
              <w:numPr>
                <w:ilvl w:val="0"/>
                <w:numId w:val="0"/>
              </w:num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32</w:t>
            </w:r>
          </w:p>
        </w:tc>
        <w:tc>
          <w:tcPr>
            <w:tcW w:w="1049" w:type="dxa"/>
          </w:tcPr>
          <w:p w14:paraId="4E8B2620">
            <w:pPr>
              <w:numPr>
                <w:ilvl w:val="0"/>
                <w:numId w:val="0"/>
              </w:num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32</w:t>
            </w:r>
          </w:p>
        </w:tc>
        <w:tc>
          <w:tcPr>
            <w:tcW w:w="1557" w:type="dxa"/>
            <w:vMerge w:val="continue"/>
          </w:tcPr>
          <w:p w14:paraId="6B9E76B9">
            <w:pPr>
              <w:numPr>
                <w:ilvl w:val="0"/>
                <w:numId w:val="0"/>
              </w:numPr>
              <w:jc w:val="center"/>
              <w:rPr>
                <w:rFonts w:hint="eastAsia" w:ascii="宋体" w:hAnsi="宋体" w:eastAsia="宋体" w:cs="宋体"/>
                <w:sz w:val="24"/>
                <w:szCs w:val="24"/>
                <w:vertAlign w:val="baseline"/>
              </w:rPr>
            </w:pPr>
          </w:p>
        </w:tc>
      </w:tr>
      <w:tr w14:paraId="216D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Pr>
          <w:p w14:paraId="45FD40F1">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7</w:t>
            </w:r>
          </w:p>
        </w:tc>
        <w:tc>
          <w:tcPr>
            <w:tcW w:w="1176" w:type="dxa"/>
          </w:tcPr>
          <w:p w14:paraId="74C5829C">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血管显象仪</w:t>
            </w:r>
          </w:p>
        </w:tc>
        <w:tc>
          <w:tcPr>
            <w:tcW w:w="1041" w:type="dxa"/>
          </w:tcPr>
          <w:p w14:paraId="4117B05D">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另页描述</w:t>
            </w:r>
          </w:p>
        </w:tc>
        <w:tc>
          <w:tcPr>
            <w:tcW w:w="1058" w:type="dxa"/>
          </w:tcPr>
          <w:p w14:paraId="4BEB8670">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台（套）</w:t>
            </w:r>
          </w:p>
        </w:tc>
        <w:tc>
          <w:tcPr>
            <w:tcW w:w="1041" w:type="dxa"/>
          </w:tcPr>
          <w:p w14:paraId="1E0A8966">
            <w:pPr>
              <w:numPr>
                <w:ilvl w:val="0"/>
                <w:numId w:val="0"/>
              </w:num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1</w:t>
            </w:r>
          </w:p>
        </w:tc>
        <w:tc>
          <w:tcPr>
            <w:tcW w:w="1049" w:type="dxa"/>
          </w:tcPr>
          <w:p w14:paraId="3E037FE1">
            <w:pPr>
              <w:numPr>
                <w:ilvl w:val="0"/>
                <w:numId w:val="0"/>
              </w:num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8.43</w:t>
            </w:r>
          </w:p>
        </w:tc>
        <w:tc>
          <w:tcPr>
            <w:tcW w:w="1049" w:type="dxa"/>
          </w:tcPr>
          <w:p w14:paraId="00792292">
            <w:pPr>
              <w:numPr>
                <w:ilvl w:val="0"/>
                <w:numId w:val="0"/>
              </w:num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8.43</w:t>
            </w:r>
          </w:p>
        </w:tc>
        <w:tc>
          <w:tcPr>
            <w:tcW w:w="1557" w:type="dxa"/>
            <w:vMerge w:val="continue"/>
          </w:tcPr>
          <w:p w14:paraId="2EE59ECD">
            <w:pPr>
              <w:numPr>
                <w:ilvl w:val="0"/>
                <w:numId w:val="0"/>
              </w:numPr>
              <w:jc w:val="center"/>
              <w:rPr>
                <w:rFonts w:hint="eastAsia" w:ascii="宋体" w:hAnsi="宋体" w:eastAsia="宋体" w:cs="宋体"/>
                <w:sz w:val="24"/>
                <w:szCs w:val="24"/>
                <w:vertAlign w:val="baseline"/>
              </w:rPr>
            </w:pPr>
          </w:p>
        </w:tc>
      </w:tr>
      <w:tr w14:paraId="2C1B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1" w:type="dxa"/>
            <w:gridSpan w:val="8"/>
          </w:tcPr>
          <w:p w14:paraId="33C71F45">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合计：</w:t>
            </w:r>
          </w:p>
        </w:tc>
      </w:tr>
    </w:tbl>
    <w:p w14:paraId="32BB2B7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jc w:val="center"/>
        <w:textAlignment w:val="auto"/>
        <w:rPr>
          <w:rFonts w:hint="eastAsia"/>
          <w:b/>
          <w:bCs/>
          <w:sz w:val="28"/>
          <w:szCs w:val="36"/>
          <w:lang w:val="en-US" w:eastAsia="zh-CN"/>
        </w:rPr>
      </w:pPr>
    </w:p>
    <w:p w14:paraId="24AF7E9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jc w:val="center"/>
        <w:textAlignment w:val="auto"/>
        <w:rPr>
          <w:rFonts w:hint="eastAsia"/>
          <w:b/>
          <w:bCs/>
          <w:sz w:val="28"/>
          <w:szCs w:val="36"/>
          <w:lang w:val="en-US" w:eastAsia="zh-CN"/>
        </w:rPr>
      </w:pPr>
    </w:p>
    <w:p w14:paraId="3F6FF56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jc w:val="center"/>
        <w:textAlignment w:val="auto"/>
        <w:rPr>
          <w:rFonts w:hint="eastAsia" w:eastAsia="宋体"/>
          <w:b/>
          <w:bCs/>
          <w:sz w:val="28"/>
          <w:szCs w:val="36"/>
          <w:lang w:val="en-US" w:eastAsia="zh-CN"/>
        </w:rPr>
      </w:pPr>
      <w:r>
        <w:rPr>
          <w:rFonts w:hint="eastAsia"/>
          <w:b/>
          <w:bCs/>
          <w:sz w:val="28"/>
          <w:szCs w:val="36"/>
          <w:lang w:val="en-US" w:eastAsia="zh-CN"/>
        </w:rPr>
        <w:t>第一包</w:t>
      </w:r>
    </w:p>
    <w:p w14:paraId="579CDF64">
      <w:pPr>
        <w:jc w:val="center"/>
        <w:rPr>
          <w:rFonts w:hint="eastAsia" w:ascii="宋体" w:hAnsi="宋体" w:eastAsia="宋体" w:cs="宋体"/>
          <w:sz w:val="24"/>
          <w:szCs w:val="24"/>
          <w:lang w:eastAsia="zh-CN"/>
        </w:rPr>
      </w:pPr>
      <w:r>
        <w:rPr>
          <w:rFonts w:hint="eastAsia" w:ascii="宋体" w:hAnsi="宋体" w:eastAsia="宋体" w:cs="宋体"/>
          <w:b/>
          <w:bCs/>
          <w:sz w:val="24"/>
          <w:szCs w:val="24"/>
        </w:rPr>
        <w:t>C型臂</w:t>
      </w:r>
      <w:r>
        <w:rPr>
          <w:rFonts w:hint="eastAsia" w:ascii="宋体" w:hAnsi="宋体" w:cs="宋体"/>
          <w:b/>
          <w:bCs/>
          <w:sz w:val="24"/>
          <w:szCs w:val="24"/>
          <w:lang w:eastAsia="zh-CN"/>
        </w:rPr>
        <w:t>（</w:t>
      </w:r>
      <w:r>
        <w:rPr>
          <w:rFonts w:hint="eastAsia" w:ascii="宋体" w:hAnsi="宋体" w:eastAsia="宋体" w:cs="宋体"/>
          <w:b/>
          <w:bCs/>
          <w:sz w:val="24"/>
          <w:szCs w:val="24"/>
        </w:rPr>
        <w:t>移动式平板C形臂</w:t>
      </w:r>
      <w:r>
        <w:rPr>
          <w:rFonts w:hint="eastAsia" w:ascii="宋体" w:hAnsi="宋体" w:cs="宋体"/>
          <w:b/>
          <w:bCs/>
          <w:sz w:val="24"/>
          <w:szCs w:val="24"/>
          <w:lang w:eastAsia="zh-CN"/>
        </w:rPr>
        <w:t>（</w:t>
      </w:r>
      <w:r>
        <w:rPr>
          <w:rFonts w:hint="eastAsia" w:ascii="宋体" w:hAnsi="宋体" w:cs="宋体"/>
          <w:b/>
          <w:bCs/>
          <w:sz w:val="24"/>
          <w:szCs w:val="24"/>
          <w:lang w:val="en-US" w:eastAsia="zh-CN"/>
        </w:rPr>
        <w:t>核心产品</w:t>
      </w:r>
      <w:r>
        <w:rPr>
          <w:rFonts w:hint="eastAsia" w:ascii="宋体" w:hAnsi="宋体" w:cs="宋体"/>
          <w:b/>
          <w:bCs/>
          <w:sz w:val="24"/>
          <w:szCs w:val="24"/>
          <w:lang w:eastAsia="zh-CN"/>
        </w:rPr>
        <w:t>））</w:t>
      </w:r>
    </w:p>
    <w:p w14:paraId="658152BB">
      <w:pPr>
        <w:rPr>
          <w:rFonts w:hint="eastAsia" w:ascii="宋体" w:hAnsi="宋体" w:eastAsia="宋体" w:cs="宋体"/>
          <w:sz w:val="24"/>
          <w:szCs w:val="24"/>
        </w:rPr>
      </w:pPr>
      <w:r>
        <w:rPr>
          <w:rFonts w:hint="eastAsia" w:ascii="宋体" w:hAnsi="宋体" w:eastAsia="宋体" w:cs="宋体"/>
          <w:sz w:val="24"/>
          <w:szCs w:val="24"/>
        </w:rPr>
        <w:t>1.1 水平移动 ≥2</w:t>
      </w:r>
      <w:r>
        <w:rPr>
          <w:rFonts w:hint="eastAsia" w:ascii="宋体" w:hAnsi="宋体" w:eastAsia="宋体" w:cs="宋体"/>
          <w:sz w:val="24"/>
          <w:szCs w:val="24"/>
          <w:lang w:val="en-US" w:eastAsia="zh-CN"/>
        </w:rPr>
        <w:t>0</w:t>
      </w:r>
      <w:r>
        <w:rPr>
          <w:rFonts w:hint="eastAsia" w:ascii="宋体" w:hAnsi="宋体" w:eastAsia="宋体" w:cs="宋体"/>
          <w:sz w:val="24"/>
          <w:szCs w:val="24"/>
        </w:rPr>
        <w:t>cm</w:t>
      </w:r>
    </w:p>
    <w:p w14:paraId="48BFCF45">
      <w:pPr>
        <w:rPr>
          <w:rFonts w:hint="eastAsia" w:ascii="宋体" w:hAnsi="宋体" w:eastAsia="宋体" w:cs="宋体"/>
          <w:sz w:val="24"/>
          <w:szCs w:val="24"/>
        </w:rPr>
      </w:pPr>
      <w:r>
        <w:rPr>
          <w:rFonts w:hint="eastAsia" w:ascii="宋体" w:hAnsi="宋体" w:eastAsia="宋体" w:cs="宋体"/>
          <w:sz w:val="24"/>
          <w:szCs w:val="24"/>
        </w:rPr>
        <w:t>1.2 垂直升降≥39cm</w:t>
      </w:r>
    </w:p>
    <w:p w14:paraId="69A8085C">
      <w:pPr>
        <w:tabs>
          <w:tab w:val="left" w:pos="5903"/>
        </w:tabs>
        <w:rPr>
          <w:rFonts w:hint="eastAsia" w:ascii="宋体" w:hAnsi="宋体" w:eastAsia="宋体" w:cs="宋体"/>
          <w:sz w:val="24"/>
          <w:szCs w:val="24"/>
          <w:lang w:eastAsia="zh-CN"/>
        </w:rPr>
      </w:pPr>
      <w:r>
        <w:rPr>
          <w:rFonts w:hint="eastAsia" w:ascii="宋体" w:hAnsi="宋体" w:eastAsia="宋体" w:cs="宋体"/>
          <w:sz w:val="24"/>
          <w:szCs w:val="24"/>
        </w:rPr>
        <w:t>1.3 绕弧形臂滑动 ≥135°</w:t>
      </w:r>
    </w:p>
    <w:p w14:paraId="4DC09E73">
      <w:pPr>
        <w:rPr>
          <w:rFonts w:hint="eastAsia" w:ascii="宋体" w:hAnsi="宋体" w:eastAsia="宋体" w:cs="宋体"/>
          <w:sz w:val="24"/>
          <w:szCs w:val="24"/>
        </w:rPr>
      </w:pPr>
      <w:r>
        <w:rPr>
          <w:rFonts w:hint="eastAsia" w:ascii="宋体" w:hAnsi="宋体" w:eastAsia="宋体" w:cs="宋体"/>
          <w:sz w:val="24"/>
          <w:szCs w:val="24"/>
        </w:rPr>
        <w:t>1.4 轴向旋转≥180°</w:t>
      </w:r>
    </w:p>
    <w:p w14:paraId="423F225E">
      <w:pPr>
        <w:rPr>
          <w:rFonts w:hint="eastAsia" w:ascii="宋体" w:hAnsi="宋体" w:eastAsia="宋体" w:cs="宋体"/>
          <w:sz w:val="24"/>
          <w:szCs w:val="24"/>
        </w:rPr>
      </w:pPr>
      <w:r>
        <w:rPr>
          <w:rFonts w:hint="eastAsia" w:ascii="宋体" w:hAnsi="宋体" w:eastAsia="宋体" w:cs="宋体"/>
          <w:sz w:val="24"/>
          <w:szCs w:val="24"/>
        </w:rPr>
        <w:t>1.5左右摆角 ≥12°</w:t>
      </w:r>
    </w:p>
    <w:p w14:paraId="1C1B9F90">
      <w:pPr>
        <w:rPr>
          <w:rFonts w:hint="eastAsia" w:ascii="宋体" w:hAnsi="宋体" w:eastAsia="宋体" w:cs="宋体"/>
          <w:sz w:val="24"/>
          <w:szCs w:val="24"/>
        </w:rPr>
      </w:pPr>
      <w:r>
        <w:rPr>
          <w:rFonts w:hint="eastAsia" w:ascii="宋体" w:hAnsi="宋体" w:eastAsia="宋体" w:cs="宋体"/>
          <w:sz w:val="24"/>
          <w:szCs w:val="24"/>
        </w:rPr>
        <w:t>1.6 自由开口空间≥8</w:t>
      </w:r>
      <w:r>
        <w:rPr>
          <w:rFonts w:hint="eastAsia" w:ascii="宋体" w:hAnsi="宋体" w:eastAsia="宋体" w:cs="宋体"/>
          <w:sz w:val="24"/>
          <w:szCs w:val="24"/>
          <w:lang w:val="en-US" w:eastAsia="zh-CN"/>
        </w:rPr>
        <w:t>0</w:t>
      </w:r>
      <w:r>
        <w:rPr>
          <w:rFonts w:hint="eastAsia" w:ascii="宋体" w:hAnsi="宋体" w:eastAsia="宋体" w:cs="宋体"/>
          <w:sz w:val="24"/>
          <w:szCs w:val="24"/>
        </w:rPr>
        <w:t xml:space="preserve">cm </w:t>
      </w:r>
    </w:p>
    <w:p w14:paraId="3F99C1FA">
      <w:pPr>
        <w:rPr>
          <w:rFonts w:hint="eastAsia" w:ascii="宋体" w:hAnsi="宋体" w:eastAsia="宋体" w:cs="宋体"/>
          <w:sz w:val="24"/>
          <w:szCs w:val="24"/>
        </w:rPr>
      </w:pPr>
      <w:r>
        <w:rPr>
          <w:rFonts w:hint="eastAsia" w:ascii="宋体" w:hAnsi="宋体" w:eastAsia="宋体" w:cs="宋体"/>
          <w:sz w:val="24"/>
          <w:szCs w:val="24"/>
        </w:rPr>
        <w:t>1.7 C臂弧深≥70cm</w:t>
      </w:r>
    </w:p>
    <w:p w14:paraId="3FDABA46">
      <w:pPr>
        <w:rPr>
          <w:rFonts w:hint="eastAsia" w:ascii="宋体" w:hAnsi="宋体" w:eastAsia="宋体" w:cs="宋体"/>
          <w:sz w:val="24"/>
          <w:szCs w:val="24"/>
        </w:rPr>
      </w:pPr>
      <w:r>
        <w:rPr>
          <w:rFonts w:hint="eastAsia" w:ascii="宋体" w:hAnsi="宋体" w:eastAsia="宋体" w:cs="宋体"/>
          <w:sz w:val="24"/>
          <w:szCs w:val="24"/>
        </w:rPr>
        <w:t>1.8 SID 源像距</w:t>
      </w:r>
      <w:r>
        <w:rPr>
          <w:rFonts w:hint="eastAsia" w:ascii="宋体" w:hAnsi="宋体" w:eastAsia="宋体" w:cs="宋体"/>
          <w:sz w:val="24"/>
          <w:szCs w:val="24"/>
          <w:lang w:val="en-US" w:eastAsia="zh-CN"/>
        </w:rPr>
        <w:t>＞</w:t>
      </w:r>
      <w:r>
        <w:rPr>
          <w:rFonts w:hint="eastAsia" w:ascii="宋体" w:hAnsi="宋体" w:eastAsia="宋体" w:cs="宋体"/>
          <w:sz w:val="24"/>
          <w:szCs w:val="24"/>
        </w:rPr>
        <w:t>10</w:t>
      </w:r>
      <w:r>
        <w:rPr>
          <w:rFonts w:hint="eastAsia" w:ascii="宋体" w:hAnsi="宋体" w:eastAsia="宋体" w:cs="宋体"/>
          <w:sz w:val="24"/>
          <w:szCs w:val="24"/>
          <w:lang w:val="en-US" w:eastAsia="zh-CN"/>
        </w:rPr>
        <w:t>0</w:t>
      </w:r>
      <w:r>
        <w:rPr>
          <w:rFonts w:hint="eastAsia" w:ascii="宋体" w:hAnsi="宋体" w:eastAsia="宋体" w:cs="宋体"/>
          <w:sz w:val="24"/>
          <w:szCs w:val="24"/>
        </w:rPr>
        <w:t>cm</w:t>
      </w:r>
    </w:p>
    <w:p w14:paraId="300A947A">
      <w:pPr>
        <w:rPr>
          <w:rFonts w:hint="eastAsia" w:ascii="宋体" w:hAnsi="宋体" w:eastAsia="宋体" w:cs="宋体"/>
          <w:color w:val="auto"/>
          <w:sz w:val="24"/>
          <w:szCs w:val="24"/>
        </w:rPr>
      </w:pPr>
      <w:r>
        <w:rPr>
          <w:rFonts w:hint="eastAsia" w:ascii="宋体" w:hAnsi="宋体" w:eastAsia="宋体" w:cs="宋体"/>
          <w:color w:val="auto"/>
          <w:sz w:val="24"/>
          <w:szCs w:val="24"/>
        </w:rPr>
        <w:t>1.9整机一体式设计</w:t>
      </w:r>
    </w:p>
    <w:p w14:paraId="19E6FE31">
      <w:pPr>
        <w:rPr>
          <w:rFonts w:hint="eastAsia" w:ascii="宋体" w:hAnsi="宋体" w:eastAsia="宋体" w:cs="宋体"/>
          <w:sz w:val="24"/>
          <w:szCs w:val="24"/>
        </w:rPr>
      </w:pPr>
      <w:r>
        <w:rPr>
          <w:rFonts w:hint="eastAsia" w:ascii="宋体" w:hAnsi="宋体" w:eastAsia="宋体" w:cs="宋体"/>
          <w:sz w:val="24"/>
          <w:szCs w:val="24"/>
        </w:rPr>
        <w:t>2、高压发生器</w:t>
      </w:r>
    </w:p>
    <w:p w14:paraId="3CE55B88">
      <w:pPr>
        <w:rPr>
          <w:rFonts w:hint="eastAsia" w:ascii="宋体" w:hAnsi="宋体" w:eastAsia="宋体" w:cs="宋体"/>
          <w:sz w:val="24"/>
          <w:szCs w:val="24"/>
        </w:rPr>
      </w:pPr>
      <w:r>
        <w:rPr>
          <w:rFonts w:hint="eastAsia" w:ascii="宋体" w:hAnsi="宋体" w:eastAsia="宋体" w:cs="宋体"/>
          <w:sz w:val="24"/>
          <w:szCs w:val="24"/>
        </w:rPr>
        <w:t>2.1 输出功率≥6KW</w:t>
      </w:r>
    </w:p>
    <w:p w14:paraId="2FF54AFC">
      <w:pPr>
        <w:rPr>
          <w:rFonts w:hint="eastAsia" w:ascii="宋体" w:hAnsi="宋体" w:eastAsia="宋体" w:cs="宋体"/>
          <w:sz w:val="24"/>
          <w:szCs w:val="24"/>
        </w:rPr>
      </w:pPr>
      <w:r>
        <w:rPr>
          <w:rFonts w:hint="eastAsia" w:ascii="宋体" w:hAnsi="宋体" w:eastAsia="宋体" w:cs="宋体"/>
          <w:sz w:val="24"/>
          <w:szCs w:val="24"/>
        </w:rPr>
        <w:t>2.2 逆变频率≥126kHz</w:t>
      </w:r>
    </w:p>
    <w:p w14:paraId="44E5C8CC">
      <w:pPr>
        <w:rPr>
          <w:rFonts w:hint="eastAsia" w:ascii="宋体" w:hAnsi="宋体" w:eastAsia="宋体" w:cs="宋体"/>
          <w:sz w:val="24"/>
          <w:szCs w:val="24"/>
        </w:rPr>
      </w:pPr>
      <w:r>
        <w:rPr>
          <w:rFonts w:hint="eastAsia" w:ascii="宋体" w:hAnsi="宋体" w:eastAsia="宋体" w:cs="宋体"/>
          <w:sz w:val="24"/>
          <w:szCs w:val="24"/>
        </w:rPr>
        <w:t>2.3 电压 ≥125KV</w:t>
      </w:r>
    </w:p>
    <w:p w14:paraId="61065341">
      <w:pPr>
        <w:rPr>
          <w:rFonts w:hint="eastAsia" w:ascii="宋体" w:hAnsi="宋体" w:eastAsia="宋体" w:cs="宋体"/>
          <w:color w:val="000000"/>
          <w:sz w:val="24"/>
          <w:szCs w:val="24"/>
          <w:lang w:eastAsia="zh-CN"/>
        </w:rPr>
      </w:pPr>
      <w:r>
        <w:rPr>
          <w:rFonts w:hint="eastAsia" w:ascii="宋体" w:hAnsi="宋体" w:eastAsia="宋体" w:cs="宋体"/>
          <w:sz w:val="24"/>
          <w:szCs w:val="24"/>
        </w:rPr>
        <w:t xml:space="preserve">2.4 </w:t>
      </w:r>
      <w:r>
        <w:rPr>
          <w:rFonts w:hint="eastAsia" w:ascii="宋体" w:hAnsi="宋体" w:eastAsia="宋体" w:cs="宋体"/>
          <w:color w:val="000000"/>
          <w:sz w:val="24"/>
          <w:szCs w:val="24"/>
          <w:lang w:eastAsia="zh-CN"/>
        </w:rPr>
        <w:t>最大</w:t>
      </w:r>
      <w:r>
        <w:rPr>
          <w:rFonts w:hint="eastAsia" w:ascii="宋体" w:hAnsi="宋体" w:eastAsia="宋体" w:cs="宋体"/>
          <w:color w:val="000000"/>
          <w:sz w:val="24"/>
          <w:szCs w:val="24"/>
        </w:rPr>
        <w:t>透视电流 ≥30mA</w:t>
      </w:r>
      <w:r>
        <w:rPr>
          <w:rFonts w:hint="eastAsia" w:ascii="宋体" w:hAnsi="宋体" w:eastAsia="宋体" w:cs="宋体"/>
          <w:color w:val="000000"/>
          <w:sz w:val="24"/>
          <w:szCs w:val="24"/>
          <w:lang w:eastAsia="zh-CN"/>
        </w:rPr>
        <w:t>，可调</w:t>
      </w:r>
    </w:p>
    <w:p w14:paraId="27721B79">
      <w:pP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 xml:space="preserve">2.5 </w:t>
      </w:r>
      <w:r>
        <w:rPr>
          <w:rFonts w:hint="eastAsia" w:ascii="宋体" w:hAnsi="宋体" w:eastAsia="宋体" w:cs="宋体"/>
          <w:color w:val="000000"/>
          <w:sz w:val="24"/>
          <w:szCs w:val="24"/>
          <w:lang w:eastAsia="zh-CN"/>
        </w:rPr>
        <w:t>最小</w:t>
      </w:r>
      <w:r>
        <w:rPr>
          <w:rFonts w:hint="eastAsia" w:ascii="宋体" w:hAnsi="宋体" w:eastAsia="宋体" w:cs="宋体"/>
          <w:color w:val="000000"/>
          <w:sz w:val="24"/>
          <w:szCs w:val="24"/>
        </w:rPr>
        <w:t>透视电流 ≤0.5mA</w:t>
      </w:r>
      <w:r>
        <w:rPr>
          <w:rFonts w:hint="eastAsia" w:ascii="宋体" w:hAnsi="宋体" w:eastAsia="宋体" w:cs="宋体"/>
          <w:color w:val="000000"/>
          <w:sz w:val="24"/>
          <w:szCs w:val="24"/>
          <w:lang w:eastAsia="zh-CN"/>
        </w:rPr>
        <w:t>，可调</w:t>
      </w:r>
    </w:p>
    <w:p w14:paraId="4B1028F0">
      <w:pP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 xml:space="preserve">2.6 </w:t>
      </w:r>
      <w:r>
        <w:rPr>
          <w:rFonts w:hint="eastAsia" w:ascii="宋体" w:hAnsi="宋体" w:eastAsia="宋体" w:cs="宋体"/>
          <w:color w:val="000000"/>
          <w:sz w:val="24"/>
          <w:szCs w:val="24"/>
          <w:lang w:eastAsia="zh-CN"/>
        </w:rPr>
        <w:t>最大</w:t>
      </w:r>
      <w:r>
        <w:rPr>
          <w:rFonts w:hint="eastAsia" w:ascii="宋体" w:hAnsi="宋体" w:eastAsia="宋体" w:cs="宋体"/>
          <w:color w:val="000000"/>
          <w:sz w:val="24"/>
          <w:szCs w:val="24"/>
        </w:rPr>
        <w:t>拍片电流 ≥50mA</w:t>
      </w:r>
      <w:r>
        <w:rPr>
          <w:rFonts w:hint="eastAsia" w:ascii="宋体" w:hAnsi="宋体" w:eastAsia="宋体" w:cs="宋体"/>
          <w:color w:val="000000"/>
          <w:sz w:val="24"/>
          <w:szCs w:val="24"/>
          <w:lang w:eastAsia="zh-CN"/>
        </w:rPr>
        <w:t>，可调</w:t>
      </w:r>
    </w:p>
    <w:p w14:paraId="0B4471B5">
      <w:pP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 xml:space="preserve">2.7 </w:t>
      </w:r>
      <w:r>
        <w:rPr>
          <w:rFonts w:hint="eastAsia" w:ascii="宋体" w:hAnsi="宋体" w:eastAsia="宋体" w:cs="宋体"/>
          <w:color w:val="000000"/>
          <w:sz w:val="24"/>
          <w:szCs w:val="24"/>
          <w:lang w:eastAsia="zh-CN"/>
        </w:rPr>
        <w:t>最小</w:t>
      </w:r>
      <w:r>
        <w:rPr>
          <w:rFonts w:hint="eastAsia" w:ascii="宋体" w:hAnsi="宋体" w:eastAsia="宋体" w:cs="宋体"/>
          <w:color w:val="000000"/>
          <w:sz w:val="24"/>
          <w:szCs w:val="24"/>
        </w:rPr>
        <w:t>拍片电流 ≤1mA</w:t>
      </w:r>
      <w:r>
        <w:rPr>
          <w:rFonts w:hint="eastAsia" w:ascii="宋体" w:hAnsi="宋体" w:eastAsia="宋体" w:cs="宋体"/>
          <w:color w:val="000000"/>
          <w:sz w:val="24"/>
          <w:szCs w:val="24"/>
          <w:lang w:eastAsia="zh-CN"/>
        </w:rPr>
        <w:t>，可调</w:t>
      </w:r>
    </w:p>
    <w:p w14:paraId="26816E14">
      <w:pPr>
        <w:rPr>
          <w:rFonts w:hint="eastAsia" w:ascii="宋体" w:hAnsi="宋体" w:eastAsia="宋体" w:cs="宋体"/>
          <w:sz w:val="24"/>
          <w:szCs w:val="24"/>
        </w:rPr>
      </w:pPr>
      <w:r>
        <w:rPr>
          <w:rFonts w:hint="eastAsia" w:ascii="宋体" w:hAnsi="宋体" w:eastAsia="宋体" w:cs="宋体"/>
          <w:sz w:val="24"/>
          <w:szCs w:val="24"/>
        </w:rPr>
        <w:t>3、X线球管</w:t>
      </w:r>
    </w:p>
    <w:p w14:paraId="37C70323">
      <w:pPr>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球管小焦点 ≤0.5mm</w:t>
      </w:r>
    </w:p>
    <w:p w14:paraId="0AA91DBA">
      <w:pPr>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2</w:t>
      </w:r>
      <w:r>
        <w:rPr>
          <w:rFonts w:hint="eastAsia" w:ascii="宋体" w:hAnsi="宋体" w:eastAsia="宋体" w:cs="宋体"/>
          <w:sz w:val="24"/>
          <w:szCs w:val="24"/>
        </w:rPr>
        <w:t>球管大焦点≤0.6mm</w:t>
      </w:r>
    </w:p>
    <w:p w14:paraId="2A9CF9A1">
      <w:pPr>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3</w:t>
      </w:r>
      <w:r>
        <w:rPr>
          <w:rFonts w:hint="eastAsia" w:ascii="宋体" w:hAnsi="宋体" w:eastAsia="宋体" w:cs="宋体"/>
          <w:sz w:val="24"/>
          <w:szCs w:val="24"/>
        </w:rPr>
        <w:t>球馆管套热容量≥1250KHU</w:t>
      </w:r>
    </w:p>
    <w:p w14:paraId="40DF602A">
      <w:pPr>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最大阳极散热效率25KHU/min</w:t>
      </w:r>
    </w:p>
    <w:p w14:paraId="3D1C214D">
      <w:pPr>
        <w:rPr>
          <w:rFonts w:hint="eastAsia" w:ascii="宋体" w:hAnsi="宋体" w:eastAsia="宋体" w:cs="宋体"/>
          <w:sz w:val="24"/>
          <w:szCs w:val="24"/>
        </w:rPr>
      </w:pPr>
      <w:r>
        <w:rPr>
          <w:rFonts w:hint="eastAsia" w:ascii="宋体" w:hAnsi="宋体" w:eastAsia="宋体" w:cs="宋体"/>
          <w:sz w:val="24"/>
          <w:szCs w:val="24"/>
        </w:rPr>
        <w:t>4、平板探测器</w:t>
      </w:r>
    </w:p>
    <w:p w14:paraId="05AB711E">
      <w:pPr>
        <w:rPr>
          <w:rFonts w:hint="eastAsia" w:ascii="宋体" w:hAnsi="宋体" w:eastAsia="宋体" w:cs="宋体"/>
          <w:sz w:val="24"/>
          <w:szCs w:val="24"/>
        </w:rPr>
      </w:pPr>
      <w:r>
        <w:rPr>
          <w:rFonts w:hint="eastAsia" w:ascii="宋体" w:hAnsi="宋体" w:eastAsia="宋体" w:cs="宋体"/>
          <w:sz w:val="24"/>
          <w:szCs w:val="24"/>
        </w:rPr>
        <w:t>4.1 平板探测器材料:非晶硅 CSI或CMOS，</w:t>
      </w:r>
    </w:p>
    <w:p w14:paraId="771D67F7">
      <w:pPr>
        <w:rPr>
          <w:rFonts w:hint="eastAsia" w:ascii="宋体" w:hAnsi="宋体" w:eastAsia="宋体" w:cs="宋体"/>
          <w:sz w:val="24"/>
          <w:szCs w:val="24"/>
        </w:rPr>
      </w:pPr>
      <w:r>
        <w:rPr>
          <w:rFonts w:hint="eastAsia" w:ascii="宋体" w:hAnsi="宋体" w:eastAsia="宋体" w:cs="宋体"/>
          <w:sz w:val="24"/>
          <w:szCs w:val="24"/>
        </w:rPr>
        <w:t>4.2 探测器尺寸 30cm×30cm</w:t>
      </w:r>
    </w:p>
    <w:p w14:paraId="2B7A5B9C">
      <w:pPr>
        <w:rPr>
          <w:rFonts w:hint="eastAsia" w:ascii="宋体" w:hAnsi="宋体" w:eastAsia="宋体" w:cs="宋体"/>
          <w:sz w:val="24"/>
          <w:szCs w:val="24"/>
        </w:rPr>
      </w:pPr>
      <w:r>
        <w:rPr>
          <w:rFonts w:hint="eastAsia" w:ascii="宋体" w:hAnsi="宋体" w:eastAsia="宋体" w:cs="宋体"/>
          <w:sz w:val="24"/>
          <w:szCs w:val="24"/>
        </w:rPr>
        <w:t>4.3像素矩阵≥2048×2048</w:t>
      </w:r>
    </w:p>
    <w:p w14:paraId="47910F5C">
      <w:pPr>
        <w:rPr>
          <w:rFonts w:hint="eastAsia" w:ascii="宋体" w:hAnsi="宋体" w:eastAsia="宋体" w:cs="宋体"/>
          <w:sz w:val="24"/>
          <w:szCs w:val="24"/>
        </w:rPr>
      </w:pPr>
      <w:r>
        <w:rPr>
          <w:rFonts w:hint="eastAsia" w:ascii="宋体" w:hAnsi="宋体" w:eastAsia="宋体" w:cs="宋体"/>
          <w:sz w:val="24"/>
          <w:szCs w:val="24"/>
        </w:rPr>
        <w:t>4.5像素尺寸≤154</w:t>
      </w:r>
    </w:p>
    <w:p w14:paraId="232999A9">
      <w:pPr>
        <w:rPr>
          <w:rFonts w:hint="eastAsia" w:ascii="宋体" w:hAnsi="宋体" w:eastAsia="宋体" w:cs="宋体"/>
          <w:sz w:val="24"/>
          <w:szCs w:val="24"/>
        </w:rPr>
      </w:pPr>
      <w:r>
        <w:rPr>
          <w:rFonts w:hint="eastAsia" w:ascii="宋体" w:hAnsi="宋体" w:eastAsia="宋体" w:cs="宋体"/>
          <w:sz w:val="24"/>
          <w:szCs w:val="24"/>
        </w:rPr>
        <w:t xml:space="preserve">4.6 </w:t>
      </w:r>
      <w:r>
        <w:rPr>
          <w:rFonts w:hint="eastAsia" w:ascii="宋体" w:hAnsi="宋体" w:eastAsia="宋体" w:cs="宋体"/>
          <w:color w:val="auto"/>
          <w:sz w:val="24"/>
          <w:szCs w:val="24"/>
        </w:rPr>
        <w:t>▲</w:t>
      </w:r>
      <w:r>
        <w:rPr>
          <w:rFonts w:hint="eastAsia" w:ascii="宋体" w:hAnsi="宋体" w:eastAsia="宋体" w:cs="宋体"/>
          <w:sz w:val="24"/>
          <w:szCs w:val="24"/>
        </w:rPr>
        <w:t>线对分辨率≥3.1lp/mm</w:t>
      </w:r>
    </w:p>
    <w:p w14:paraId="668D239F">
      <w:pPr>
        <w:rPr>
          <w:rFonts w:hint="eastAsia" w:ascii="宋体" w:hAnsi="宋体" w:eastAsia="宋体" w:cs="宋体"/>
          <w:sz w:val="24"/>
          <w:szCs w:val="24"/>
        </w:rPr>
      </w:pPr>
      <w:r>
        <w:rPr>
          <w:rFonts w:hint="eastAsia" w:ascii="宋体" w:hAnsi="宋体" w:eastAsia="宋体" w:cs="宋体"/>
          <w:sz w:val="24"/>
          <w:szCs w:val="24"/>
        </w:rPr>
        <w:t>4.7 灰阶度 ≥16bit</w:t>
      </w:r>
    </w:p>
    <w:p w14:paraId="7D112C73">
      <w:pPr>
        <w:rPr>
          <w:rFonts w:hint="eastAsia" w:ascii="宋体" w:hAnsi="宋体" w:eastAsia="宋体" w:cs="宋体"/>
          <w:sz w:val="24"/>
          <w:szCs w:val="24"/>
        </w:rPr>
      </w:pPr>
      <w:r>
        <w:rPr>
          <w:rFonts w:hint="eastAsia" w:ascii="宋体" w:hAnsi="宋体" w:eastAsia="宋体" w:cs="宋体"/>
          <w:sz w:val="24"/>
          <w:szCs w:val="24"/>
        </w:rPr>
        <w:t>4.8</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DQE ≥70%</w:t>
      </w:r>
    </w:p>
    <w:p w14:paraId="368477BA">
      <w:pP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、嵌入工作站性能</w:t>
      </w:r>
    </w:p>
    <w:p w14:paraId="046C0E47">
      <w:pP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.1 CPU 主频≥3.4GHz</w:t>
      </w:r>
    </w:p>
    <w:p w14:paraId="678D1803">
      <w:pP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.2 内存 ≥16G</w:t>
      </w:r>
    </w:p>
    <w:p w14:paraId="7FBA2BDA">
      <w:pP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.3显卡内存≥4G</w:t>
      </w:r>
    </w:p>
    <w:p w14:paraId="2683CF43">
      <w:pP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.4 硬盘≥1T</w:t>
      </w:r>
    </w:p>
    <w:p w14:paraId="7B26E3AF">
      <w:pP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.5本机图像存储≥10万幅</w:t>
      </w:r>
    </w:p>
    <w:p w14:paraId="63433713">
      <w:pP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.6 支持 USB 图像导出，可导出为，JPEG，AVI,BMP,PNG等格式</w:t>
      </w:r>
    </w:p>
    <w:p w14:paraId="35354F68">
      <w:pPr>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、人机交互界面</w:t>
      </w:r>
    </w:p>
    <w:p w14:paraId="0E5B11B5">
      <w:pPr>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.1 具备同步触摸式操作屏</w:t>
      </w:r>
    </w:p>
    <w:p w14:paraId="43963079">
      <w:pPr>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.2 操作屏个数 1</w:t>
      </w:r>
    </w:p>
    <w:p w14:paraId="0251055A">
      <w:pPr>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color w:val="auto"/>
          <w:sz w:val="24"/>
          <w:szCs w:val="24"/>
        </w:rPr>
        <w:t>3 图像显示屏≥27寸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2台</w:t>
      </w:r>
    </w:p>
    <w:p w14:paraId="4560E7DB">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.4 控制触摸屏幕尺寸≥10寸</w:t>
      </w:r>
    </w:p>
    <w:p w14:paraId="126AFFE9">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.5 像素矩阵 ≥1280×1080</w:t>
      </w:r>
    </w:p>
    <w:p w14:paraId="44AD08FB">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.6触控屏类型:电阻屏</w:t>
      </w:r>
    </w:p>
    <w:p w14:paraId="5DED8609">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.7 配备有线曝光手闸</w:t>
      </w:r>
    </w:p>
    <w:p w14:paraId="5C78EA6D">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.8 配备有线曝光脚闸≥10M</w:t>
      </w:r>
    </w:p>
    <w:p w14:paraId="2318A8A4">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.9 ▲配备无线曝光遥控器有效距离≥15M</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2台。</w:t>
      </w:r>
    </w:p>
    <w:p w14:paraId="7A10BD4A">
      <w:pPr>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、滤线栅</w:t>
      </w:r>
    </w:p>
    <w:p w14:paraId="5F0D7937">
      <w:pPr>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.1栅比≥10:1</w:t>
      </w:r>
    </w:p>
    <w:p w14:paraId="335EF894">
      <w:pPr>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.2 滤线栅密度≥80L/cm</w:t>
      </w:r>
    </w:p>
    <w:p w14:paraId="401BD6F8">
      <w:pP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、图像后处理功能</w:t>
      </w:r>
    </w:p>
    <w:p w14:paraId="6BB54194">
      <w:pP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.1具备图像水平、垂直翻转</w:t>
      </w:r>
    </w:p>
    <w:p w14:paraId="388F0805">
      <w:pP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.2 具备图像无射线旋转</w:t>
      </w:r>
    </w:p>
    <w:p w14:paraId="47C78576">
      <w:pP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.3具备图像窗宽，床位调节</w:t>
      </w:r>
    </w:p>
    <w:p w14:paraId="7834A86C">
      <w:pP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.4具备图像反色</w:t>
      </w:r>
    </w:p>
    <w:p w14:paraId="2A82133A">
      <w:pP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.5 具备图像边缘增强</w:t>
      </w:r>
    </w:p>
    <w:p w14:paraId="04D2470E">
      <w:pP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.6 具备图像复原</w:t>
      </w:r>
    </w:p>
    <w:p w14:paraId="1DD5A504">
      <w:pP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.7具备图像平移放大</w:t>
      </w:r>
    </w:p>
    <w:p w14:paraId="378B26A3">
      <w:pP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.8具备智能金属及软组织修正功能</w:t>
      </w:r>
    </w:p>
    <w:p w14:paraId="09E56586">
      <w:pP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.9具备延时曝光功能</w:t>
      </w:r>
    </w:p>
    <w:p w14:paraId="64ED1EBA">
      <w:pP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.10具备术中图像实时处理功能</w:t>
      </w:r>
    </w:p>
    <w:p w14:paraId="58774360">
      <w:pP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.11具备自动组织均衡功能</w:t>
      </w:r>
    </w:p>
    <w:p w14:paraId="6935928E">
      <w:pP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.12具备儿科检查功能</w:t>
      </w:r>
    </w:p>
    <w:p w14:paraId="2F94D300">
      <w:pP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.13具备自动运动保持功能</w:t>
      </w:r>
    </w:p>
    <w:p w14:paraId="3149EA9B">
      <w:pP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.14具备高压注射器接口</w:t>
      </w:r>
    </w:p>
    <w:p w14:paraId="242CE94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8.15铅衣（分体式）、铅帽、铅围脖、铅毯、铅眼镜各4套，0.5铅当量</w:t>
      </w:r>
    </w:p>
    <w:p w14:paraId="1981BC19">
      <w:pPr>
        <w:numPr>
          <w:ilvl w:val="0"/>
          <w:numId w:val="0"/>
        </w:numPr>
        <w:ind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8.16 预评、控评，环评全程办理放射诊疗许可证，辐射安全许可证，产生的费用均由中标人承担。</w:t>
      </w:r>
    </w:p>
    <w:p w14:paraId="3B096EFF">
      <w:pPr>
        <w:numPr>
          <w:ilvl w:val="0"/>
          <w:numId w:val="0"/>
        </w:numPr>
        <w:ind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8.17★整机质保3年（制造商提供承诺，盖公章）</w:t>
      </w:r>
    </w:p>
    <w:p w14:paraId="1F0346A1">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关节及脊椎内窥镜系统</w:t>
      </w:r>
      <w:r>
        <w:rPr>
          <w:rFonts w:hint="eastAsia" w:ascii="宋体" w:hAnsi="宋体" w:cs="宋体"/>
          <w:b/>
          <w:bCs/>
          <w:sz w:val="24"/>
          <w:szCs w:val="24"/>
          <w:lang w:val="en-US" w:eastAsia="zh-CN"/>
        </w:rPr>
        <w:t>（核心产品）</w:t>
      </w:r>
    </w:p>
    <w:p w14:paraId="317CDBF0">
      <w:pPr>
        <w:rPr>
          <w:rFonts w:hint="eastAsia" w:ascii="宋体" w:hAnsi="宋体" w:eastAsia="宋体" w:cs="宋体"/>
          <w:b/>
          <w:bCs/>
          <w:sz w:val="24"/>
          <w:szCs w:val="24"/>
        </w:rPr>
      </w:pPr>
      <w:r>
        <w:rPr>
          <w:rFonts w:hint="eastAsia" w:ascii="宋体" w:hAnsi="宋体" w:eastAsia="宋体" w:cs="宋体"/>
          <w:b/>
          <w:bCs/>
          <w:sz w:val="24"/>
          <w:szCs w:val="24"/>
        </w:rPr>
        <w:t>1、4K</w:t>
      </w:r>
      <w:r>
        <w:rPr>
          <w:rFonts w:hint="eastAsia" w:ascii="宋体" w:hAnsi="宋体" w:eastAsia="宋体" w:cs="宋体"/>
          <w:b/>
          <w:sz w:val="24"/>
          <w:szCs w:val="24"/>
        </w:rPr>
        <w:t>内窥镜摄像系统技术参数</w:t>
      </w:r>
    </w:p>
    <w:p w14:paraId="7D652D56">
      <w:pPr>
        <w:widowControl/>
        <w:adjustRightInd w:val="0"/>
        <w:snapToGrid w:val="0"/>
        <w:spacing w:after="200"/>
        <w:ind w:left="480" w:hanging="480" w:hangingChars="200"/>
        <w:jc w:val="left"/>
        <w:rPr>
          <w:rFonts w:hint="eastAsia" w:ascii="宋体" w:hAnsi="宋体" w:eastAsia="宋体" w:cs="宋体"/>
          <w:b/>
          <w:bCs/>
          <w:kern w:val="0"/>
          <w:sz w:val="24"/>
          <w:szCs w:val="24"/>
        </w:rPr>
      </w:pPr>
      <w:r>
        <w:rPr>
          <w:rFonts w:hint="eastAsia" w:ascii="宋体" w:hAnsi="宋体" w:eastAsia="宋体" w:cs="宋体"/>
          <w:bCs/>
          <w:kern w:val="0"/>
          <w:sz w:val="24"/>
          <w:szCs w:val="24"/>
        </w:rPr>
        <w:t>1.1、图像控制器（主机）</w:t>
      </w:r>
      <w:r>
        <w:rPr>
          <w:rFonts w:hint="eastAsia" w:ascii="宋体" w:hAnsi="宋体" w:eastAsia="宋体" w:cs="宋体"/>
          <w:kern w:val="0"/>
          <w:sz w:val="24"/>
          <w:szCs w:val="24"/>
        </w:rPr>
        <w:t>：输出分辨率3840×2160、1920×1080可选；</w:t>
      </w:r>
    </w:p>
    <w:p w14:paraId="5443113F">
      <w:pPr>
        <w:widowControl/>
        <w:adjustRightInd w:val="0"/>
        <w:snapToGrid w:val="0"/>
        <w:spacing w:after="200"/>
        <w:jc w:val="left"/>
        <w:rPr>
          <w:rFonts w:hint="eastAsia" w:ascii="宋体" w:hAnsi="宋体" w:eastAsia="宋体" w:cs="宋体"/>
          <w:kern w:val="0"/>
          <w:sz w:val="24"/>
          <w:szCs w:val="24"/>
        </w:rPr>
      </w:pPr>
      <w:r>
        <w:rPr>
          <w:rFonts w:hint="eastAsia" w:ascii="宋体" w:hAnsi="宋体" w:eastAsia="宋体" w:cs="宋体"/>
          <w:kern w:val="0"/>
          <w:sz w:val="24"/>
          <w:szCs w:val="24"/>
        </w:rPr>
        <w:t>1.2、</w:t>
      </w:r>
      <w:r>
        <w:rPr>
          <w:rFonts w:hint="eastAsia" w:ascii="宋体" w:hAnsi="宋体" w:eastAsia="宋体" w:cs="宋体"/>
          <w:kern w:val="0"/>
          <w:sz w:val="24"/>
          <w:szCs w:val="24"/>
          <w:lang w:val="en-US" w:eastAsia="zh-CN"/>
        </w:rPr>
        <w:t>标准手术</w:t>
      </w:r>
      <w:r>
        <w:rPr>
          <w:rFonts w:hint="eastAsia" w:ascii="宋体" w:hAnsi="宋体" w:eastAsia="宋体" w:cs="宋体"/>
          <w:kern w:val="0"/>
          <w:sz w:val="24"/>
          <w:szCs w:val="24"/>
        </w:rPr>
        <w:t>模式≥8种：自定义</w:t>
      </w:r>
      <w:r>
        <w:rPr>
          <w:rFonts w:hint="eastAsia" w:ascii="宋体" w:hAnsi="宋体" w:eastAsia="宋体" w:cs="宋体"/>
          <w:kern w:val="0"/>
          <w:sz w:val="24"/>
          <w:szCs w:val="24"/>
          <w:lang w:val="en-US" w:eastAsia="zh-CN"/>
        </w:rPr>
        <w:t>手术</w:t>
      </w:r>
      <w:r>
        <w:rPr>
          <w:rFonts w:hint="eastAsia" w:ascii="宋体" w:hAnsi="宋体" w:eastAsia="宋体" w:cs="宋体"/>
          <w:kern w:val="0"/>
          <w:sz w:val="24"/>
          <w:szCs w:val="24"/>
        </w:rPr>
        <w:t>模式≥8种；</w:t>
      </w:r>
    </w:p>
    <w:p w14:paraId="09E4F143">
      <w:pPr>
        <w:widowControl/>
        <w:adjustRightInd w:val="0"/>
        <w:snapToGrid w:val="0"/>
        <w:spacing w:after="200"/>
        <w:jc w:val="left"/>
        <w:rPr>
          <w:rFonts w:hint="eastAsia" w:ascii="宋体" w:hAnsi="宋体" w:eastAsia="宋体" w:cs="宋体"/>
          <w:kern w:val="0"/>
          <w:sz w:val="24"/>
          <w:szCs w:val="24"/>
        </w:rPr>
      </w:pPr>
      <w:r>
        <w:rPr>
          <w:rFonts w:hint="eastAsia" w:ascii="宋体" w:hAnsi="宋体" w:eastAsia="宋体" w:cs="宋体"/>
          <w:kern w:val="0"/>
          <w:sz w:val="24"/>
          <w:szCs w:val="24"/>
        </w:rPr>
        <w:t>1.3、主机自带≥7英寸触摸控制屏；</w:t>
      </w:r>
    </w:p>
    <w:p w14:paraId="29DCD5CE">
      <w:pPr>
        <w:widowControl/>
        <w:adjustRightInd w:val="0"/>
        <w:snapToGrid w:val="0"/>
        <w:spacing w:after="200"/>
        <w:ind w:left="480" w:hanging="480" w:hangingChars="200"/>
        <w:jc w:val="left"/>
        <w:rPr>
          <w:rFonts w:hint="eastAsia" w:ascii="宋体" w:hAnsi="宋体" w:eastAsia="宋体" w:cs="宋体"/>
          <w:kern w:val="0"/>
          <w:sz w:val="24"/>
          <w:szCs w:val="24"/>
        </w:rPr>
      </w:pPr>
      <w:r>
        <w:rPr>
          <w:rFonts w:hint="eastAsia" w:ascii="宋体" w:hAnsi="宋体" w:eastAsia="宋体" w:cs="宋体"/>
          <w:kern w:val="0"/>
          <w:sz w:val="24"/>
          <w:szCs w:val="24"/>
        </w:rPr>
        <w:t>1.4、具有数字降噪功能，消除动态图像中的噪声和阴影</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支持高、中、低和关闭模式；</w:t>
      </w:r>
    </w:p>
    <w:p w14:paraId="1FE828CB">
      <w:pPr>
        <w:widowControl/>
        <w:numPr>
          <w:ilvl w:val="1"/>
          <w:numId w:val="3"/>
        </w:numPr>
        <w:adjustRightInd w:val="0"/>
        <w:snapToGrid w:val="0"/>
        <w:spacing w:after="200"/>
        <w:jc w:val="left"/>
        <w:rPr>
          <w:rFonts w:hint="eastAsia" w:ascii="宋体" w:hAnsi="宋体" w:eastAsia="宋体" w:cs="宋体"/>
          <w:kern w:val="0"/>
          <w:sz w:val="24"/>
          <w:szCs w:val="24"/>
        </w:rPr>
      </w:pPr>
      <w:r>
        <w:rPr>
          <w:rFonts w:hint="eastAsia" w:ascii="宋体" w:hAnsi="宋体" w:eastAsia="宋体" w:cs="宋体"/>
          <w:kern w:val="0"/>
          <w:sz w:val="24"/>
          <w:szCs w:val="24"/>
        </w:rPr>
        <w:t>电子放大和电子缩小功能，放大范围：X1.0~X5.0；缩小范围：X0.5~X1.0 ；</w:t>
      </w:r>
    </w:p>
    <w:p w14:paraId="2B14CDCE">
      <w:pPr>
        <w:widowControl/>
        <w:numPr>
          <w:ilvl w:val="1"/>
          <w:numId w:val="3"/>
        </w:numPr>
        <w:adjustRightInd w:val="0"/>
        <w:snapToGrid w:val="0"/>
        <w:spacing w:after="200"/>
        <w:jc w:val="left"/>
        <w:rPr>
          <w:rFonts w:hint="eastAsia" w:ascii="宋体" w:hAnsi="宋体" w:eastAsia="宋体" w:cs="宋体"/>
          <w:kern w:val="0"/>
          <w:sz w:val="24"/>
          <w:szCs w:val="24"/>
        </w:rPr>
      </w:pPr>
      <w:r>
        <w:rPr>
          <w:rFonts w:hint="eastAsia" w:ascii="宋体" w:hAnsi="宋体" w:eastAsia="宋体" w:cs="宋体"/>
          <w:kern w:val="0"/>
          <w:sz w:val="24"/>
          <w:szCs w:val="24"/>
        </w:rPr>
        <w:t>具有图像增益调节功能；调节范围为1-10，具有图像亮度调节功能，调节范围为1-10；具有图像锐度调节功能；调节范围为1-10；具有图像饱和度调节功能，调节范围为1-10；具有图像对比度调节功能，调节范围为1-10；</w:t>
      </w:r>
    </w:p>
    <w:p w14:paraId="3842FE4C">
      <w:pPr>
        <w:widowControl/>
        <w:adjustRightInd w:val="0"/>
        <w:snapToGrid w:val="0"/>
        <w:spacing w:after="200"/>
        <w:ind w:left="720" w:hanging="720" w:hangingChars="300"/>
        <w:jc w:val="left"/>
        <w:rPr>
          <w:rFonts w:hint="eastAsia" w:ascii="宋体" w:hAnsi="宋体" w:eastAsia="宋体" w:cs="宋体"/>
          <w:kern w:val="0"/>
          <w:sz w:val="24"/>
          <w:szCs w:val="24"/>
        </w:rPr>
      </w:pPr>
      <w:r>
        <w:rPr>
          <w:rFonts w:hint="eastAsia" w:ascii="宋体" w:hAnsi="宋体" w:eastAsia="宋体" w:cs="宋体"/>
          <w:kern w:val="0"/>
          <w:sz w:val="24"/>
          <w:szCs w:val="24"/>
        </w:rPr>
        <w:t>1.7、具有智能曝光功能，可精准统计成像区域的亮度值，实现智能控制曝光范围；</w:t>
      </w:r>
    </w:p>
    <w:p w14:paraId="15F6823F">
      <w:pPr>
        <w:widowControl/>
        <w:adjustRightInd w:val="0"/>
        <w:snapToGrid w:val="0"/>
        <w:spacing w:after="200"/>
        <w:jc w:val="left"/>
        <w:rPr>
          <w:rFonts w:hint="eastAsia" w:ascii="宋体" w:hAnsi="宋体" w:eastAsia="宋体" w:cs="宋体"/>
          <w:kern w:val="0"/>
          <w:sz w:val="24"/>
          <w:szCs w:val="24"/>
        </w:rPr>
      </w:pPr>
      <w:r>
        <w:rPr>
          <w:rFonts w:hint="eastAsia" w:ascii="宋体" w:hAnsi="宋体" w:eastAsia="宋体" w:cs="宋体"/>
          <w:kern w:val="0"/>
          <w:sz w:val="24"/>
          <w:szCs w:val="24"/>
        </w:rPr>
        <w:t>1.8、具有伽马设置功能，提高图像亮度，支持通透、标准和柔和模式；</w:t>
      </w:r>
    </w:p>
    <w:p w14:paraId="120596DB">
      <w:pPr>
        <w:widowControl/>
        <w:adjustRightInd w:val="0"/>
        <w:snapToGrid w:val="0"/>
        <w:spacing w:after="200"/>
        <w:ind w:left="960" w:hanging="960" w:hangingChars="4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1.9、具有暗区改善功能，调节图像暗区部分的亮度，增加画面整体可视性；具有高亮抑制功能； </w:t>
      </w:r>
    </w:p>
    <w:p w14:paraId="50C729AC">
      <w:pPr>
        <w:widowControl/>
        <w:adjustRightInd w:val="0"/>
        <w:snapToGrid w:val="0"/>
        <w:spacing w:after="200"/>
        <w:ind w:left="720" w:hanging="720" w:hangingChars="300"/>
        <w:jc w:val="left"/>
        <w:rPr>
          <w:rFonts w:hint="eastAsia" w:ascii="宋体" w:hAnsi="宋体" w:eastAsia="宋体" w:cs="宋体"/>
          <w:kern w:val="0"/>
          <w:sz w:val="24"/>
          <w:szCs w:val="24"/>
        </w:rPr>
      </w:pPr>
      <w:r>
        <w:rPr>
          <w:rFonts w:hint="eastAsia" w:ascii="宋体" w:hAnsi="宋体" w:eastAsia="宋体" w:cs="宋体"/>
          <w:kern w:val="0"/>
          <w:sz w:val="24"/>
          <w:szCs w:val="24"/>
        </w:rPr>
        <w:t>1.10、具有去摩尔纹功能，支持连接纤维及光学内窥镜；</w:t>
      </w:r>
    </w:p>
    <w:p w14:paraId="7B1068F8">
      <w:pPr>
        <w:widowControl/>
        <w:adjustRightInd w:val="0"/>
        <w:snapToGrid w:val="0"/>
        <w:spacing w:after="200"/>
        <w:ind w:left="720" w:hanging="720" w:hangingChars="300"/>
        <w:jc w:val="left"/>
        <w:rPr>
          <w:rFonts w:hint="eastAsia" w:ascii="宋体" w:hAnsi="宋体" w:eastAsia="宋体" w:cs="宋体"/>
          <w:kern w:val="0"/>
          <w:sz w:val="24"/>
          <w:szCs w:val="24"/>
        </w:rPr>
      </w:pPr>
      <w:r>
        <w:rPr>
          <w:rFonts w:hint="eastAsia" w:ascii="宋体" w:hAnsi="宋体" w:eastAsia="宋体" w:cs="宋体"/>
          <w:kern w:val="0"/>
          <w:sz w:val="24"/>
          <w:szCs w:val="24"/>
        </w:rPr>
        <w:t>1.11、支持去雾、防红、滤镜和关闭的模式；</w:t>
      </w:r>
    </w:p>
    <w:p w14:paraId="11251AAE">
      <w:pPr>
        <w:widowControl/>
        <w:adjustRightInd w:val="0"/>
        <w:snapToGrid w:val="0"/>
        <w:spacing w:after="200"/>
        <w:ind w:left="720" w:hanging="720" w:hangingChars="300"/>
        <w:jc w:val="left"/>
        <w:rPr>
          <w:rFonts w:hint="eastAsia" w:ascii="宋体" w:hAnsi="宋体" w:eastAsia="宋体" w:cs="宋体"/>
          <w:kern w:val="0"/>
          <w:sz w:val="24"/>
          <w:szCs w:val="24"/>
        </w:rPr>
      </w:pPr>
      <w:r>
        <w:rPr>
          <w:rFonts w:hint="eastAsia" w:ascii="宋体" w:hAnsi="宋体" w:eastAsia="宋体" w:cs="宋体"/>
          <w:kern w:val="0"/>
          <w:sz w:val="24"/>
          <w:szCs w:val="24"/>
        </w:rPr>
        <w:t>1.12、具有双镜显示功能，具有图像翻转功能；</w:t>
      </w:r>
    </w:p>
    <w:p w14:paraId="621F2A3A">
      <w:pPr>
        <w:widowControl/>
        <w:adjustRightInd w:val="0"/>
        <w:snapToGrid w:val="0"/>
        <w:spacing w:after="200"/>
        <w:ind w:left="960" w:hanging="960" w:hangingChars="400"/>
        <w:jc w:val="left"/>
        <w:rPr>
          <w:rFonts w:hint="eastAsia" w:ascii="宋体" w:hAnsi="宋体" w:eastAsia="宋体" w:cs="宋体"/>
          <w:kern w:val="0"/>
          <w:sz w:val="24"/>
          <w:szCs w:val="24"/>
        </w:rPr>
      </w:pPr>
      <w:r>
        <w:rPr>
          <w:rFonts w:hint="eastAsia" w:ascii="宋体" w:hAnsi="宋体" w:eastAsia="宋体" w:cs="宋体"/>
          <w:kern w:val="0"/>
          <w:sz w:val="24"/>
          <w:szCs w:val="24"/>
        </w:rPr>
        <w:t>1.13、具有滤镜模式，滤除或减弱特定波段的输入光；突出强调解剖边界、血管和神经；</w:t>
      </w:r>
    </w:p>
    <w:p w14:paraId="7D5FB77B">
      <w:pPr>
        <w:widowControl/>
        <w:adjustRightInd w:val="0"/>
        <w:snapToGrid w:val="0"/>
        <w:spacing w:after="200"/>
        <w:ind w:left="720" w:hanging="720" w:hangingChars="300"/>
        <w:jc w:val="left"/>
        <w:rPr>
          <w:rFonts w:hint="eastAsia" w:ascii="宋体" w:hAnsi="宋体" w:eastAsia="宋体" w:cs="宋体"/>
          <w:kern w:val="0"/>
          <w:sz w:val="24"/>
          <w:szCs w:val="24"/>
        </w:rPr>
      </w:pPr>
      <w:r>
        <w:rPr>
          <w:rFonts w:hint="eastAsia" w:ascii="宋体" w:hAnsi="宋体" w:eastAsia="宋体" w:cs="宋体"/>
          <w:kern w:val="0"/>
          <w:sz w:val="24"/>
          <w:szCs w:val="24"/>
        </w:rPr>
        <w:t>1.14、支持60Hz、50Hz、30Hz、25Hz多种视频输出帧率，默认设置为60 Hz，用户可根据场景需要选择合适的输出帧率；</w:t>
      </w:r>
    </w:p>
    <w:p w14:paraId="042B2AEB">
      <w:pPr>
        <w:widowControl/>
        <w:adjustRightInd w:val="0"/>
        <w:snapToGrid w:val="0"/>
        <w:spacing w:after="200"/>
        <w:ind w:left="720" w:hanging="720" w:hangingChars="300"/>
        <w:jc w:val="left"/>
        <w:rPr>
          <w:rFonts w:hint="eastAsia" w:ascii="宋体" w:hAnsi="宋体" w:eastAsia="宋体" w:cs="宋体"/>
          <w:kern w:val="0"/>
          <w:sz w:val="24"/>
          <w:szCs w:val="24"/>
        </w:rPr>
      </w:pPr>
      <w:r>
        <w:rPr>
          <w:rFonts w:hint="eastAsia" w:ascii="宋体" w:hAnsi="宋体" w:eastAsia="宋体" w:cs="宋体"/>
          <w:kern w:val="0"/>
          <w:sz w:val="24"/>
          <w:szCs w:val="24"/>
        </w:rPr>
        <w:t>1.15、内置4K刻录功能；存储位置可选择主机内部、外部介质存储；在没有准备U盘和硬盘的情况下，可直接存储在主机，插入U盘或硬盘后，可将视频和图片从主机中导出；具有抓图功能，画质、格式可设置。画质可设置为最佳、高、中和低模式，格式可设置为JPEG 和 BMP ；</w:t>
      </w:r>
    </w:p>
    <w:p w14:paraId="0D39776A">
      <w:pPr>
        <w:widowControl/>
        <w:adjustRightInd w:val="0"/>
        <w:snapToGrid w:val="0"/>
        <w:spacing w:after="200"/>
        <w:ind w:left="960" w:hanging="960" w:hangingChars="400"/>
        <w:jc w:val="left"/>
        <w:rPr>
          <w:rFonts w:hint="eastAsia" w:ascii="宋体" w:hAnsi="宋体" w:eastAsia="宋体" w:cs="宋体"/>
          <w:kern w:val="0"/>
          <w:sz w:val="24"/>
          <w:szCs w:val="24"/>
        </w:rPr>
      </w:pPr>
      <w:r>
        <w:rPr>
          <w:rFonts w:hint="eastAsia" w:ascii="宋体" w:hAnsi="宋体" w:eastAsia="宋体" w:cs="宋体"/>
          <w:kern w:val="0"/>
          <w:sz w:val="24"/>
          <w:szCs w:val="24"/>
        </w:rPr>
        <w:t>1.16、视频输出信号：4K输出：DP×1，12G-SDI×1，3G-SDI×4，HDMI×1；1080P高清输出：3G-SDI×1,DVI×1；标清：CVBS×1，S-Video×1</w:t>
      </w:r>
    </w:p>
    <w:p w14:paraId="218D2C58">
      <w:pPr>
        <w:widowControl/>
        <w:numPr>
          <w:ilvl w:val="1"/>
          <w:numId w:val="4"/>
        </w:numPr>
        <w:adjustRightInd w:val="0"/>
        <w:snapToGrid w:val="0"/>
        <w:spacing w:after="200"/>
        <w:jc w:val="left"/>
        <w:rPr>
          <w:rFonts w:hint="eastAsia" w:ascii="宋体" w:hAnsi="宋体" w:eastAsia="宋体" w:cs="宋体"/>
          <w:kern w:val="0"/>
          <w:sz w:val="24"/>
          <w:szCs w:val="24"/>
        </w:rPr>
      </w:pPr>
      <w:r>
        <w:rPr>
          <w:rFonts w:hint="eastAsia" w:ascii="宋体" w:hAnsi="宋体" w:eastAsia="宋体" w:cs="宋体"/>
          <w:kern w:val="0"/>
          <w:sz w:val="24"/>
          <w:szCs w:val="24"/>
        </w:rPr>
        <w:t>系统菜单支持中/英文两种语言；</w:t>
      </w:r>
    </w:p>
    <w:p w14:paraId="4F51AF3C">
      <w:pPr>
        <w:widowControl/>
        <w:numPr>
          <w:ilvl w:val="1"/>
          <w:numId w:val="4"/>
        </w:numPr>
        <w:adjustRightInd w:val="0"/>
        <w:snapToGrid w:val="0"/>
        <w:spacing w:after="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设计</w:t>
      </w:r>
      <w:r>
        <w:rPr>
          <w:rFonts w:hint="eastAsia" w:ascii="宋体" w:hAnsi="宋体" w:eastAsia="宋体" w:cs="宋体"/>
          <w:kern w:val="0"/>
          <w:sz w:val="24"/>
          <w:szCs w:val="24"/>
        </w:rPr>
        <w:t>使用</w:t>
      </w:r>
      <w:r>
        <w:rPr>
          <w:rFonts w:hint="eastAsia" w:ascii="宋体" w:hAnsi="宋体" w:eastAsia="宋体" w:cs="宋体"/>
          <w:kern w:val="0"/>
          <w:sz w:val="24"/>
          <w:szCs w:val="24"/>
          <w:lang w:val="en-US" w:eastAsia="zh-CN"/>
        </w:rPr>
        <w:t>寿命≥</w:t>
      </w:r>
      <w:r>
        <w:rPr>
          <w:rFonts w:hint="eastAsia" w:ascii="宋体" w:hAnsi="宋体" w:eastAsia="宋体" w:cs="宋体"/>
          <w:kern w:val="0"/>
          <w:sz w:val="24"/>
          <w:szCs w:val="24"/>
        </w:rPr>
        <w:t>10年；</w:t>
      </w:r>
    </w:p>
    <w:p w14:paraId="44E72ECC">
      <w:pPr>
        <w:widowControl/>
        <w:numPr>
          <w:ilvl w:val="1"/>
          <w:numId w:val="0"/>
        </w:numPr>
        <w:adjustRightInd w:val="0"/>
        <w:snapToGrid w:val="0"/>
        <w:spacing w:after="200"/>
        <w:ind w:left="0" w:firstLine="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1.19、</w:t>
      </w:r>
      <w:r>
        <w:rPr>
          <w:rFonts w:hint="eastAsia" w:ascii="宋体" w:hAnsi="宋体" w:eastAsia="宋体" w:cs="宋体"/>
          <w:kern w:val="0"/>
          <w:sz w:val="24"/>
          <w:szCs w:val="24"/>
        </w:rPr>
        <w:t>具有4个按键，均可自定义功能，可设置≥16种功能；</w:t>
      </w:r>
    </w:p>
    <w:p w14:paraId="5A246A15">
      <w:pPr>
        <w:widowControl/>
        <w:adjustRightInd w:val="0"/>
        <w:snapToGrid w:val="0"/>
        <w:spacing w:after="200"/>
        <w:jc w:val="left"/>
        <w:rPr>
          <w:rFonts w:hint="eastAsia" w:ascii="宋体" w:hAnsi="宋体" w:eastAsia="宋体" w:cs="宋体"/>
          <w:kern w:val="0"/>
          <w:sz w:val="24"/>
          <w:szCs w:val="24"/>
        </w:rPr>
      </w:pPr>
      <w:r>
        <w:rPr>
          <w:rFonts w:hint="eastAsia" w:ascii="宋体" w:hAnsi="宋体" w:eastAsia="宋体" w:cs="宋体"/>
          <w:kern w:val="0"/>
          <w:sz w:val="24"/>
          <w:szCs w:val="24"/>
        </w:rPr>
        <w:t>1.21、防水等级：IPX8，可浸泡、低温等离子灭菌；</w:t>
      </w:r>
    </w:p>
    <w:p w14:paraId="69B7773E">
      <w:pPr>
        <w:widowControl/>
        <w:adjustRightInd w:val="0"/>
        <w:snapToGrid w:val="0"/>
        <w:spacing w:after="200"/>
        <w:jc w:val="left"/>
        <w:rPr>
          <w:rFonts w:hint="eastAsia" w:ascii="宋体" w:hAnsi="宋体" w:eastAsia="宋体" w:cs="宋体"/>
          <w:kern w:val="0"/>
          <w:sz w:val="24"/>
          <w:szCs w:val="24"/>
        </w:rPr>
      </w:pPr>
      <w:r>
        <w:rPr>
          <w:rFonts w:hint="eastAsia" w:ascii="宋体" w:hAnsi="宋体" w:eastAsia="宋体" w:cs="宋体"/>
          <w:kern w:val="0"/>
          <w:sz w:val="24"/>
          <w:szCs w:val="24"/>
        </w:rPr>
        <w:t>1.22、可接光学适配器：F20,F22,F25,F28,F35,F14-32mm。</w:t>
      </w:r>
    </w:p>
    <w:p w14:paraId="5E129151">
      <w:pPr>
        <w:spacing w:line="0" w:lineRule="atLeast"/>
        <w:jc w:val="center"/>
        <w:rPr>
          <w:rFonts w:hint="eastAsia" w:ascii="宋体" w:hAnsi="宋体" w:eastAsia="宋体" w:cs="宋体"/>
          <w:b/>
          <w:sz w:val="24"/>
          <w:szCs w:val="24"/>
        </w:rPr>
      </w:pPr>
      <w:r>
        <w:rPr>
          <w:rFonts w:hint="eastAsia" w:ascii="宋体" w:hAnsi="宋体" w:eastAsia="宋体" w:cs="宋体"/>
          <w:b/>
          <w:bCs/>
          <w:sz w:val="24"/>
          <w:szCs w:val="24"/>
        </w:rPr>
        <w:t>2、4K超</w:t>
      </w:r>
      <w:r>
        <w:rPr>
          <w:rFonts w:hint="eastAsia" w:ascii="宋体" w:hAnsi="宋体" w:eastAsia="宋体" w:cs="宋体"/>
          <w:b/>
          <w:sz w:val="24"/>
          <w:szCs w:val="24"/>
        </w:rPr>
        <w:t>高清监视器技术参数</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095"/>
      </w:tblGrid>
      <w:tr w14:paraId="7CDA4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5" w:type="dxa"/>
            <w:shd w:val="clear" w:color="auto" w:fill="auto"/>
            <w:vAlign w:val="center"/>
          </w:tcPr>
          <w:p w14:paraId="2B469E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指标项目名称</w:t>
            </w:r>
          </w:p>
        </w:tc>
        <w:tc>
          <w:tcPr>
            <w:tcW w:w="6095" w:type="dxa"/>
            <w:shd w:val="clear" w:color="auto" w:fill="auto"/>
            <w:vAlign w:val="center"/>
          </w:tcPr>
          <w:p w14:paraId="01AA92C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w:t>
            </w:r>
          </w:p>
        </w:tc>
      </w:tr>
      <w:tr w14:paraId="560D2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14:paraId="0C0960C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屏幕尺寸</w:t>
            </w:r>
          </w:p>
        </w:tc>
        <w:tc>
          <w:tcPr>
            <w:tcW w:w="6095" w:type="dxa"/>
            <w:shd w:val="clear" w:color="auto" w:fill="auto"/>
            <w:vAlign w:val="center"/>
          </w:tcPr>
          <w:p w14:paraId="19CE9C5F">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32英寸</w:t>
            </w:r>
          </w:p>
        </w:tc>
      </w:tr>
      <w:tr w14:paraId="41C5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14:paraId="1F6C036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背光类型</w:t>
            </w:r>
          </w:p>
        </w:tc>
        <w:tc>
          <w:tcPr>
            <w:tcW w:w="6095" w:type="dxa"/>
            <w:shd w:val="clear" w:color="auto" w:fill="auto"/>
            <w:vAlign w:val="center"/>
          </w:tcPr>
          <w:p w14:paraId="6052362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LED</w:t>
            </w:r>
          </w:p>
        </w:tc>
      </w:tr>
      <w:tr w14:paraId="24F9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14:paraId="3F82E99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分辨率</w:t>
            </w:r>
          </w:p>
        </w:tc>
        <w:tc>
          <w:tcPr>
            <w:tcW w:w="6095" w:type="dxa"/>
            <w:shd w:val="clear" w:color="auto" w:fill="auto"/>
            <w:vAlign w:val="center"/>
          </w:tcPr>
          <w:p w14:paraId="6A33A7E6">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3840*2160</w:t>
            </w:r>
          </w:p>
        </w:tc>
      </w:tr>
      <w:tr w14:paraId="0F2B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14:paraId="540EF5D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响应时间</w:t>
            </w:r>
          </w:p>
        </w:tc>
        <w:tc>
          <w:tcPr>
            <w:tcW w:w="6095" w:type="dxa"/>
            <w:shd w:val="clear" w:color="auto" w:fill="auto"/>
            <w:vAlign w:val="center"/>
          </w:tcPr>
          <w:p w14:paraId="2D98D175">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8ms</w:t>
            </w:r>
          </w:p>
        </w:tc>
      </w:tr>
      <w:tr w14:paraId="70AB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14:paraId="79C962D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对比度</w:t>
            </w:r>
          </w:p>
        </w:tc>
        <w:tc>
          <w:tcPr>
            <w:tcW w:w="6095" w:type="dxa"/>
            <w:shd w:val="clear" w:color="auto" w:fill="auto"/>
            <w:vAlign w:val="center"/>
          </w:tcPr>
          <w:p w14:paraId="27D0B87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1300:1</w:t>
            </w:r>
          </w:p>
        </w:tc>
      </w:tr>
      <w:tr w14:paraId="1DA4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14:paraId="3352B42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亮度</w:t>
            </w:r>
          </w:p>
        </w:tc>
        <w:tc>
          <w:tcPr>
            <w:tcW w:w="6095" w:type="dxa"/>
            <w:shd w:val="clear" w:color="auto" w:fill="auto"/>
            <w:vAlign w:val="center"/>
          </w:tcPr>
          <w:p w14:paraId="3B6344C5">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1000cd/</w:t>
            </w:r>
            <w:r>
              <w:rPr>
                <w:rFonts w:hint="eastAsia" w:ascii="宋体" w:hAnsi="宋体" w:eastAsia="宋体" w:cs="宋体"/>
                <w:sz w:val="24"/>
                <w:szCs w:val="24"/>
                <w:lang w:val="en-US" w:eastAsia="zh-CN"/>
              </w:rPr>
              <w:t>㎡</w:t>
            </w:r>
          </w:p>
        </w:tc>
      </w:tr>
      <w:tr w14:paraId="4869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14:paraId="5F02AA7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视角</w:t>
            </w:r>
          </w:p>
        </w:tc>
        <w:tc>
          <w:tcPr>
            <w:tcW w:w="6095" w:type="dxa"/>
            <w:shd w:val="clear" w:color="auto" w:fill="auto"/>
            <w:vAlign w:val="center"/>
          </w:tcPr>
          <w:p w14:paraId="15E2EC0D">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17</w:t>
            </w:r>
            <w:r>
              <w:rPr>
                <w:rFonts w:hint="eastAsia" w:ascii="宋体" w:hAnsi="宋体" w:eastAsia="宋体" w:cs="宋体"/>
                <w:sz w:val="24"/>
                <w:szCs w:val="24"/>
                <w:lang w:val="en-US" w:eastAsia="zh-CN"/>
              </w:rPr>
              <w:t>5</w:t>
            </w:r>
            <w:r>
              <w:rPr>
                <w:rFonts w:hint="eastAsia" w:ascii="宋体" w:hAnsi="宋体" w:eastAsia="宋体" w:cs="宋体"/>
                <w:sz w:val="24"/>
                <w:szCs w:val="24"/>
              </w:rPr>
              <w:t>°</w:t>
            </w:r>
          </w:p>
        </w:tc>
      </w:tr>
      <w:tr w14:paraId="6279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14:paraId="092E8D6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信号接口</w:t>
            </w:r>
          </w:p>
        </w:tc>
        <w:tc>
          <w:tcPr>
            <w:tcW w:w="6095" w:type="dxa"/>
            <w:shd w:val="clear" w:color="auto" w:fill="auto"/>
            <w:vAlign w:val="center"/>
          </w:tcPr>
          <w:p w14:paraId="73F0E0D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输入：DVI-DUAL、HDMI2.0、DP1.2-1、DP1.2-2、VGA输出：DP-MST</w:t>
            </w:r>
          </w:p>
        </w:tc>
      </w:tr>
      <w:tr w14:paraId="7268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14:paraId="04DAA9A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电源适配器</w:t>
            </w:r>
          </w:p>
        </w:tc>
        <w:tc>
          <w:tcPr>
            <w:tcW w:w="6095" w:type="dxa"/>
            <w:shd w:val="clear" w:color="auto" w:fill="auto"/>
            <w:vAlign w:val="center"/>
          </w:tcPr>
          <w:p w14:paraId="7E9CBA8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独立外置电源适配器</w:t>
            </w:r>
          </w:p>
        </w:tc>
      </w:tr>
      <w:tr w14:paraId="2ADE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14:paraId="521F805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屏幕防护处理</w:t>
            </w:r>
          </w:p>
        </w:tc>
        <w:tc>
          <w:tcPr>
            <w:tcW w:w="6095" w:type="dxa"/>
            <w:shd w:val="clear" w:color="auto" w:fill="auto"/>
            <w:vAlign w:val="center"/>
          </w:tcPr>
          <w:p w14:paraId="27977BB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显示屏前采用医用高透光率AR防眩光防护玻璃(全贴合设计）</w:t>
            </w:r>
          </w:p>
        </w:tc>
      </w:tr>
      <w:tr w14:paraId="0B5B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tcPr>
          <w:p w14:paraId="51E73DE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多功能底座</w:t>
            </w:r>
          </w:p>
        </w:tc>
        <w:tc>
          <w:tcPr>
            <w:tcW w:w="6095" w:type="dxa"/>
            <w:shd w:val="clear" w:color="auto" w:fill="auto"/>
            <w:vAlign w:val="center"/>
          </w:tcPr>
          <w:p w14:paraId="2958186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支持上下多角度调节</w:t>
            </w:r>
          </w:p>
        </w:tc>
      </w:tr>
      <w:tr w14:paraId="1C24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tcPr>
          <w:p w14:paraId="2FF7628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医疗影像标准</w:t>
            </w:r>
          </w:p>
        </w:tc>
        <w:tc>
          <w:tcPr>
            <w:tcW w:w="6095" w:type="dxa"/>
            <w:shd w:val="clear" w:color="auto" w:fill="auto"/>
            <w:vAlign w:val="center"/>
          </w:tcPr>
          <w:p w14:paraId="0EAD13F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符合DICOM Part14标准</w:t>
            </w:r>
          </w:p>
        </w:tc>
      </w:tr>
      <w:tr w14:paraId="0086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14:paraId="6F84CB7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医疗影像曲线</w:t>
            </w:r>
          </w:p>
        </w:tc>
        <w:tc>
          <w:tcPr>
            <w:tcW w:w="6095" w:type="dxa"/>
            <w:shd w:val="clear" w:color="auto" w:fill="auto"/>
            <w:vAlign w:val="center"/>
          </w:tcPr>
          <w:p w14:paraId="4D2CAF9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6组备选GAMMA曲线：</w:t>
            </w:r>
            <w:r>
              <w:rPr>
                <w:rFonts w:hint="eastAsia" w:ascii="宋体" w:hAnsi="宋体" w:eastAsia="宋体" w:cs="宋体"/>
                <w:sz w:val="24"/>
                <w:szCs w:val="24"/>
              </w:rPr>
              <w:br w:type="textWrapping"/>
            </w:r>
            <w:r>
              <w:rPr>
                <w:rFonts w:hint="eastAsia" w:ascii="宋体" w:hAnsi="宋体" w:eastAsia="宋体" w:cs="宋体"/>
                <w:sz w:val="24"/>
                <w:szCs w:val="24"/>
              </w:rPr>
              <w:t>GAMMA1.8、GAMMA2.0、GAMMA2.1、GAMMA2.2、GAMMA2.4、DICOM、sRGB</w:t>
            </w:r>
          </w:p>
        </w:tc>
      </w:tr>
      <w:tr w14:paraId="092D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14:paraId="5737F16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影像信号便捷切换</w:t>
            </w:r>
          </w:p>
        </w:tc>
        <w:tc>
          <w:tcPr>
            <w:tcW w:w="6095" w:type="dxa"/>
            <w:shd w:val="clear" w:color="auto" w:fill="auto"/>
            <w:vAlign w:val="center"/>
          </w:tcPr>
          <w:p w14:paraId="4D86C90C">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zh-CN"/>
              </w:rPr>
              <w:t>显示器正面有</w:t>
            </w:r>
            <w:r>
              <w:rPr>
                <w:rFonts w:hint="eastAsia" w:ascii="宋体" w:hAnsi="宋体" w:eastAsia="宋体" w:cs="宋体"/>
                <w:sz w:val="24"/>
                <w:szCs w:val="24"/>
                <w:lang w:val="en-US" w:eastAsia="zh-CN"/>
              </w:rPr>
              <w:t>≥</w:t>
            </w:r>
            <w:r>
              <w:rPr>
                <w:rFonts w:hint="eastAsia" w:ascii="宋体" w:hAnsi="宋体" w:eastAsia="宋体" w:cs="宋体"/>
                <w:sz w:val="24"/>
                <w:szCs w:val="24"/>
              </w:rPr>
              <w:t>3个信号源选择快捷键，实现接入多个影像信号时一键选择信号源</w:t>
            </w:r>
          </w:p>
        </w:tc>
      </w:tr>
      <w:tr w14:paraId="43DF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14:paraId="36E3C0F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护眼功能</w:t>
            </w:r>
          </w:p>
        </w:tc>
        <w:tc>
          <w:tcPr>
            <w:tcW w:w="6095" w:type="dxa"/>
            <w:shd w:val="clear" w:color="auto" w:fill="auto"/>
            <w:vAlign w:val="center"/>
          </w:tcPr>
          <w:p w14:paraId="27847C6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0蓝光，无频闪</w:t>
            </w:r>
          </w:p>
        </w:tc>
      </w:tr>
      <w:tr w14:paraId="6C24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14:paraId="04FE5E8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多窗口模式</w:t>
            </w:r>
          </w:p>
        </w:tc>
        <w:tc>
          <w:tcPr>
            <w:tcW w:w="6095" w:type="dxa"/>
            <w:shd w:val="clear" w:color="auto" w:fill="auto"/>
            <w:vAlign w:val="center"/>
          </w:tcPr>
          <w:p w14:paraId="6A77E9D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画中画、双画面</w:t>
            </w:r>
          </w:p>
        </w:tc>
      </w:tr>
      <w:tr w14:paraId="1059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14:paraId="0D55A75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应用</w:t>
            </w:r>
          </w:p>
        </w:tc>
        <w:tc>
          <w:tcPr>
            <w:tcW w:w="6095" w:type="dxa"/>
            <w:shd w:val="clear" w:color="auto" w:fill="auto"/>
            <w:vAlign w:val="center"/>
          </w:tcPr>
          <w:p w14:paraId="4ADD53A0">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zh-CN"/>
              </w:rPr>
              <w:t>应用 内窥/电子胃肠镜/腹腔镜/术野显示器</w:t>
            </w:r>
          </w:p>
        </w:tc>
      </w:tr>
      <w:tr w14:paraId="7378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14:paraId="7C9D912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色彩重建</w:t>
            </w:r>
          </w:p>
        </w:tc>
        <w:tc>
          <w:tcPr>
            <w:tcW w:w="6095" w:type="dxa"/>
            <w:shd w:val="clear" w:color="auto" w:fill="auto"/>
            <w:vAlign w:val="center"/>
          </w:tcPr>
          <w:p w14:paraId="7F88F6CB">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zh-CN"/>
              </w:rPr>
              <w:t>支持</w:t>
            </w:r>
          </w:p>
        </w:tc>
      </w:tr>
      <w:tr w14:paraId="1962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14:paraId="084F8E9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专用台车</w:t>
            </w:r>
          </w:p>
        </w:tc>
        <w:tc>
          <w:tcPr>
            <w:tcW w:w="6095" w:type="dxa"/>
            <w:shd w:val="clear" w:color="auto" w:fill="auto"/>
            <w:vAlign w:val="center"/>
          </w:tcPr>
          <w:p w14:paraId="224566C7">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全金属结构，可拆卸；带支撑臂、4个静音轮。</w:t>
            </w:r>
          </w:p>
        </w:tc>
      </w:tr>
    </w:tbl>
    <w:p w14:paraId="3356C8C7">
      <w:pPr>
        <w:spacing w:line="0" w:lineRule="atLeast"/>
        <w:rPr>
          <w:rFonts w:hint="eastAsia" w:ascii="宋体" w:hAnsi="宋体" w:eastAsia="宋体" w:cs="宋体"/>
          <w:b/>
          <w:bCs/>
          <w:sz w:val="24"/>
          <w:szCs w:val="24"/>
        </w:rPr>
      </w:pPr>
    </w:p>
    <w:p w14:paraId="5FC8D39C">
      <w:pPr>
        <w:spacing w:line="0" w:lineRule="atLeast"/>
        <w:jc w:val="center"/>
        <w:rPr>
          <w:rFonts w:hint="eastAsia" w:ascii="宋体" w:hAnsi="宋体" w:eastAsia="宋体" w:cs="宋体"/>
          <w:b/>
          <w:sz w:val="24"/>
          <w:szCs w:val="24"/>
        </w:rPr>
      </w:pPr>
      <w:r>
        <w:rPr>
          <w:rFonts w:hint="eastAsia" w:ascii="宋体" w:hAnsi="宋体" w:eastAsia="宋体" w:cs="宋体"/>
          <w:b/>
          <w:bCs/>
          <w:sz w:val="24"/>
          <w:szCs w:val="24"/>
        </w:rPr>
        <w:t>3、医用内窥镜冷光源</w:t>
      </w:r>
      <w:r>
        <w:rPr>
          <w:rFonts w:hint="eastAsia" w:ascii="宋体" w:hAnsi="宋体" w:eastAsia="宋体" w:cs="宋体"/>
          <w:b/>
          <w:sz w:val="24"/>
          <w:szCs w:val="24"/>
        </w:rPr>
        <w:t>技术参数</w:t>
      </w:r>
    </w:p>
    <w:p w14:paraId="53E9FCDB">
      <w:pPr>
        <w:spacing w:line="0" w:lineRule="atLeast"/>
        <w:rPr>
          <w:rFonts w:hint="eastAsia" w:ascii="宋体" w:hAnsi="宋体" w:eastAsia="宋体" w:cs="宋体"/>
          <w:sz w:val="24"/>
          <w:szCs w:val="24"/>
        </w:rPr>
      </w:pPr>
      <w:r>
        <w:rPr>
          <w:rFonts w:hint="eastAsia" w:ascii="宋体" w:hAnsi="宋体" w:eastAsia="宋体" w:cs="宋体"/>
          <w:sz w:val="24"/>
          <w:szCs w:val="24"/>
        </w:rPr>
        <w:t>3.1.LED型光源；</w:t>
      </w:r>
    </w:p>
    <w:p w14:paraId="51C5F462">
      <w:pPr>
        <w:spacing w:line="0" w:lineRule="atLeast"/>
        <w:rPr>
          <w:rFonts w:hint="eastAsia" w:ascii="宋体" w:hAnsi="宋体" w:eastAsia="宋体" w:cs="宋体"/>
          <w:sz w:val="24"/>
          <w:szCs w:val="24"/>
        </w:rPr>
      </w:pPr>
      <w:r>
        <w:rPr>
          <w:rFonts w:hint="eastAsia" w:ascii="宋体" w:hAnsi="宋体" w:eastAsia="宋体" w:cs="宋体"/>
          <w:sz w:val="24"/>
          <w:szCs w:val="24"/>
        </w:rPr>
        <w:t>3.2.使用寿命≥60000h；</w:t>
      </w:r>
    </w:p>
    <w:p w14:paraId="71F64002">
      <w:pPr>
        <w:spacing w:line="0" w:lineRule="atLeast"/>
        <w:rPr>
          <w:rFonts w:hint="eastAsia" w:ascii="宋体" w:hAnsi="宋体" w:eastAsia="宋体" w:cs="宋体"/>
          <w:sz w:val="24"/>
          <w:szCs w:val="24"/>
        </w:rPr>
      </w:pPr>
      <w:r>
        <w:rPr>
          <w:rFonts w:hint="eastAsia" w:ascii="宋体" w:hAnsi="宋体" w:eastAsia="宋体" w:cs="宋体"/>
          <w:sz w:val="24"/>
          <w:szCs w:val="24"/>
        </w:rPr>
        <w:t>3.3.显色指数：≥90；</w:t>
      </w:r>
    </w:p>
    <w:p w14:paraId="550FA5B9">
      <w:pPr>
        <w:spacing w:line="0" w:lineRule="atLeast"/>
        <w:rPr>
          <w:rFonts w:hint="eastAsia" w:ascii="宋体" w:hAnsi="宋体" w:eastAsia="宋体" w:cs="宋体"/>
          <w:sz w:val="24"/>
          <w:szCs w:val="24"/>
        </w:rPr>
      </w:pPr>
      <w:r>
        <w:rPr>
          <w:rFonts w:hint="eastAsia" w:ascii="宋体" w:hAnsi="宋体" w:eastAsia="宋体" w:cs="宋体"/>
          <w:sz w:val="24"/>
          <w:szCs w:val="24"/>
        </w:rPr>
        <w:t>3.4.色温：3000K～7000K；</w:t>
      </w:r>
    </w:p>
    <w:p w14:paraId="400AAF8C">
      <w:pPr>
        <w:spacing w:line="0" w:lineRule="atLeast"/>
        <w:rPr>
          <w:rFonts w:hint="eastAsia" w:ascii="宋体" w:hAnsi="宋体" w:eastAsia="宋体" w:cs="宋体"/>
          <w:sz w:val="24"/>
          <w:szCs w:val="24"/>
        </w:rPr>
      </w:pPr>
      <w:r>
        <w:rPr>
          <w:rFonts w:hint="eastAsia" w:ascii="宋体" w:hAnsi="宋体" w:eastAsia="宋体" w:cs="宋体"/>
          <w:sz w:val="24"/>
          <w:szCs w:val="24"/>
        </w:rPr>
        <w:t>3.5.输出总光通量：≥550 lm；</w:t>
      </w:r>
    </w:p>
    <w:p w14:paraId="30653AB0">
      <w:pPr>
        <w:spacing w:line="0" w:lineRule="atLeast"/>
        <w:rPr>
          <w:rFonts w:hint="eastAsia" w:ascii="宋体" w:hAnsi="宋体" w:eastAsia="宋体" w:cs="宋体"/>
          <w:sz w:val="24"/>
          <w:szCs w:val="24"/>
        </w:rPr>
      </w:pPr>
      <w:r>
        <w:rPr>
          <w:rFonts w:hint="eastAsia" w:ascii="宋体" w:hAnsi="宋体" w:eastAsia="宋体" w:cs="宋体"/>
          <w:sz w:val="24"/>
          <w:szCs w:val="24"/>
        </w:rPr>
        <w:t>3.6.冷光源的光输出孔与照明用光缆采用插接式连接，光输出孔:10mm；</w:t>
      </w:r>
    </w:p>
    <w:p w14:paraId="488CDEAD">
      <w:pPr>
        <w:spacing w:line="0" w:lineRule="atLeast"/>
        <w:rPr>
          <w:rFonts w:hint="eastAsia" w:ascii="宋体" w:hAnsi="宋体" w:eastAsia="宋体" w:cs="宋体"/>
          <w:sz w:val="24"/>
          <w:szCs w:val="24"/>
        </w:rPr>
      </w:pPr>
      <w:r>
        <w:rPr>
          <w:rFonts w:hint="eastAsia" w:ascii="宋体" w:hAnsi="宋体" w:eastAsia="宋体" w:cs="宋体"/>
          <w:sz w:val="24"/>
          <w:szCs w:val="24"/>
        </w:rPr>
        <w:t>3.7.≥7英寸触摸显示屏；</w:t>
      </w:r>
    </w:p>
    <w:p w14:paraId="72808D87">
      <w:pPr>
        <w:spacing w:line="0" w:lineRule="atLeast"/>
        <w:rPr>
          <w:rFonts w:hint="eastAsia" w:ascii="宋体" w:hAnsi="宋体" w:eastAsia="宋体" w:cs="宋体"/>
          <w:sz w:val="24"/>
          <w:szCs w:val="24"/>
        </w:rPr>
      </w:pPr>
      <w:r>
        <w:rPr>
          <w:rFonts w:hint="eastAsia" w:ascii="宋体" w:hAnsi="宋体" w:eastAsia="宋体" w:cs="宋体"/>
          <w:sz w:val="24"/>
          <w:szCs w:val="24"/>
        </w:rPr>
        <w:t>3.8.亮度百分比显示功能：显示即时亮度百分比值，调节范围为5%-100%</w:t>
      </w:r>
    </w:p>
    <w:p w14:paraId="7BC5484D">
      <w:pPr>
        <w:spacing w:line="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rPr>
        <w:t>3.9.工作时长显示功能：显示工作累计时间，提示LED光源模组的使用寿命；</w:t>
      </w:r>
    </w:p>
    <w:p w14:paraId="7AB36C58">
      <w:pPr>
        <w:spacing w:line="0" w:lineRule="atLeast"/>
        <w:rPr>
          <w:rFonts w:hint="eastAsia" w:ascii="宋体" w:hAnsi="宋体" w:eastAsia="宋体" w:cs="宋体"/>
          <w:sz w:val="24"/>
          <w:szCs w:val="24"/>
        </w:rPr>
      </w:pPr>
      <w:r>
        <w:rPr>
          <w:rFonts w:hint="eastAsia" w:ascii="宋体" w:hAnsi="宋体" w:eastAsia="宋体" w:cs="宋体"/>
          <w:sz w:val="24"/>
          <w:szCs w:val="24"/>
        </w:rPr>
        <w:t>3.10.即时模组温度显示功能；</w:t>
      </w:r>
    </w:p>
    <w:p w14:paraId="0A78F34E">
      <w:pPr>
        <w:spacing w:line="0" w:lineRule="atLeast"/>
        <w:rPr>
          <w:rFonts w:hint="eastAsia" w:ascii="宋体" w:hAnsi="宋体" w:eastAsia="宋体" w:cs="宋体"/>
          <w:sz w:val="24"/>
          <w:szCs w:val="24"/>
        </w:rPr>
      </w:pPr>
      <w:r>
        <w:rPr>
          <w:rFonts w:hint="eastAsia" w:ascii="宋体" w:hAnsi="宋体" w:eastAsia="宋体" w:cs="宋体"/>
          <w:sz w:val="24"/>
          <w:szCs w:val="24"/>
        </w:rPr>
        <w:t>3.11.主导光束插口有保护装置，意外拔出自动关闭保护；</w:t>
      </w:r>
    </w:p>
    <w:p w14:paraId="3079A6FD">
      <w:pPr>
        <w:spacing w:line="0" w:lineRule="atLeast"/>
        <w:rPr>
          <w:rFonts w:hint="eastAsia" w:ascii="宋体" w:hAnsi="宋体" w:eastAsia="宋体" w:cs="宋体"/>
          <w:sz w:val="24"/>
          <w:szCs w:val="24"/>
        </w:rPr>
      </w:pPr>
      <w:r>
        <w:rPr>
          <w:rFonts w:hint="eastAsia" w:ascii="宋体" w:hAnsi="宋体" w:eastAsia="宋体" w:cs="宋体"/>
          <w:sz w:val="24"/>
          <w:szCs w:val="24"/>
        </w:rPr>
        <w:t>3.12.光源具备待机功能，直接开启照明，无需每次开关机。</w:t>
      </w:r>
    </w:p>
    <w:p w14:paraId="4119DF63">
      <w:pPr>
        <w:spacing w:line="0" w:lineRule="atLeast"/>
        <w:rPr>
          <w:rFonts w:hint="eastAsia" w:ascii="宋体" w:hAnsi="宋体" w:eastAsia="宋体" w:cs="宋体"/>
          <w:sz w:val="24"/>
          <w:szCs w:val="24"/>
        </w:rPr>
      </w:pPr>
    </w:p>
    <w:p w14:paraId="5B14934F">
      <w:pPr>
        <w:spacing w:line="0" w:lineRule="atLeast"/>
        <w:rPr>
          <w:rFonts w:hint="eastAsia" w:ascii="宋体" w:hAnsi="宋体" w:eastAsia="宋体" w:cs="宋体"/>
          <w:sz w:val="24"/>
          <w:szCs w:val="24"/>
        </w:rPr>
      </w:pPr>
    </w:p>
    <w:p w14:paraId="45C76384">
      <w:pPr>
        <w:spacing w:line="0" w:lineRule="atLeast"/>
        <w:rPr>
          <w:rFonts w:hint="eastAsia" w:ascii="宋体" w:hAnsi="宋体" w:eastAsia="宋体" w:cs="宋体"/>
          <w:sz w:val="24"/>
          <w:szCs w:val="24"/>
        </w:rPr>
      </w:pPr>
    </w:p>
    <w:tbl>
      <w:tblPr>
        <w:tblStyle w:val="35"/>
        <w:tblW w:w="8897" w:type="dxa"/>
        <w:tblInd w:w="0" w:type="dxa"/>
        <w:tblLayout w:type="fixed"/>
        <w:tblCellMar>
          <w:top w:w="0" w:type="dxa"/>
          <w:left w:w="108" w:type="dxa"/>
          <w:bottom w:w="0" w:type="dxa"/>
          <w:right w:w="108" w:type="dxa"/>
        </w:tblCellMar>
      </w:tblPr>
      <w:tblGrid>
        <w:gridCol w:w="736"/>
        <w:gridCol w:w="2236"/>
        <w:gridCol w:w="4224"/>
        <w:gridCol w:w="709"/>
        <w:gridCol w:w="992"/>
      </w:tblGrid>
      <w:tr w14:paraId="10A3645A">
        <w:tblPrEx>
          <w:tblCellMar>
            <w:top w:w="0" w:type="dxa"/>
            <w:left w:w="108" w:type="dxa"/>
            <w:bottom w:w="0" w:type="dxa"/>
            <w:right w:w="108" w:type="dxa"/>
          </w:tblCellMar>
        </w:tblPrEx>
        <w:trPr>
          <w:trHeight w:val="345" w:hRule="atLeast"/>
        </w:trPr>
        <w:tc>
          <w:tcPr>
            <w:tcW w:w="8897" w:type="dxa"/>
            <w:gridSpan w:val="5"/>
            <w:tcBorders>
              <w:top w:val="single" w:color="000000" w:sz="4" w:space="0"/>
              <w:left w:val="single" w:color="000000" w:sz="4" w:space="0"/>
              <w:bottom w:val="single" w:color="000000" w:sz="4" w:space="0"/>
              <w:right w:val="single" w:color="auto" w:sz="4" w:space="0"/>
            </w:tcBorders>
            <w:vAlign w:val="bottom"/>
          </w:tcPr>
          <w:p w14:paraId="50E1CEF3">
            <w:pPr>
              <w:widowControl/>
              <w:spacing w:line="0" w:lineRule="atLeast"/>
              <w:ind w:firstLine="2409" w:firstLineChars="1000"/>
              <w:rPr>
                <w:rFonts w:hint="eastAsia" w:ascii="宋体" w:hAnsi="宋体" w:eastAsia="宋体" w:cs="宋体"/>
                <w:b/>
                <w:sz w:val="24"/>
                <w:szCs w:val="24"/>
              </w:rPr>
            </w:pPr>
            <w:r>
              <w:rPr>
                <w:rFonts w:hint="eastAsia" w:ascii="宋体" w:hAnsi="宋体" w:eastAsia="宋体" w:cs="宋体"/>
                <w:b/>
                <w:kern w:val="0"/>
                <w:sz w:val="24"/>
                <w:szCs w:val="24"/>
              </w:rPr>
              <w:t>4K超高清摄像主机系统配置清单</w:t>
            </w:r>
          </w:p>
        </w:tc>
      </w:tr>
      <w:tr w14:paraId="1C2CB836">
        <w:tblPrEx>
          <w:tblCellMar>
            <w:top w:w="0" w:type="dxa"/>
            <w:left w:w="108" w:type="dxa"/>
            <w:bottom w:w="0" w:type="dxa"/>
            <w:right w:w="108" w:type="dxa"/>
          </w:tblCellMar>
        </w:tblPrEx>
        <w:trPr>
          <w:trHeight w:val="345" w:hRule="atLeast"/>
        </w:trPr>
        <w:tc>
          <w:tcPr>
            <w:tcW w:w="736" w:type="dxa"/>
            <w:tcBorders>
              <w:top w:val="nil"/>
              <w:left w:val="single" w:color="auto" w:sz="4" w:space="0"/>
              <w:bottom w:val="single" w:color="auto" w:sz="4" w:space="0"/>
              <w:right w:val="single" w:color="auto" w:sz="4" w:space="0"/>
            </w:tcBorders>
            <w:vAlign w:val="center"/>
          </w:tcPr>
          <w:p w14:paraId="4108E873">
            <w:pPr>
              <w:widowControl/>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236" w:type="dxa"/>
            <w:tcBorders>
              <w:top w:val="nil"/>
              <w:left w:val="nil"/>
              <w:bottom w:val="single" w:color="auto" w:sz="4" w:space="0"/>
              <w:right w:val="single" w:color="auto" w:sz="4" w:space="0"/>
            </w:tcBorders>
            <w:vAlign w:val="center"/>
          </w:tcPr>
          <w:p w14:paraId="4345F9AC">
            <w:pPr>
              <w:widowControl/>
              <w:spacing w:line="0" w:lineRule="atLeast"/>
              <w:jc w:val="center"/>
              <w:rPr>
                <w:rFonts w:hint="eastAsia" w:ascii="宋体" w:hAnsi="宋体" w:eastAsia="宋体" w:cs="宋体"/>
                <w:bCs/>
                <w:kern w:val="0"/>
                <w:sz w:val="24"/>
                <w:szCs w:val="24"/>
              </w:rPr>
            </w:pPr>
            <w:r>
              <w:rPr>
                <w:rFonts w:hint="eastAsia" w:ascii="宋体" w:hAnsi="宋体" w:eastAsia="宋体" w:cs="宋体"/>
                <w:bCs/>
                <w:kern w:val="0"/>
                <w:sz w:val="24"/>
                <w:szCs w:val="24"/>
              </w:rPr>
              <w:t>4K内窥镜摄像主机</w:t>
            </w:r>
          </w:p>
        </w:tc>
        <w:tc>
          <w:tcPr>
            <w:tcW w:w="4224" w:type="dxa"/>
            <w:tcBorders>
              <w:top w:val="nil"/>
              <w:left w:val="nil"/>
              <w:bottom w:val="single" w:color="auto" w:sz="4" w:space="0"/>
              <w:right w:val="single" w:color="auto" w:sz="4" w:space="0"/>
            </w:tcBorders>
            <w:vAlign w:val="center"/>
          </w:tcPr>
          <w:p w14:paraId="1683AAC7">
            <w:pPr>
              <w:widowControl/>
              <w:spacing w:line="0" w:lineRule="atLeast"/>
              <w:rPr>
                <w:rFonts w:hint="eastAsia" w:ascii="宋体" w:hAnsi="宋体" w:eastAsia="宋体" w:cs="宋体"/>
                <w:bCs/>
                <w:kern w:val="0"/>
                <w:sz w:val="24"/>
                <w:szCs w:val="24"/>
              </w:rPr>
            </w:pPr>
            <w:r>
              <w:rPr>
                <w:rFonts w:hint="eastAsia" w:ascii="宋体" w:hAnsi="宋体" w:eastAsia="宋体" w:cs="宋体"/>
                <w:sz w:val="24"/>
                <w:szCs w:val="24"/>
              </w:rPr>
              <w:t>≥7英寸液晶触摸控制屏；采用全数字化超低噪声4KCMOS传感器;分辨率3840*2160；光学变焦接口F13-32mm</w:t>
            </w:r>
          </w:p>
        </w:tc>
        <w:tc>
          <w:tcPr>
            <w:tcW w:w="709" w:type="dxa"/>
            <w:tcBorders>
              <w:top w:val="nil"/>
              <w:left w:val="nil"/>
              <w:bottom w:val="single" w:color="auto" w:sz="4" w:space="0"/>
              <w:right w:val="single" w:color="auto" w:sz="4" w:space="0"/>
            </w:tcBorders>
            <w:vAlign w:val="center"/>
          </w:tcPr>
          <w:p w14:paraId="38632FF1">
            <w:pPr>
              <w:widowControl/>
              <w:spacing w:line="0" w:lineRule="atLeast"/>
              <w:jc w:val="center"/>
              <w:rPr>
                <w:rFonts w:hint="eastAsia" w:ascii="宋体" w:hAnsi="宋体" w:eastAsia="宋体" w:cs="宋体"/>
                <w:bCs/>
                <w:kern w:val="0"/>
                <w:sz w:val="24"/>
                <w:szCs w:val="24"/>
              </w:rPr>
            </w:pPr>
            <w:r>
              <w:rPr>
                <w:rFonts w:hint="eastAsia" w:ascii="宋体" w:hAnsi="宋体" w:eastAsia="宋体" w:cs="宋体"/>
                <w:bCs/>
                <w:kern w:val="0"/>
                <w:sz w:val="24"/>
                <w:szCs w:val="24"/>
              </w:rPr>
              <w:t>1台</w:t>
            </w:r>
          </w:p>
        </w:tc>
        <w:tc>
          <w:tcPr>
            <w:tcW w:w="992" w:type="dxa"/>
            <w:tcBorders>
              <w:top w:val="nil"/>
              <w:left w:val="single" w:color="auto" w:sz="4" w:space="0"/>
              <w:bottom w:val="single" w:color="auto" w:sz="4" w:space="0"/>
              <w:right w:val="single" w:color="auto" w:sz="4" w:space="0"/>
            </w:tcBorders>
            <w:vAlign w:val="center"/>
          </w:tcPr>
          <w:p w14:paraId="26AD9A3A">
            <w:pPr>
              <w:widowControl/>
              <w:spacing w:line="0" w:lineRule="atLeast"/>
              <w:jc w:val="center"/>
              <w:rPr>
                <w:rFonts w:hint="eastAsia" w:ascii="宋体" w:hAnsi="宋体" w:eastAsia="宋体" w:cs="宋体"/>
                <w:kern w:val="0"/>
                <w:sz w:val="24"/>
                <w:szCs w:val="24"/>
              </w:rPr>
            </w:pPr>
          </w:p>
        </w:tc>
      </w:tr>
      <w:tr w14:paraId="1E01E31A">
        <w:tblPrEx>
          <w:tblCellMar>
            <w:top w:w="0" w:type="dxa"/>
            <w:left w:w="108" w:type="dxa"/>
            <w:bottom w:w="0" w:type="dxa"/>
            <w:right w:w="108" w:type="dxa"/>
          </w:tblCellMar>
        </w:tblPrEx>
        <w:trPr>
          <w:trHeight w:val="345" w:hRule="atLeast"/>
        </w:trPr>
        <w:tc>
          <w:tcPr>
            <w:tcW w:w="736" w:type="dxa"/>
            <w:tcBorders>
              <w:top w:val="nil"/>
              <w:left w:val="single" w:color="auto" w:sz="4" w:space="0"/>
              <w:bottom w:val="single" w:color="auto" w:sz="4" w:space="0"/>
              <w:right w:val="single" w:color="auto" w:sz="4" w:space="0"/>
            </w:tcBorders>
            <w:vAlign w:val="center"/>
          </w:tcPr>
          <w:p w14:paraId="3D50133E">
            <w:pPr>
              <w:widowControl/>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236" w:type="dxa"/>
            <w:tcBorders>
              <w:top w:val="nil"/>
              <w:left w:val="nil"/>
              <w:bottom w:val="single" w:color="auto" w:sz="4" w:space="0"/>
              <w:right w:val="single" w:color="auto" w:sz="4" w:space="0"/>
            </w:tcBorders>
            <w:vAlign w:val="center"/>
          </w:tcPr>
          <w:p w14:paraId="0AEF4F6B">
            <w:pPr>
              <w:widowControl/>
              <w:spacing w:line="0" w:lineRule="atLeast"/>
              <w:jc w:val="center"/>
              <w:rPr>
                <w:rFonts w:hint="eastAsia" w:ascii="宋体" w:hAnsi="宋体" w:eastAsia="宋体" w:cs="宋体"/>
                <w:bCs/>
                <w:kern w:val="0"/>
                <w:sz w:val="24"/>
                <w:szCs w:val="24"/>
              </w:rPr>
            </w:pPr>
            <w:r>
              <w:rPr>
                <w:rFonts w:hint="eastAsia" w:ascii="宋体" w:hAnsi="宋体" w:eastAsia="宋体" w:cs="宋体"/>
                <w:bCs/>
                <w:kern w:val="0"/>
                <w:sz w:val="24"/>
                <w:szCs w:val="24"/>
              </w:rPr>
              <w:t>32寸超高清监视器</w:t>
            </w:r>
          </w:p>
        </w:tc>
        <w:tc>
          <w:tcPr>
            <w:tcW w:w="4224" w:type="dxa"/>
            <w:tcBorders>
              <w:top w:val="nil"/>
              <w:left w:val="nil"/>
              <w:bottom w:val="single" w:color="auto" w:sz="4" w:space="0"/>
              <w:right w:val="single" w:color="auto" w:sz="4" w:space="0"/>
            </w:tcBorders>
            <w:vAlign w:val="center"/>
          </w:tcPr>
          <w:p w14:paraId="5DDB7298">
            <w:pPr>
              <w:widowControl/>
              <w:spacing w:line="0" w:lineRule="atLeast"/>
              <w:rPr>
                <w:rFonts w:hint="eastAsia" w:ascii="宋体" w:hAnsi="宋体" w:eastAsia="宋体" w:cs="宋体"/>
                <w:bCs/>
                <w:kern w:val="0"/>
                <w:sz w:val="24"/>
                <w:szCs w:val="24"/>
              </w:rPr>
            </w:pPr>
            <w:r>
              <w:rPr>
                <w:rFonts w:hint="eastAsia" w:ascii="宋体" w:hAnsi="宋体" w:eastAsia="宋体" w:cs="宋体"/>
                <w:bCs/>
                <w:kern w:val="0"/>
                <w:sz w:val="24"/>
                <w:szCs w:val="24"/>
              </w:rPr>
              <w:t xml:space="preserve">分辨率：3840×2160 </w:t>
            </w:r>
          </w:p>
        </w:tc>
        <w:tc>
          <w:tcPr>
            <w:tcW w:w="709" w:type="dxa"/>
            <w:tcBorders>
              <w:top w:val="nil"/>
              <w:left w:val="nil"/>
              <w:bottom w:val="single" w:color="auto" w:sz="4" w:space="0"/>
              <w:right w:val="single" w:color="auto" w:sz="4" w:space="0"/>
            </w:tcBorders>
            <w:vAlign w:val="center"/>
          </w:tcPr>
          <w:p w14:paraId="4817289C">
            <w:pPr>
              <w:widowControl/>
              <w:spacing w:line="0" w:lineRule="atLeast"/>
              <w:jc w:val="center"/>
              <w:rPr>
                <w:rFonts w:hint="eastAsia" w:ascii="宋体" w:hAnsi="宋体" w:eastAsia="宋体" w:cs="宋体"/>
                <w:bCs/>
                <w:kern w:val="0"/>
                <w:sz w:val="24"/>
                <w:szCs w:val="24"/>
              </w:rPr>
            </w:pPr>
            <w:r>
              <w:rPr>
                <w:rFonts w:hint="eastAsia" w:ascii="宋体" w:hAnsi="宋体" w:eastAsia="宋体" w:cs="宋体"/>
                <w:bCs/>
                <w:kern w:val="0"/>
                <w:sz w:val="24"/>
                <w:szCs w:val="24"/>
              </w:rPr>
              <w:t>1台</w:t>
            </w:r>
          </w:p>
        </w:tc>
        <w:tc>
          <w:tcPr>
            <w:tcW w:w="992" w:type="dxa"/>
            <w:tcBorders>
              <w:top w:val="nil"/>
              <w:left w:val="single" w:color="auto" w:sz="4" w:space="0"/>
              <w:bottom w:val="single" w:color="auto" w:sz="4" w:space="0"/>
              <w:right w:val="single" w:color="auto" w:sz="4" w:space="0"/>
            </w:tcBorders>
            <w:vAlign w:val="center"/>
          </w:tcPr>
          <w:p w14:paraId="0F9D8364">
            <w:pPr>
              <w:widowControl/>
              <w:spacing w:line="0" w:lineRule="atLeast"/>
              <w:jc w:val="center"/>
              <w:rPr>
                <w:rFonts w:hint="eastAsia" w:ascii="宋体" w:hAnsi="宋体" w:eastAsia="宋体" w:cs="宋体"/>
                <w:kern w:val="0"/>
                <w:sz w:val="24"/>
                <w:szCs w:val="24"/>
              </w:rPr>
            </w:pPr>
          </w:p>
        </w:tc>
      </w:tr>
      <w:tr w14:paraId="0552B927">
        <w:tblPrEx>
          <w:tblCellMar>
            <w:top w:w="0" w:type="dxa"/>
            <w:left w:w="108" w:type="dxa"/>
            <w:bottom w:w="0" w:type="dxa"/>
            <w:right w:w="108" w:type="dxa"/>
          </w:tblCellMar>
        </w:tblPrEx>
        <w:trPr>
          <w:trHeight w:val="345" w:hRule="atLeast"/>
        </w:trPr>
        <w:tc>
          <w:tcPr>
            <w:tcW w:w="736" w:type="dxa"/>
            <w:tcBorders>
              <w:top w:val="nil"/>
              <w:left w:val="single" w:color="auto" w:sz="4" w:space="0"/>
              <w:bottom w:val="single" w:color="auto" w:sz="4" w:space="0"/>
              <w:right w:val="single" w:color="auto" w:sz="4" w:space="0"/>
            </w:tcBorders>
            <w:vAlign w:val="center"/>
          </w:tcPr>
          <w:p w14:paraId="5CD1BBAF">
            <w:pPr>
              <w:widowControl/>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236" w:type="dxa"/>
            <w:tcBorders>
              <w:top w:val="nil"/>
              <w:left w:val="nil"/>
              <w:bottom w:val="single" w:color="auto" w:sz="4" w:space="0"/>
              <w:right w:val="single" w:color="auto" w:sz="4" w:space="0"/>
            </w:tcBorders>
            <w:vAlign w:val="center"/>
          </w:tcPr>
          <w:p w14:paraId="2E3F4C54">
            <w:pPr>
              <w:widowControl/>
              <w:spacing w:line="0" w:lineRule="atLeast"/>
              <w:rPr>
                <w:rFonts w:hint="eastAsia" w:ascii="宋体" w:hAnsi="宋体" w:eastAsia="宋体" w:cs="宋体"/>
                <w:bCs/>
                <w:kern w:val="0"/>
                <w:sz w:val="24"/>
                <w:szCs w:val="24"/>
              </w:rPr>
            </w:pPr>
            <w:r>
              <w:rPr>
                <w:rFonts w:hint="eastAsia" w:ascii="宋体" w:hAnsi="宋体" w:eastAsia="宋体" w:cs="宋体"/>
                <w:bCs/>
                <w:kern w:val="0"/>
                <w:sz w:val="24"/>
                <w:szCs w:val="24"/>
              </w:rPr>
              <w:t>医用LED冷光源</w:t>
            </w:r>
          </w:p>
        </w:tc>
        <w:tc>
          <w:tcPr>
            <w:tcW w:w="4224" w:type="dxa"/>
            <w:tcBorders>
              <w:top w:val="nil"/>
              <w:left w:val="nil"/>
              <w:bottom w:val="single" w:color="auto" w:sz="4" w:space="0"/>
              <w:right w:val="single" w:color="auto" w:sz="4" w:space="0"/>
            </w:tcBorders>
            <w:vAlign w:val="center"/>
          </w:tcPr>
          <w:p w14:paraId="2B70259E">
            <w:pPr>
              <w:widowControl/>
              <w:spacing w:line="0" w:lineRule="atLeast"/>
              <w:rPr>
                <w:rFonts w:hint="eastAsia" w:ascii="宋体" w:hAnsi="宋体" w:eastAsia="宋体" w:cs="宋体"/>
                <w:bCs/>
                <w:kern w:val="0"/>
                <w:sz w:val="24"/>
                <w:szCs w:val="24"/>
              </w:rPr>
            </w:pPr>
            <w:r>
              <w:rPr>
                <w:rFonts w:hint="eastAsia" w:ascii="宋体" w:hAnsi="宋体" w:eastAsia="宋体" w:cs="宋体"/>
                <w:bCs/>
                <w:kern w:val="0"/>
                <w:sz w:val="24"/>
                <w:szCs w:val="24"/>
              </w:rPr>
              <w:t>LED 灯组 寿命</w:t>
            </w:r>
            <w:r>
              <w:rPr>
                <w:rFonts w:hint="eastAsia" w:ascii="宋体" w:hAnsi="宋体" w:eastAsia="宋体" w:cs="宋体"/>
                <w:sz w:val="24"/>
                <w:szCs w:val="24"/>
              </w:rPr>
              <w:t>≥</w:t>
            </w:r>
            <w:r>
              <w:rPr>
                <w:rFonts w:hint="eastAsia" w:ascii="宋体" w:hAnsi="宋体" w:eastAsia="宋体" w:cs="宋体"/>
                <w:bCs/>
                <w:kern w:val="0"/>
                <w:sz w:val="24"/>
                <w:szCs w:val="24"/>
              </w:rPr>
              <w:t>60000h</w:t>
            </w:r>
          </w:p>
        </w:tc>
        <w:tc>
          <w:tcPr>
            <w:tcW w:w="709" w:type="dxa"/>
            <w:tcBorders>
              <w:top w:val="nil"/>
              <w:left w:val="nil"/>
              <w:bottom w:val="single" w:color="auto" w:sz="4" w:space="0"/>
              <w:right w:val="single" w:color="auto" w:sz="4" w:space="0"/>
            </w:tcBorders>
            <w:vAlign w:val="center"/>
          </w:tcPr>
          <w:p w14:paraId="70E0A29E">
            <w:pPr>
              <w:widowControl/>
              <w:spacing w:line="0" w:lineRule="atLeast"/>
              <w:jc w:val="center"/>
              <w:rPr>
                <w:rFonts w:hint="eastAsia" w:ascii="宋体" w:hAnsi="宋体" w:eastAsia="宋体" w:cs="宋体"/>
                <w:bCs/>
                <w:kern w:val="0"/>
                <w:sz w:val="24"/>
                <w:szCs w:val="24"/>
              </w:rPr>
            </w:pPr>
            <w:r>
              <w:rPr>
                <w:rFonts w:hint="eastAsia" w:ascii="宋体" w:hAnsi="宋体" w:eastAsia="宋体" w:cs="宋体"/>
                <w:bCs/>
                <w:kern w:val="0"/>
                <w:sz w:val="24"/>
                <w:szCs w:val="24"/>
              </w:rPr>
              <w:t>1台</w:t>
            </w:r>
          </w:p>
        </w:tc>
        <w:tc>
          <w:tcPr>
            <w:tcW w:w="992" w:type="dxa"/>
            <w:tcBorders>
              <w:top w:val="nil"/>
              <w:left w:val="single" w:color="auto" w:sz="4" w:space="0"/>
              <w:bottom w:val="single" w:color="auto" w:sz="4" w:space="0"/>
              <w:right w:val="single" w:color="auto" w:sz="4" w:space="0"/>
            </w:tcBorders>
            <w:vAlign w:val="center"/>
          </w:tcPr>
          <w:p w14:paraId="1CBECB2D">
            <w:pPr>
              <w:widowControl/>
              <w:spacing w:line="0" w:lineRule="atLeast"/>
              <w:jc w:val="center"/>
              <w:rPr>
                <w:rFonts w:hint="eastAsia" w:ascii="宋体" w:hAnsi="宋体" w:eastAsia="宋体" w:cs="宋体"/>
                <w:kern w:val="0"/>
                <w:sz w:val="24"/>
                <w:szCs w:val="24"/>
              </w:rPr>
            </w:pPr>
          </w:p>
        </w:tc>
      </w:tr>
      <w:tr w14:paraId="4BFD8992">
        <w:tblPrEx>
          <w:tblCellMar>
            <w:top w:w="0" w:type="dxa"/>
            <w:left w:w="108" w:type="dxa"/>
            <w:bottom w:w="0" w:type="dxa"/>
            <w:right w:w="108" w:type="dxa"/>
          </w:tblCellMar>
        </w:tblPrEx>
        <w:trPr>
          <w:trHeight w:val="345" w:hRule="atLeast"/>
        </w:trPr>
        <w:tc>
          <w:tcPr>
            <w:tcW w:w="736" w:type="dxa"/>
            <w:tcBorders>
              <w:top w:val="nil"/>
              <w:left w:val="single" w:color="auto" w:sz="4" w:space="0"/>
              <w:bottom w:val="single" w:color="auto" w:sz="4" w:space="0"/>
              <w:right w:val="single" w:color="auto" w:sz="4" w:space="0"/>
            </w:tcBorders>
            <w:vAlign w:val="center"/>
          </w:tcPr>
          <w:p w14:paraId="5AB935F8">
            <w:pPr>
              <w:widowControl/>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2236" w:type="dxa"/>
            <w:tcBorders>
              <w:top w:val="nil"/>
              <w:left w:val="nil"/>
              <w:bottom w:val="single" w:color="auto" w:sz="4" w:space="0"/>
              <w:right w:val="single" w:color="auto" w:sz="4" w:space="0"/>
            </w:tcBorders>
            <w:vAlign w:val="center"/>
          </w:tcPr>
          <w:p w14:paraId="03252EDA">
            <w:pPr>
              <w:widowControl/>
              <w:spacing w:line="0" w:lineRule="atLeast"/>
              <w:rPr>
                <w:rFonts w:hint="eastAsia" w:ascii="宋体" w:hAnsi="宋体" w:eastAsia="宋体" w:cs="宋体"/>
                <w:bCs/>
                <w:kern w:val="0"/>
                <w:sz w:val="24"/>
                <w:szCs w:val="24"/>
              </w:rPr>
            </w:pPr>
            <w:r>
              <w:rPr>
                <w:rFonts w:hint="eastAsia" w:ascii="宋体" w:hAnsi="宋体" w:eastAsia="宋体" w:cs="宋体"/>
                <w:bCs/>
                <w:kern w:val="0"/>
                <w:sz w:val="24"/>
                <w:szCs w:val="24"/>
              </w:rPr>
              <w:t>专用台车</w:t>
            </w:r>
          </w:p>
        </w:tc>
        <w:tc>
          <w:tcPr>
            <w:tcW w:w="4224" w:type="dxa"/>
            <w:tcBorders>
              <w:top w:val="nil"/>
              <w:left w:val="nil"/>
              <w:bottom w:val="single" w:color="auto" w:sz="4" w:space="0"/>
              <w:right w:val="single" w:color="auto" w:sz="4" w:space="0"/>
            </w:tcBorders>
            <w:vAlign w:val="center"/>
          </w:tcPr>
          <w:p w14:paraId="087AC6DE">
            <w:pPr>
              <w:widowControl/>
              <w:spacing w:line="0" w:lineRule="atLeast"/>
              <w:rPr>
                <w:rFonts w:hint="eastAsia" w:ascii="宋体" w:hAnsi="宋体" w:eastAsia="宋体" w:cs="宋体"/>
                <w:bCs/>
                <w:kern w:val="0"/>
                <w:sz w:val="24"/>
                <w:szCs w:val="24"/>
              </w:rPr>
            </w:pPr>
            <w:r>
              <w:rPr>
                <w:rFonts w:hint="eastAsia" w:ascii="宋体" w:hAnsi="宋体" w:eastAsia="宋体" w:cs="宋体"/>
                <w:bCs/>
                <w:kern w:val="0"/>
                <w:sz w:val="24"/>
                <w:szCs w:val="24"/>
              </w:rPr>
              <w:t>5层；带支撑臂</w:t>
            </w:r>
          </w:p>
        </w:tc>
        <w:tc>
          <w:tcPr>
            <w:tcW w:w="709" w:type="dxa"/>
            <w:tcBorders>
              <w:top w:val="nil"/>
              <w:left w:val="nil"/>
              <w:bottom w:val="single" w:color="auto" w:sz="4" w:space="0"/>
              <w:right w:val="single" w:color="auto" w:sz="4" w:space="0"/>
            </w:tcBorders>
            <w:vAlign w:val="center"/>
          </w:tcPr>
          <w:p w14:paraId="31E45489">
            <w:pPr>
              <w:widowControl/>
              <w:spacing w:line="0" w:lineRule="atLeast"/>
              <w:jc w:val="center"/>
              <w:rPr>
                <w:rFonts w:hint="eastAsia" w:ascii="宋体" w:hAnsi="宋体" w:eastAsia="宋体" w:cs="宋体"/>
                <w:bCs/>
                <w:kern w:val="0"/>
                <w:sz w:val="24"/>
                <w:szCs w:val="24"/>
              </w:rPr>
            </w:pPr>
            <w:r>
              <w:rPr>
                <w:rFonts w:hint="eastAsia" w:ascii="宋体" w:hAnsi="宋体" w:eastAsia="宋体" w:cs="宋体"/>
                <w:bCs/>
                <w:kern w:val="0"/>
                <w:sz w:val="24"/>
                <w:szCs w:val="24"/>
              </w:rPr>
              <w:t>1台</w:t>
            </w:r>
          </w:p>
        </w:tc>
        <w:tc>
          <w:tcPr>
            <w:tcW w:w="992" w:type="dxa"/>
            <w:tcBorders>
              <w:top w:val="nil"/>
              <w:left w:val="single" w:color="auto" w:sz="4" w:space="0"/>
              <w:bottom w:val="single" w:color="auto" w:sz="4" w:space="0"/>
              <w:right w:val="single" w:color="auto" w:sz="4" w:space="0"/>
            </w:tcBorders>
            <w:vAlign w:val="center"/>
          </w:tcPr>
          <w:p w14:paraId="2F3D0C4E">
            <w:pPr>
              <w:widowControl/>
              <w:spacing w:line="0" w:lineRule="atLeast"/>
              <w:jc w:val="center"/>
              <w:rPr>
                <w:rFonts w:hint="eastAsia" w:ascii="宋体" w:hAnsi="宋体" w:eastAsia="宋体" w:cs="宋体"/>
                <w:kern w:val="0"/>
                <w:sz w:val="24"/>
                <w:szCs w:val="24"/>
              </w:rPr>
            </w:pPr>
          </w:p>
        </w:tc>
      </w:tr>
    </w:tbl>
    <w:p w14:paraId="74637707">
      <w:pPr>
        <w:widowControl/>
        <w:adjustRightInd w:val="0"/>
        <w:snapToGrid w:val="0"/>
        <w:spacing w:line="0" w:lineRule="atLeast"/>
        <w:jc w:val="left"/>
        <w:rPr>
          <w:rFonts w:hint="eastAsia" w:ascii="宋体" w:hAnsi="宋体" w:eastAsia="宋体" w:cs="宋体"/>
          <w:b/>
          <w:kern w:val="0"/>
          <w:sz w:val="24"/>
          <w:szCs w:val="24"/>
        </w:rPr>
      </w:pPr>
    </w:p>
    <w:p w14:paraId="4B961F52">
      <w:pPr>
        <w:widowControl/>
        <w:adjustRightInd w:val="0"/>
        <w:snapToGrid w:val="0"/>
        <w:spacing w:line="0" w:lineRule="atLeast"/>
        <w:jc w:val="center"/>
        <w:rPr>
          <w:rFonts w:hint="eastAsia" w:ascii="宋体" w:hAnsi="宋体" w:eastAsia="宋体" w:cs="宋体"/>
          <w:b/>
          <w:kern w:val="0"/>
          <w:sz w:val="24"/>
          <w:szCs w:val="24"/>
        </w:rPr>
      </w:pPr>
      <w:r>
        <w:rPr>
          <w:rFonts w:hint="eastAsia" w:ascii="宋体" w:hAnsi="宋体" w:eastAsia="宋体" w:cs="宋体"/>
          <w:b/>
          <w:kern w:val="0"/>
          <w:sz w:val="24"/>
          <w:szCs w:val="24"/>
        </w:rPr>
        <w:t>4、高清关节镜技术参数</w:t>
      </w:r>
    </w:p>
    <w:p w14:paraId="0CCBFDB3">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rPr>
        <w:t>4.1、视向角30°，镜体外径Φ4㎜，工作长度≥175mm；非球面；视场内装有三角形方向标。用于不同角度、方向的检查或治疗。其金属零件全部由符合制造外科器械的不锈钢材料制造；光学物镜前保护玻璃采用光洁、耐磨的蓝宝石材料；</w:t>
      </w:r>
    </w:p>
    <w:p w14:paraId="713A0E81">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rPr>
        <w:t>4.2、视场角：≥120°；</w:t>
      </w:r>
    </w:p>
    <w:p w14:paraId="3DD9E20B">
      <w:pPr>
        <w:spacing w:line="240" w:lineRule="atLeast"/>
        <w:rPr>
          <w:rFonts w:hint="eastAsia" w:ascii="宋体" w:hAnsi="宋体" w:eastAsia="宋体" w:cs="宋体"/>
          <w:sz w:val="24"/>
          <w:szCs w:val="24"/>
        </w:rPr>
      </w:pPr>
      <w:r>
        <w:rPr>
          <w:rFonts w:hint="eastAsia" w:ascii="宋体" w:hAnsi="宋体" w:eastAsia="宋体" w:cs="宋体"/>
          <w:sz w:val="24"/>
          <w:szCs w:val="24"/>
        </w:rPr>
        <w:t>4.3、视向角： 30°；</w:t>
      </w:r>
    </w:p>
    <w:p w14:paraId="49E7FABA">
      <w:pPr>
        <w:spacing w:line="240" w:lineRule="atLeast"/>
        <w:rPr>
          <w:rFonts w:hint="eastAsia" w:ascii="宋体" w:hAnsi="宋体" w:eastAsia="宋体" w:cs="宋体"/>
          <w:sz w:val="24"/>
          <w:szCs w:val="24"/>
        </w:rPr>
      </w:pPr>
      <w:r>
        <w:rPr>
          <w:rFonts w:hint="eastAsia" w:ascii="宋体" w:hAnsi="宋体" w:eastAsia="宋体" w:cs="宋体"/>
          <w:sz w:val="24"/>
          <w:szCs w:val="24"/>
        </w:rPr>
        <w:t>4.4、</w:t>
      </w:r>
      <w:r>
        <w:rPr>
          <w:rFonts w:hint="eastAsia" w:ascii="宋体" w:hAnsi="宋体" w:eastAsia="宋体" w:cs="宋体"/>
          <w:kern w:val="0"/>
          <w:sz w:val="24"/>
          <w:szCs w:val="24"/>
        </w:rPr>
        <w:t>有效光度率：</w:t>
      </w:r>
      <w:r>
        <w:rPr>
          <w:rFonts w:hint="eastAsia" w:ascii="宋体" w:hAnsi="宋体" w:eastAsia="宋体" w:cs="宋体"/>
          <w:sz w:val="24"/>
          <w:szCs w:val="24"/>
        </w:rPr>
        <w:t>≥</w:t>
      </w:r>
      <w:r>
        <w:rPr>
          <w:rFonts w:hint="eastAsia" w:ascii="宋体" w:hAnsi="宋体" w:eastAsia="宋体" w:cs="宋体"/>
          <w:kern w:val="0"/>
          <w:sz w:val="24"/>
          <w:szCs w:val="24"/>
        </w:rPr>
        <w:t>1500cd/(m²-Im)</w:t>
      </w:r>
    </w:p>
    <w:p w14:paraId="1ACDF1A1">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rPr>
        <w:t>4.5、视场中心角分辨力 :≥5.5 C/（°）；</w:t>
      </w:r>
    </w:p>
    <w:p w14:paraId="0E0F0DFF">
      <w:pPr>
        <w:spacing w:line="240" w:lineRule="atLeast"/>
        <w:rPr>
          <w:rFonts w:hint="eastAsia" w:ascii="宋体" w:hAnsi="宋体" w:eastAsia="宋体" w:cs="宋体"/>
          <w:sz w:val="24"/>
          <w:szCs w:val="24"/>
        </w:rPr>
      </w:pPr>
      <w:r>
        <w:rPr>
          <w:rFonts w:hint="eastAsia" w:ascii="宋体" w:hAnsi="宋体" w:eastAsia="宋体" w:cs="宋体"/>
          <w:sz w:val="24"/>
          <w:szCs w:val="24"/>
        </w:rPr>
        <w:t>4.6、</w:t>
      </w:r>
      <w:r>
        <w:rPr>
          <w:rFonts w:hint="eastAsia" w:ascii="宋体" w:hAnsi="宋体" w:eastAsia="宋体" w:cs="宋体"/>
          <w:kern w:val="0"/>
          <w:sz w:val="24"/>
          <w:szCs w:val="24"/>
        </w:rPr>
        <w:t>综合镜体光效SLer：≥0.40；</w:t>
      </w:r>
    </w:p>
    <w:p w14:paraId="3A8C78A5">
      <w:pPr>
        <w:spacing w:line="240" w:lineRule="atLeast"/>
        <w:rPr>
          <w:rFonts w:hint="eastAsia" w:ascii="宋体" w:hAnsi="宋体" w:eastAsia="宋体" w:cs="宋体"/>
          <w:sz w:val="24"/>
          <w:szCs w:val="24"/>
        </w:rPr>
      </w:pPr>
      <w:r>
        <w:rPr>
          <w:rFonts w:hint="eastAsia" w:ascii="宋体" w:hAnsi="宋体" w:eastAsia="宋体" w:cs="宋体"/>
          <w:sz w:val="24"/>
          <w:szCs w:val="24"/>
        </w:rPr>
        <w:t>4.7、有效景深范围：3mm～100mm；</w:t>
      </w:r>
    </w:p>
    <w:p w14:paraId="4EBD0901">
      <w:pPr>
        <w:spacing w:line="240" w:lineRule="atLeast"/>
        <w:ind w:left="484" w:leftChars="2" w:hanging="480" w:hangingChars="200"/>
        <w:rPr>
          <w:rFonts w:hint="eastAsia" w:ascii="宋体" w:hAnsi="宋体" w:eastAsia="宋体" w:cs="宋体"/>
          <w:sz w:val="24"/>
          <w:szCs w:val="24"/>
        </w:rPr>
      </w:pPr>
      <w:r>
        <w:rPr>
          <w:rFonts w:hint="eastAsia" w:ascii="宋体" w:hAnsi="宋体" w:eastAsia="宋体" w:cs="宋体"/>
          <w:sz w:val="24"/>
          <w:szCs w:val="24"/>
        </w:rPr>
        <w:t>4.8、光束接口可连接Karl Stoss、OLYMPUS、Stryker、wolf各进口及国产品牌冷光源、摄像系统；</w:t>
      </w:r>
    </w:p>
    <w:p w14:paraId="616ACB27">
      <w:pPr>
        <w:widowControl/>
        <w:adjustRightInd w:val="0"/>
        <w:snapToGrid w:val="0"/>
        <w:spacing w:after="200"/>
        <w:ind w:left="480" w:hanging="480" w:hangingChars="200"/>
        <w:jc w:val="left"/>
        <w:rPr>
          <w:rFonts w:hint="eastAsia" w:ascii="宋体" w:hAnsi="宋体" w:eastAsia="宋体" w:cs="宋体"/>
          <w:kern w:val="0"/>
          <w:sz w:val="24"/>
          <w:szCs w:val="24"/>
        </w:rPr>
      </w:pPr>
      <w:r>
        <w:rPr>
          <w:rFonts w:hint="eastAsia" w:ascii="宋体" w:hAnsi="宋体" w:eastAsia="宋体" w:cs="宋体"/>
          <w:sz w:val="24"/>
          <w:szCs w:val="24"/>
        </w:rPr>
        <w:t>4.9、双阀镜鞘30°，可360°旋转，用于内窥镜观察时的通道，并可边观察边灌流，镜鞘直径≤Φ5.5mm；钝形闭孔器≤Φ4.3mm；</w:t>
      </w:r>
    </w:p>
    <w:p w14:paraId="49F7C476">
      <w:pPr>
        <w:widowControl/>
        <w:adjustRightInd w:val="0"/>
        <w:snapToGrid w:val="0"/>
        <w:spacing w:line="0" w:lineRule="atLeast"/>
        <w:ind w:left="720" w:hanging="720" w:hangingChars="3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4.10、手术器械标准配置一套，采用不锈钢材质整体加工，防腐性能好，表面无镀层装饰；   </w:t>
      </w:r>
    </w:p>
    <w:p w14:paraId="1E531C4F">
      <w:pPr>
        <w:widowControl/>
        <w:adjustRightInd w:val="0"/>
        <w:snapToGrid w:val="0"/>
        <w:spacing w:line="0" w:lineRule="atLeast"/>
        <w:ind w:left="880" w:hanging="960" w:hangingChars="400"/>
        <w:jc w:val="left"/>
        <w:rPr>
          <w:rFonts w:hint="eastAsia" w:ascii="宋体" w:hAnsi="宋体" w:eastAsia="宋体" w:cs="宋体"/>
          <w:kern w:val="0"/>
          <w:sz w:val="24"/>
          <w:szCs w:val="24"/>
        </w:rPr>
      </w:pPr>
      <w:r>
        <w:rPr>
          <w:rFonts w:hint="eastAsia" w:ascii="宋体" w:hAnsi="宋体" w:eastAsia="宋体" w:cs="宋体"/>
          <w:kern w:val="0"/>
          <w:sz w:val="24"/>
          <w:szCs w:val="24"/>
        </w:rPr>
        <w:t>4.11、关节镜用手术钳（鸭嘴直型）1把,采用无销钉设计,高强度,高锋利度,规格尺寸钳头≤φ4.8mm 工作长度≥125mm；</w:t>
      </w:r>
    </w:p>
    <w:p w14:paraId="3E994EDA">
      <w:pPr>
        <w:widowControl/>
        <w:adjustRightInd w:val="0"/>
        <w:snapToGrid w:val="0"/>
        <w:spacing w:line="0" w:lineRule="atLeast"/>
        <w:ind w:left="880" w:hanging="960" w:hangingChars="400"/>
        <w:jc w:val="left"/>
        <w:rPr>
          <w:rFonts w:hint="eastAsia" w:ascii="宋体" w:hAnsi="宋体" w:eastAsia="宋体" w:cs="宋体"/>
          <w:kern w:val="0"/>
          <w:sz w:val="24"/>
          <w:szCs w:val="24"/>
        </w:rPr>
      </w:pPr>
      <w:r>
        <w:rPr>
          <w:rFonts w:hint="eastAsia" w:ascii="宋体" w:hAnsi="宋体" w:eastAsia="宋体" w:cs="宋体"/>
          <w:kern w:val="0"/>
          <w:sz w:val="24"/>
          <w:szCs w:val="24"/>
        </w:rPr>
        <w:t>4.12、关节镜用手术钳（鸭嘴左/右弯）各1把,采用无销钉设计,高强度,高锋利度,规格尺寸钳头≤φ4.8mm工作长度≥122mm；</w:t>
      </w:r>
    </w:p>
    <w:p w14:paraId="79DED2DB">
      <w:pPr>
        <w:widowControl/>
        <w:adjustRightInd w:val="0"/>
        <w:snapToGrid w:val="0"/>
        <w:spacing w:line="0" w:lineRule="atLeast"/>
        <w:ind w:left="880" w:hanging="960" w:hangingChars="400"/>
        <w:jc w:val="left"/>
        <w:rPr>
          <w:rFonts w:hint="eastAsia" w:ascii="宋体" w:hAnsi="宋体" w:eastAsia="宋体" w:cs="宋体"/>
          <w:kern w:val="0"/>
          <w:sz w:val="24"/>
          <w:szCs w:val="24"/>
        </w:rPr>
      </w:pPr>
      <w:r>
        <w:rPr>
          <w:rFonts w:hint="eastAsia" w:ascii="宋体" w:hAnsi="宋体" w:eastAsia="宋体" w:cs="宋体"/>
          <w:kern w:val="0"/>
          <w:sz w:val="24"/>
          <w:szCs w:val="24"/>
        </w:rPr>
        <w:t>4.13、关节镜用手术钳（鸭嘴翘头）各1把,采用无销钉设计,高强度,高锋利度,规格尺寸钳头≤φ4.8mm 工作长度≥125mm；</w:t>
      </w:r>
    </w:p>
    <w:p w14:paraId="151178F6">
      <w:pPr>
        <w:widowControl/>
        <w:adjustRightInd w:val="0"/>
        <w:snapToGrid w:val="0"/>
        <w:spacing w:line="0" w:lineRule="atLeast"/>
        <w:ind w:left="880" w:hanging="960" w:hangingChars="400"/>
        <w:jc w:val="left"/>
        <w:rPr>
          <w:rFonts w:hint="eastAsia" w:ascii="宋体" w:hAnsi="宋体" w:eastAsia="宋体" w:cs="宋体"/>
          <w:kern w:val="0"/>
          <w:sz w:val="24"/>
          <w:szCs w:val="24"/>
        </w:rPr>
      </w:pPr>
      <w:r>
        <w:rPr>
          <w:rFonts w:hint="eastAsia" w:ascii="宋体" w:hAnsi="宋体" w:eastAsia="宋体" w:cs="宋体"/>
          <w:kern w:val="0"/>
          <w:sz w:val="24"/>
          <w:szCs w:val="24"/>
        </w:rPr>
        <w:t>4.14、关节镜用手术钳（前角左/右弯）各1把,采用无销钉设计,高强度,高锋利度,规格尺寸钳头≤φ5.6mm 工作长度≥115mm；</w:t>
      </w:r>
    </w:p>
    <w:p w14:paraId="6C34C98E">
      <w:pPr>
        <w:widowControl/>
        <w:adjustRightInd w:val="0"/>
        <w:snapToGrid w:val="0"/>
        <w:spacing w:line="0" w:lineRule="atLeast"/>
        <w:ind w:left="880" w:hanging="960" w:hangingChars="400"/>
        <w:jc w:val="left"/>
        <w:rPr>
          <w:rFonts w:hint="eastAsia" w:ascii="宋体" w:hAnsi="宋体" w:eastAsia="宋体" w:cs="宋体"/>
          <w:kern w:val="0"/>
          <w:sz w:val="24"/>
          <w:szCs w:val="24"/>
        </w:rPr>
      </w:pPr>
      <w:r>
        <w:rPr>
          <w:rFonts w:hint="eastAsia" w:ascii="宋体" w:hAnsi="宋体" w:eastAsia="宋体" w:cs="宋体"/>
          <w:kern w:val="0"/>
          <w:sz w:val="24"/>
          <w:szCs w:val="24"/>
        </w:rPr>
        <w:t>4.15、关节镜用手术钳（90°左/右弯）各1把,采用无销钉设计,高强度,高锋利度,规格尺寸钳头≤φ7mm，工作长度≥125mm；</w:t>
      </w:r>
    </w:p>
    <w:p w14:paraId="5A0BF783">
      <w:pPr>
        <w:widowControl/>
        <w:adjustRightInd w:val="0"/>
        <w:snapToGrid w:val="0"/>
        <w:spacing w:line="0" w:lineRule="atLeast"/>
        <w:ind w:left="880" w:hanging="960" w:hangingChars="400"/>
        <w:jc w:val="left"/>
        <w:rPr>
          <w:rFonts w:hint="eastAsia" w:ascii="宋体" w:hAnsi="宋体" w:eastAsia="宋体" w:cs="宋体"/>
          <w:kern w:val="0"/>
          <w:sz w:val="24"/>
          <w:szCs w:val="24"/>
        </w:rPr>
      </w:pPr>
      <w:r>
        <w:rPr>
          <w:rFonts w:hint="eastAsia" w:ascii="宋体" w:hAnsi="宋体" w:eastAsia="宋体" w:cs="宋体"/>
          <w:kern w:val="0"/>
          <w:sz w:val="24"/>
          <w:szCs w:val="24"/>
        </w:rPr>
        <w:t>4.16、关节镜用手术剪（20°左/右剪刀）各1把,采用无销钉设计,高强度,高锋利度,规格尺寸钳头≤φ5.5mm，工作长度≥125mm；</w:t>
      </w:r>
    </w:p>
    <w:p w14:paraId="58374D7B">
      <w:pPr>
        <w:widowControl/>
        <w:adjustRightInd w:val="0"/>
        <w:snapToGrid w:val="0"/>
        <w:spacing w:line="0" w:lineRule="atLeast"/>
        <w:ind w:left="880" w:hanging="960" w:hangingChars="400"/>
        <w:jc w:val="left"/>
        <w:rPr>
          <w:rFonts w:hint="eastAsia" w:ascii="宋体" w:hAnsi="宋体" w:eastAsia="宋体" w:cs="宋体"/>
          <w:kern w:val="0"/>
          <w:sz w:val="24"/>
          <w:szCs w:val="24"/>
        </w:rPr>
      </w:pPr>
      <w:r>
        <w:rPr>
          <w:rFonts w:hint="eastAsia" w:ascii="宋体" w:hAnsi="宋体" w:eastAsia="宋体" w:cs="宋体"/>
          <w:kern w:val="0"/>
          <w:sz w:val="24"/>
          <w:szCs w:val="24"/>
        </w:rPr>
        <w:t>4.17、关节镜用手术钳（带锁扣软组织抓取钳）1把, 采用无销钉设计,规格尺寸钳头≤φ3.3mm，工作长度≥125mm；</w:t>
      </w:r>
    </w:p>
    <w:p w14:paraId="642EA041">
      <w:pPr>
        <w:widowControl/>
        <w:adjustRightInd w:val="0"/>
        <w:snapToGrid w:val="0"/>
        <w:spacing w:line="0" w:lineRule="atLeast"/>
        <w:ind w:left="880" w:hanging="960" w:hangingChars="400"/>
        <w:jc w:val="left"/>
        <w:rPr>
          <w:rFonts w:hint="eastAsia" w:ascii="宋体" w:hAnsi="宋体" w:eastAsia="宋体" w:cs="宋体"/>
          <w:kern w:val="0"/>
          <w:sz w:val="24"/>
          <w:szCs w:val="24"/>
        </w:rPr>
      </w:pPr>
      <w:r>
        <w:rPr>
          <w:rFonts w:hint="eastAsia" w:ascii="宋体" w:hAnsi="宋体" w:eastAsia="宋体" w:cs="宋体"/>
          <w:kern w:val="0"/>
          <w:sz w:val="24"/>
          <w:szCs w:val="24"/>
        </w:rPr>
        <w:t>4.18、关节镜用手术钳（带锁扣游离体抓取钳）1把, 采用无销钉设计,规格尺寸钳头≤φ4.0mm ，工作长度≥125mm；</w:t>
      </w:r>
    </w:p>
    <w:p w14:paraId="75185094">
      <w:pPr>
        <w:widowControl/>
        <w:adjustRightInd w:val="0"/>
        <w:snapToGrid w:val="0"/>
        <w:spacing w:line="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4.19、关节镜用手术探针 规格尺寸≤ φ3mm ×120mm ；  </w:t>
      </w:r>
    </w:p>
    <w:p w14:paraId="0BF2032B">
      <w:pPr>
        <w:widowControl/>
        <w:adjustRightInd w:val="0"/>
        <w:snapToGrid w:val="0"/>
        <w:spacing w:line="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4.20、导光束 1条，直径4mm，长度2500mm；</w:t>
      </w:r>
    </w:p>
    <w:p w14:paraId="326A51B7">
      <w:pPr>
        <w:widowControl/>
        <w:adjustRightInd w:val="0"/>
        <w:snapToGrid w:val="0"/>
        <w:spacing w:line="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4.21、内窥镜消毒盒2个；</w:t>
      </w:r>
    </w:p>
    <w:p w14:paraId="735487D4">
      <w:pPr>
        <w:widowControl/>
        <w:adjustRightInd w:val="0"/>
        <w:snapToGrid w:val="0"/>
        <w:spacing w:line="0" w:lineRule="atLeast"/>
        <w:rPr>
          <w:rFonts w:hint="eastAsia" w:ascii="宋体" w:hAnsi="宋体" w:eastAsia="宋体" w:cs="宋体"/>
          <w:kern w:val="0"/>
          <w:sz w:val="24"/>
          <w:szCs w:val="24"/>
        </w:rPr>
      </w:pPr>
      <w:r>
        <w:rPr>
          <w:rFonts w:hint="eastAsia" w:ascii="宋体" w:hAnsi="宋体" w:eastAsia="宋体" w:cs="宋体"/>
          <w:kern w:val="0"/>
          <w:sz w:val="24"/>
          <w:szCs w:val="24"/>
        </w:rPr>
        <w:t>4.22、器械消毒盒1个 ；</w:t>
      </w:r>
    </w:p>
    <w:p w14:paraId="59F35017">
      <w:pPr>
        <w:widowControl/>
        <w:adjustRightInd w:val="0"/>
        <w:snapToGrid w:val="0"/>
        <w:spacing w:line="0" w:lineRule="atLeast"/>
        <w:ind w:firstLine="723" w:firstLineChars="300"/>
        <w:rPr>
          <w:rFonts w:hint="eastAsia" w:ascii="宋体" w:hAnsi="宋体" w:eastAsia="宋体" w:cs="宋体"/>
          <w:b/>
          <w:kern w:val="0"/>
          <w:sz w:val="24"/>
          <w:szCs w:val="24"/>
        </w:rPr>
      </w:pPr>
      <w:r>
        <w:rPr>
          <w:rFonts w:hint="eastAsia" w:ascii="宋体" w:hAnsi="宋体" w:eastAsia="宋体" w:cs="宋体"/>
          <w:b/>
          <w:kern w:val="0"/>
          <w:sz w:val="24"/>
          <w:szCs w:val="24"/>
        </w:rPr>
        <w:t>关节镜（半月板）手术系统配置清单</w:t>
      </w:r>
    </w:p>
    <w:tbl>
      <w:tblPr>
        <w:tblStyle w:val="35"/>
        <w:tblpPr w:leftFromText="180" w:rightFromText="180" w:vertAnchor="text" w:horzAnchor="page" w:tblpX="1557" w:tblpY="925"/>
        <w:tblOverlap w:val="never"/>
        <w:tblW w:w="8522" w:type="dxa"/>
        <w:tblInd w:w="0" w:type="dxa"/>
        <w:tblLayout w:type="fixed"/>
        <w:tblCellMar>
          <w:top w:w="0" w:type="dxa"/>
          <w:left w:w="108" w:type="dxa"/>
          <w:bottom w:w="0" w:type="dxa"/>
          <w:right w:w="108" w:type="dxa"/>
        </w:tblCellMar>
      </w:tblPr>
      <w:tblGrid>
        <w:gridCol w:w="775"/>
        <w:gridCol w:w="1926"/>
        <w:gridCol w:w="3100"/>
        <w:gridCol w:w="828"/>
        <w:gridCol w:w="850"/>
        <w:gridCol w:w="1043"/>
      </w:tblGrid>
      <w:tr w14:paraId="616E254F">
        <w:tblPrEx>
          <w:tblCellMar>
            <w:top w:w="0" w:type="dxa"/>
            <w:left w:w="108" w:type="dxa"/>
            <w:bottom w:w="0" w:type="dxa"/>
            <w:right w:w="108" w:type="dxa"/>
          </w:tblCellMar>
        </w:tblPrEx>
        <w:trPr>
          <w:trHeight w:val="450"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4E08516B">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926" w:type="dxa"/>
            <w:tcBorders>
              <w:top w:val="single" w:color="auto" w:sz="4" w:space="0"/>
              <w:left w:val="nil"/>
              <w:bottom w:val="single" w:color="auto" w:sz="4" w:space="0"/>
              <w:right w:val="single" w:color="auto" w:sz="4" w:space="0"/>
            </w:tcBorders>
            <w:shd w:val="clear" w:color="auto" w:fill="auto"/>
            <w:vAlign w:val="center"/>
          </w:tcPr>
          <w:p w14:paraId="0D33FFC1">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名  称</w:t>
            </w:r>
          </w:p>
        </w:tc>
        <w:tc>
          <w:tcPr>
            <w:tcW w:w="3100" w:type="dxa"/>
            <w:tcBorders>
              <w:top w:val="single" w:color="auto" w:sz="4" w:space="0"/>
              <w:left w:val="nil"/>
              <w:bottom w:val="single" w:color="auto" w:sz="4" w:space="0"/>
              <w:right w:val="single" w:color="auto" w:sz="4" w:space="0"/>
            </w:tcBorders>
            <w:shd w:val="clear" w:color="auto" w:fill="auto"/>
            <w:vAlign w:val="center"/>
          </w:tcPr>
          <w:p w14:paraId="019209E8">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规  格</w:t>
            </w:r>
          </w:p>
        </w:tc>
        <w:tc>
          <w:tcPr>
            <w:tcW w:w="828" w:type="dxa"/>
            <w:tcBorders>
              <w:top w:val="single" w:color="auto" w:sz="4" w:space="0"/>
              <w:left w:val="nil"/>
              <w:bottom w:val="single" w:color="auto" w:sz="4" w:space="0"/>
              <w:right w:val="single" w:color="auto" w:sz="4" w:space="0"/>
            </w:tcBorders>
            <w:shd w:val="clear" w:color="auto" w:fill="auto"/>
            <w:vAlign w:val="center"/>
          </w:tcPr>
          <w:p w14:paraId="7E6A95C3">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单位</w:t>
            </w:r>
          </w:p>
        </w:tc>
        <w:tc>
          <w:tcPr>
            <w:tcW w:w="850" w:type="dxa"/>
            <w:tcBorders>
              <w:top w:val="single" w:color="auto" w:sz="4" w:space="0"/>
              <w:left w:val="nil"/>
              <w:bottom w:val="single" w:color="auto" w:sz="4" w:space="0"/>
              <w:right w:val="single" w:color="auto" w:sz="4" w:space="0"/>
            </w:tcBorders>
            <w:shd w:val="clear" w:color="auto" w:fill="auto"/>
            <w:vAlign w:val="center"/>
          </w:tcPr>
          <w:p w14:paraId="281EB4E7">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043" w:type="dxa"/>
            <w:tcBorders>
              <w:top w:val="single" w:color="auto" w:sz="4" w:space="0"/>
              <w:left w:val="nil"/>
              <w:bottom w:val="single" w:color="auto" w:sz="4" w:space="0"/>
              <w:right w:val="single" w:color="auto" w:sz="4" w:space="0"/>
            </w:tcBorders>
          </w:tcPr>
          <w:p w14:paraId="02AB5F61">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14:paraId="58F2D11A">
        <w:tblPrEx>
          <w:tblCellMar>
            <w:top w:w="0" w:type="dxa"/>
            <w:left w:w="108" w:type="dxa"/>
            <w:bottom w:w="0" w:type="dxa"/>
            <w:right w:w="108" w:type="dxa"/>
          </w:tblCellMar>
        </w:tblPrEx>
        <w:trPr>
          <w:trHeight w:val="450"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5377B6A5">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926" w:type="dxa"/>
            <w:tcBorders>
              <w:top w:val="single" w:color="auto" w:sz="4" w:space="0"/>
              <w:left w:val="nil"/>
              <w:bottom w:val="single" w:color="auto" w:sz="4" w:space="0"/>
              <w:right w:val="single" w:color="auto" w:sz="4" w:space="0"/>
            </w:tcBorders>
            <w:shd w:val="clear" w:color="auto" w:fill="auto"/>
            <w:vAlign w:val="center"/>
          </w:tcPr>
          <w:p w14:paraId="0D84B995">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30°内窥镜</w:t>
            </w:r>
          </w:p>
        </w:tc>
        <w:tc>
          <w:tcPr>
            <w:tcW w:w="3100" w:type="dxa"/>
            <w:tcBorders>
              <w:top w:val="single" w:color="auto" w:sz="4" w:space="0"/>
              <w:left w:val="nil"/>
              <w:bottom w:val="single" w:color="auto" w:sz="4" w:space="0"/>
              <w:right w:val="single" w:color="auto" w:sz="4" w:space="0"/>
            </w:tcBorders>
            <w:shd w:val="clear" w:color="auto" w:fill="auto"/>
            <w:vAlign w:val="center"/>
          </w:tcPr>
          <w:p w14:paraId="313461D3">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Φ4mm×175mm</w:t>
            </w:r>
          </w:p>
        </w:tc>
        <w:tc>
          <w:tcPr>
            <w:tcW w:w="828" w:type="dxa"/>
            <w:tcBorders>
              <w:top w:val="single" w:color="auto" w:sz="4" w:space="0"/>
              <w:left w:val="nil"/>
              <w:bottom w:val="single" w:color="auto" w:sz="4" w:space="0"/>
              <w:right w:val="single" w:color="auto" w:sz="4" w:space="0"/>
            </w:tcBorders>
            <w:shd w:val="clear" w:color="auto" w:fill="auto"/>
            <w:vAlign w:val="center"/>
          </w:tcPr>
          <w:p w14:paraId="37DB16D2">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支</w:t>
            </w:r>
          </w:p>
        </w:tc>
        <w:tc>
          <w:tcPr>
            <w:tcW w:w="850" w:type="dxa"/>
            <w:tcBorders>
              <w:top w:val="single" w:color="auto" w:sz="4" w:space="0"/>
              <w:left w:val="nil"/>
              <w:bottom w:val="single" w:color="auto" w:sz="4" w:space="0"/>
              <w:right w:val="single" w:color="auto" w:sz="4" w:space="0"/>
            </w:tcBorders>
            <w:shd w:val="clear" w:color="auto" w:fill="auto"/>
            <w:vAlign w:val="center"/>
          </w:tcPr>
          <w:p w14:paraId="659E7BDC">
            <w:pPr>
              <w:widowControl/>
              <w:adjustRightInd w:val="0"/>
              <w:snapToGrid w:val="0"/>
              <w:spacing w:line="0" w:lineRule="atLeas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043" w:type="dxa"/>
            <w:tcBorders>
              <w:top w:val="single" w:color="auto" w:sz="4" w:space="0"/>
              <w:left w:val="nil"/>
              <w:bottom w:val="single" w:color="auto" w:sz="4" w:space="0"/>
              <w:right w:val="single" w:color="auto" w:sz="4" w:space="0"/>
            </w:tcBorders>
          </w:tcPr>
          <w:p w14:paraId="213298F9">
            <w:pPr>
              <w:widowControl/>
              <w:adjustRightInd w:val="0"/>
              <w:snapToGrid w:val="0"/>
              <w:spacing w:line="0" w:lineRule="atLeast"/>
              <w:jc w:val="center"/>
              <w:rPr>
                <w:rFonts w:hint="eastAsia" w:ascii="宋体" w:hAnsi="宋体" w:eastAsia="宋体" w:cs="宋体"/>
                <w:kern w:val="0"/>
                <w:sz w:val="24"/>
                <w:szCs w:val="24"/>
              </w:rPr>
            </w:pPr>
          </w:p>
        </w:tc>
      </w:tr>
      <w:tr w14:paraId="43D57381">
        <w:tblPrEx>
          <w:tblCellMar>
            <w:top w:w="0" w:type="dxa"/>
            <w:left w:w="108" w:type="dxa"/>
            <w:bottom w:w="0" w:type="dxa"/>
            <w:right w:w="108" w:type="dxa"/>
          </w:tblCellMar>
        </w:tblPrEx>
        <w:trPr>
          <w:trHeight w:val="450"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7B0903E0">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926" w:type="dxa"/>
            <w:tcBorders>
              <w:top w:val="single" w:color="auto" w:sz="4" w:space="0"/>
              <w:left w:val="nil"/>
              <w:bottom w:val="single" w:color="auto" w:sz="4" w:space="0"/>
              <w:right w:val="single" w:color="auto" w:sz="4" w:space="0"/>
            </w:tcBorders>
            <w:shd w:val="clear" w:color="auto" w:fill="auto"/>
            <w:vAlign w:val="center"/>
          </w:tcPr>
          <w:p w14:paraId="01E715F0">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30°双阀镜鞘</w:t>
            </w:r>
          </w:p>
        </w:tc>
        <w:tc>
          <w:tcPr>
            <w:tcW w:w="3100" w:type="dxa"/>
            <w:tcBorders>
              <w:top w:val="single" w:color="auto" w:sz="4" w:space="0"/>
              <w:left w:val="nil"/>
              <w:bottom w:val="single" w:color="auto" w:sz="4" w:space="0"/>
              <w:right w:val="single" w:color="auto" w:sz="4" w:space="0"/>
            </w:tcBorders>
            <w:shd w:val="clear" w:color="auto" w:fill="auto"/>
            <w:vAlign w:val="center"/>
          </w:tcPr>
          <w:p w14:paraId="100E54FA">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Φ5.5mm×140mm</w:t>
            </w:r>
          </w:p>
        </w:tc>
        <w:tc>
          <w:tcPr>
            <w:tcW w:w="828" w:type="dxa"/>
            <w:tcBorders>
              <w:top w:val="single" w:color="auto" w:sz="4" w:space="0"/>
              <w:left w:val="nil"/>
              <w:bottom w:val="single" w:color="auto" w:sz="4" w:space="0"/>
              <w:right w:val="single" w:color="auto" w:sz="4" w:space="0"/>
            </w:tcBorders>
            <w:shd w:val="clear" w:color="auto" w:fill="auto"/>
            <w:vAlign w:val="center"/>
          </w:tcPr>
          <w:p w14:paraId="6D0F3FD3">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支</w:t>
            </w:r>
          </w:p>
        </w:tc>
        <w:tc>
          <w:tcPr>
            <w:tcW w:w="850" w:type="dxa"/>
            <w:tcBorders>
              <w:top w:val="single" w:color="auto" w:sz="4" w:space="0"/>
              <w:left w:val="nil"/>
              <w:bottom w:val="single" w:color="auto" w:sz="4" w:space="0"/>
              <w:right w:val="single" w:color="auto" w:sz="4" w:space="0"/>
            </w:tcBorders>
            <w:shd w:val="clear" w:color="auto" w:fill="auto"/>
            <w:vAlign w:val="center"/>
          </w:tcPr>
          <w:p w14:paraId="12C46A4D">
            <w:pPr>
              <w:widowControl/>
              <w:adjustRightInd w:val="0"/>
              <w:snapToGrid w:val="0"/>
              <w:spacing w:line="0" w:lineRule="atLeas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043" w:type="dxa"/>
            <w:tcBorders>
              <w:top w:val="single" w:color="auto" w:sz="4" w:space="0"/>
              <w:left w:val="nil"/>
              <w:bottom w:val="single" w:color="auto" w:sz="4" w:space="0"/>
              <w:right w:val="single" w:color="auto" w:sz="4" w:space="0"/>
            </w:tcBorders>
          </w:tcPr>
          <w:p w14:paraId="1E082797">
            <w:pPr>
              <w:widowControl/>
              <w:adjustRightInd w:val="0"/>
              <w:snapToGrid w:val="0"/>
              <w:spacing w:line="0" w:lineRule="atLeast"/>
              <w:jc w:val="left"/>
              <w:rPr>
                <w:rFonts w:hint="eastAsia" w:ascii="宋体" w:hAnsi="宋体" w:eastAsia="宋体" w:cs="宋体"/>
                <w:kern w:val="0"/>
                <w:sz w:val="24"/>
                <w:szCs w:val="24"/>
              </w:rPr>
            </w:pPr>
          </w:p>
        </w:tc>
      </w:tr>
      <w:tr w14:paraId="19FE8FB0">
        <w:tblPrEx>
          <w:tblCellMar>
            <w:top w:w="0" w:type="dxa"/>
            <w:left w:w="108" w:type="dxa"/>
            <w:bottom w:w="0" w:type="dxa"/>
            <w:right w:w="108" w:type="dxa"/>
          </w:tblCellMar>
        </w:tblPrEx>
        <w:trPr>
          <w:trHeight w:val="450"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6358B244">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926" w:type="dxa"/>
            <w:tcBorders>
              <w:top w:val="single" w:color="auto" w:sz="4" w:space="0"/>
              <w:left w:val="nil"/>
              <w:bottom w:val="single" w:color="auto" w:sz="4" w:space="0"/>
              <w:right w:val="single" w:color="auto" w:sz="4" w:space="0"/>
            </w:tcBorders>
            <w:shd w:val="clear" w:color="auto" w:fill="auto"/>
            <w:vAlign w:val="center"/>
          </w:tcPr>
          <w:p w14:paraId="190B2EA5">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棱形穿刺针</w:t>
            </w:r>
          </w:p>
        </w:tc>
        <w:tc>
          <w:tcPr>
            <w:tcW w:w="3100" w:type="dxa"/>
            <w:tcBorders>
              <w:top w:val="single" w:color="auto" w:sz="4" w:space="0"/>
              <w:left w:val="nil"/>
              <w:bottom w:val="single" w:color="auto" w:sz="4" w:space="0"/>
              <w:right w:val="single" w:color="auto" w:sz="4" w:space="0"/>
            </w:tcBorders>
            <w:shd w:val="clear" w:color="auto" w:fill="auto"/>
            <w:vAlign w:val="center"/>
          </w:tcPr>
          <w:p w14:paraId="292C43DA">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Φ4.3mm×183mm</w:t>
            </w:r>
          </w:p>
        </w:tc>
        <w:tc>
          <w:tcPr>
            <w:tcW w:w="828" w:type="dxa"/>
            <w:tcBorders>
              <w:top w:val="single" w:color="auto" w:sz="4" w:space="0"/>
              <w:left w:val="nil"/>
              <w:bottom w:val="single" w:color="auto" w:sz="4" w:space="0"/>
              <w:right w:val="single" w:color="auto" w:sz="4" w:space="0"/>
            </w:tcBorders>
            <w:shd w:val="clear" w:color="auto" w:fill="auto"/>
            <w:vAlign w:val="center"/>
          </w:tcPr>
          <w:p w14:paraId="21AB2399">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把</w:t>
            </w:r>
          </w:p>
        </w:tc>
        <w:tc>
          <w:tcPr>
            <w:tcW w:w="850" w:type="dxa"/>
            <w:tcBorders>
              <w:top w:val="single" w:color="auto" w:sz="4" w:space="0"/>
              <w:left w:val="nil"/>
              <w:bottom w:val="single" w:color="auto" w:sz="4" w:space="0"/>
              <w:right w:val="single" w:color="auto" w:sz="4" w:space="0"/>
            </w:tcBorders>
            <w:shd w:val="clear" w:color="auto" w:fill="auto"/>
            <w:vAlign w:val="center"/>
          </w:tcPr>
          <w:p w14:paraId="52A4B60A">
            <w:pPr>
              <w:widowControl/>
              <w:adjustRightInd w:val="0"/>
              <w:snapToGrid w:val="0"/>
              <w:spacing w:line="0" w:lineRule="atLeas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043" w:type="dxa"/>
            <w:tcBorders>
              <w:top w:val="single" w:color="auto" w:sz="4" w:space="0"/>
              <w:left w:val="nil"/>
              <w:bottom w:val="single" w:color="auto" w:sz="4" w:space="0"/>
              <w:right w:val="single" w:color="auto" w:sz="4" w:space="0"/>
            </w:tcBorders>
          </w:tcPr>
          <w:p w14:paraId="302B974C">
            <w:pPr>
              <w:widowControl/>
              <w:adjustRightInd w:val="0"/>
              <w:snapToGrid w:val="0"/>
              <w:spacing w:line="0" w:lineRule="atLeast"/>
              <w:jc w:val="center"/>
              <w:rPr>
                <w:rFonts w:hint="eastAsia" w:ascii="宋体" w:hAnsi="宋体" w:eastAsia="宋体" w:cs="宋体"/>
                <w:kern w:val="0"/>
                <w:sz w:val="24"/>
                <w:szCs w:val="24"/>
              </w:rPr>
            </w:pPr>
          </w:p>
        </w:tc>
      </w:tr>
      <w:tr w14:paraId="2C4E2876">
        <w:tblPrEx>
          <w:tblCellMar>
            <w:top w:w="0" w:type="dxa"/>
            <w:left w:w="108" w:type="dxa"/>
            <w:bottom w:w="0" w:type="dxa"/>
            <w:right w:w="108" w:type="dxa"/>
          </w:tblCellMar>
        </w:tblPrEx>
        <w:trPr>
          <w:trHeight w:val="450"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3E97E14B">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926" w:type="dxa"/>
            <w:tcBorders>
              <w:top w:val="single" w:color="auto" w:sz="4" w:space="0"/>
              <w:left w:val="nil"/>
              <w:bottom w:val="single" w:color="auto" w:sz="4" w:space="0"/>
              <w:right w:val="single" w:color="auto" w:sz="4" w:space="0"/>
            </w:tcBorders>
            <w:shd w:val="clear" w:color="auto" w:fill="auto"/>
            <w:vAlign w:val="center"/>
          </w:tcPr>
          <w:p w14:paraId="024C723E">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钝形闭孔器</w:t>
            </w:r>
          </w:p>
        </w:tc>
        <w:tc>
          <w:tcPr>
            <w:tcW w:w="3100" w:type="dxa"/>
            <w:tcBorders>
              <w:top w:val="single" w:color="auto" w:sz="4" w:space="0"/>
              <w:left w:val="nil"/>
              <w:bottom w:val="single" w:color="auto" w:sz="4" w:space="0"/>
              <w:right w:val="single" w:color="auto" w:sz="4" w:space="0"/>
            </w:tcBorders>
            <w:shd w:val="clear" w:color="auto" w:fill="auto"/>
            <w:vAlign w:val="center"/>
          </w:tcPr>
          <w:p w14:paraId="5A91EA00">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Φ4.3mm×183mm</w:t>
            </w:r>
          </w:p>
        </w:tc>
        <w:tc>
          <w:tcPr>
            <w:tcW w:w="828" w:type="dxa"/>
            <w:tcBorders>
              <w:top w:val="single" w:color="auto" w:sz="4" w:space="0"/>
              <w:left w:val="nil"/>
              <w:bottom w:val="single" w:color="auto" w:sz="4" w:space="0"/>
              <w:right w:val="single" w:color="auto" w:sz="4" w:space="0"/>
            </w:tcBorders>
            <w:shd w:val="clear" w:color="auto" w:fill="auto"/>
            <w:vAlign w:val="center"/>
          </w:tcPr>
          <w:p w14:paraId="3C3181E1">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把</w:t>
            </w:r>
          </w:p>
        </w:tc>
        <w:tc>
          <w:tcPr>
            <w:tcW w:w="850" w:type="dxa"/>
            <w:tcBorders>
              <w:top w:val="single" w:color="auto" w:sz="4" w:space="0"/>
              <w:left w:val="nil"/>
              <w:bottom w:val="single" w:color="auto" w:sz="4" w:space="0"/>
              <w:right w:val="single" w:color="auto" w:sz="4" w:space="0"/>
            </w:tcBorders>
            <w:shd w:val="clear" w:color="auto" w:fill="auto"/>
            <w:vAlign w:val="center"/>
          </w:tcPr>
          <w:p w14:paraId="39C65DF4">
            <w:pPr>
              <w:widowControl/>
              <w:adjustRightInd w:val="0"/>
              <w:snapToGrid w:val="0"/>
              <w:spacing w:line="0" w:lineRule="atLeas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043" w:type="dxa"/>
            <w:tcBorders>
              <w:top w:val="single" w:color="auto" w:sz="4" w:space="0"/>
              <w:left w:val="nil"/>
              <w:bottom w:val="single" w:color="auto" w:sz="4" w:space="0"/>
              <w:right w:val="single" w:color="auto" w:sz="4" w:space="0"/>
            </w:tcBorders>
          </w:tcPr>
          <w:p w14:paraId="0CCC2A27">
            <w:pPr>
              <w:widowControl/>
              <w:adjustRightInd w:val="0"/>
              <w:snapToGrid w:val="0"/>
              <w:spacing w:line="0" w:lineRule="atLeast"/>
              <w:jc w:val="center"/>
              <w:rPr>
                <w:rFonts w:hint="eastAsia" w:ascii="宋体" w:hAnsi="宋体" w:eastAsia="宋体" w:cs="宋体"/>
                <w:kern w:val="0"/>
                <w:sz w:val="24"/>
                <w:szCs w:val="24"/>
              </w:rPr>
            </w:pPr>
          </w:p>
        </w:tc>
      </w:tr>
      <w:tr w14:paraId="7315F54B">
        <w:tblPrEx>
          <w:tblCellMar>
            <w:top w:w="0" w:type="dxa"/>
            <w:left w:w="108" w:type="dxa"/>
            <w:bottom w:w="0" w:type="dxa"/>
            <w:right w:w="108" w:type="dxa"/>
          </w:tblCellMar>
        </w:tblPrEx>
        <w:trPr>
          <w:trHeight w:val="450"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14E2BEF0">
            <w:pPr>
              <w:widowControl/>
              <w:adjustRightInd w:val="0"/>
              <w:snapToGrid w:val="0"/>
              <w:spacing w:line="0" w:lineRule="atLeast"/>
              <w:rPr>
                <w:rFonts w:hint="eastAsia" w:ascii="宋体" w:hAnsi="宋体" w:eastAsia="宋体" w:cs="宋体"/>
                <w:kern w:val="0"/>
                <w:sz w:val="24"/>
                <w:szCs w:val="24"/>
              </w:rPr>
            </w:pPr>
            <w:r>
              <w:rPr>
                <w:rFonts w:hint="eastAsia" w:ascii="宋体" w:hAnsi="宋体" w:eastAsia="宋体" w:cs="宋体"/>
                <w:kern w:val="0"/>
                <w:sz w:val="24"/>
                <w:szCs w:val="24"/>
              </w:rPr>
              <w:t xml:space="preserve">  5</w:t>
            </w:r>
          </w:p>
        </w:tc>
        <w:tc>
          <w:tcPr>
            <w:tcW w:w="1926" w:type="dxa"/>
            <w:tcBorders>
              <w:top w:val="single" w:color="auto" w:sz="4" w:space="0"/>
              <w:left w:val="nil"/>
              <w:bottom w:val="single" w:color="auto" w:sz="4" w:space="0"/>
              <w:right w:val="single" w:color="auto" w:sz="4" w:space="0"/>
            </w:tcBorders>
            <w:shd w:val="clear" w:color="auto" w:fill="auto"/>
            <w:vAlign w:val="center"/>
          </w:tcPr>
          <w:p w14:paraId="2ADEA215">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关节镜用手术探针</w:t>
            </w:r>
          </w:p>
        </w:tc>
        <w:tc>
          <w:tcPr>
            <w:tcW w:w="3100" w:type="dxa"/>
            <w:tcBorders>
              <w:top w:val="single" w:color="auto" w:sz="4" w:space="0"/>
              <w:left w:val="nil"/>
              <w:bottom w:val="single" w:color="auto" w:sz="4" w:space="0"/>
              <w:right w:val="single" w:color="auto" w:sz="4" w:space="0"/>
            </w:tcBorders>
            <w:shd w:val="clear" w:color="auto" w:fill="auto"/>
            <w:vAlign w:val="center"/>
          </w:tcPr>
          <w:p w14:paraId="2D3D17F0">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Φ3mm</w:t>
            </w:r>
          </w:p>
        </w:tc>
        <w:tc>
          <w:tcPr>
            <w:tcW w:w="828" w:type="dxa"/>
            <w:tcBorders>
              <w:top w:val="single" w:color="auto" w:sz="4" w:space="0"/>
              <w:left w:val="nil"/>
              <w:bottom w:val="single" w:color="auto" w:sz="4" w:space="0"/>
              <w:right w:val="single" w:color="auto" w:sz="4" w:space="0"/>
            </w:tcBorders>
            <w:shd w:val="clear" w:color="auto" w:fill="auto"/>
            <w:vAlign w:val="center"/>
          </w:tcPr>
          <w:p w14:paraId="1C64EEA1">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把</w:t>
            </w:r>
          </w:p>
        </w:tc>
        <w:tc>
          <w:tcPr>
            <w:tcW w:w="850" w:type="dxa"/>
            <w:tcBorders>
              <w:top w:val="single" w:color="auto" w:sz="4" w:space="0"/>
              <w:left w:val="nil"/>
              <w:bottom w:val="single" w:color="auto" w:sz="4" w:space="0"/>
              <w:right w:val="single" w:color="auto" w:sz="4" w:space="0"/>
            </w:tcBorders>
            <w:shd w:val="clear" w:color="auto" w:fill="auto"/>
            <w:vAlign w:val="center"/>
          </w:tcPr>
          <w:p w14:paraId="3FCAA284">
            <w:pPr>
              <w:widowControl/>
              <w:adjustRightInd w:val="0"/>
              <w:snapToGrid w:val="0"/>
              <w:spacing w:line="0" w:lineRule="atLeas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043" w:type="dxa"/>
            <w:tcBorders>
              <w:top w:val="single" w:color="auto" w:sz="4" w:space="0"/>
              <w:left w:val="nil"/>
              <w:bottom w:val="single" w:color="auto" w:sz="4" w:space="0"/>
              <w:right w:val="single" w:color="auto" w:sz="4" w:space="0"/>
            </w:tcBorders>
          </w:tcPr>
          <w:p w14:paraId="70FED73D">
            <w:pPr>
              <w:widowControl/>
              <w:adjustRightInd w:val="0"/>
              <w:snapToGrid w:val="0"/>
              <w:spacing w:line="0" w:lineRule="atLeast"/>
              <w:jc w:val="center"/>
              <w:rPr>
                <w:rFonts w:hint="eastAsia" w:ascii="宋体" w:hAnsi="宋体" w:eastAsia="宋体" w:cs="宋体"/>
                <w:kern w:val="0"/>
                <w:sz w:val="24"/>
                <w:szCs w:val="24"/>
              </w:rPr>
            </w:pPr>
          </w:p>
        </w:tc>
      </w:tr>
      <w:tr w14:paraId="4E3B7CC2">
        <w:tblPrEx>
          <w:tblCellMar>
            <w:top w:w="0" w:type="dxa"/>
            <w:left w:w="108" w:type="dxa"/>
            <w:bottom w:w="0" w:type="dxa"/>
            <w:right w:w="108" w:type="dxa"/>
          </w:tblCellMar>
        </w:tblPrEx>
        <w:trPr>
          <w:trHeight w:val="450"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2141F519">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926" w:type="dxa"/>
            <w:tcBorders>
              <w:top w:val="single" w:color="auto" w:sz="4" w:space="0"/>
              <w:left w:val="nil"/>
              <w:bottom w:val="single" w:color="auto" w:sz="4" w:space="0"/>
              <w:right w:val="single" w:color="auto" w:sz="4" w:space="0"/>
            </w:tcBorders>
            <w:shd w:val="clear" w:color="auto" w:fill="auto"/>
            <w:vAlign w:val="center"/>
          </w:tcPr>
          <w:p w14:paraId="5E0A5E24">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导光束</w:t>
            </w:r>
          </w:p>
        </w:tc>
        <w:tc>
          <w:tcPr>
            <w:tcW w:w="3100" w:type="dxa"/>
            <w:tcBorders>
              <w:top w:val="single" w:color="auto" w:sz="4" w:space="0"/>
              <w:left w:val="nil"/>
              <w:bottom w:val="single" w:color="auto" w:sz="4" w:space="0"/>
              <w:right w:val="single" w:color="auto" w:sz="4" w:space="0"/>
            </w:tcBorders>
            <w:shd w:val="clear" w:color="auto" w:fill="auto"/>
            <w:vAlign w:val="center"/>
          </w:tcPr>
          <w:p w14:paraId="7289D256">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Ф4×2.5m</w:t>
            </w:r>
          </w:p>
        </w:tc>
        <w:tc>
          <w:tcPr>
            <w:tcW w:w="828" w:type="dxa"/>
            <w:tcBorders>
              <w:top w:val="single" w:color="auto" w:sz="4" w:space="0"/>
              <w:left w:val="nil"/>
              <w:bottom w:val="single" w:color="auto" w:sz="4" w:space="0"/>
              <w:right w:val="single" w:color="auto" w:sz="4" w:space="0"/>
            </w:tcBorders>
            <w:shd w:val="clear" w:color="auto" w:fill="auto"/>
            <w:vAlign w:val="center"/>
          </w:tcPr>
          <w:p w14:paraId="7FDAC3E7">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条</w:t>
            </w:r>
          </w:p>
        </w:tc>
        <w:tc>
          <w:tcPr>
            <w:tcW w:w="850" w:type="dxa"/>
            <w:tcBorders>
              <w:top w:val="single" w:color="auto" w:sz="4" w:space="0"/>
              <w:left w:val="nil"/>
              <w:bottom w:val="single" w:color="auto" w:sz="4" w:space="0"/>
              <w:right w:val="single" w:color="auto" w:sz="4" w:space="0"/>
            </w:tcBorders>
            <w:shd w:val="clear" w:color="auto" w:fill="auto"/>
            <w:vAlign w:val="center"/>
          </w:tcPr>
          <w:p w14:paraId="597FFEE0">
            <w:pPr>
              <w:widowControl/>
              <w:adjustRightInd w:val="0"/>
              <w:snapToGrid w:val="0"/>
              <w:spacing w:line="0" w:lineRule="atLeas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043" w:type="dxa"/>
            <w:tcBorders>
              <w:top w:val="single" w:color="auto" w:sz="4" w:space="0"/>
              <w:left w:val="nil"/>
              <w:bottom w:val="single" w:color="auto" w:sz="4" w:space="0"/>
              <w:right w:val="single" w:color="auto" w:sz="4" w:space="0"/>
            </w:tcBorders>
          </w:tcPr>
          <w:p w14:paraId="33C0711E">
            <w:pPr>
              <w:widowControl/>
              <w:adjustRightInd w:val="0"/>
              <w:snapToGrid w:val="0"/>
              <w:spacing w:line="0" w:lineRule="atLeast"/>
              <w:jc w:val="left"/>
              <w:rPr>
                <w:rFonts w:hint="eastAsia" w:ascii="宋体" w:hAnsi="宋体" w:eastAsia="宋体" w:cs="宋体"/>
                <w:kern w:val="0"/>
                <w:sz w:val="24"/>
                <w:szCs w:val="24"/>
              </w:rPr>
            </w:pPr>
          </w:p>
        </w:tc>
      </w:tr>
      <w:tr w14:paraId="61FAD818">
        <w:tblPrEx>
          <w:tblCellMar>
            <w:top w:w="0" w:type="dxa"/>
            <w:left w:w="108" w:type="dxa"/>
            <w:bottom w:w="0" w:type="dxa"/>
            <w:right w:w="108" w:type="dxa"/>
          </w:tblCellMar>
        </w:tblPrEx>
        <w:trPr>
          <w:trHeight w:val="450"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7EEECC62">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926" w:type="dxa"/>
            <w:tcBorders>
              <w:top w:val="single" w:color="auto" w:sz="4" w:space="0"/>
              <w:left w:val="nil"/>
              <w:bottom w:val="single" w:color="auto" w:sz="4" w:space="0"/>
              <w:right w:val="single" w:color="auto" w:sz="4" w:space="0"/>
            </w:tcBorders>
            <w:shd w:val="clear" w:color="auto" w:fill="auto"/>
            <w:vAlign w:val="center"/>
          </w:tcPr>
          <w:p w14:paraId="3B61E247">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镜体消毒盒</w:t>
            </w:r>
          </w:p>
        </w:tc>
        <w:tc>
          <w:tcPr>
            <w:tcW w:w="3100" w:type="dxa"/>
            <w:tcBorders>
              <w:top w:val="single" w:color="auto" w:sz="4" w:space="0"/>
              <w:left w:val="nil"/>
              <w:bottom w:val="single" w:color="auto" w:sz="4" w:space="0"/>
              <w:right w:val="single" w:color="auto" w:sz="4" w:space="0"/>
            </w:tcBorders>
            <w:shd w:val="clear" w:color="auto" w:fill="auto"/>
            <w:vAlign w:val="center"/>
          </w:tcPr>
          <w:p w14:paraId="04547174">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293×84×42mm</w:t>
            </w:r>
          </w:p>
        </w:tc>
        <w:tc>
          <w:tcPr>
            <w:tcW w:w="828" w:type="dxa"/>
            <w:tcBorders>
              <w:top w:val="single" w:color="auto" w:sz="4" w:space="0"/>
              <w:left w:val="nil"/>
              <w:bottom w:val="single" w:color="auto" w:sz="4" w:space="0"/>
              <w:right w:val="single" w:color="auto" w:sz="4" w:space="0"/>
            </w:tcBorders>
            <w:shd w:val="clear" w:color="auto" w:fill="auto"/>
            <w:vAlign w:val="center"/>
          </w:tcPr>
          <w:p w14:paraId="1E5C1AB8">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个</w:t>
            </w:r>
          </w:p>
        </w:tc>
        <w:tc>
          <w:tcPr>
            <w:tcW w:w="850" w:type="dxa"/>
            <w:tcBorders>
              <w:top w:val="single" w:color="auto" w:sz="4" w:space="0"/>
              <w:left w:val="nil"/>
              <w:bottom w:val="single" w:color="auto" w:sz="4" w:space="0"/>
              <w:right w:val="single" w:color="auto" w:sz="4" w:space="0"/>
            </w:tcBorders>
            <w:shd w:val="clear" w:color="auto" w:fill="auto"/>
            <w:vAlign w:val="center"/>
          </w:tcPr>
          <w:p w14:paraId="7A60965C">
            <w:pPr>
              <w:widowControl/>
              <w:adjustRightInd w:val="0"/>
              <w:snapToGrid w:val="0"/>
              <w:spacing w:line="0" w:lineRule="atLeas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4</w:t>
            </w:r>
          </w:p>
        </w:tc>
        <w:tc>
          <w:tcPr>
            <w:tcW w:w="1043" w:type="dxa"/>
            <w:tcBorders>
              <w:top w:val="single" w:color="auto" w:sz="4" w:space="0"/>
              <w:left w:val="nil"/>
              <w:bottom w:val="single" w:color="auto" w:sz="4" w:space="0"/>
              <w:right w:val="single" w:color="auto" w:sz="4" w:space="0"/>
            </w:tcBorders>
          </w:tcPr>
          <w:p w14:paraId="5628F8A9">
            <w:pPr>
              <w:widowControl/>
              <w:adjustRightInd w:val="0"/>
              <w:snapToGrid w:val="0"/>
              <w:spacing w:line="0" w:lineRule="atLeast"/>
              <w:jc w:val="left"/>
              <w:rPr>
                <w:rFonts w:hint="eastAsia" w:ascii="宋体" w:hAnsi="宋体" w:eastAsia="宋体" w:cs="宋体"/>
                <w:kern w:val="0"/>
                <w:sz w:val="24"/>
                <w:szCs w:val="24"/>
              </w:rPr>
            </w:pPr>
          </w:p>
        </w:tc>
      </w:tr>
      <w:tr w14:paraId="1D1E83C6">
        <w:tblPrEx>
          <w:tblCellMar>
            <w:top w:w="0" w:type="dxa"/>
            <w:left w:w="108" w:type="dxa"/>
            <w:bottom w:w="0" w:type="dxa"/>
            <w:right w:w="108" w:type="dxa"/>
          </w:tblCellMar>
        </w:tblPrEx>
        <w:trPr>
          <w:trHeight w:val="450"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26E9D6DA">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926" w:type="dxa"/>
            <w:tcBorders>
              <w:top w:val="single" w:color="auto" w:sz="4" w:space="0"/>
              <w:left w:val="nil"/>
              <w:bottom w:val="single" w:color="auto" w:sz="4" w:space="0"/>
              <w:right w:val="single" w:color="auto" w:sz="4" w:space="0"/>
            </w:tcBorders>
            <w:shd w:val="clear" w:color="auto" w:fill="auto"/>
            <w:vAlign w:val="center"/>
          </w:tcPr>
          <w:p w14:paraId="7EF311B9">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关节镜用手术钳</w:t>
            </w:r>
          </w:p>
        </w:tc>
        <w:tc>
          <w:tcPr>
            <w:tcW w:w="3100" w:type="dxa"/>
            <w:tcBorders>
              <w:top w:val="single" w:color="auto" w:sz="4" w:space="0"/>
              <w:left w:val="nil"/>
              <w:bottom w:val="single" w:color="auto" w:sz="4" w:space="0"/>
              <w:right w:val="single" w:color="auto" w:sz="4" w:space="0"/>
            </w:tcBorders>
            <w:shd w:val="clear" w:color="auto" w:fill="auto"/>
            <w:vAlign w:val="center"/>
          </w:tcPr>
          <w:p w14:paraId="046B3F79">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鸭嘴直型4.8*125mm</w:t>
            </w:r>
          </w:p>
        </w:tc>
        <w:tc>
          <w:tcPr>
            <w:tcW w:w="828" w:type="dxa"/>
            <w:tcBorders>
              <w:top w:val="single" w:color="auto" w:sz="4" w:space="0"/>
              <w:left w:val="nil"/>
              <w:bottom w:val="single" w:color="auto" w:sz="4" w:space="0"/>
              <w:right w:val="single" w:color="auto" w:sz="4" w:space="0"/>
            </w:tcBorders>
            <w:shd w:val="clear" w:color="auto" w:fill="auto"/>
            <w:vAlign w:val="center"/>
          </w:tcPr>
          <w:p w14:paraId="0111FF6D">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把</w:t>
            </w:r>
          </w:p>
        </w:tc>
        <w:tc>
          <w:tcPr>
            <w:tcW w:w="850" w:type="dxa"/>
            <w:tcBorders>
              <w:top w:val="single" w:color="auto" w:sz="4" w:space="0"/>
              <w:left w:val="nil"/>
              <w:bottom w:val="single" w:color="auto" w:sz="4" w:space="0"/>
              <w:right w:val="single" w:color="auto" w:sz="4" w:space="0"/>
            </w:tcBorders>
            <w:shd w:val="clear" w:color="auto" w:fill="auto"/>
            <w:vAlign w:val="center"/>
          </w:tcPr>
          <w:p w14:paraId="64797290">
            <w:pPr>
              <w:widowControl/>
              <w:adjustRightInd w:val="0"/>
              <w:snapToGrid w:val="0"/>
              <w:spacing w:line="0" w:lineRule="atLeas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043" w:type="dxa"/>
            <w:tcBorders>
              <w:top w:val="single" w:color="auto" w:sz="4" w:space="0"/>
              <w:left w:val="nil"/>
              <w:bottom w:val="single" w:color="auto" w:sz="4" w:space="0"/>
              <w:right w:val="single" w:color="auto" w:sz="4" w:space="0"/>
            </w:tcBorders>
          </w:tcPr>
          <w:p w14:paraId="51B435F7">
            <w:pPr>
              <w:widowControl/>
              <w:adjustRightInd w:val="0"/>
              <w:snapToGrid w:val="0"/>
              <w:spacing w:line="0" w:lineRule="atLeast"/>
              <w:jc w:val="center"/>
              <w:rPr>
                <w:rFonts w:hint="eastAsia" w:ascii="宋体" w:hAnsi="宋体" w:eastAsia="宋体" w:cs="宋体"/>
                <w:kern w:val="0"/>
                <w:sz w:val="24"/>
                <w:szCs w:val="24"/>
              </w:rPr>
            </w:pPr>
          </w:p>
        </w:tc>
      </w:tr>
      <w:tr w14:paraId="25693296">
        <w:tblPrEx>
          <w:tblCellMar>
            <w:top w:w="0" w:type="dxa"/>
            <w:left w:w="108" w:type="dxa"/>
            <w:bottom w:w="0" w:type="dxa"/>
            <w:right w:w="108" w:type="dxa"/>
          </w:tblCellMar>
        </w:tblPrEx>
        <w:trPr>
          <w:trHeight w:val="450"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1E4E8536">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1926" w:type="dxa"/>
            <w:tcBorders>
              <w:top w:val="single" w:color="auto" w:sz="4" w:space="0"/>
              <w:left w:val="nil"/>
              <w:bottom w:val="single" w:color="auto" w:sz="4" w:space="0"/>
              <w:right w:val="single" w:color="auto" w:sz="4" w:space="0"/>
            </w:tcBorders>
            <w:shd w:val="clear" w:color="auto" w:fill="auto"/>
            <w:vAlign w:val="center"/>
          </w:tcPr>
          <w:p w14:paraId="40226572">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关节镜用手术钳</w:t>
            </w:r>
          </w:p>
        </w:tc>
        <w:tc>
          <w:tcPr>
            <w:tcW w:w="3100" w:type="dxa"/>
            <w:tcBorders>
              <w:top w:val="single" w:color="auto" w:sz="4" w:space="0"/>
              <w:left w:val="nil"/>
              <w:bottom w:val="single" w:color="auto" w:sz="4" w:space="0"/>
              <w:right w:val="single" w:color="auto" w:sz="4" w:space="0"/>
            </w:tcBorders>
            <w:shd w:val="clear" w:color="auto" w:fill="auto"/>
            <w:vAlign w:val="center"/>
          </w:tcPr>
          <w:p w14:paraId="4CEC4945">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鸭嘴左弯4.8*125mm</w:t>
            </w:r>
          </w:p>
        </w:tc>
        <w:tc>
          <w:tcPr>
            <w:tcW w:w="828" w:type="dxa"/>
            <w:tcBorders>
              <w:top w:val="single" w:color="auto" w:sz="4" w:space="0"/>
              <w:left w:val="nil"/>
              <w:bottom w:val="single" w:color="auto" w:sz="4" w:space="0"/>
              <w:right w:val="single" w:color="auto" w:sz="4" w:space="0"/>
            </w:tcBorders>
            <w:shd w:val="clear" w:color="auto" w:fill="auto"/>
            <w:vAlign w:val="center"/>
          </w:tcPr>
          <w:p w14:paraId="342195BD">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把</w:t>
            </w:r>
          </w:p>
        </w:tc>
        <w:tc>
          <w:tcPr>
            <w:tcW w:w="850" w:type="dxa"/>
            <w:tcBorders>
              <w:top w:val="single" w:color="auto" w:sz="4" w:space="0"/>
              <w:left w:val="nil"/>
              <w:bottom w:val="single" w:color="auto" w:sz="4" w:space="0"/>
              <w:right w:val="single" w:color="auto" w:sz="4" w:space="0"/>
            </w:tcBorders>
            <w:shd w:val="clear" w:color="auto" w:fill="auto"/>
            <w:vAlign w:val="center"/>
          </w:tcPr>
          <w:p w14:paraId="1A1B9FCD">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043" w:type="dxa"/>
            <w:tcBorders>
              <w:top w:val="single" w:color="auto" w:sz="4" w:space="0"/>
              <w:left w:val="nil"/>
              <w:bottom w:val="single" w:color="auto" w:sz="4" w:space="0"/>
              <w:right w:val="single" w:color="auto" w:sz="4" w:space="0"/>
            </w:tcBorders>
          </w:tcPr>
          <w:p w14:paraId="32B95393">
            <w:pPr>
              <w:widowControl/>
              <w:adjustRightInd w:val="0"/>
              <w:snapToGrid w:val="0"/>
              <w:spacing w:line="0" w:lineRule="atLeast"/>
              <w:jc w:val="center"/>
              <w:rPr>
                <w:rFonts w:hint="eastAsia" w:ascii="宋体" w:hAnsi="宋体" w:eastAsia="宋体" w:cs="宋体"/>
                <w:kern w:val="0"/>
                <w:sz w:val="24"/>
                <w:szCs w:val="24"/>
              </w:rPr>
            </w:pPr>
          </w:p>
        </w:tc>
      </w:tr>
      <w:tr w14:paraId="5379FE79">
        <w:tblPrEx>
          <w:tblCellMar>
            <w:top w:w="0" w:type="dxa"/>
            <w:left w:w="108" w:type="dxa"/>
            <w:bottom w:w="0" w:type="dxa"/>
            <w:right w:w="108" w:type="dxa"/>
          </w:tblCellMar>
        </w:tblPrEx>
        <w:trPr>
          <w:trHeight w:val="450"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38556A81">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1926" w:type="dxa"/>
            <w:tcBorders>
              <w:top w:val="single" w:color="auto" w:sz="4" w:space="0"/>
              <w:left w:val="nil"/>
              <w:bottom w:val="single" w:color="auto" w:sz="4" w:space="0"/>
              <w:right w:val="single" w:color="auto" w:sz="4" w:space="0"/>
            </w:tcBorders>
            <w:shd w:val="clear" w:color="auto" w:fill="auto"/>
            <w:vAlign w:val="center"/>
          </w:tcPr>
          <w:p w14:paraId="3567CF0D">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关节镜用手术钳</w:t>
            </w:r>
          </w:p>
        </w:tc>
        <w:tc>
          <w:tcPr>
            <w:tcW w:w="3100" w:type="dxa"/>
            <w:tcBorders>
              <w:top w:val="single" w:color="auto" w:sz="4" w:space="0"/>
              <w:left w:val="nil"/>
              <w:bottom w:val="single" w:color="auto" w:sz="4" w:space="0"/>
              <w:right w:val="single" w:color="auto" w:sz="4" w:space="0"/>
            </w:tcBorders>
            <w:shd w:val="clear" w:color="auto" w:fill="auto"/>
            <w:vAlign w:val="center"/>
          </w:tcPr>
          <w:p w14:paraId="00A137CB">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鸭嘴右弯4.8*125mm</w:t>
            </w:r>
          </w:p>
        </w:tc>
        <w:tc>
          <w:tcPr>
            <w:tcW w:w="828" w:type="dxa"/>
            <w:tcBorders>
              <w:top w:val="single" w:color="auto" w:sz="4" w:space="0"/>
              <w:left w:val="nil"/>
              <w:bottom w:val="single" w:color="auto" w:sz="4" w:space="0"/>
              <w:right w:val="single" w:color="auto" w:sz="4" w:space="0"/>
            </w:tcBorders>
            <w:shd w:val="clear" w:color="auto" w:fill="auto"/>
            <w:vAlign w:val="center"/>
          </w:tcPr>
          <w:p w14:paraId="0A3E7F74">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把</w:t>
            </w:r>
          </w:p>
        </w:tc>
        <w:tc>
          <w:tcPr>
            <w:tcW w:w="850" w:type="dxa"/>
            <w:tcBorders>
              <w:top w:val="single" w:color="auto" w:sz="4" w:space="0"/>
              <w:left w:val="nil"/>
              <w:bottom w:val="single" w:color="auto" w:sz="4" w:space="0"/>
              <w:right w:val="single" w:color="auto" w:sz="4" w:space="0"/>
            </w:tcBorders>
            <w:shd w:val="clear" w:color="auto" w:fill="auto"/>
            <w:vAlign w:val="center"/>
          </w:tcPr>
          <w:p w14:paraId="0D05ADE7">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043" w:type="dxa"/>
            <w:tcBorders>
              <w:top w:val="single" w:color="auto" w:sz="4" w:space="0"/>
              <w:left w:val="nil"/>
              <w:bottom w:val="single" w:color="auto" w:sz="4" w:space="0"/>
              <w:right w:val="single" w:color="auto" w:sz="4" w:space="0"/>
            </w:tcBorders>
          </w:tcPr>
          <w:p w14:paraId="08437A79">
            <w:pPr>
              <w:widowControl/>
              <w:adjustRightInd w:val="0"/>
              <w:snapToGrid w:val="0"/>
              <w:spacing w:line="0" w:lineRule="atLeast"/>
              <w:jc w:val="center"/>
              <w:rPr>
                <w:rFonts w:hint="eastAsia" w:ascii="宋体" w:hAnsi="宋体" w:eastAsia="宋体" w:cs="宋体"/>
                <w:kern w:val="0"/>
                <w:sz w:val="24"/>
                <w:szCs w:val="24"/>
              </w:rPr>
            </w:pPr>
          </w:p>
        </w:tc>
      </w:tr>
      <w:tr w14:paraId="32D5EB03">
        <w:tblPrEx>
          <w:tblCellMar>
            <w:top w:w="0" w:type="dxa"/>
            <w:left w:w="108" w:type="dxa"/>
            <w:bottom w:w="0" w:type="dxa"/>
            <w:right w:w="108" w:type="dxa"/>
          </w:tblCellMar>
        </w:tblPrEx>
        <w:trPr>
          <w:trHeight w:val="450"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6A1F18E2">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926" w:type="dxa"/>
            <w:tcBorders>
              <w:top w:val="single" w:color="auto" w:sz="4" w:space="0"/>
              <w:left w:val="nil"/>
              <w:bottom w:val="single" w:color="auto" w:sz="4" w:space="0"/>
              <w:right w:val="single" w:color="auto" w:sz="4" w:space="0"/>
            </w:tcBorders>
            <w:shd w:val="clear" w:color="auto" w:fill="auto"/>
            <w:vAlign w:val="center"/>
          </w:tcPr>
          <w:p w14:paraId="11D6DF94">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关节镜用手术钳</w:t>
            </w:r>
          </w:p>
        </w:tc>
        <w:tc>
          <w:tcPr>
            <w:tcW w:w="3100" w:type="dxa"/>
            <w:tcBorders>
              <w:top w:val="single" w:color="auto" w:sz="4" w:space="0"/>
              <w:left w:val="nil"/>
              <w:bottom w:val="single" w:color="auto" w:sz="4" w:space="0"/>
              <w:right w:val="single" w:color="auto" w:sz="4" w:space="0"/>
            </w:tcBorders>
            <w:shd w:val="clear" w:color="auto" w:fill="auto"/>
            <w:vAlign w:val="center"/>
          </w:tcPr>
          <w:p w14:paraId="0EBC21DA">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鸭嘴翘头4.8*125mm</w:t>
            </w:r>
          </w:p>
        </w:tc>
        <w:tc>
          <w:tcPr>
            <w:tcW w:w="828" w:type="dxa"/>
            <w:tcBorders>
              <w:top w:val="single" w:color="auto" w:sz="4" w:space="0"/>
              <w:left w:val="nil"/>
              <w:bottom w:val="single" w:color="auto" w:sz="4" w:space="0"/>
              <w:right w:val="single" w:color="auto" w:sz="4" w:space="0"/>
            </w:tcBorders>
            <w:shd w:val="clear" w:color="auto" w:fill="auto"/>
            <w:vAlign w:val="center"/>
          </w:tcPr>
          <w:p w14:paraId="2CF9A88B">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把</w:t>
            </w:r>
          </w:p>
        </w:tc>
        <w:tc>
          <w:tcPr>
            <w:tcW w:w="850" w:type="dxa"/>
            <w:tcBorders>
              <w:top w:val="single" w:color="auto" w:sz="4" w:space="0"/>
              <w:left w:val="nil"/>
              <w:bottom w:val="single" w:color="auto" w:sz="4" w:space="0"/>
              <w:right w:val="single" w:color="auto" w:sz="4" w:space="0"/>
            </w:tcBorders>
            <w:shd w:val="clear" w:color="auto" w:fill="auto"/>
            <w:vAlign w:val="center"/>
          </w:tcPr>
          <w:p w14:paraId="138F70AC">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043" w:type="dxa"/>
            <w:tcBorders>
              <w:top w:val="single" w:color="auto" w:sz="4" w:space="0"/>
              <w:left w:val="nil"/>
              <w:bottom w:val="single" w:color="auto" w:sz="4" w:space="0"/>
              <w:right w:val="single" w:color="auto" w:sz="4" w:space="0"/>
            </w:tcBorders>
          </w:tcPr>
          <w:p w14:paraId="5B8A5457">
            <w:pPr>
              <w:widowControl/>
              <w:adjustRightInd w:val="0"/>
              <w:snapToGrid w:val="0"/>
              <w:spacing w:line="0" w:lineRule="atLeast"/>
              <w:jc w:val="center"/>
              <w:rPr>
                <w:rFonts w:hint="eastAsia" w:ascii="宋体" w:hAnsi="宋体" w:eastAsia="宋体" w:cs="宋体"/>
                <w:kern w:val="0"/>
                <w:sz w:val="24"/>
                <w:szCs w:val="24"/>
              </w:rPr>
            </w:pPr>
          </w:p>
        </w:tc>
      </w:tr>
      <w:tr w14:paraId="1B077F33">
        <w:tblPrEx>
          <w:tblCellMar>
            <w:top w:w="0" w:type="dxa"/>
            <w:left w:w="108" w:type="dxa"/>
            <w:bottom w:w="0" w:type="dxa"/>
            <w:right w:w="108" w:type="dxa"/>
          </w:tblCellMar>
        </w:tblPrEx>
        <w:trPr>
          <w:trHeight w:val="450"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28906C93">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1926" w:type="dxa"/>
            <w:tcBorders>
              <w:top w:val="single" w:color="auto" w:sz="4" w:space="0"/>
              <w:left w:val="nil"/>
              <w:bottom w:val="single" w:color="auto" w:sz="4" w:space="0"/>
              <w:right w:val="single" w:color="auto" w:sz="4" w:space="0"/>
            </w:tcBorders>
            <w:shd w:val="clear" w:color="auto" w:fill="auto"/>
            <w:vAlign w:val="center"/>
          </w:tcPr>
          <w:p w14:paraId="45014F0D">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关节镜用手术钳</w:t>
            </w:r>
          </w:p>
        </w:tc>
        <w:tc>
          <w:tcPr>
            <w:tcW w:w="3100" w:type="dxa"/>
            <w:tcBorders>
              <w:top w:val="single" w:color="auto" w:sz="4" w:space="0"/>
              <w:left w:val="nil"/>
              <w:bottom w:val="single" w:color="auto" w:sz="4" w:space="0"/>
              <w:right w:val="single" w:color="auto" w:sz="4" w:space="0"/>
            </w:tcBorders>
            <w:shd w:val="clear" w:color="auto" w:fill="auto"/>
            <w:vAlign w:val="center"/>
          </w:tcPr>
          <w:p w14:paraId="244944BA">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前角左弯5.6*115mm</w:t>
            </w:r>
          </w:p>
        </w:tc>
        <w:tc>
          <w:tcPr>
            <w:tcW w:w="828" w:type="dxa"/>
            <w:tcBorders>
              <w:top w:val="single" w:color="auto" w:sz="4" w:space="0"/>
              <w:left w:val="nil"/>
              <w:bottom w:val="single" w:color="auto" w:sz="4" w:space="0"/>
              <w:right w:val="single" w:color="auto" w:sz="4" w:space="0"/>
            </w:tcBorders>
            <w:shd w:val="clear" w:color="auto" w:fill="auto"/>
            <w:vAlign w:val="center"/>
          </w:tcPr>
          <w:p w14:paraId="6104F292">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把</w:t>
            </w:r>
          </w:p>
        </w:tc>
        <w:tc>
          <w:tcPr>
            <w:tcW w:w="850" w:type="dxa"/>
            <w:tcBorders>
              <w:top w:val="single" w:color="auto" w:sz="4" w:space="0"/>
              <w:left w:val="nil"/>
              <w:bottom w:val="single" w:color="auto" w:sz="4" w:space="0"/>
              <w:right w:val="single" w:color="auto" w:sz="4" w:space="0"/>
            </w:tcBorders>
            <w:shd w:val="clear" w:color="auto" w:fill="auto"/>
            <w:vAlign w:val="center"/>
          </w:tcPr>
          <w:p w14:paraId="6335DF9C">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043" w:type="dxa"/>
            <w:tcBorders>
              <w:top w:val="single" w:color="auto" w:sz="4" w:space="0"/>
              <w:left w:val="nil"/>
              <w:bottom w:val="single" w:color="auto" w:sz="4" w:space="0"/>
              <w:right w:val="single" w:color="auto" w:sz="4" w:space="0"/>
            </w:tcBorders>
          </w:tcPr>
          <w:p w14:paraId="69B9B153">
            <w:pPr>
              <w:widowControl/>
              <w:adjustRightInd w:val="0"/>
              <w:snapToGrid w:val="0"/>
              <w:spacing w:line="0" w:lineRule="atLeast"/>
              <w:jc w:val="center"/>
              <w:rPr>
                <w:rFonts w:hint="eastAsia" w:ascii="宋体" w:hAnsi="宋体" w:eastAsia="宋体" w:cs="宋体"/>
                <w:kern w:val="0"/>
                <w:sz w:val="24"/>
                <w:szCs w:val="24"/>
              </w:rPr>
            </w:pPr>
          </w:p>
        </w:tc>
      </w:tr>
      <w:tr w14:paraId="19F02DEA">
        <w:tblPrEx>
          <w:tblCellMar>
            <w:top w:w="0" w:type="dxa"/>
            <w:left w:w="108" w:type="dxa"/>
            <w:bottom w:w="0" w:type="dxa"/>
            <w:right w:w="108" w:type="dxa"/>
          </w:tblCellMar>
        </w:tblPrEx>
        <w:trPr>
          <w:trHeight w:val="450"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0368F277">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1926" w:type="dxa"/>
            <w:tcBorders>
              <w:top w:val="single" w:color="auto" w:sz="4" w:space="0"/>
              <w:left w:val="nil"/>
              <w:bottom w:val="single" w:color="auto" w:sz="4" w:space="0"/>
              <w:right w:val="single" w:color="auto" w:sz="4" w:space="0"/>
            </w:tcBorders>
            <w:shd w:val="clear" w:color="auto" w:fill="auto"/>
            <w:vAlign w:val="center"/>
          </w:tcPr>
          <w:p w14:paraId="6BD03095">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关节镜用手术钳</w:t>
            </w:r>
          </w:p>
        </w:tc>
        <w:tc>
          <w:tcPr>
            <w:tcW w:w="3100" w:type="dxa"/>
            <w:tcBorders>
              <w:top w:val="single" w:color="auto" w:sz="4" w:space="0"/>
              <w:left w:val="nil"/>
              <w:bottom w:val="single" w:color="auto" w:sz="4" w:space="0"/>
              <w:right w:val="single" w:color="auto" w:sz="4" w:space="0"/>
            </w:tcBorders>
            <w:shd w:val="clear" w:color="auto" w:fill="auto"/>
            <w:vAlign w:val="center"/>
          </w:tcPr>
          <w:p w14:paraId="7F11FB29">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前角右弯5.6*115mm</w:t>
            </w:r>
          </w:p>
        </w:tc>
        <w:tc>
          <w:tcPr>
            <w:tcW w:w="828" w:type="dxa"/>
            <w:tcBorders>
              <w:top w:val="single" w:color="auto" w:sz="4" w:space="0"/>
              <w:left w:val="nil"/>
              <w:bottom w:val="single" w:color="auto" w:sz="4" w:space="0"/>
              <w:right w:val="single" w:color="auto" w:sz="4" w:space="0"/>
            </w:tcBorders>
            <w:shd w:val="clear" w:color="auto" w:fill="auto"/>
            <w:vAlign w:val="center"/>
          </w:tcPr>
          <w:p w14:paraId="62210C31">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把</w:t>
            </w:r>
          </w:p>
        </w:tc>
        <w:tc>
          <w:tcPr>
            <w:tcW w:w="850" w:type="dxa"/>
            <w:tcBorders>
              <w:top w:val="single" w:color="auto" w:sz="4" w:space="0"/>
              <w:left w:val="nil"/>
              <w:bottom w:val="single" w:color="auto" w:sz="4" w:space="0"/>
              <w:right w:val="single" w:color="auto" w:sz="4" w:space="0"/>
            </w:tcBorders>
            <w:shd w:val="clear" w:color="auto" w:fill="auto"/>
            <w:vAlign w:val="center"/>
          </w:tcPr>
          <w:p w14:paraId="54C5EFD1">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043" w:type="dxa"/>
            <w:tcBorders>
              <w:top w:val="single" w:color="auto" w:sz="4" w:space="0"/>
              <w:left w:val="nil"/>
              <w:bottom w:val="single" w:color="auto" w:sz="4" w:space="0"/>
              <w:right w:val="single" w:color="auto" w:sz="4" w:space="0"/>
            </w:tcBorders>
          </w:tcPr>
          <w:p w14:paraId="4A7049BE">
            <w:pPr>
              <w:widowControl/>
              <w:adjustRightInd w:val="0"/>
              <w:snapToGrid w:val="0"/>
              <w:spacing w:line="0" w:lineRule="atLeast"/>
              <w:jc w:val="center"/>
              <w:rPr>
                <w:rFonts w:hint="eastAsia" w:ascii="宋体" w:hAnsi="宋体" w:eastAsia="宋体" w:cs="宋体"/>
                <w:kern w:val="0"/>
                <w:sz w:val="24"/>
                <w:szCs w:val="24"/>
              </w:rPr>
            </w:pPr>
          </w:p>
        </w:tc>
      </w:tr>
      <w:tr w14:paraId="74AA60AE">
        <w:tblPrEx>
          <w:tblCellMar>
            <w:top w:w="0" w:type="dxa"/>
            <w:left w:w="108" w:type="dxa"/>
            <w:bottom w:w="0" w:type="dxa"/>
            <w:right w:w="108" w:type="dxa"/>
          </w:tblCellMar>
        </w:tblPrEx>
        <w:trPr>
          <w:trHeight w:val="450"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259A1330">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1926" w:type="dxa"/>
            <w:tcBorders>
              <w:top w:val="single" w:color="auto" w:sz="4" w:space="0"/>
              <w:left w:val="nil"/>
              <w:bottom w:val="single" w:color="auto" w:sz="4" w:space="0"/>
              <w:right w:val="single" w:color="auto" w:sz="4" w:space="0"/>
            </w:tcBorders>
            <w:shd w:val="clear" w:color="auto" w:fill="auto"/>
            <w:vAlign w:val="center"/>
          </w:tcPr>
          <w:p w14:paraId="65F9C75D">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关节镜用手术钳</w:t>
            </w:r>
          </w:p>
        </w:tc>
        <w:tc>
          <w:tcPr>
            <w:tcW w:w="3100" w:type="dxa"/>
            <w:tcBorders>
              <w:top w:val="single" w:color="auto" w:sz="4" w:space="0"/>
              <w:left w:val="nil"/>
              <w:bottom w:val="single" w:color="auto" w:sz="4" w:space="0"/>
              <w:right w:val="single" w:color="auto" w:sz="4" w:space="0"/>
            </w:tcBorders>
            <w:shd w:val="clear" w:color="auto" w:fill="auto"/>
            <w:vAlign w:val="center"/>
          </w:tcPr>
          <w:p w14:paraId="28876740">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90°左弯7*125mm</w:t>
            </w:r>
          </w:p>
        </w:tc>
        <w:tc>
          <w:tcPr>
            <w:tcW w:w="828" w:type="dxa"/>
            <w:tcBorders>
              <w:top w:val="single" w:color="auto" w:sz="4" w:space="0"/>
              <w:left w:val="nil"/>
              <w:bottom w:val="single" w:color="auto" w:sz="4" w:space="0"/>
              <w:right w:val="single" w:color="auto" w:sz="4" w:space="0"/>
            </w:tcBorders>
            <w:shd w:val="clear" w:color="auto" w:fill="auto"/>
            <w:vAlign w:val="center"/>
          </w:tcPr>
          <w:p w14:paraId="56F9218A">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把</w:t>
            </w:r>
          </w:p>
        </w:tc>
        <w:tc>
          <w:tcPr>
            <w:tcW w:w="850" w:type="dxa"/>
            <w:tcBorders>
              <w:top w:val="single" w:color="auto" w:sz="4" w:space="0"/>
              <w:left w:val="nil"/>
              <w:bottom w:val="single" w:color="auto" w:sz="4" w:space="0"/>
              <w:right w:val="single" w:color="auto" w:sz="4" w:space="0"/>
            </w:tcBorders>
            <w:shd w:val="clear" w:color="auto" w:fill="auto"/>
            <w:vAlign w:val="center"/>
          </w:tcPr>
          <w:p w14:paraId="1E4411CD">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043" w:type="dxa"/>
            <w:tcBorders>
              <w:top w:val="single" w:color="auto" w:sz="4" w:space="0"/>
              <w:left w:val="nil"/>
              <w:bottom w:val="single" w:color="auto" w:sz="4" w:space="0"/>
              <w:right w:val="single" w:color="auto" w:sz="4" w:space="0"/>
            </w:tcBorders>
          </w:tcPr>
          <w:p w14:paraId="3DDE5B0F">
            <w:pPr>
              <w:widowControl/>
              <w:adjustRightInd w:val="0"/>
              <w:snapToGrid w:val="0"/>
              <w:spacing w:line="0" w:lineRule="atLeast"/>
              <w:jc w:val="center"/>
              <w:rPr>
                <w:rFonts w:hint="eastAsia" w:ascii="宋体" w:hAnsi="宋体" w:eastAsia="宋体" w:cs="宋体"/>
                <w:kern w:val="0"/>
                <w:sz w:val="24"/>
                <w:szCs w:val="24"/>
              </w:rPr>
            </w:pPr>
          </w:p>
        </w:tc>
      </w:tr>
      <w:tr w14:paraId="7D18E1F9">
        <w:tblPrEx>
          <w:tblCellMar>
            <w:top w:w="0" w:type="dxa"/>
            <w:left w:w="108" w:type="dxa"/>
            <w:bottom w:w="0" w:type="dxa"/>
            <w:right w:w="108" w:type="dxa"/>
          </w:tblCellMar>
        </w:tblPrEx>
        <w:trPr>
          <w:trHeight w:val="464"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38261CC1">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1926" w:type="dxa"/>
            <w:tcBorders>
              <w:top w:val="single" w:color="auto" w:sz="4" w:space="0"/>
              <w:left w:val="nil"/>
              <w:bottom w:val="single" w:color="auto" w:sz="4" w:space="0"/>
              <w:right w:val="single" w:color="auto" w:sz="4" w:space="0"/>
            </w:tcBorders>
            <w:shd w:val="clear" w:color="auto" w:fill="auto"/>
            <w:vAlign w:val="center"/>
          </w:tcPr>
          <w:p w14:paraId="3615D2D6">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关节镜用手术钳</w:t>
            </w:r>
          </w:p>
        </w:tc>
        <w:tc>
          <w:tcPr>
            <w:tcW w:w="3100" w:type="dxa"/>
            <w:tcBorders>
              <w:top w:val="single" w:color="auto" w:sz="4" w:space="0"/>
              <w:left w:val="nil"/>
              <w:bottom w:val="single" w:color="auto" w:sz="4" w:space="0"/>
              <w:right w:val="single" w:color="auto" w:sz="4" w:space="0"/>
            </w:tcBorders>
            <w:shd w:val="clear" w:color="auto" w:fill="auto"/>
            <w:vAlign w:val="center"/>
          </w:tcPr>
          <w:p w14:paraId="6756C028">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90°右弯7*125mm</w:t>
            </w:r>
          </w:p>
        </w:tc>
        <w:tc>
          <w:tcPr>
            <w:tcW w:w="828" w:type="dxa"/>
            <w:tcBorders>
              <w:top w:val="single" w:color="auto" w:sz="4" w:space="0"/>
              <w:left w:val="nil"/>
              <w:bottom w:val="single" w:color="auto" w:sz="4" w:space="0"/>
              <w:right w:val="single" w:color="auto" w:sz="4" w:space="0"/>
            </w:tcBorders>
            <w:shd w:val="clear" w:color="auto" w:fill="auto"/>
            <w:vAlign w:val="center"/>
          </w:tcPr>
          <w:p w14:paraId="2B919E56">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把</w:t>
            </w:r>
          </w:p>
        </w:tc>
        <w:tc>
          <w:tcPr>
            <w:tcW w:w="850" w:type="dxa"/>
            <w:tcBorders>
              <w:top w:val="single" w:color="auto" w:sz="4" w:space="0"/>
              <w:left w:val="nil"/>
              <w:bottom w:val="single" w:color="auto" w:sz="4" w:space="0"/>
              <w:right w:val="single" w:color="auto" w:sz="4" w:space="0"/>
            </w:tcBorders>
            <w:shd w:val="clear" w:color="auto" w:fill="auto"/>
            <w:vAlign w:val="center"/>
          </w:tcPr>
          <w:p w14:paraId="671D74D3">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043" w:type="dxa"/>
            <w:tcBorders>
              <w:top w:val="single" w:color="auto" w:sz="4" w:space="0"/>
              <w:left w:val="nil"/>
              <w:bottom w:val="single" w:color="auto" w:sz="4" w:space="0"/>
              <w:right w:val="single" w:color="auto" w:sz="4" w:space="0"/>
            </w:tcBorders>
          </w:tcPr>
          <w:p w14:paraId="6577A1C7">
            <w:pPr>
              <w:widowControl/>
              <w:adjustRightInd w:val="0"/>
              <w:snapToGrid w:val="0"/>
              <w:spacing w:line="0" w:lineRule="atLeast"/>
              <w:jc w:val="center"/>
              <w:rPr>
                <w:rFonts w:hint="eastAsia" w:ascii="宋体" w:hAnsi="宋体" w:eastAsia="宋体" w:cs="宋体"/>
                <w:kern w:val="0"/>
                <w:sz w:val="24"/>
                <w:szCs w:val="24"/>
              </w:rPr>
            </w:pPr>
          </w:p>
        </w:tc>
      </w:tr>
      <w:tr w14:paraId="2306278A">
        <w:tblPrEx>
          <w:tblCellMar>
            <w:top w:w="0" w:type="dxa"/>
            <w:left w:w="108" w:type="dxa"/>
            <w:bottom w:w="0" w:type="dxa"/>
            <w:right w:w="108" w:type="dxa"/>
          </w:tblCellMar>
        </w:tblPrEx>
        <w:trPr>
          <w:trHeight w:val="450"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2136A1E6">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1926" w:type="dxa"/>
            <w:tcBorders>
              <w:top w:val="single" w:color="auto" w:sz="4" w:space="0"/>
              <w:left w:val="nil"/>
              <w:bottom w:val="single" w:color="auto" w:sz="4" w:space="0"/>
              <w:right w:val="single" w:color="auto" w:sz="4" w:space="0"/>
            </w:tcBorders>
            <w:shd w:val="clear" w:color="auto" w:fill="auto"/>
            <w:vAlign w:val="center"/>
          </w:tcPr>
          <w:p w14:paraId="379D6539">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关节镜用手术剪</w:t>
            </w:r>
          </w:p>
        </w:tc>
        <w:tc>
          <w:tcPr>
            <w:tcW w:w="3100" w:type="dxa"/>
            <w:tcBorders>
              <w:top w:val="single" w:color="auto" w:sz="4" w:space="0"/>
              <w:left w:val="nil"/>
              <w:bottom w:val="single" w:color="auto" w:sz="4" w:space="0"/>
              <w:right w:val="single" w:color="auto" w:sz="4" w:space="0"/>
            </w:tcBorders>
            <w:shd w:val="clear" w:color="auto" w:fill="auto"/>
            <w:vAlign w:val="center"/>
          </w:tcPr>
          <w:p w14:paraId="20E8BEDC">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20°左弯剪刀5.5*125mm</w:t>
            </w:r>
          </w:p>
        </w:tc>
        <w:tc>
          <w:tcPr>
            <w:tcW w:w="828" w:type="dxa"/>
            <w:tcBorders>
              <w:top w:val="single" w:color="auto" w:sz="4" w:space="0"/>
              <w:left w:val="nil"/>
              <w:bottom w:val="single" w:color="auto" w:sz="4" w:space="0"/>
              <w:right w:val="single" w:color="auto" w:sz="4" w:space="0"/>
            </w:tcBorders>
            <w:shd w:val="clear" w:color="auto" w:fill="auto"/>
            <w:vAlign w:val="center"/>
          </w:tcPr>
          <w:p w14:paraId="64700B9B">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把</w:t>
            </w:r>
          </w:p>
        </w:tc>
        <w:tc>
          <w:tcPr>
            <w:tcW w:w="850" w:type="dxa"/>
            <w:tcBorders>
              <w:top w:val="single" w:color="auto" w:sz="4" w:space="0"/>
              <w:left w:val="nil"/>
              <w:bottom w:val="single" w:color="auto" w:sz="4" w:space="0"/>
              <w:right w:val="single" w:color="auto" w:sz="4" w:space="0"/>
            </w:tcBorders>
            <w:shd w:val="clear" w:color="auto" w:fill="auto"/>
            <w:vAlign w:val="center"/>
          </w:tcPr>
          <w:p w14:paraId="22B01F5C">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043" w:type="dxa"/>
            <w:tcBorders>
              <w:top w:val="single" w:color="auto" w:sz="4" w:space="0"/>
              <w:left w:val="nil"/>
              <w:bottom w:val="single" w:color="auto" w:sz="4" w:space="0"/>
              <w:right w:val="single" w:color="auto" w:sz="4" w:space="0"/>
            </w:tcBorders>
          </w:tcPr>
          <w:p w14:paraId="290E364E">
            <w:pPr>
              <w:widowControl/>
              <w:adjustRightInd w:val="0"/>
              <w:snapToGrid w:val="0"/>
              <w:spacing w:line="0" w:lineRule="atLeast"/>
              <w:jc w:val="center"/>
              <w:rPr>
                <w:rFonts w:hint="eastAsia" w:ascii="宋体" w:hAnsi="宋体" w:eastAsia="宋体" w:cs="宋体"/>
                <w:kern w:val="0"/>
                <w:sz w:val="24"/>
                <w:szCs w:val="24"/>
              </w:rPr>
            </w:pPr>
          </w:p>
        </w:tc>
      </w:tr>
      <w:tr w14:paraId="77A04C4D">
        <w:tblPrEx>
          <w:tblCellMar>
            <w:top w:w="0" w:type="dxa"/>
            <w:left w:w="108" w:type="dxa"/>
            <w:bottom w:w="0" w:type="dxa"/>
            <w:right w:w="108" w:type="dxa"/>
          </w:tblCellMar>
        </w:tblPrEx>
        <w:trPr>
          <w:trHeight w:val="450"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2D0FB9C6">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17</w:t>
            </w:r>
          </w:p>
        </w:tc>
        <w:tc>
          <w:tcPr>
            <w:tcW w:w="1926" w:type="dxa"/>
            <w:tcBorders>
              <w:top w:val="single" w:color="auto" w:sz="4" w:space="0"/>
              <w:left w:val="nil"/>
              <w:bottom w:val="single" w:color="auto" w:sz="4" w:space="0"/>
              <w:right w:val="single" w:color="auto" w:sz="4" w:space="0"/>
            </w:tcBorders>
            <w:shd w:val="clear" w:color="auto" w:fill="auto"/>
            <w:vAlign w:val="center"/>
          </w:tcPr>
          <w:p w14:paraId="62AAE19F">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关节镜用手术剪</w:t>
            </w:r>
          </w:p>
        </w:tc>
        <w:tc>
          <w:tcPr>
            <w:tcW w:w="3100" w:type="dxa"/>
            <w:tcBorders>
              <w:top w:val="single" w:color="auto" w:sz="4" w:space="0"/>
              <w:left w:val="nil"/>
              <w:bottom w:val="single" w:color="auto" w:sz="4" w:space="0"/>
              <w:right w:val="single" w:color="auto" w:sz="4" w:space="0"/>
            </w:tcBorders>
            <w:shd w:val="clear" w:color="auto" w:fill="auto"/>
            <w:vAlign w:val="center"/>
          </w:tcPr>
          <w:p w14:paraId="0B53F3B0">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20°右弯剪刀5.5*125mm</w:t>
            </w:r>
          </w:p>
        </w:tc>
        <w:tc>
          <w:tcPr>
            <w:tcW w:w="828" w:type="dxa"/>
            <w:tcBorders>
              <w:top w:val="single" w:color="auto" w:sz="4" w:space="0"/>
              <w:left w:val="nil"/>
              <w:bottom w:val="single" w:color="auto" w:sz="4" w:space="0"/>
              <w:right w:val="single" w:color="auto" w:sz="4" w:space="0"/>
            </w:tcBorders>
            <w:shd w:val="clear" w:color="auto" w:fill="auto"/>
            <w:vAlign w:val="center"/>
          </w:tcPr>
          <w:p w14:paraId="09536266">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把</w:t>
            </w:r>
          </w:p>
        </w:tc>
        <w:tc>
          <w:tcPr>
            <w:tcW w:w="850" w:type="dxa"/>
            <w:tcBorders>
              <w:top w:val="single" w:color="auto" w:sz="4" w:space="0"/>
              <w:left w:val="nil"/>
              <w:bottom w:val="single" w:color="auto" w:sz="4" w:space="0"/>
              <w:right w:val="single" w:color="auto" w:sz="4" w:space="0"/>
            </w:tcBorders>
            <w:shd w:val="clear" w:color="auto" w:fill="auto"/>
            <w:vAlign w:val="center"/>
          </w:tcPr>
          <w:p w14:paraId="22480C29">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043" w:type="dxa"/>
            <w:tcBorders>
              <w:top w:val="single" w:color="auto" w:sz="4" w:space="0"/>
              <w:left w:val="nil"/>
              <w:bottom w:val="single" w:color="auto" w:sz="4" w:space="0"/>
              <w:right w:val="single" w:color="auto" w:sz="4" w:space="0"/>
            </w:tcBorders>
          </w:tcPr>
          <w:p w14:paraId="7EE44C93">
            <w:pPr>
              <w:widowControl/>
              <w:adjustRightInd w:val="0"/>
              <w:snapToGrid w:val="0"/>
              <w:spacing w:line="0" w:lineRule="atLeast"/>
              <w:jc w:val="center"/>
              <w:rPr>
                <w:rFonts w:hint="eastAsia" w:ascii="宋体" w:hAnsi="宋体" w:eastAsia="宋体" w:cs="宋体"/>
                <w:kern w:val="0"/>
                <w:sz w:val="24"/>
                <w:szCs w:val="24"/>
              </w:rPr>
            </w:pPr>
          </w:p>
        </w:tc>
      </w:tr>
      <w:tr w14:paraId="16849014">
        <w:tblPrEx>
          <w:tblCellMar>
            <w:top w:w="0" w:type="dxa"/>
            <w:left w:w="108" w:type="dxa"/>
            <w:bottom w:w="0" w:type="dxa"/>
            <w:right w:w="108" w:type="dxa"/>
          </w:tblCellMar>
        </w:tblPrEx>
        <w:trPr>
          <w:trHeight w:val="518"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056892F6">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18</w:t>
            </w:r>
          </w:p>
        </w:tc>
        <w:tc>
          <w:tcPr>
            <w:tcW w:w="1926" w:type="dxa"/>
            <w:tcBorders>
              <w:top w:val="single" w:color="auto" w:sz="4" w:space="0"/>
              <w:left w:val="nil"/>
              <w:bottom w:val="single" w:color="auto" w:sz="4" w:space="0"/>
              <w:right w:val="single" w:color="auto" w:sz="4" w:space="0"/>
            </w:tcBorders>
            <w:shd w:val="clear" w:color="auto" w:fill="auto"/>
            <w:vAlign w:val="center"/>
          </w:tcPr>
          <w:p w14:paraId="131ADE6B">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关节镜用手术钳</w:t>
            </w:r>
          </w:p>
        </w:tc>
        <w:tc>
          <w:tcPr>
            <w:tcW w:w="3100" w:type="dxa"/>
            <w:tcBorders>
              <w:top w:val="single" w:color="auto" w:sz="4" w:space="0"/>
              <w:left w:val="nil"/>
              <w:bottom w:val="single" w:color="auto" w:sz="4" w:space="0"/>
              <w:right w:val="single" w:color="auto" w:sz="4" w:space="0"/>
            </w:tcBorders>
            <w:shd w:val="clear" w:color="auto" w:fill="auto"/>
            <w:vAlign w:val="center"/>
          </w:tcPr>
          <w:p w14:paraId="49F4D0AA">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带锁扣软组织抓取钳3.3*125mm</w:t>
            </w:r>
          </w:p>
        </w:tc>
        <w:tc>
          <w:tcPr>
            <w:tcW w:w="828" w:type="dxa"/>
            <w:tcBorders>
              <w:top w:val="single" w:color="auto" w:sz="4" w:space="0"/>
              <w:left w:val="nil"/>
              <w:bottom w:val="single" w:color="auto" w:sz="4" w:space="0"/>
              <w:right w:val="single" w:color="auto" w:sz="4" w:space="0"/>
            </w:tcBorders>
            <w:shd w:val="clear" w:color="auto" w:fill="auto"/>
            <w:vAlign w:val="center"/>
          </w:tcPr>
          <w:p w14:paraId="2D6F1AE4">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ab/>
            </w:r>
            <w:r>
              <w:rPr>
                <w:rFonts w:hint="eastAsia" w:ascii="宋体" w:hAnsi="宋体" w:eastAsia="宋体" w:cs="宋体"/>
                <w:kern w:val="0"/>
                <w:sz w:val="24"/>
                <w:szCs w:val="24"/>
              </w:rPr>
              <w:t>把</w:t>
            </w:r>
          </w:p>
        </w:tc>
        <w:tc>
          <w:tcPr>
            <w:tcW w:w="850" w:type="dxa"/>
            <w:tcBorders>
              <w:top w:val="single" w:color="auto" w:sz="4" w:space="0"/>
              <w:left w:val="nil"/>
              <w:bottom w:val="single" w:color="auto" w:sz="4" w:space="0"/>
              <w:right w:val="single" w:color="auto" w:sz="4" w:space="0"/>
            </w:tcBorders>
            <w:shd w:val="clear" w:color="auto" w:fill="auto"/>
            <w:vAlign w:val="center"/>
          </w:tcPr>
          <w:p w14:paraId="6C9D6FEC">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043" w:type="dxa"/>
            <w:tcBorders>
              <w:top w:val="single" w:color="auto" w:sz="4" w:space="0"/>
              <w:left w:val="nil"/>
              <w:bottom w:val="single" w:color="auto" w:sz="4" w:space="0"/>
              <w:right w:val="single" w:color="auto" w:sz="4" w:space="0"/>
            </w:tcBorders>
          </w:tcPr>
          <w:p w14:paraId="341CE4EE">
            <w:pPr>
              <w:widowControl/>
              <w:adjustRightInd w:val="0"/>
              <w:snapToGrid w:val="0"/>
              <w:spacing w:line="0" w:lineRule="atLeast"/>
              <w:jc w:val="center"/>
              <w:rPr>
                <w:rFonts w:hint="eastAsia" w:ascii="宋体" w:hAnsi="宋体" w:eastAsia="宋体" w:cs="宋体"/>
                <w:kern w:val="0"/>
                <w:sz w:val="24"/>
                <w:szCs w:val="24"/>
              </w:rPr>
            </w:pPr>
          </w:p>
        </w:tc>
      </w:tr>
      <w:tr w14:paraId="47C26971">
        <w:tblPrEx>
          <w:tblCellMar>
            <w:top w:w="0" w:type="dxa"/>
            <w:left w:w="108" w:type="dxa"/>
            <w:bottom w:w="0" w:type="dxa"/>
            <w:right w:w="108" w:type="dxa"/>
          </w:tblCellMar>
        </w:tblPrEx>
        <w:trPr>
          <w:trHeight w:val="450"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2EC8807C">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19</w:t>
            </w:r>
          </w:p>
        </w:tc>
        <w:tc>
          <w:tcPr>
            <w:tcW w:w="1926" w:type="dxa"/>
            <w:tcBorders>
              <w:top w:val="single" w:color="auto" w:sz="4" w:space="0"/>
              <w:left w:val="nil"/>
              <w:bottom w:val="single" w:color="auto" w:sz="4" w:space="0"/>
              <w:right w:val="single" w:color="auto" w:sz="4" w:space="0"/>
            </w:tcBorders>
            <w:shd w:val="clear" w:color="auto" w:fill="auto"/>
            <w:vAlign w:val="center"/>
          </w:tcPr>
          <w:p w14:paraId="0E3807EA">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关节镜用手术钳</w:t>
            </w:r>
          </w:p>
        </w:tc>
        <w:tc>
          <w:tcPr>
            <w:tcW w:w="3100" w:type="dxa"/>
            <w:tcBorders>
              <w:top w:val="single" w:color="auto" w:sz="4" w:space="0"/>
              <w:left w:val="nil"/>
              <w:bottom w:val="single" w:color="auto" w:sz="4" w:space="0"/>
              <w:right w:val="single" w:color="auto" w:sz="4" w:space="0"/>
            </w:tcBorders>
            <w:shd w:val="clear" w:color="auto" w:fill="auto"/>
            <w:vAlign w:val="center"/>
          </w:tcPr>
          <w:p w14:paraId="65D8E3A3">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带锁扣游离体抓取钳4*125mm</w:t>
            </w:r>
          </w:p>
        </w:tc>
        <w:tc>
          <w:tcPr>
            <w:tcW w:w="828" w:type="dxa"/>
            <w:tcBorders>
              <w:top w:val="single" w:color="auto" w:sz="4" w:space="0"/>
              <w:left w:val="nil"/>
              <w:bottom w:val="single" w:color="auto" w:sz="4" w:space="0"/>
              <w:right w:val="single" w:color="auto" w:sz="4" w:space="0"/>
            </w:tcBorders>
            <w:shd w:val="clear" w:color="auto" w:fill="auto"/>
            <w:vAlign w:val="center"/>
          </w:tcPr>
          <w:p w14:paraId="2F533605">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把</w:t>
            </w:r>
          </w:p>
        </w:tc>
        <w:tc>
          <w:tcPr>
            <w:tcW w:w="850" w:type="dxa"/>
            <w:tcBorders>
              <w:top w:val="single" w:color="auto" w:sz="4" w:space="0"/>
              <w:left w:val="nil"/>
              <w:bottom w:val="single" w:color="auto" w:sz="4" w:space="0"/>
              <w:right w:val="single" w:color="auto" w:sz="4" w:space="0"/>
            </w:tcBorders>
            <w:shd w:val="clear" w:color="auto" w:fill="auto"/>
            <w:vAlign w:val="center"/>
          </w:tcPr>
          <w:p w14:paraId="182F883D">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043" w:type="dxa"/>
            <w:tcBorders>
              <w:top w:val="single" w:color="auto" w:sz="4" w:space="0"/>
              <w:left w:val="nil"/>
              <w:bottom w:val="single" w:color="auto" w:sz="4" w:space="0"/>
              <w:right w:val="single" w:color="auto" w:sz="4" w:space="0"/>
            </w:tcBorders>
          </w:tcPr>
          <w:p w14:paraId="15B47A6C">
            <w:pPr>
              <w:widowControl/>
              <w:adjustRightInd w:val="0"/>
              <w:snapToGrid w:val="0"/>
              <w:spacing w:line="0" w:lineRule="atLeast"/>
              <w:jc w:val="center"/>
              <w:rPr>
                <w:rFonts w:hint="eastAsia" w:ascii="宋体" w:hAnsi="宋体" w:eastAsia="宋体" w:cs="宋体"/>
                <w:kern w:val="0"/>
                <w:sz w:val="24"/>
                <w:szCs w:val="24"/>
              </w:rPr>
            </w:pPr>
          </w:p>
        </w:tc>
      </w:tr>
      <w:tr w14:paraId="479E9B51">
        <w:tblPrEx>
          <w:tblCellMar>
            <w:top w:w="0" w:type="dxa"/>
            <w:left w:w="108" w:type="dxa"/>
            <w:bottom w:w="0" w:type="dxa"/>
            <w:right w:w="108" w:type="dxa"/>
          </w:tblCellMar>
        </w:tblPrEx>
        <w:trPr>
          <w:trHeight w:val="450"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24F28D4A">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c>
          <w:tcPr>
            <w:tcW w:w="1926" w:type="dxa"/>
            <w:tcBorders>
              <w:top w:val="single" w:color="auto" w:sz="4" w:space="0"/>
              <w:left w:val="nil"/>
              <w:bottom w:val="single" w:color="auto" w:sz="4" w:space="0"/>
              <w:right w:val="single" w:color="auto" w:sz="4" w:space="0"/>
            </w:tcBorders>
            <w:shd w:val="clear" w:color="auto" w:fill="auto"/>
            <w:vAlign w:val="center"/>
          </w:tcPr>
          <w:p w14:paraId="667F658A">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器械消毒盒</w:t>
            </w:r>
          </w:p>
        </w:tc>
        <w:tc>
          <w:tcPr>
            <w:tcW w:w="3100" w:type="dxa"/>
            <w:tcBorders>
              <w:top w:val="single" w:color="auto" w:sz="4" w:space="0"/>
              <w:left w:val="nil"/>
              <w:bottom w:val="single" w:color="auto" w:sz="4" w:space="0"/>
              <w:right w:val="single" w:color="auto" w:sz="4" w:space="0"/>
            </w:tcBorders>
            <w:shd w:val="clear" w:color="auto" w:fill="auto"/>
            <w:vAlign w:val="center"/>
          </w:tcPr>
          <w:p w14:paraId="4A83EDF3">
            <w:pPr>
              <w:widowControl/>
              <w:adjustRightInd w:val="0"/>
              <w:snapToGrid w:val="0"/>
              <w:spacing w:line="0" w:lineRule="atLeast"/>
              <w:jc w:val="center"/>
              <w:rPr>
                <w:rFonts w:hint="eastAsia" w:ascii="宋体" w:hAnsi="宋体" w:eastAsia="宋体" w:cs="宋体"/>
                <w:kern w:val="0"/>
                <w:sz w:val="24"/>
                <w:szCs w:val="24"/>
              </w:rPr>
            </w:pPr>
          </w:p>
        </w:tc>
        <w:tc>
          <w:tcPr>
            <w:tcW w:w="828" w:type="dxa"/>
            <w:tcBorders>
              <w:top w:val="single" w:color="auto" w:sz="4" w:space="0"/>
              <w:left w:val="nil"/>
              <w:bottom w:val="single" w:color="auto" w:sz="4" w:space="0"/>
              <w:right w:val="single" w:color="auto" w:sz="4" w:space="0"/>
            </w:tcBorders>
            <w:shd w:val="clear" w:color="auto" w:fill="auto"/>
            <w:vAlign w:val="center"/>
          </w:tcPr>
          <w:p w14:paraId="049C2539">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个</w:t>
            </w:r>
          </w:p>
        </w:tc>
        <w:tc>
          <w:tcPr>
            <w:tcW w:w="850" w:type="dxa"/>
            <w:tcBorders>
              <w:top w:val="single" w:color="auto" w:sz="4" w:space="0"/>
              <w:left w:val="nil"/>
              <w:bottom w:val="single" w:color="auto" w:sz="4" w:space="0"/>
              <w:right w:val="single" w:color="auto" w:sz="4" w:space="0"/>
            </w:tcBorders>
            <w:shd w:val="clear" w:color="auto" w:fill="auto"/>
            <w:vAlign w:val="center"/>
          </w:tcPr>
          <w:p w14:paraId="4517EC58">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043" w:type="dxa"/>
            <w:tcBorders>
              <w:top w:val="single" w:color="auto" w:sz="4" w:space="0"/>
              <w:left w:val="nil"/>
              <w:bottom w:val="single" w:color="auto" w:sz="4" w:space="0"/>
              <w:right w:val="single" w:color="auto" w:sz="4" w:space="0"/>
            </w:tcBorders>
          </w:tcPr>
          <w:p w14:paraId="1F6E7AB2">
            <w:pPr>
              <w:widowControl/>
              <w:adjustRightInd w:val="0"/>
              <w:snapToGrid w:val="0"/>
              <w:spacing w:line="0" w:lineRule="atLeast"/>
              <w:jc w:val="center"/>
              <w:rPr>
                <w:rFonts w:hint="eastAsia" w:ascii="宋体" w:hAnsi="宋体" w:eastAsia="宋体" w:cs="宋体"/>
                <w:kern w:val="0"/>
                <w:sz w:val="24"/>
                <w:szCs w:val="24"/>
              </w:rPr>
            </w:pPr>
          </w:p>
        </w:tc>
      </w:tr>
    </w:tbl>
    <w:p w14:paraId="72688E88">
      <w:pPr>
        <w:spacing w:line="240" w:lineRule="atLeast"/>
        <w:jc w:val="center"/>
        <w:rPr>
          <w:rFonts w:hint="eastAsia" w:ascii="宋体" w:hAnsi="宋体" w:eastAsia="宋体" w:cs="宋体"/>
          <w:b/>
          <w:sz w:val="24"/>
          <w:szCs w:val="24"/>
        </w:rPr>
      </w:pPr>
      <w:r>
        <w:rPr>
          <w:rFonts w:hint="eastAsia" w:ascii="宋体" w:hAnsi="宋体" w:eastAsia="宋体" w:cs="宋体"/>
          <w:b/>
          <w:bCs/>
          <w:color w:val="000000"/>
          <w:sz w:val="24"/>
          <w:szCs w:val="24"/>
          <w:lang w:bidi="ar"/>
        </w:rPr>
        <w:t>5</w:t>
      </w:r>
      <w:r>
        <w:rPr>
          <w:rFonts w:hint="eastAsia" w:ascii="宋体" w:hAnsi="宋体" w:eastAsia="宋体" w:cs="宋体"/>
          <w:b/>
          <w:sz w:val="24"/>
          <w:szCs w:val="24"/>
        </w:rPr>
        <w:t>、椎间盘（孔）镜及器械技术参数</w:t>
      </w:r>
    </w:p>
    <w:p w14:paraId="6840819B">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rPr>
        <w:t>5.1、镜体规格：直径≤6.3mm，长度≥18</w:t>
      </w:r>
      <w:r>
        <w:rPr>
          <w:rFonts w:hint="eastAsia" w:ascii="宋体" w:hAnsi="宋体" w:eastAsia="宋体" w:cs="宋体"/>
          <w:sz w:val="24"/>
          <w:szCs w:val="24"/>
          <w:lang w:val="en-US" w:eastAsia="zh-CN"/>
        </w:rPr>
        <w:t>0</w:t>
      </w:r>
      <w:r>
        <w:rPr>
          <w:rFonts w:hint="eastAsia" w:ascii="宋体" w:hAnsi="宋体" w:eastAsia="宋体" w:cs="宋体"/>
          <w:sz w:val="24"/>
          <w:szCs w:val="24"/>
        </w:rPr>
        <w:t>mm；器械通道≥3.7mm；旁视内窥镜镜体全部采用不锈钢管材质；窥镜采用光学玻璃、光钎、光锥；新型光学系统；带有方向标，蓝宝石镜头；可高温、低温等离子消毒；</w:t>
      </w:r>
    </w:p>
    <w:p w14:paraId="0D076693">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rPr>
        <w:t>5.2、视场角：≥60°；</w:t>
      </w:r>
    </w:p>
    <w:p w14:paraId="7DE6B0CF">
      <w:pPr>
        <w:spacing w:line="240" w:lineRule="atLeast"/>
        <w:ind w:left="960" w:hanging="960" w:hangingChars="400"/>
        <w:rPr>
          <w:rFonts w:hint="eastAsia" w:ascii="宋体" w:hAnsi="宋体" w:eastAsia="宋体" w:cs="宋体"/>
          <w:strike/>
          <w:color w:val="FF0000"/>
          <w:sz w:val="24"/>
          <w:szCs w:val="24"/>
        </w:rPr>
      </w:pPr>
      <w:r>
        <w:rPr>
          <w:rFonts w:hint="eastAsia" w:ascii="宋体" w:hAnsi="宋体" w:eastAsia="宋体" w:cs="宋体"/>
          <w:sz w:val="24"/>
          <w:szCs w:val="24"/>
        </w:rPr>
        <w:t>5.3、视向角：30°；</w:t>
      </w:r>
    </w:p>
    <w:p w14:paraId="4E07F137">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4</w:t>
      </w:r>
      <w:r>
        <w:rPr>
          <w:rFonts w:hint="eastAsia" w:ascii="宋体" w:hAnsi="宋体" w:eastAsia="宋体" w:cs="宋体"/>
          <w:sz w:val="24"/>
          <w:szCs w:val="24"/>
        </w:rPr>
        <w:t>、目镜罩外径：Ø32mm；</w:t>
      </w:r>
    </w:p>
    <w:p w14:paraId="27EF3412">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5</w:t>
      </w:r>
      <w:r>
        <w:rPr>
          <w:rFonts w:hint="eastAsia" w:ascii="宋体" w:hAnsi="宋体" w:eastAsia="宋体" w:cs="宋体"/>
          <w:sz w:val="24"/>
          <w:szCs w:val="24"/>
        </w:rPr>
        <w:t>、光束接口可连接Karl Stoss、OLYMPUS、Stryker、wolf各进口及国产品牌冷光源、摄像系统；</w:t>
      </w:r>
    </w:p>
    <w:p w14:paraId="08DEF59D">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、手术器械标准配置一套，采用不锈钢材质整体加工，表面无镀层装饰；                </w:t>
      </w:r>
    </w:p>
    <w:p w14:paraId="13FD194E">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6</w:t>
      </w:r>
      <w:r>
        <w:rPr>
          <w:rFonts w:hint="eastAsia" w:ascii="宋体" w:hAnsi="宋体" w:eastAsia="宋体" w:cs="宋体"/>
          <w:sz w:val="24"/>
          <w:szCs w:val="24"/>
        </w:rPr>
        <w:t>.1、七级扩张器1套:可完成逐级扩张；</w:t>
      </w:r>
    </w:p>
    <w:p w14:paraId="710EDC52">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6</w:t>
      </w:r>
      <w:r>
        <w:rPr>
          <w:rFonts w:hint="eastAsia" w:ascii="宋体" w:hAnsi="宋体" w:eastAsia="宋体" w:cs="宋体"/>
          <w:sz w:val="24"/>
          <w:szCs w:val="24"/>
        </w:rPr>
        <w:t>.2、扩张器(铅笔头）1个,一次性扩张,器械有刻度尺,规格尺寸≤φ6.5×1.6×240mm；</w:t>
      </w:r>
    </w:p>
    <w:p w14:paraId="1FFECC67">
      <w:pPr>
        <w:ind w:left="960" w:hanging="960" w:hangingChars="4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.3、扩张器（镜鞘）1个,配合6.3mm内窥镜使用,与外径8.5mm镜鞘对应链接琐使，外径7.5mm，内径6.5mm,工作长度≥165mm ；  </w:t>
      </w:r>
    </w:p>
    <w:p w14:paraId="06210306">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.4、扩张器（镜鞘）1个,配合可视环锯与直径7.5mm镜鞘的手术过程中切换使用,避免伤害软组织外径8.5mm，内径7.7mm工作长度≥155mm；  </w:t>
      </w:r>
    </w:p>
    <w:p w14:paraId="0956CECF">
      <w:pPr>
        <w:ind w:left="960" w:hanging="960" w:hangingChars="4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6</w:t>
      </w:r>
      <w:r>
        <w:rPr>
          <w:rFonts w:hint="eastAsia" w:ascii="宋体" w:hAnsi="宋体" w:eastAsia="宋体" w:cs="宋体"/>
          <w:sz w:val="24"/>
          <w:szCs w:val="24"/>
        </w:rPr>
        <w:t>.5、扩张器（环锯）1支,镜下可视环锯,配合6.3mm内窥镜使用,用于可视下安全去除关节突,内径头端带有刻度，外径7.5mm，内径6.5mm工作长度≥175mm；</w:t>
      </w:r>
    </w:p>
    <w:p w14:paraId="5439AE8E">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6</w:t>
      </w:r>
      <w:r>
        <w:rPr>
          <w:rFonts w:hint="eastAsia" w:ascii="宋体" w:hAnsi="宋体" w:eastAsia="宋体" w:cs="宋体"/>
          <w:sz w:val="24"/>
          <w:szCs w:val="24"/>
        </w:rPr>
        <w:t>.6、定位笔（穿刺针）1套,直径≤1.6mm,工作长度≥200mm带针芯；</w:t>
      </w:r>
    </w:p>
    <w:p w14:paraId="336D9223">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6</w:t>
      </w:r>
      <w:r>
        <w:rPr>
          <w:rFonts w:hint="eastAsia" w:ascii="宋体" w:hAnsi="宋体" w:eastAsia="宋体" w:cs="宋体"/>
          <w:sz w:val="24"/>
          <w:szCs w:val="24"/>
        </w:rPr>
        <w:t>.7、定位笔（定位导丝）,直径≤0.8mm长度≥450mm；</w:t>
      </w:r>
    </w:p>
    <w:p w14:paraId="6A766F31">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.8、手术刀（剥离子）1支,直径≤3.0mm,工作长度≥340mm；        </w:t>
      </w:r>
    </w:p>
    <w:p w14:paraId="65EACB4B">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.9、手术刀（探针）1支,直径≤3.0mm,工作长度≥340mm；     </w:t>
      </w:r>
    </w:p>
    <w:p w14:paraId="32DECFD2">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.10、刮匙,直径≤2.5mm,工作长度≥330mm；        </w:t>
      </w:r>
    </w:p>
    <w:p w14:paraId="7F469D03">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.11、手术刀（骨凿）1支,直径≤3.0mm,工作长度≥340mm；        </w:t>
      </w:r>
    </w:p>
    <w:p w14:paraId="1B83421A">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.12、磁力棒,直径≤2.5mm,工作长度≥330mm；       </w:t>
      </w:r>
    </w:p>
    <w:p w14:paraId="3C0A0468">
      <w:pPr>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6</w:t>
      </w:r>
      <w:r>
        <w:rPr>
          <w:rFonts w:hint="eastAsia" w:ascii="宋体" w:hAnsi="宋体" w:eastAsia="宋体" w:cs="宋体"/>
          <w:sz w:val="24"/>
          <w:szCs w:val="24"/>
        </w:rPr>
        <w:t>.13、骨锤 1把,约150g；</w:t>
      </w:r>
    </w:p>
    <w:p w14:paraId="526F6A88">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.14、手术钳（髓核钳直型）1把,直径≤2.8mm,工作长度≥330mm ；        </w:t>
      </w:r>
    </w:p>
    <w:p w14:paraId="328BEEE1">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.15、手术钳（髓核钳直型）1把,直径≤3.5mm,工作长度≥330mm ；        </w:t>
      </w:r>
    </w:p>
    <w:p w14:paraId="31EF1B4E">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.16、手术钳（髓核钳上翘）1把,直径≤2.8mm,工作长度≥330mm ；    </w:t>
      </w:r>
    </w:p>
    <w:p w14:paraId="14FBD356">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.17、手术钳（咬切钳直型）1把,直径≤2.8mm,工作长度≥330mm   ；        </w:t>
      </w:r>
    </w:p>
    <w:p w14:paraId="76F94AFA">
      <w:pPr>
        <w:ind w:left="960" w:hanging="960" w:hangingChars="4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.18、手术钳（咬切钳上翘）1把,直径≤2.8mm,工作长度≥330mm，上翘≥15°；        </w:t>
      </w:r>
    </w:p>
    <w:p w14:paraId="2A441F5F">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.19、手术钳（弹簧钳）1把,直径≤2.8mm,工作长度≥330mm；       </w:t>
      </w:r>
    </w:p>
    <w:p w14:paraId="6669F6A9">
      <w:pPr>
        <w:ind w:left="960" w:hanging="960" w:hangingChars="4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6</w:t>
      </w:r>
      <w:r>
        <w:rPr>
          <w:rFonts w:hint="eastAsia" w:ascii="宋体" w:hAnsi="宋体" w:eastAsia="宋体" w:cs="宋体"/>
          <w:sz w:val="24"/>
          <w:szCs w:val="24"/>
        </w:rPr>
        <w:t>.20、手术钳（可拆卸旋转咬骨钳杆）, 直径≤3.0mm,钳头直径≤3.5mm,工作长度≥330mm；</w:t>
      </w:r>
    </w:p>
    <w:p w14:paraId="4C8DDD01">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6</w:t>
      </w:r>
      <w:r>
        <w:rPr>
          <w:rFonts w:hint="eastAsia" w:ascii="宋体" w:hAnsi="宋体" w:eastAsia="宋体" w:cs="宋体"/>
          <w:sz w:val="24"/>
          <w:szCs w:val="24"/>
        </w:rPr>
        <w:t>.21、手术钳（可拆卸咬骨钳手柄）,与可旋转拆卸咬骨钳子杆连接使用 360°可旋转</w:t>
      </w:r>
    </w:p>
    <w:p w14:paraId="13EBFCD8">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6</w:t>
      </w:r>
      <w:r>
        <w:rPr>
          <w:rFonts w:hint="eastAsia" w:ascii="宋体" w:hAnsi="宋体" w:eastAsia="宋体" w:cs="宋体"/>
          <w:sz w:val="24"/>
          <w:szCs w:val="24"/>
        </w:rPr>
        <w:t>.22、光缆，直径Ф4×2.5m</w:t>
      </w:r>
    </w:p>
    <w:p w14:paraId="2CB964FA">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.23、镜体及器械专用消毒盒 </w:t>
      </w:r>
    </w:p>
    <w:p w14:paraId="3792C068">
      <w:pPr>
        <w:spacing w:line="0" w:lineRule="atLeast"/>
        <w:jc w:val="center"/>
        <w:rPr>
          <w:rFonts w:hint="eastAsia" w:ascii="宋体" w:hAnsi="宋体" w:eastAsia="宋体" w:cs="宋体"/>
          <w:b/>
          <w:color w:val="FF0000"/>
          <w:sz w:val="24"/>
          <w:szCs w:val="24"/>
        </w:rPr>
      </w:pPr>
      <w:r>
        <w:rPr>
          <w:rFonts w:hint="eastAsia" w:ascii="宋体" w:hAnsi="宋体" w:eastAsia="宋体" w:cs="宋体"/>
          <w:b/>
          <w:sz w:val="24"/>
          <w:szCs w:val="24"/>
        </w:rPr>
        <w:t>腰椎间盘（孔）镜配置清单</w:t>
      </w:r>
    </w:p>
    <w:tbl>
      <w:tblPr>
        <w:tblStyle w:val="35"/>
        <w:tblW w:w="8222" w:type="dxa"/>
        <w:tblInd w:w="0" w:type="dxa"/>
        <w:tblLayout w:type="fixed"/>
        <w:tblCellMar>
          <w:top w:w="0" w:type="dxa"/>
          <w:left w:w="108" w:type="dxa"/>
          <w:bottom w:w="0" w:type="dxa"/>
          <w:right w:w="108" w:type="dxa"/>
        </w:tblCellMar>
      </w:tblPr>
      <w:tblGrid>
        <w:gridCol w:w="804"/>
        <w:gridCol w:w="2485"/>
        <w:gridCol w:w="2806"/>
        <w:gridCol w:w="851"/>
        <w:gridCol w:w="1276"/>
      </w:tblGrid>
      <w:tr w14:paraId="7FD96846">
        <w:tblPrEx>
          <w:tblCellMar>
            <w:top w:w="0" w:type="dxa"/>
            <w:left w:w="108" w:type="dxa"/>
            <w:bottom w:w="0" w:type="dxa"/>
            <w:right w:w="108" w:type="dxa"/>
          </w:tblCellMar>
        </w:tblPrEx>
        <w:trPr>
          <w:trHeight w:val="300" w:hRule="atLeast"/>
        </w:trPr>
        <w:tc>
          <w:tcPr>
            <w:tcW w:w="804" w:type="dxa"/>
            <w:tcBorders>
              <w:top w:val="single" w:color="auto" w:sz="4" w:space="0"/>
              <w:left w:val="single" w:color="auto" w:sz="4" w:space="0"/>
              <w:bottom w:val="single" w:color="auto" w:sz="4" w:space="0"/>
              <w:right w:val="single" w:color="auto" w:sz="4" w:space="0"/>
            </w:tcBorders>
            <w:vAlign w:val="center"/>
          </w:tcPr>
          <w:p w14:paraId="1E3410E8">
            <w:pPr>
              <w:spacing w:line="0" w:lineRule="atLeast"/>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485" w:type="dxa"/>
            <w:tcBorders>
              <w:top w:val="single" w:color="auto" w:sz="4" w:space="0"/>
              <w:left w:val="nil"/>
              <w:bottom w:val="single" w:color="auto" w:sz="4" w:space="0"/>
              <w:right w:val="single" w:color="auto" w:sz="4" w:space="0"/>
            </w:tcBorders>
            <w:vAlign w:val="center"/>
          </w:tcPr>
          <w:p w14:paraId="3FA82834">
            <w:pPr>
              <w:spacing w:line="0" w:lineRule="atLeast"/>
              <w:jc w:val="center"/>
              <w:rPr>
                <w:rFonts w:hint="eastAsia" w:ascii="宋体" w:hAnsi="宋体" w:eastAsia="宋体" w:cs="宋体"/>
                <w:b/>
                <w:bCs/>
                <w:sz w:val="24"/>
                <w:szCs w:val="24"/>
              </w:rPr>
            </w:pPr>
            <w:r>
              <w:rPr>
                <w:rFonts w:hint="eastAsia" w:ascii="宋体" w:hAnsi="宋体" w:eastAsia="宋体" w:cs="宋体"/>
                <w:b/>
                <w:bCs/>
                <w:sz w:val="24"/>
                <w:szCs w:val="24"/>
              </w:rPr>
              <w:t>名称</w:t>
            </w:r>
          </w:p>
        </w:tc>
        <w:tc>
          <w:tcPr>
            <w:tcW w:w="2806" w:type="dxa"/>
            <w:tcBorders>
              <w:top w:val="single" w:color="auto" w:sz="4" w:space="0"/>
              <w:left w:val="nil"/>
              <w:bottom w:val="single" w:color="auto" w:sz="4" w:space="0"/>
              <w:right w:val="single" w:color="auto" w:sz="4" w:space="0"/>
            </w:tcBorders>
            <w:vAlign w:val="center"/>
          </w:tcPr>
          <w:p w14:paraId="4CCBE9FA">
            <w:pPr>
              <w:spacing w:line="0" w:lineRule="atLeast"/>
              <w:jc w:val="center"/>
              <w:rPr>
                <w:rFonts w:hint="eastAsia" w:ascii="宋体" w:hAnsi="宋体" w:eastAsia="宋体" w:cs="宋体"/>
                <w:b/>
                <w:bCs/>
                <w:sz w:val="24"/>
                <w:szCs w:val="24"/>
              </w:rPr>
            </w:pPr>
            <w:r>
              <w:rPr>
                <w:rFonts w:hint="eastAsia" w:ascii="宋体" w:hAnsi="宋体" w:eastAsia="宋体" w:cs="宋体"/>
                <w:b/>
                <w:bCs/>
                <w:sz w:val="24"/>
                <w:szCs w:val="24"/>
              </w:rPr>
              <w:t>规格</w:t>
            </w:r>
          </w:p>
        </w:tc>
        <w:tc>
          <w:tcPr>
            <w:tcW w:w="851" w:type="dxa"/>
            <w:tcBorders>
              <w:top w:val="single" w:color="auto" w:sz="4" w:space="0"/>
              <w:left w:val="nil"/>
              <w:bottom w:val="single" w:color="auto" w:sz="4" w:space="0"/>
              <w:right w:val="single" w:color="auto" w:sz="4" w:space="0"/>
            </w:tcBorders>
            <w:vAlign w:val="center"/>
          </w:tcPr>
          <w:p w14:paraId="48BE9EED">
            <w:pPr>
              <w:spacing w:line="0" w:lineRule="atLeast"/>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276" w:type="dxa"/>
            <w:tcBorders>
              <w:top w:val="single" w:color="auto" w:sz="4" w:space="0"/>
              <w:left w:val="nil"/>
              <w:bottom w:val="single" w:color="auto" w:sz="4" w:space="0"/>
              <w:right w:val="single" w:color="auto" w:sz="4" w:space="0"/>
            </w:tcBorders>
            <w:vAlign w:val="center"/>
          </w:tcPr>
          <w:p w14:paraId="1CFC4AFF">
            <w:pPr>
              <w:spacing w:line="0" w:lineRule="atLeast"/>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6B752684">
        <w:tblPrEx>
          <w:tblCellMar>
            <w:top w:w="0" w:type="dxa"/>
            <w:left w:w="108" w:type="dxa"/>
            <w:bottom w:w="0" w:type="dxa"/>
            <w:right w:w="108" w:type="dxa"/>
          </w:tblCellMar>
        </w:tblPrEx>
        <w:trPr>
          <w:trHeight w:val="300" w:hRule="atLeast"/>
        </w:trPr>
        <w:tc>
          <w:tcPr>
            <w:tcW w:w="804" w:type="dxa"/>
            <w:tcBorders>
              <w:top w:val="nil"/>
              <w:left w:val="single" w:color="auto" w:sz="4" w:space="0"/>
              <w:bottom w:val="single" w:color="auto" w:sz="4" w:space="0"/>
              <w:right w:val="single" w:color="auto" w:sz="4" w:space="0"/>
            </w:tcBorders>
            <w:vAlign w:val="center"/>
          </w:tcPr>
          <w:p w14:paraId="7712016E">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1</w:t>
            </w:r>
          </w:p>
        </w:tc>
        <w:tc>
          <w:tcPr>
            <w:tcW w:w="2485" w:type="dxa"/>
            <w:tcBorders>
              <w:top w:val="nil"/>
              <w:left w:val="nil"/>
              <w:bottom w:val="single" w:color="auto" w:sz="4" w:space="0"/>
              <w:right w:val="single" w:color="auto" w:sz="4" w:space="0"/>
            </w:tcBorders>
            <w:vAlign w:val="center"/>
          </w:tcPr>
          <w:p w14:paraId="3E19CCA8">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30°内窥镜</w:t>
            </w:r>
          </w:p>
        </w:tc>
        <w:tc>
          <w:tcPr>
            <w:tcW w:w="2806" w:type="dxa"/>
            <w:tcBorders>
              <w:top w:val="nil"/>
              <w:left w:val="nil"/>
              <w:bottom w:val="single" w:color="auto" w:sz="4" w:space="0"/>
              <w:right w:val="single" w:color="auto" w:sz="4" w:space="0"/>
            </w:tcBorders>
            <w:vAlign w:val="center"/>
          </w:tcPr>
          <w:p w14:paraId="04C2E314">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直径φ6.3mm，器械通道3.7mm，长度181mm</w:t>
            </w:r>
          </w:p>
        </w:tc>
        <w:tc>
          <w:tcPr>
            <w:tcW w:w="851" w:type="dxa"/>
            <w:tcBorders>
              <w:top w:val="nil"/>
              <w:left w:val="nil"/>
              <w:bottom w:val="single" w:color="auto" w:sz="4" w:space="0"/>
              <w:right w:val="single" w:color="auto" w:sz="4" w:space="0"/>
            </w:tcBorders>
            <w:vAlign w:val="center"/>
          </w:tcPr>
          <w:p w14:paraId="0D3F3CF7">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1支</w:t>
            </w:r>
          </w:p>
        </w:tc>
        <w:tc>
          <w:tcPr>
            <w:tcW w:w="1276" w:type="dxa"/>
            <w:tcBorders>
              <w:top w:val="nil"/>
              <w:left w:val="nil"/>
              <w:bottom w:val="single" w:color="auto" w:sz="4" w:space="0"/>
              <w:right w:val="single" w:color="auto" w:sz="4" w:space="0"/>
            </w:tcBorders>
            <w:noWrap/>
            <w:vAlign w:val="center"/>
          </w:tcPr>
          <w:p w14:paraId="5AE62801">
            <w:pPr>
              <w:spacing w:line="0" w:lineRule="atLeast"/>
              <w:jc w:val="center"/>
              <w:rPr>
                <w:rFonts w:hint="eastAsia" w:ascii="宋体" w:hAnsi="宋体" w:eastAsia="宋体" w:cs="宋体"/>
                <w:bCs/>
                <w:sz w:val="24"/>
                <w:szCs w:val="24"/>
              </w:rPr>
            </w:pPr>
          </w:p>
        </w:tc>
      </w:tr>
      <w:tr w14:paraId="707FF3F1">
        <w:tblPrEx>
          <w:tblCellMar>
            <w:top w:w="0" w:type="dxa"/>
            <w:left w:w="108" w:type="dxa"/>
            <w:bottom w:w="0" w:type="dxa"/>
            <w:right w:w="108" w:type="dxa"/>
          </w:tblCellMar>
        </w:tblPrEx>
        <w:trPr>
          <w:trHeight w:val="300" w:hRule="atLeast"/>
        </w:trPr>
        <w:tc>
          <w:tcPr>
            <w:tcW w:w="804" w:type="dxa"/>
            <w:tcBorders>
              <w:top w:val="nil"/>
              <w:left w:val="single" w:color="auto" w:sz="4" w:space="0"/>
              <w:bottom w:val="single" w:color="auto" w:sz="4" w:space="0"/>
              <w:right w:val="single" w:color="auto" w:sz="4" w:space="0"/>
            </w:tcBorders>
            <w:vAlign w:val="center"/>
          </w:tcPr>
          <w:p w14:paraId="658C7396">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2</w:t>
            </w:r>
          </w:p>
        </w:tc>
        <w:tc>
          <w:tcPr>
            <w:tcW w:w="2485" w:type="dxa"/>
            <w:tcBorders>
              <w:top w:val="nil"/>
              <w:left w:val="nil"/>
              <w:bottom w:val="single" w:color="auto" w:sz="4" w:space="0"/>
              <w:right w:val="single" w:color="auto" w:sz="4" w:space="0"/>
            </w:tcBorders>
            <w:vAlign w:val="center"/>
          </w:tcPr>
          <w:p w14:paraId="48D294A4">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光缆</w:t>
            </w:r>
          </w:p>
        </w:tc>
        <w:tc>
          <w:tcPr>
            <w:tcW w:w="2806" w:type="dxa"/>
            <w:tcBorders>
              <w:top w:val="nil"/>
              <w:left w:val="nil"/>
              <w:bottom w:val="single" w:color="auto" w:sz="4" w:space="0"/>
              <w:right w:val="single" w:color="auto" w:sz="4" w:space="0"/>
            </w:tcBorders>
            <w:vAlign w:val="center"/>
          </w:tcPr>
          <w:p w14:paraId="197B0320">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Ф4×2.5m</w:t>
            </w:r>
          </w:p>
        </w:tc>
        <w:tc>
          <w:tcPr>
            <w:tcW w:w="851" w:type="dxa"/>
            <w:tcBorders>
              <w:top w:val="nil"/>
              <w:left w:val="nil"/>
              <w:bottom w:val="single" w:color="auto" w:sz="4" w:space="0"/>
              <w:right w:val="single" w:color="auto" w:sz="4" w:space="0"/>
            </w:tcBorders>
            <w:noWrap/>
            <w:vAlign w:val="center"/>
          </w:tcPr>
          <w:p w14:paraId="50FB520D">
            <w:pPr>
              <w:spacing w:line="0" w:lineRule="atLeast"/>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w:t>
            </w:r>
          </w:p>
        </w:tc>
        <w:tc>
          <w:tcPr>
            <w:tcW w:w="1276" w:type="dxa"/>
            <w:tcBorders>
              <w:top w:val="nil"/>
              <w:left w:val="nil"/>
              <w:bottom w:val="single" w:color="auto" w:sz="4" w:space="0"/>
              <w:right w:val="single" w:color="auto" w:sz="4" w:space="0"/>
            </w:tcBorders>
            <w:noWrap/>
            <w:vAlign w:val="center"/>
          </w:tcPr>
          <w:p w14:paraId="0CD871A0">
            <w:pPr>
              <w:spacing w:line="0" w:lineRule="atLeast"/>
              <w:rPr>
                <w:rFonts w:hint="eastAsia" w:ascii="宋体" w:hAnsi="宋体" w:eastAsia="宋体" w:cs="宋体"/>
                <w:bCs/>
                <w:sz w:val="24"/>
                <w:szCs w:val="24"/>
              </w:rPr>
            </w:pPr>
          </w:p>
        </w:tc>
      </w:tr>
      <w:tr w14:paraId="6EECD92B">
        <w:tblPrEx>
          <w:tblCellMar>
            <w:top w:w="0" w:type="dxa"/>
            <w:left w:w="108" w:type="dxa"/>
            <w:bottom w:w="0" w:type="dxa"/>
            <w:right w:w="108" w:type="dxa"/>
          </w:tblCellMar>
        </w:tblPrEx>
        <w:trPr>
          <w:trHeight w:val="300" w:hRule="atLeast"/>
        </w:trPr>
        <w:tc>
          <w:tcPr>
            <w:tcW w:w="804" w:type="dxa"/>
            <w:tcBorders>
              <w:top w:val="nil"/>
              <w:left w:val="single" w:color="auto" w:sz="4" w:space="0"/>
              <w:bottom w:val="single" w:color="auto" w:sz="4" w:space="0"/>
              <w:right w:val="single" w:color="auto" w:sz="4" w:space="0"/>
            </w:tcBorders>
            <w:vAlign w:val="center"/>
          </w:tcPr>
          <w:p w14:paraId="260791CE">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3</w:t>
            </w:r>
          </w:p>
        </w:tc>
        <w:tc>
          <w:tcPr>
            <w:tcW w:w="2485" w:type="dxa"/>
            <w:tcBorders>
              <w:top w:val="nil"/>
              <w:left w:val="nil"/>
              <w:bottom w:val="single" w:color="auto" w:sz="4" w:space="0"/>
              <w:right w:val="single" w:color="auto" w:sz="4" w:space="0"/>
            </w:tcBorders>
            <w:vAlign w:val="center"/>
          </w:tcPr>
          <w:p w14:paraId="170638F2">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扩张器（一级）</w:t>
            </w:r>
          </w:p>
        </w:tc>
        <w:tc>
          <w:tcPr>
            <w:tcW w:w="2806" w:type="dxa"/>
            <w:tcBorders>
              <w:top w:val="nil"/>
              <w:left w:val="nil"/>
              <w:bottom w:val="single" w:color="auto" w:sz="4" w:space="0"/>
              <w:right w:val="single" w:color="auto" w:sz="4" w:space="0"/>
            </w:tcBorders>
            <w:vAlign w:val="center"/>
          </w:tcPr>
          <w:p w14:paraId="7F889F54">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φ2.5*240mm</w:t>
            </w:r>
          </w:p>
        </w:tc>
        <w:tc>
          <w:tcPr>
            <w:tcW w:w="851" w:type="dxa"/>
            <w:tcBorders>
              <w:top w:val="nil"/>
              <w:left w:val="nil"/>
              <w:bottom w:val="single" w:color="auto" w:sz="4" w:space="0"/>
              <w:right w:val="single" w:color="auto" w:sz="4" w:space="0"/>
            </w:tcBorders>
            <w:vAlign w:val="center"/>
          </w:tcPr>
          <w:p w14:paraId="3D1C2AB6">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1个</w:t>
            </w:r>
          </w:p>
        </w:tc>
        <w:tc>
          <w:tcPr>
            <w:tcW w:w="1276" w:type="dxa"/>
            <w:tcBorders>
              <w:top w:val="nil"/>
              <w:left w:val="nil"/>
              <w:bottom w:val="single" w:color="auto" w:sz="4" w:space="0"/>
              <w:right w:val="single" w:color="auto" w:sz="4" w:space="0"/>
            </w:tcBorders>
            <w:noWrap/>
            <w:vAlign w:val="center"/>
          </w:tcPr>
          <w:p w14:paraId="407DFBBE">
            <w:pPr>
              <w:spacing w:line="0" w:lineRule="atLeast"/>
              <w:jc w:val="center"/>
              <w:rPr>
                <w:rFonts w:hint="eastAsia" w:ascii="宋体" w:hAnsi="宋体" w:eastAsia="宋体" w:cs="宋体"/>
                <w:bCs/>
                <w:sz w:val="24"/>
                <w:szCs w:val="24"/>
              </w:rPr>
            </w:pPr>
          </w:p>
        </w:tc>
      </w:tr>
      <w:tr w14:paraId="00286F0F">
        <w:tblPrEx>
          <w:tblCellMar>
            <w:top w:w="0" w:type="dxa"/>
            <w:left w:w="108" w:type="dxa"/>
            <w:bottom w:w="0" w:type="dxa"/>
            <w:right w:w="108" w:type="dxa"/>
          </w:tblCellMar>
        </w:tblPrEx>
        <w:trPr>
          <w:trHeight w:val="300" w:hRule="atLeast"/>
        </w:trPr>
        <w:tc>
          <w:tcPr>
            <w:tcW w:w="804" w:type="dxa"/>
            <w:tcBorders>
              <w:top w:val="nil"/>
              <w:left w:val="single" w:color="auto" w:sz="4" w:space="0"/>
              <w:bottom w:val="single" w:color="auto" w:sz="4" w:space="0"/>
              <w:right w:val="single" w:color="auto" w:sz="4" w:space="0"/>
            </w:tcBorders>
            <w:vAlign w:val="center"/>
          </w:tcPr>
          <w:p w14:paraId="5EB9592A">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4</w:t>
            </w:r>
          </w:p>
        </w:tc>
        <w:tc>
          <w:tcPr>
            <w:tcW w:w="2485" w:type="dxa"/>
            <w:tcBorders>
              <w:top w:val="nil"/>
              <w:left w:val="nil"/>
              <w:bottom w:val="single" w:color="auto" w:sz="4" w:space="0"/>
              <w:right w:val="single" w:color="auto" w:sz="4" w:space="0"/>
            </w:tcBorders>
            <w:vAlign w:val="center"/>
          </w:tcPr>
          <w:p w14:paraId="2009D4A2">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扩张器（二级）</w:t>
            </w:r>
          </w:p>
        </w:tc>
        <w:tc>
          <w:tcPr>
            <w:tcW w:w="2806" w:type="dxa"/>
            <w:tcBorders>
              <w:top w:val="nil"/>
              <w:left w:val="nil"/>
              <w:bottom w:val="single" w:color="auto" w:sz="4" w:space="0"/>
              <w:right w:val="single" w:color="auto" w:sz="4" w:space="0"/>
            </w:tcBorders>
            <w:vAlign w:val="center"/>
          </w:tcPr>
          <w:p w14:paraId="23C49BD7">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φ4*180mm</w:t>
            </w:r>
          </w:p>
        </w:tc>
        <w:tc>
          <w:tcPr>
            <w:tcW w:w="851" w:type="dxa"/>
            <w:tcBorders>
              <w:top w:val="nil"/>
              <w:left w:val="nil"/>
              <w:bottom w:val="single" w:color="auto" w:sz="4" w:space="0"/>
              <w:right w:val="single" w:color="auto" w:sz="4" w:space="0"/>
            </w:tcBorders>
            <w:vAlign w:val="center"/>
          </w:tcPr>
          <w:p w14:paraId="431725F7">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1个</w:t>
            </w:r>
          </w:p>
        </w:tc>
        <w:tc>
          <w:tcPr>
            <w:tcW w:w="1276" w:type="dxa"/>
            <w:tcBorders>
              <w:top w:val="nil"/>
              <w:left w:val="nil"/>
              <w:bottom w:val="single" w:color="auto" w:sz="4" w:space="0"/>
              <w:right w:val="single" w:color="auto" w:sz="4" w:space="0"/>
            </w:tcBorders>
            <w:noWrap/>
            <w:vAlign w:val="center"/>
          </w:tcPr>
          <w:p w14:paraId="22D1C4AF">
            <w:pPr>
              <w:spacing w:line="0" w:lineRule="atLeast"/>
              <w:rPr>
                <w:rFonts w:hint="eastAsia" w:ascii="宋体" w:hAnsi="宋体" w:eastAsia="宋体" w:cs="宋体"/>
                <w:bCs/>
                <w:sz w:val="24"/>
                <w:szCs w:val="24"/>
              </w:rPr>
            </w:pPr>
          </w:p>
        </w:tc>
      </w:tr>
      <w:tr w14:paraId="06EAB82A">
        <w:tblPrEx>
          <w:tblCellMar>
            <w:top w:w="0" w:type="dxa"/>
            <w:left w:w="108" w:type="dxa"/>
            <w:bottom w:w="0" w:type="dxa"/>
            <w:right w:w="108" w:type="dxa"/>
          </w:tblCellMar>
        </w:tblPrEx>
        <w:trPr>
          <w:trHeight w:val="300" w:hRule="atLeast"/>
        </w:trPr>
        <w:tc>
          <w:tcPr>
            <w:tcW w:w="804" w:type="dxa"/>
            <w:tcBorders>
              <w:top w:val="nil"/>
              <w:left w:val="single" w:color="auto" w:sz="4" w:space="0"/>
              <w:bottom w:val="single" w:color="auto" w:sz="4" w:space="0"/>
              <w:right w:val="single" w:color="auto" w:sz="4" w:space="0"/>
            </w:tcBorders>
            <w:vAlign w:val="center"/>
          </w:tcPr>
          <w:p w14:paraId="548FE906">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5</w:t>
            </w:r>
          </w:p>
        </w:tc>
        <w:tc>
          <w:tcPr>
            <w:tcW w:w="2485" w:type="dxa"/>
            <w:tcBorders>
              <w:top w:val="nil"/>
              <w:left w:val="nil"/>
              <w:bottom w:val="single" w:color="auto" w:sz="4" w:space="0"/>
              <w:right w:val="single" w:color="auto" w:sz="4" w:space="0"/>
            </w:tcBorders>
            <w:vAlign w:val="center"/>
          </w:tcPr>
          <w:p w14:paraId="79E8BBC5">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扩张器（三级）</w:t>
            </w:r>
          </w:p>
        </w:tc>
        <w:tc>
          <w:tcPr>
            <w:tcW w:w="2806" w:type="dxa"/>
            <w:tcBorders>
              <w:top w:val="nil"/>
              <w:left w:val="nil"/>
              <w:bottom w:val="single" w:color="auto" w:sz="4" w:space="0"/>
              <w:right w:val="single" w:color="auto" w:sz="4" w:space="0"/>
            </w:tcBorders>
            <w:vAlign w:val="center"/>
          </w:tcPr>
          <w:p w14:paraId="1D65B79A">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φ5*165mm</w:t>
            </w:r>
          </w:p>
        </w:tc>
        <w:tc>
          <w:tcPr>
            <w:tcW w:w="851" w:type="dxa"/>
            <w:tcBorders>
              <w:top w:val="nil"/>
              <w:left w:val="nil"/>
              <w:bottom w:val="single" w:color="auto" w:sz="4" w:space="0"/>
              <w:right w:val="single" w:color="auto" w:sz="4" w:space="0"/>
            </w:tcBorders>
            <w:vAlign w:val="center"/>
          </w:tcPr>
          <w:p w14:paraId="2B3863DC">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1个</w:t>
            </w:r>
          </w:p>
        </w:tc>
        <w:tc>
          <w:tcPr>
            <w:tcW w:w="1276" w:type="dxa"/>
            <w:tcBorders>
              <w:top w:val="nil"/>
              <w:left w:val="nil"/>
              <w:bottom w:val="single" w:color="auto" w:sz="4" w:space="0"/>
              <w:right w:val="single" w:color="auto" w:sz="4" w:space="0"/>
            </w:tcBorders>
            <w:noWrap/>
            <w:vAlign w:val="center"/>
          </w:tcPr>
          <w:p w14:paraId="4C2A80FA">
            <w:pPr>
              <w:spacing w:line="0" w:lineRule="atLeast"/>
              <w:rPr>
                <w:rFonts w:hint="eastAsia" w:ascii="宋体" w:hAnsi="宋体" w:eastAsia="宋体" w:cs="宋体"/>
                <w:bCs/>
                <w:sz w:val="24"/>
                <w:szCs w:val="24"/>
              </w:rPr>
            </w:pPr>
          </w:p>
        </w:tc>
      </w:tr>
      <w:tr w14:paraId="3FDDDFB7">
        <w:tblPrEx>
          <w:tblCellMar>
            <w:top w:w="0" w:type="dxa"/>
            <w:left w:w="108" w:type="dxa"/>
            <w:bottom w:w="0" w:type="dxa"/>
            <w:right w:w="108" w:type="dxa"/>
          </w:tblCellMar>
        </w:tblPrEx>
        <w:trPr>
          <w:trHeight w:val="300" w:hRule="atLeast"/>
        </w:trPr>
        <w:tc>
          <w:tcPr>
            <w:tcW w:w="804" w:type="dxa"/>
            <w:tcBorders>
              <w:top w:val="nil"/>
              <w:left w:val="single" w:color="auto" w:sz="4" w:space="0"/>
              <w:bottom w:val="single" w:color="auto" w:sz="4" w:space="0"/>
              <w:right w:val="single" w:color="auto" w:sz="4" w:space="0"/>
            </w:tcBorders>
            <w:vAlign w:val="center"/>
          </w:tcPr>
          <w:p w14:paraId="0A8C2976">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6</w:t>
            </w:r>
          </w:p>
        </w:tc>
        <w:tc>
          <w:tcPr>
            <w:tcW w:w="2485" w:type="dxa"/>
            <w:tcBorders>
              <w:top w:val="nil"/>
              <w:left w:val="nil"/>
              <w:bottom w:val="single" w:color="auto" w:sz="4" w:space="0"/>
              <w:right w:val="single" w:color="auto" w:sz="4" w:space="0"/>
            </w:tcBorders>
            <w:vAlign w:val="center"/>
          </w:tcPr>
          <w:p w14:paraId="2E25D292">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扩张器（四级）</w:t>
            </w:r>
          </w:p>
        </w:tc>
        <w:tc>
          <w:tcPr>
            <w:tcW w:w="2806" w:type="dxa"/>
            <w:tcBorders>
              <w:top w:val="nil"/>
              <w:left w:val="nil"/>
              <w:bottom w:val="single" w:color="auto" w:sz="4" w:space="0"/>
              <w:right w:val="single" w:color="auto" w:sz="4" w:space="0"/>
            </w:tcBorders>
            <w:vAlign w:val="center"/>
          </w:tcPr>
          <w:p w14:paraId="4D5D082C">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φ6*150mm</w:t>
            </w:r>
          </w:p>
        </w:tc>
        <w:tc>
          <w:tcPr>
            <w:tcW w:w="851" w:type="dxa"/>
            <w:tcBorders>
              <w:top w:val="nil"/>
              <w:left w:val="nil"/>
              <w:bottom w:val="single" w:color="auto" w:sz="4" w:space="0"/>
              <w:right w:val="single" w:color="auto" w:sz="4" w:space="0"/>
            </w:tcBorders>
            <w:vAlign w:val="center"/>
          </w:tcPr>
          <w:p w14:paraId="4CC94BB5">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1个</w:t>
            </w:r>
          </w:p>
        </w:tc>
        <w:tc>
          <w:tcPr>
            <w:tcW w:w="1276" w:type="dxa"/>
            <w:tcBorders>
              <w:top w:val="nil"/>
              <w:left w:val="nil"/>
              <w:bottom w:val="single" w:color="auto" w:sz="4" w:space="0"/>
              <w:right w:val="single" w:color="auto" w:sz="4" w:space="0"/>
            </w:tcBorders>
            <w:noWrap/>
            <w:vAlign w:val="center"/>
          </w:tcPr>
          <w:p w14:paraId="5D1E3D3E">
            <w:pPr>
              <w:spacing w:line="0" w:lineRule="atLeast"/>
              <w:rPr>
                <w:rFonts w:hint="eastAsia" w:ascii="宋体" w:hAnsi="宋体" w:eastAsia="宋体" w:cs="宋体"/>
                <w:bCs/>
                <w:sz w:val="24"/>
                <w:szCs w:val="24"/>
              </w:rPr>
            </w:pPr>
          </w:p>
        </w:tc>
      </w:tr>
      <w:tr w14:paraId="733134A4">
        <w:tblPrEx>
          <w:tblCellMar>
            <w:top w:w="0" w:type="dxa"/>
            <w:left w:w="108" w:type="dxa"/>
            <w:bottom w:w="0" w:type="dxa"/>
            <w:right w:w="108" w:type="dxa"/>
          </w:tblCellMar>
        </w:tblPrEx>
        <w:trPr>
          <w:trHeight w:val="300" w:hRule="atLeast"/>
        </w:trPr>
        <w:tc>
          <w:tcPr>
            <w:tcW w:w="804" w:type="dxa"/>
            <w:tcBorders>
              <w:top w:val="nil"/>
              <w:left w:val="single" w:color="auto" w:sz="4" w:space="0"/>
              <w:bottom w:val="single" w:color="auto" w:sz="4" w:space="0"/>
              <w:right w:val="single" w:color="auto" w:sz="4" w:space="0"/>
            </w:tcBorders>
            <w:vAlign w:val="center"/>
          </w:tcPr>
          <w:p w14:paraId="28953344">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7</w:t>
            </w:r>
          </w:p>
        </w:tc>
        <w:tc>
          <w:tcPr>
            <w:tcW w:w="2485" w:type="dxa"/>
            <w:tcBorders>
              <w:top w:val="nil"/>
              <w:left w:val="nil"/>
              <w:bottom w:val="single" w:color="auto" w:sz="4" w:space="0"/>
              <w:right w:val="single" w:color="auto" w:sz="4" w:space="0"/>
            </w:tcBorders>
            <w:vAlign w:val="center"/>
          </w:tcPr>
          <w:p w14:paraId="2CDF0F4E">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扩张器（五级）</w:t>
            </w:r>
          </w:p>
        </w:tc>
        <w:tc>
          <w:tcPr>
            <w:tcW w:w="2806" w:type="dxa"/>
            <w:tcBorders>
              <w:top w:val="nil"/>
              <w:left w:val="nil"/>
              <w:bottom w:val="single" w:color="auto" w:sz="4" w:space="0"/>
              <w:right w:val="single" w:color="auto" w:sz="4" w:space="0"/>
            </w:tcBorders>
            <w:vAlign w:val="center"/>
          </w:tcPr>
          <w:p w14:paraId="20A0985F">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φ7*6.2*150mm</w:t>
            </w:r>
          </w:p>
        </w:tc>
        <w:tc>
          <w:tcPr>
            <w:tcW w:w="851" w:type="dxa"/>
            <w:tcBorders>
              <w:top w:val="nil"/>
              <w:left w:val="nil"/>
              <w:bottom w:val="single" w:color="auto" w:sz="4" w:space="0"/>
              <w:right w:val="single" w:color="auto" w:sz="4" w:space="0"/>
            </w:tcBorders>
            <w:vAlign w:val="center"/>
          </w:tcPr>
          <w:p w14:paraId="211619BB">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1个</w:t>
            </w:r>
          </w:p>
        </w:tc>
        <w:tc>
          <w:tcPr>
            <w:tcW w:w="1276" w:type="dxa"/>
            <w:tcBorders>
              <w:top w:val="nil"/>
              <w:left w:val="nil"/>
              <w:bottom w:val="single" w:color="auto" w:sz="4" w:space="0"/>
              <w:right w:val="single" w:color="auto" w:sz="4" w:space="0"/>
            </w:tcBorders>
            <w:noWrap/>
            <w:vAlign w:val="center"/>
          </w:tcPr>
          <w:p w14:paraId="45046DCE">
            <w:pPr>
              <w:spacing w:line="0" w:lineRule="atLeast"/>
              <w:jc w:val="center"/>
              <w:rPr>
                <w:rFonts w:hint="eastAsia" w:ascii="宋体" w:hAnsi="宋体" w:eastAsia="宋体" w:cs="宋体"/>
                <w:bCs/>
                <w:sz w:val="24"/>
                <w:szCs w:val="24"/>
              </w:rPr>
            </w:pPr>
          </w:p>
        </w:tc>
      </w:tr>
      <w:tr w14:paraId="466B021C">
        <w:tblPrEx>
          <w:tblCellMar>
            <w:top w:w="0" w:type="dxa"/>
            <w:left w:w="108" w:type="dxa"/>
            <w:bottom w:w="0" w:type="dxa"/>
            <w:right w:w="108" w:type="dxa"/>
          </w:tblCellMar>
        </w:tblPrEx>
        <w:trPr>
          <w:trHeight w:val="300" w:hRule="atLeast"/>
        </w:trPr>
        <w:tc>
          <w:tcPr>
            <w:tcW w:w="804" w:type="dxa"/>
            <w:tcBorders>
              <w:top w:val="nil"/>
              <w:left w:val="single" w:color="auto" w:sz="4" w:space="0"/>
              <w:bottom w:val="single" w:color="auto" w:sz="4" w:space="0"/>
              <w:right w:val="single" w:color="auto" w:sz="4" w:space="0"/>
            </w:tcBorders>
            <w:vAlign w:val="center"/>
          </w:tcPr>
          <w:p w14:paraId="1ED0E78D">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8</w:t>
            </w:r>
          </w:p>
        </w:tc>
        <w:tc>
          <w:tcPr>
            <w:tcW w:w="2485" w:type="dxa"/>
            <w:tcBorders>
              <w:top w:val="nil"/>
              <w:left w:val="nil"/>
              <w:bottom w:val="single" w:color="auto" w:sz="4" w:space="0"/>
              <w:right w:val="single" w:color="auto" w:sz="4" w:space="0"/>
            </w:tcBorders>
            <w:vAlign w:val="center"/>
          </w:tcPr>
          <w:p w14:paraId="0C164DF5">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扩张器（六级）</w:t>
            </w:r>
          </w:p>
        </w:tc>
        <w:tc>
          <w:tcPr>
            <w:tcW w:w="2806" w:type="dxa"/>
            <w:tcBorders>
              <w:top w:val="nil"/>
              <w:left w:val="nil"/>
              <w:bottom w:val="single" w:color="auto" w:sz="4" w:space="0"/>
              <w:right w:val="single" w:color="auto" w:sz="4" w:space="0"/>
            </w:tcBorders>
            <w:vAlign w:val="center"/>
          </w:tcPr>
          <w:p w14:paraId="111052BA">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φ8*7.2*135mm</w:t>
            </w:r>
          </w:p>
        </w:tc>
        <w:tc>
          <w:tcPr>
            <w:tcW w:w="851" w:type="dxa"/>
            <w:tcBorders>
              <w:top w:val="nil"/>
              <w:left w:val="nil"/>
              <w:bottom w:val="single" w:color="auto" w:sz="4" w:space="0"/>
              <w:right w:val="single" w:color="auto" w:sz="4" w:space="0"/>
            </w:tcBorders>
            <w:vAlign w:val="center"/>
          </w:tcPr>
          <w:p w14:paraId="67776530">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1个</w:t>
            </w:r>
          </w:p>
        </w:tc>
        <w:tc>
          <w:tcPr>
            <w:tcW w:w="1276" w:type="dxa"/>
            <w:tcBorders>
              <w:top w:val="nil"/>
              <w:left w:val="nil"/>
              <w:bottom w:val="single" w:color="auto" w:sz="4" w:space="0"/>
              <w:right w:val="single" w:color="auto" w:sz="4" w:space="0"/>
            </w:tcBorders>
            <w:noWrap/>
            <w:vAlign w:val="center"/>
          </w:tcPr>
          <w:p w14:paraId="7580E589">
            <w:pPr>
              <w:spacing w:line="0" w:lineRule="atLeast"/>
              <w:rPr>
                <w:rFonts w:hint="eastAsia" w:ascii="宋体" w:hAnsi="宋体" w:eastAsia="宋体" w:cs="宋体"/>
                <w:bCs/>
                <w:sz w:val="24"/>
                <w:szCs w:val="24"/>
              </w:rPr>
            </w:pPr>
          </w:p>
        </w:tc>
      </w:tr>
      <w:tr w14:paraId="761D4871">
        <w:tblPrEx>
          <w:tblCellMar>
            <w:top w:w="0" w:type="dxa"/>
            <w:left w:w="108" w:type="dxa"/>
            <w:bottom w:w="0" w:type="dxa"/>
            <w:right w:w="108" w:type="dxa"/>
          </w:tblCellMar>
        </w:tblPrEx>
        <w:trPr>
          <w:trHeight w:val="300" w:hRule="atLeast"/>
        </w:trPr>
        <w:tc>
          <w:tcPr>
            <w:tcW w:w="804" w:type="dxa"/>
            <w:tcBorders>
              <w:top w:val="nil"/>
              <w:left w:val="single" w:color="auto" w:sz="4" w:space="0"/>
              <w:bottom w:val="single" w:color="auto" w:sz="4" w:space="0"/>
              <w:right w:val="single" w:color="auto" w:sz="4" w:space="0"/>
            </w:tcBorders>
            <w:vAlign w:val="center"/>
          </w:tcPr>
          <w:p w14:paraId="120A7851">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9</w:t>
            </w:r>
          </w:p>
        </w:tc>
        <w:tc>
          <w:tcPr>
            <w:tcW w:w="2485" w:type="dxa"/>
            <w:tcBorders>
              <w:top w:val="nil"/>
              <w:left w:val="nil"/>
              <w:bottom w:val="single" w:color="auto" w:sz="4" w:space="0"/>
              <w:right w:val="single" w:color="auto" w:sz="4" w:space="0"/>
            </w:tcBorders>
            <w:vAlign w:val="center"/>
          </w:tcPr>
          <w:p w14:paraId="00ED0467">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扩张器（七级）</w:t>
            </w:r>
          </w:p>
        </w:tc>
        <w:tc>
          <w:tcPr>
            <w:tcW w:w="2806" w:type="dxa"/>
            <w:tcBorders>
              <w:top w:val="nil"/>
              <w:left w:val="nil"/>
              <w:bottom w:val="single" w:color="auto" w:sz="4" w:space="0"/>
              <w:right w:val="single" w:color="auto" w:sz="4" w:space="0"/>
            </w:tcBorders>
            <w:vAlign w:val="center"/>
          </w:tcPr>
          <w:p w14:paraId="192F75A3">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φ9*8.2*120mm</w:t>
            </w:r>
          </w:p>
        </w:tc>
        <w:tc>
          <w:tcPr>
            <w:tcW w:w="851" w:type="dxa"/>
            <w:tcBorders>
              <w:top w:val="nil"/>
              <w:left w:val="nil"/>
              <w:bottom w:val="single" w:color="auto" w:sz="4" w:space="0"/>
              <w:right w:val="single" w:color="auto" w:sz="4" w:space="0"/>
            </w:tcBorders>
            <w:vAlign w:val="center"/>
          </w:tcPr>
          <w:p w14:paraId="6628FCAB">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1个</w:t>
            </w:r>
          </w:p>
        </w:tc>
        <w:tc>
          <w:tcPr>
            <w:tcW w:w="1276" w:type="dxa"/>
            <w:tcBorders>
              <w:top w:val="nil"/>
              <w:left w:val="nil"/>
              <w:bottom w:val="single" w:color="auto" w:sz="4" w:space="0"/>
              <w:right w:val="single" w:color="auto" w:sz="4" w:space="0"/>
            </w:tcBorders>
            <w:noWrap/>
            <w:vAlign w:val="center"/>
          </w:tcPr>
          <w:p w14:paraId="328C4846">
            <w:pPr>
              <w:spacing w:line="0" w:lineRule="atLeast"/>
              <w:jc w:val="center"/>
              <w:rPr>
                <w:rFonts w:hint="eastAsia" w:ascii="宋体" w:hAnsi="宋体" w:eastAsia="宋体" w:cs="宋体"/>
                <w:bCs/>
                <w:sz w:val="24"/>
                <w:szCs w:val="24"/>
              </w:rPr>
            </w:pPr>
          </w:p>
        </w:tc>
      </w:tr>
      <w:tr w14:paraId="3D9A9958">
        <w:tblPrEx>
          <w:tblCellMar>
            <w:top w:w="0" w:type="dxa"/>
            <w:left w:w="108" w:type="dxa"/>
            <w:bottom w:w="0" w:type="dxa"/>
            <w:right w:w="108" w:type="dxa"/>
          </w:tblCellMar>
        </w:tblPrEx>
        <w:trPr>
          <w:trHeight w:val="300" w:hRule="atLeast"/>
        </w:trPr>
        <w:tc>
          <w:tcPr>
            <w:tcW w:w="804" w:type="dxa"/>
            <w:tcBorders>
              <w:top w:val="nil"/>
              <w:left w:val="single" w:color="auto" w:sz="4" w:space="0"/>
              <w:bottom w:val="single" w:color="auto" w:sz="4" w:space="0"/>
              <w:right w:val="single" w:color="auto" w:sz="4" w:space="0"/>
            </w:tcBorders>
            <w:vAlign w:val="center"/>
          </w:tcPr>
          <w:p w14:paraId="7338EBEE">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10</w:t>
            </w:r>
          </w:p>
        </w:tc>
        <w:tc>
          <w:tcPr>
            <w:tcW w:w="2485" w:type="dxa"/>
            <w:tcBorders>
              <w:top w:val="nil"/>
              <w:left w:val="nil"/>
              <w:bottom w:val="single" w:color="auto" w:sz="4" w:space="0"/>
              <w:right w:val="single" w:color="auto" w:sz="4" w:space="0"/>
            </w:tcBorders>
            <w:vAlign w:val="center"/>
          </w:tcPr>
          <w:p w14:paraId="647842E9">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扩张器（铅笔头）</w:t>
            </w:r>
          </w:p>
        </w:tc>
        <w:tc>
          <w:tcPr>
            <w:tcW w:w="2806" w:type="dxa"/>
            <w:tcBorders>
              <w:top w:val="nil"/>
              <w:left w:val="nil"/>
              <w:bottom w:val="single" w:color="auto" w:sz="4" w:space="0"/>
              <w:right w:val="single" w:color="auto" w:sz="4" w:space="0"/>
            </w:tcBorders>
            <w:vAlign w:val="center"/>
          </w:tcPr>
          <w:p w14:paraId="29686427">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φ6.5*1.6*240mm</w:t>
            </w:r>
          </w:p>
        </w:tc>
        <w:tc>
          <w:tcPr>
            <w:tcW w:w="851" w:type="dxa"/>
            <w:tcBorders>
              <w:top w:val="nil"/>
              <w:left w:val="nil"/>
              <w:bottom w:val="single" w:color="auto" w:sz="4" w:space="0"/>
              <w:right w:val="single" w:color="auto" w:sz="4" w:space="0"/>
            </w:tcBorders>
            <w:vAlign w:val="center"/>
          </w:tcPr>
          <w:p w14:paraId="28748A36">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1个</w:t>
            </w:r>
          </w:p>
        </w:tc>
        <w:tc>
          <w:tcPr>
            <w:tcW w:w="1276" w:type="dxa"/>
            <w:tcBorders>
              <w:top w:val="nil"/>
              <w:left w:val="nil"/>
              <w:bottom w:val="single" w:color="auto" w:sz="4" w:space="0"/>
              <w:right w:val="single" w:color="auto" w:sz="4" w:space="0"/>
            </w:tcBorders>
            <w:noWrap/>
            <w:vAlign w:val="center"/>
          </w:tcPr>
          <w:p w14:paraId="388061D8">
            <w:pPr>
              <w:spacing w:line="0" w:lineRule="atLeast"/>
              <w:jc w:val="center"/>
              <w:rPr>
                <w:rFonts w:hint="eastAsia" w:ascii="宋体" w:hAnsi="宋体" w:eastAsia="宋体" w:cs="宋体"/>
                <w:bCs/>
                <w:sz w:val="24"/>
                <w:szCs w:val="24"/>
              </w:rPr>
            </w:pPr>
          </w:p>
        </w:tc>
      </w:tr>
      <w:tr w14:paraId="327662B1">
        <w:tblPrEx>
          <w:tblCellMar>
            <w:top w:w="0" w:type="dxa"/>
            <w:left w:w="108" w:type="dxa"/>
            <w:bottom w:w="0" w:type="dxa"/>
            <w:right w:w="108" w:type="dxa"/>
          </w:tblCellMar>
        </w:tblPrEx>
        <w:trPr>
          <w:trHeight w:val="300" w:hRule="atLeast"/>
        </w:trPr>
        <w:tc>
          <w:tcPr>
            <w:tcW w:w="804" w:type="dxa"/>
            <w:tcBorders>
              <w:top w:val="nil"/>
              <w:left w:val="single" w:color="auto" w:sz="4" w:space="0"/>
              <w:bottom w:val="single" w:color="auto" w:sz="4" w:space="0"/>
              <w:right w:val="single" w:color="auto" w:sz="4" w:space="0"/>
            </w:tcBorders>
            <w:vAlign w:val="center"/>
          </w:tcPr>
          <w:p w14:paraId="348E135B">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11</w:t>
            </w:r>
          </w:p>
        </w:tc>
        <w:tc>
          <w:tcPr>
            <w:tcW w:w="2485" w:type="dxa"/>
            <w:tcBorders>
              <w:top w:val="nil"/>
              <w:left w:val="nil"/>
              <w:bottom w:val="single" w:color="auto" w:sz="4" w:space="0"/>
              <w:right w:val="single" w:color="auto" w:sz="4" w:space="0"/>
            </w:tcBorders>
            <w:vAlign w:val="center"/>
          </w:tcPr>
          <w:p w14:paraId="40580989">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扩张器（镜鞘）</w:t>
            </w:r>
          </w:p>
        </w:tc>
        <w:tc>
          <w:tcPr>
            <w:tcW w:w="2806" w:type="dxa"/>
            <w:tcBorders>
              <w:top w:val="nil"/>
              <w:left w:val="nil"/>
              <w:bottom w:val="single" w:color="auto" w:sz="4" w:space="0"/>
              <w:right w:val="single" w:color="auto" w:sz="4" w:space="0"/>
            </w:tcBorders>
            <w:vAlign w:val="center"/>
          </w:tcPr>
          <w:p w14:paraId="50E3E9E7">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φ8.5*7.7*155mm</w:t>
            </w:r>
          </w:p>
        </w:tc>
        <w:tc>
          <w:tcPr>
            <w:tcW w:w="851" w:type="dxa"/>
            <w:tcBorders>
              <w:top w:val="nil"/>
              <w:left w:val="nil"/>
              <w:bottom w:val="single" w:color="auto" w:sz="4" w:space="0"/>
              <w:right w:val="single" w:color="auto" w:sz="4" w:space="0"/>
            </w:tcBorders>
            <w:vAlign w:val="center"/>
          </w:tcPr>
          <w:p w14:paraId="6A46E08B">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1个</w:t>
            </w:r>
          </w:p>
        </w:tc>
        <w:tc>
          <w:tcPr>
            <w:tcW w:w="1276" w:type="dxa"/>
            <w:tcBorders>
              <w:top w:val="nil"/>
              <w:left w:val="nil"/>
              <w:bottom w:val="single" w:color="auto" w:sz="4" w:space="0"/>
              <w:right w:val="single" w:color="auto" w:sz="4" w:space="0"/>
            </w:tcBorders>
            <w:noWrap/>
            <w:vAlign w:val="center"/>
          </w:tcPr>
          <w:p w14:paraId="3C991A00">
            <w:pPr>
              <w:spacing w:line="0" w:lineRule="atLeast"/>
              <w:jc w:val="center"/>
              <w:rPr>
                <w:rFonts w:hint="eastAsia" w:ascii="宋体" w:hAnsi="宋体" w:eastAsia="宋体" w:cs="宋体"/>
                <w:bCs/>
                <w:sz w:val="24"/>
                <w:szCs w:val="24"/>
              </w:rPr>
            </w:pPr>
            <w:r>
              <w:rPr>
                <w:rFonts w:hint="eastAsia" w:ascii="宋体" w:hAnsi="宋体" w:eastAsia="宋体" w:cs="宋体"/>
                <w:bCs/>
                <w:sz w:val="24"/>
                <w:szCs w:val="24"/>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635" cy="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635" cy="0"/>
                          </a:xfrm>
                          <a:prstGeom prst="rect">
                            <a:avLst/>
                          </a:prstGeom>
                          <a:noFill/>
                          <a:ln>
                            <a:noFill/>
                          </a:ln>
                        </pic:spPr>
                      </pic:pic>
                    </a:graphicData>
                  </a:graphic>
                </wp:anchor>
              </w:drawing>
            </w:r>
            <w:r>
              <w:rPr>
                <w:rFonts w:hint="eastAsia" w:ascii="宋体" w:hAnsi="宋体" w:eastAsia="宋体" w:cs="宋体"/>
                <w:bCs/>
                <w:sz w:val="24"/>
                <w:szCs w:val="24"/>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635" cy="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635" cy="0"/>
                          </a:xfrm>
                          <a:prstGeom prst="rect">
                            <a:avLst/>
                          </a:prstGeom>
                          <a:noFill/>
                          <a:ln>
                            <a:noFill/>
                          </a:ln>
                        </pic:spPr>
                      </pic:pic>
                    </a:graphicData>
                  </a:graphic>
                </wp:anchor>
              </w:drawing>
            </w:r>
          </w:p>
        </w:tc>
      </w:tr>
      <w:tr w14:paraId="16E330B9">
        <w:tblPrEx>
          <w:tblCellMar>
            <w:top w:w="0" w:type="dxa"/>
            <w:left w:w="108" w:type="dxa"/>
            <w:bottom w:w="0" w:type="dxa"/>
            <w:right w:w="108" w:type="dxa"/>
          </w:tblCellMar>
        </w:tblPrEx>
        <w:trPr>
          <w:trHeight w:val="300" w:hRule="atLeast"/>
        </w:trPr>
        <w:tc>
          <w:tcPr>
            <w:tcW w:w="804" w:type="dxa"/>
            <w:tcBorders>
              <w:top w:val="nil"/>
              <w:left w:val="single" w:color="auto" w:sz="4" w:space="0"/>
              <w:bottom w:val="single" w:color="auto" w:sz="4" w:space="0"/>
              <w:right w:val="single" w:color="auto" w:sz="4" w:space="0"/>
            </w:tcBorders>
            <w:vAlign w:val="center"/>
          </w:tcPr>
          <w:p w14:paraId="56ACD051">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12</w:t>
            </w:r>
          </w:p>
        </w:tc>
        <w:tc>
          <w:tcPr>
            <w:tcW w:w="2485" w:type="dxa"/>
            <w:tcBorders>
              <w:top w:val="nil"/>
              <w:left w:val="nil"/>
              <w:bottom w:val="single" w:color="auto" w:sz="4" w:space="0"/>
              <w:right w:val="single" w:color="auto" w:sz="4" w:space="0"/>
            </w:tcBorders>
            <w:vAlign w:val="center"/>
          </w:tcPr>
          <w:p w14:paraId="2D29E812">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扩张器（镜鞘）</w:t>
            </w:r>
          </w:p>
        </w:tc>
        <w:tc>
          <w:tcPr>
            <w:tcW w:w="2806" w:type="dxa"/>
            <w:tcBorders>
              <w:top w:val="nil"/>
              <w:left w:val="nil"/>
              <w:bottom w:val="single" w:color="auto" w:sz="4" w:space="0"/>
              <w:right w:val="single" w:color="auto" w:sz="4" w:space="0"/>
            </w:tcBorders>
            <w:vAlign w:val="center"/>
          </w:tcPr>
          <w:p w14:paraId="0B3059D2">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φ7.5*6.5*167mm</w:t>
            </w:r>
          </w:p>
        </w:tc>
        <w:tc>
          <w:tcPr>
            <w:tcW w:w="851" w:type="dxa"/>
            <w:tcBorders>
              <w:top w:val="nil"/>
              <w:left w:val="nil"/>
              <w:bottom w:val="single" w:color="auto" w:sz="4" w:space="0"/>
              <w:right w:val="single" w:color="auto" w:sz="4" w:space="0"/>
            </w:tcBorders>
            <w:vAlign w:val="center"/>
          </w:tcPr>
          <w:p w14:paraId="48B0E068">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1个</w:t>
            </w:r>
          </w:p>
        </w:tc>
        <w:tc>
          <w:tcPr>
            <w:tcW w:w="1276" w:type="dxa"/>
            <w:tcBorders>
              <w:top w:val="nil"/>
              <w:left w:val="nil"/>
              <w:bottom w:val="single" w:color="auto" w:sz="4" w:space="0"/>
              <w:right w:val="single" w:color="auto" w:sz="4" w:space="0"/>
            </w:tcBorders>
            <w:noWrap/>
            <w:vAlign w:val="center"/>
          </w:tcPr>
          <w:p w14:paraId="27C846E5">
            <w:pPr>
              <w:spacing w:line="0" w:lineRule="atLeast"/>
              <w:jc w:val="center"/>
              <w:rPr>
                <w:rFonts w:hint="eastAsia" w:ascii="宋体" w:hAnsi="宋体" w:eastAsia="宋体" w:cs="宋体"/>
                <w:bCs/>
                <w:sz w:val="24"/>
                <w:szCs w:val="24"/>
              </w:rPr>
            </w:pPr>
          </w:p>
        </w:tc>
      </w:tr>
      <w:tr w14:paraId="3B636EA0">
        <w:tblPrEx>
          <w:tblCellMar>
            <w:top w:w="0" w:type="dxa"/>
            <w:left w:w="108" w:type="dxa"/>
            <w:bottom w:w="0" w:type="dxa"/>
            <w:right w:w="108" w:type="dxa"/>
          </w:tblCellMar>
        </w:tblPrEx>
        <w:trPr>
          <w:trHeight w:val="300" w:hRule="atLeast"/>
        </w:trPr>
        <w:tc>
          <w:tcPr>
            <w:tcW w:w="804" w:type="dxa"/>
            <w:tcBorders>
              <w:top w:val="nil"/>
              <w:left w:val="single" w:color="auto" w:sz="4" w:space="0"/>
              <w:bottom w:val="single" w:color="auto" w:sz="4" w:space="0"/>
              <w:right w:val="single" w:color="auto" w:sz="4" w:space="0"/>
            </w:tcBorders>
            <w:vAlign w:val="center"/>
          </w:tcPr>
          <w:p w14:paraId="75D28D01">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13</w:t>
            </w:r>
          </w:p>
        </w:tc>
        <w:tc>
          <w:tcPr>
            <w:tcW w:w="2485" w:type="dxa"/>
            <w:tcBorders>
              <w:top w:val="nil"/>
              <w:left w:val="nil"/>
              <w:bottom w:val="single" w:color="auto" w:sz="4" w:space="0"/>
              <w:right w:val="single" w:color="auto" w:sz="4" w:space="0"/>
            </w:tcBorders>
            <w:vAlign w:val="center"/>
          </w:tcPr>
          <w:p w14:paraId="1FC0EFEB">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扩张器（环锯）</w:t>
            </w:r>
          </w:p>
        </w:tc>
        <w:tc>
          <w:tcPr>
            <w:tcW w:w="2806" w:type="dxa"/>
            <w:tcBorders>
              <w:top w:val="nil"/>
              <w:left w:val="nil"/>
              <w:bottom w:val="single" w:color="auto" w:sz="4" w:space="0"/>
              <w:right w:val="single" w:color="auto" w:sz="4" w:space="0"/>
            </w:tcBorders>
            <w:vAlign w:val="center"/>
          </w:tcPr>
          <w:p w14:paraId="7D234AE1">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φ7.5*6.5*176mm</w:t>
            </w:r>
          </w:p>
        </w:tc>
        <w:tc>
          <w:tcPr>
            <w:tcW w:w="851" w:type="dxa"/>
            <w:tcBorders>
              <w:top w:val="nil"/>
              <w:left w:val="nil"/>
              <w:bottom w:val="single" w:color="auto" w:sz="4" w:space="0"/>
              <w:right w:val="single" w:color="auto" w:sz="4" w:space="0"/>
            </w:tcBorders>
            <w:vAlign w:val="center"/>
          </w:tcPr>
          <w:p w14:paraId="6CB6C3A3">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2把</w:t>
            </w:r>
          </w:p>
        </w:tc>
        <w:tc>
          <w:tcPr>
            <w:tcW w:w="1276" w:type="dxa"/>
            <w:tcBorders>
              <w:top w:val="nil"/>
              <w:left w:val="nil"/>
              <w:bottom w:val="single" w:color="auto" w:sz="4" w:space="0"/>
              <w:right w:val="single" w:color="auto" w:sz="4" w:space="0"/>
            </w:tcBorders>
            <w:noWrap/>
            <w:vAlign w:val="center"/>
          </w:tcPr>
          <w:p w14:paraId="62AB0A63">
            <w:pPr>
              <w:spacing w:line="0" w:lineRule="atLeast"/>
              <w:jc w:val="center"/>
              <w:rPr>
                <w:rFonts w:hint="eastAsia" w:ascii="宋体" w:hAnsi="宋体" w:eastAsia="宋体" w:cs="宋体"/>
                <w:bCs/>
                <w:sz w:val="24"/>
                <w:szCs w:val="24"/>
              </w:rPr>
            </w:pPr>
          </w:p>
        </w:tc>
      </w:tr>
      <w:tr w14:paraId="18921C33">
        <w:tblPrEx>
          <w:tblCellMar>
            <w:top w:w="0" w:type="dxa"/>
            <w:left w:w="108" w:type="dxa"/>
            <w:bottom w:w="0" w:type="dxa"/>
            <w:right w:w="108" w:type="dxa"/>
          </w:tblCellMar>
        </w:tblPrEx>
        <w:trPr>
          <w:trHeight w:val="300" w:hRule="atLeast"/>
        </w:trPr>
        <w:tc>
          <w:tcPr>
            <w:tcW w:w="804" w:type="dxa"/>
            <w:tcBorders>
              <w:top w:val="nil"/>
              <w:left w:val="single" w:color="auto" w:sz="4" w:space="0"/>
              <w:bottom w:val="single" w:color="auto" w:sz="4" w:space="0"/>
              <w:right w:val="single" w:color="auto" w:sz="4" w:space="0"/>
            </w:tcBorders>
            <w:vAlign w:val="center"/>
          </w:tcPr>
          <w:p w14:paraId="3E813152">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14</w:t>
            </w:r>
          </w:p>
        </w:tc>
        <w:tc>
          <w:tcPr>
            <w:tcW w:w="2485" w:type="dxa"/>
            <w:tcBorders>
              <w:top w:val="nil"/>
              <w:left w:val="nil"/>
              <w:bottom w:val="single" w:color="auto" w:sz="4" w:space="0"/>
              <w:right w:val="single" w:color="auto" w:sz="4" w:space="0"/>
            </w:tcBorders>
            <w:vAlign w:val="center"/>
          </w:tcPr>
          <w:p w14:paraId="236DFA14">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定位笔（穿刺针）</w:t>
            </w:r>
          </w:p>
        </w:tc>
        <w:tc>
          <w:tcPr>
            <w:tcW w:w="2806" w:type="dxa"/>
            <w:tcBorders>
              <w:top w:val="nil"/>
              <w:left w:val="nil"/>
              <w:bottom w:val="single" w:color="auto" w:sz="4" w:space="0"/>
              <w:right w:val="single" w:color="auto" w:sz="4" w:space="0"/>
            </w:tcBorders>
            <w:vAlign w:val="center"/>
          </w:tcPr>
          <w:p w14:paraId="64CEFBF3">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φ1.6*200mm</w:t>
            </w:r>
          </w:p>
        </w:tc>
        <w:tc>
          <w:tcPr>
            <w:tcW w:w="851" w:type="dxa"/>
            <w:tcBorders>
              <w:top w:val="nil"/>
              <w:left w:val="nil"/>
              <w:bottom w:val="single" w:color="auto" w:sz="4" w:space="0"/>
              <w:right w:val="single" w:color="auto" w:sz="4" w:space="0"/>
            </w:tcBorders>
            <w:vAlign w:val="center"/>
          </w:tcPr>
          <w:p w14:paraId="5130B6B4">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1支</w:t>
            </w:r>
          </w:p>
        </w:tc>
        <w:tc>
          <w:tcPr>
            <w:tcW w:w="1276" w:type="dxa"/>
            <w:tcBorders>
              <w:top w:val="nil"/>
              <w:left w:val="nil"/>
              <w:bottom w:val="single" w:color="auto" w:sz="4" w:space="0"/>
              <w:right w:val="single" w:color="auto" w:sz="4" w:space="0"/>
            </w:tcBorders>
            <w:noWrap/>
            <w:vAlign w:val="center"/>
          </w:tcPr>
          <w:p w14:paraId="3BD52791">
            <w:pPr>
              <w:spacing w:line="0" w:lineRule="atLeast"/>
              <w:jc w:val="center"/>
              <w:rPr>
                <w:rFonts w:hint="eastAsia" w:ascii="宋体" w:hAnsi="宋体" w:eastAsia="宋体" w:cs="宋体"/>
                <w:bCs/>
                <w:sz w:val="24"/>
                <w:szCs w:val="24"/>
              </w:rPr>
            </w:pPr>
          </w:p>
        </w:tc>
      </w:tr>
      <w:tr w14:paraId="727299BE">
        <w:tblPrEx>
          <w:tblCellMar>
            <w:top w:w="0" w:type="dxa"/>
            <w:left w:w="108" w:type="dxa"/>
            <w:bottom w:w="0" w:type="dxa"/>
            <w:right w:w="108" w:type="dxa"/>
          </w:tblCellMar>
        </w:tblPrEx>
        <w:trPr>
          <w:trHeight w:val="300" w:hRule="atLeast"/>
        </w:trPr>
        <w:tc>
          <w:tcPr>
            <w:tcW w:w="804" w:type="dxa"/>
            <w:tcBorders>
              <w:top w:val="nil"/>
              <w:left w:val="single" w:color="auto" w:sz="4" w:space="0"/>
              <w:bottom w:val="single" w:color="auto" w:sz="4" w:space="0"/>
              <w:right w:val="single" w:color="auto" w:sz="4" w:space="0"/>
            </w:tcBorders>
            <w:vAlign w:val="center"/>
          </w:tcPr>
          <w:p w14:paraId="1A6BEBB2">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15</w:t>
            </w:r>
          </w:p>
        </w:tc>
        <w:tc>
          <w:tcPr>
            <w:tcW w:w="2485" w:type="dxa"/>
            <w:tcBorders>
              <w:top w:val="nil"/>
              <w:left w:val="nil"/>
              <w:bottom w:val="single" w:color="auto" w:sz="4" w:space="0"/>
              <w:right w:val="single" w:color="auto" w:sz="4" w:space="0"/>
            </w:tcBorders>
            <w:vAlign w:val="center"/>
          </w:tcPr>
          <w:p w14:paraId="4D91E9C2">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定位笔（定位导丝）</w:t>
            </w:r>
          </w:p>
        </w:tc>
        <w:tc>
          <w:tcPr>
            <w:tcW w:w="2806" w:type="dxa"/>
            <w:tcBorders>
              <w:top w:val="nil"/>
              <w:left w:val="nil"/>
              <w:bottom w:val="single" w:color="auto" w:sz="4" w:space="0"/>
              <w:right w:val="single" w:color="auto" w:sz="4" w:space="0"/>
            </w:tcBorders>
            <w:vAlign w:val="center"/>
          </w:tcPr>
          <w:p w14:paraId="5BD12E97">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φ0.8*450mm</w:t>
            </w:r>
          </w:p>
        </w:tc>
        <w:tc>
          <w:tcPr>
            <w:tcW w:w="851" w:type="dxa"/>
            <w:tcBorders>
              <w:top w:val="nil"/>
              <w:left w:val="nil"/>
              <w:bottom w:val="single" w:color="auto" w:sz="4" w:space="0"/>
              <w:right w:val="single" w:color="auto" w:sz="4" w:space="0"/>
            </w:tcBorders>
            <w:vAlign w:val="center"/>
          </w:tcPr>
          <w:p w14:paraId="6A0F2144">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10个</w:t>
            </w:r>
          </w:p>
        </w:tc>
        <w:tc>
          <w:tcPr>
            <w:tcW w:w="1276" w:type="dxa"/>
            <w:tcBorders>
              <w:top w:val="nil"/>
              <w:left w:val="nil"/>
              <w:bottom w:val="single" w:color="auto" w:sz="4" w:space="0"/>
              <w:right w:val="single" w:color="auto" w:sz="4" w:space="0"/>
            </w:tcBorders>
            <w:noWrap/>
            <w:vAlign w:val="center"/>
          </w:tcPr>
          <w:p w14:paraId="73CDBD01">
            <w:pPr>
              <w:spacing w:line="0" w:lineRule="atLeast"/>
              <w:jc w:val="center"/>
              <w:rPr>
                <w:rFonts w:hint="eastAsia" w:ascii="宋体" w:hAnsi="宋体" w:eastAsia="宋体" w:cs="宋体"/>
                <w:bCs/>
                <w:sz w:val="24"/>
                <w:szCs w:val="24"/>
              </w:rPr>
            </w:pPr>
          </w:p>
        </w:tc>
      </w:tr>
      <w:tr w14:paraId="44917110">
        <w:tblPrEx>
          <w:tblCellMar>
            <w:top w:w="0" w:type="dxa"/>
            <w:left w:w="108" w:type="dxa"/>
            <w:bottom w:w="0" w:type="dxa"/>
            <w:right w:w="108" w:type="dxa"/>
          </w:tblCellMar>
        </w:tblPrEx>
        <w:trPr>
          <w:trHeight w:val="300" w:hRule="atLeast"/>
        </w:trPr>
        <w:tc>
          <w:tcPr>
            <w:tcW w:w="804" w:type="dxa"/>
            <w:tcBorders>
              <w:top w:val="nil"/>
              <w:left w:val="single" w:color="auto" w:sz="4" w:space="0"/>
              <w:bottom w:val="single" w:color="auto" w:sz="4" w:space="0"/>
              <w:right w:val="single" w:color="auto" w:sz="4" w:space="0"/>
            </w:tcBorders>
            <w:vAlign w:val="center"/>
          </w:tcPr>
          <w:p w14:paraId="199D6621">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16</w:t>
            </w:r>
          </w:p>
        </w:tc>
        <w:tc>
          <w:tcPr>
            <w:tcW w:w="2485" w:type="dxa"/>
            <w:tcBorders>
              <w:top w:val="nil"/>
              <w:left w:val="nil"/>
              <w:bottom w:val="single" w:color="auto" w:sz="4" w:space="0"/>
              <w:right w:val="single" w:color="auto" w:sz="4" w:space="0"/>
            </w:tcBorders>
            <w:vAlign w:val="center"/>
          </w:tcPr>
          <w:p w14:paraId="12DD20F1">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手术刀（剥离子）</w:t>
            </w:r>
          </w:p>
        </w:tc>
        <w:tc>
          <w:tcPr>
            <w:tcW w:w="2806" w:type="dxa"/>
            <w:tcBorders>
              <w:top w:val="nil"/>
              <w:left w:val="nil"/>
              <w:bottom w:val="single" w:color="auto" w:sz="4" w:space="0"/>
              <w:right w:val="single" w:color="auto" w:sz="4" w:space="0"/>
            </w:tcBorders>
            <w:vAlign w:val="center"/>
          </w:tcPr>
          <w:p w14:paraId="36861B26">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φ3*3.0*340mm</w:t>
            </w:r>
          </w:p>
        </w:tc>
        <w:tc>
          <w:tcPr>
            <w:tcW w:w="851" w:type="dxa"/>
            <w:tcBorders>
              <w:top w:val="nil"/>
              <w:left w:val="nil"/>
              <w:bottom w:val="single" w:color="auto" w:sz="4" w:space="0"/>
              <w:right w:val="single" w:color="auto" w:sz="4" w:space="0"/>
            </w:tcBorders>
            <w:vAlign w:val="center"/>
          </w:tcPr>
          <w:p w14:paraId="026B39E3">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1支</w:t>
            </w:r>
          </w:p>
        </w:tc>
        <w:tc>
          <w:tcPr>
            <w:tcW w:w="1276" w:type="dxa"/>
            <w:tcBorders>
              <w:top w:val="nil"/>
              <w:left w:val="nil"/>
              <w:bottom w:val="single" w:color="auto" w:sz="4" w:space="0"/>
              <w:right w:val="single" w:color="auto" w:sz="4" w:space="0"/>
            </w:tcBorders>
            <w:noWrap/>
            <w:vAlign w:val="center"/>
          </w:tcPr>
          <w:p w14:paraId="4685CFEC">
            <w:pPr>
              <w:spacing w:line="0" w:lineRule="atLeast"/>
              <w:jc w:val="center"/>
              <w:rPr>
                <w:rFonts w:hint="eastAsia" w:ascii="宋体" w:hAnsi="宋体" w:eastAsia="宋体" w:cs="宋体"/>
                <w:bCs/>
                <w:sz w:val="24"/>
                <w:szCs w:val="24"/>
              </w:rPr>
            </w:pPr>
          </w:p>
        </w:tc>
      </w:tr>
      <w:tr w14:paraId="64E161E9">
        <w:tblPrEx>
          <w:tblCellMar>
            <w:top w:w="0" w:type="dxa"/>
            <w:left w:w="108" w:type="dxa"/>
            <w:bottom w:w="0" w:type="dxa"/>
            <w:right w:w="108" w:type="dxa"/>
          </w:tblCellMar>
        </w:tblPrEx>
        <w:trPr>
          <w:trHeight w:val="300" w:hRule="atLeast"/>
        </w:trPr>
        <w:tc>
          <w:tcPr>
            <w:tcW w:w="804" w:type="dxa"/>
            <w:tcBorders>
              <w:top w:val="nil"/>
              <w:left w:val="single" w:color="auto" w:sz="4" w:space="0"/>
              <w:bottom w:val="single" w:color="auto" w:sz="4" w:space="0"/>
              <w:right w:val="single" w:color="auto" w:sz="4" w:space="0"/>
            </w:tcBorders>
            <w:vAlign w:val="center"/>
          </w:tcPr>
          <w:p w14:paraId="092C2A80">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17</w:t>
            </w:r>
          </w:p>
        </w:tc>
        <w:tc>
          <w:tcPr>
            <w:tcW w:w="2485" w:type="dxa"/>
            <w:tcBorders>
              <w:top w:val="nil"/>
              <w:left w:val="nil"/>
              <w:bottom w:val="single" w:color="auto" w:sz="4" w:space="0"/>
              <w:right w:val="single" w:color="auto" w:sz="4" w:space="0"/>
            </w:tcBorders>
            <w:vAlign w:val="center"/>
          </w:tcPr>
          <w:p w14:paraId="5E595D7C">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手术刀（探针）</w:t>
            </w:r>
          </w:p>
        </w:tc>
        <w:tc>
          <w:tcPr>
            <w:tcW w:w="2806" w:type="dxa"/>
            <w:tcBorders>
              <w:top w:val="nil"/>
              <w:left w:val="nil"/>
              <w:bottom w:val="single" w:color="auto" w:sz="4" w:space="0"/>
              <w:right w:val="single" w:color="auto" w:sz="4" w:space="0"/>
            </w:tcBorders>
            <w:vAlign w:val="center"/>
          </w:tcPr>
          <w:p w14:paraId="28A5D0FA">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φ3*3.0*340mm</w:t>
            </w:r>
          </w:p>
        </w:tc>
        <w:tc>
          <w:tcPr>
            <w:tcW w:w="851" w:type="dxa"/>
            <w:tcBorders>
              <w:top w:val="nil"/>
              <w:left w:val="nil"/>
              <w:bottom w:val="single" w:color="auto" w:sz="4" w:space="0"/>
              <w:right w:val="single" w:color="auto" w:sz="4" w:space="0"/>
            </w:tcBorders>
            <w:vAlign w:val="center"/>
          </w:tcPr>
          <w:p w14:paraId="427C7F44">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1支</w:t>
            </w:r>
          </w:p>
        </w:tc>
        <w:tc>
          <w:tcPr>
            <w:tcW w:w="1276" w:type="dxa"/>
            <w:tcBorders>
              <w:top w:val="nil"/>
              <w:left w:val="nil"/>
              <w:bottom w:val="single" w:color="auto" w:sz="4" w:space="0"/>
              <w:right w:val="single" w:color="auto" w:sz="4" w:space="0"/>
            </w:tcBorders>
            <w:noWrap/>
            <w:vAlign w:val="center"/>
          </w:tcPr>
          <w:p w14:paraId="02E9E796">
            <w:pPr>
              <w:spacing w:line="0" w:lineRule="atLeast"/>
              <w:jc w:val="center"/>
              <w:rPr>
                <w:rFonts w:hint="eastAsia" w:ascii="宋体" w:hAnsi="宋体" w:eastAsia="宋体" w:cs="宋体"/>
                <w:bCs/>
                <w:sz w:val="24"/>
                <w:szCs w:val="24"/>
              </w:rPr>
            </w:pPr>
          </w:p>
        </w:tc>
      </w:tr>
      <w:tr w14:paraId="057AB95C">
        <w:tblPrEx>
          <w:tblCellMar>
            <w:top w:w="0" w:type="dxa"/>
            <w:left w:w="108" w:type="dxa"/>
            <w:bottom w:w="0" w:type="dxa"/>
            <w:right w:w="108" w:type="dxa"/>
          </w:tblCellMar>
        </w:tblPrEx>
        <w:trPr>
          <w:trHeight w:val="300" w:hRule="atLeast"/>
        </w:trPr>
        <w:tc>
          <w:tcPr>
            <w:tcW w:w="804" w:type="dxa"/>
            <w:tcBorders>
              <w:top w:val="nil"/>
              <w:left w:val="single" w:color="auto" w:sz="4" w:space="0"/>
              <w:bottom w:val="single" w:color="auto" w:sz="4" w:space="0"/>
              <w:right w:val="single" w:color="auto" w:sz="4" w:space="0"/>
            </w:tcBorders>
            <w:vAlign w:val="center"/>
          </w:tcPr>
          <w:p w14:paraId="676B5A27">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18</w:t>
            </w:r>
          </w:p>
        </w:tc>
        <w:tc>
          <w:tcPr>
            <w:tcW w:w="2485" w:type="dxa"/>
            <w:tcBorders>
              <w:top w:val="nil"/>
              <w:left w:val="nil"/>
              <w:bottom w:val="single" w:color="auto" w:sz="4" w:space="0"/>
              <w:right w:val="single" w:color="auto" w:sz="4" w:space="0"/>
            </w:tcBorders>
            <w:vAlign w:val="center"/>
          </w:tcPr>
          <w:p w14:paraId="3C71EB1F">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刮匙</w:t>
            </w:r>
          </w:p>
        </w:tc>
        <w:tc>
          <w:tcPr>
            <w:tcW w:w="2806" w:type="dxa"/>
            <w:tcBorders>
              <w:top w:val="nil"/>
              <w:left w:val="nil"/>
              <w:bottom w:val="single" w:color="auto" w:sz="4" w:space="0"/>
              <w:right w:val="single" w:color="auto" w:sz="4" w:space="0"/>
            </w:tcBorders>
            <w:vAlign w:val="center"/>
          </w:tcPr>
          <w:p w14:paraId="769E0194">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φ2.5*330mm</w:t>
            </w:r>
          </w:p>
        </w:tc>
        <w:tc>
          <w:tcPr>
            <w:tcW w:w="851" w:type="dxa"/>
            <w:tcBorders>
              <w:top w:val="nil"/>
              <w:left w:val="nil"/>
              <w:bottom w:val="single" w:color="auto" w:sz="4" w:space="0"/>
              <w:right w:val="single" w:color="auto" w:sz="4" w:space="0"/>
            </w:tcBorders>
            <w:vAlign w:val="center"/>
          </w:tcPr>
          <w:p w14:paraId="3688D2C1">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1个</w:t>
            </w:r>
          </w:p>
        </w:tc>
        <w:tc>
          <w:tcPr>
            <w:tcW w:w="1276" w:type="dxa"/>
            <w:tcBorders>
              <w:top w:val="nil"/>
              <w:left w:val="nil"/>
              <w:bottom w:val="single" w:color="auto" w:sz="4" w:space="0"/>
              <w:right w:val="single" w:color="auto" w:sz="4" w:space="0"/>
            </w:tcBorders>
            <w:noWrap/>
            <w:vAlign w:val="center"/>
          </w:tcPr>
          <w:p w14:paraId="69FFAB48">
            <w:pPr>
              <w:spacing w:line="0" w:lineRule="atLeast"/>
              <w:jc w:val="center"/>
              <w:rPr>
                <w:rFonts w:hint="eastAsia" w:ascii="宋体" w:hAnsi="宋体" w:eastAsia="宋体" w:cs="宋体"/>
                <w:bCs/>
                <w:sz w:val="24"/>
                <w:szCs w:val="24"/>
              </w:rPr>
            </w:pPr>
          </w:p>
        </w:tc>
      </w:tr>
      <w:tr w14:paraId="0736A2A9">
        <w:tblPrEx>
          <w:tblCellMar>
            <w:top w:w="0" w:type="dxa"/>
            <w:left w:w="108" w:type="dxa"/>
            <w:bottom w:w="0" w:type="dxa"/>
            <w:right w:w="108" w:type="dxa"/>
          </w:tblCellMar>
        </w:tblPrEx>
        <w:trPr>
          <w:trHeight w:val="300" w:hRule="atLeast"/>
        </w:trPr>
        <w:tc>
          <w:tcPr>
            <w:tcW w:w="804" w:type="dxa"/>
            <w:tcBorders>
              <w:top w:val="nil"/>
              <w:left w:val="single" w:color="auto" w:sz="4" w:space="0"/>
              <w:bottom w:val="single" w:color="auto" w:sz="4" w:space="0"/>
              <w:right w:val="single" w:color="auto" w:sz="4" w:space="0"/>
            </w:tcBorders>
            <w:vAlign w:val="center"/>
          </w:tcPr>
          <w:p w14:paraId="736BDC91">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19</w:t>
            </w:r>
          </w:p>
        </w:tc>
        <w:tc>
          <w:tcPr>
            <w:tcW w:w="2485" w:type="dxa"/>
            <w:tcBorders>
              <w:top w:val="nil"/>
              <w:left w:val="nil"/>
              <w:bottom w:val="single" w:color="auto" w:sz="4" w:space="0"/>
              <w:right w:val="single" w:color="auto" w:sz="4" w:space="0"/>
            </w:tcBorders>
            <w:vAlign w:val="center"/>
          </w:tcPr>
          <w:p w14:paraId="2B6735EB">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手术刀（骨凿）</w:t>
            </w:r>
          </w:p>
        </w:tc>
        <w:tc>
          <w:tcPr>
            <w:tcW w:w="2806" w:type="dxa"/>
            <w:tcBorders>
              <w:top w:val="nil"/>
              <w:left w:val="nil"/>
              <w:bottom w:val="single" w:color="auto" w:sz="4" w:space="0"/>
              <w:right w:val="single" w:color="auto" w:sz="4" w:space="0"/>
            </w:tcBorders>
            <w:vAlign w:val="center"/>
          </w:tcPr>
          <w:p w14:paraId="269F931C">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φ3.0*3.0*340mm</w:t>
            </w:r>
          </w:p>
        </w:tc>
        <w:tc>
          <w:tcPr>
            <w:tcW w:w="851" w:type="dxa"/>
            <w:tcBorders>
              <w:top w:val="nil"/>
              <w:left w:val="nil"/>
              <w:bottom w:val="single" w:color="auto" w:sz="4" w:space="0"/>
              <w:right w:val="single" w:color="auto" w:sz="4" w:space="0"/>
            </w:tcBorders>
            <w:vAlign w:val="center"/>
          </w:tcPr>
          <w:p w14:paraId="5353B152">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1把</w:t>
            </w:r>
          </w:p>
        </w:tc>
        <w:tc>
          <w:tcPr>
            <w:tcW w:w="1276" w:type="dxa"/>
            <w:tcBorders>
              <w:top w:val="nil"/>
              <w:left w:val="nil"/>
              <w:bottom w:val="single" w:color="auto" w:sz="4" w:space="0"/>
              <w:right w:val="single" w:color="auto" w:sz="4" w:space="0"/>
            </w:tcBorders>
            <w:noWrap/>
            <w:vAlign w:val="center"/>
          </w:tcPr>
          <w:p w14:paraId="5B4DE5CF">
            <w:pPr>
              <w:spacing w:line="0" w:lineRule="atLeast"/>
              <w:jc w:val="center"/>
              <w:rPr>
                <w:rFonts w:hint="eastAsia" w:ascii="宋体" w:hAnsi="宋体" w:eastAsia="宋体" w:cs="宋体"/>
                <w:bCs/>
                <w:sz w:val="24"/>
                <w:szCs w:val="24"/>
              </w:rPr>
            </w:pPr>
          </w:p>
        </w:tc>
      </w:tr>
      <w:tr w14:paraId="1EC7B67D">
        <w:tblPrEx>
          <w:tblCellMar>
            <w:top w:w="0" w:type="dxa"/>
            <w:left w:w="108" w:type="dxa"/>
            <w:bottom w:w="0" w:type="dxa"/>
            <w:right w:w="108" w:type="dxa"/>
          </w:tblCellMar>
        </w:tblPrEx>
        <w:trPr>
          <w:trHeight w:val="300" w:hRule="atLeast"/>
        </w:trPr>
        <w:tc>
          <w:tcPr>
            <w:tcW w:w="804" w:type="dxa"/>
            <w:tcBorders>
              <w:top w:val="nil"/>
              <w:left w:val="single" w:color="auto" w:sz="4" w:space="0"/>
              <w:bottom w:val="single" w:color="auto" w:sz="4" w:space="0"/>
              <w:right w:val="single" w:color="auto" w:sz="4" w:space="0"/>
            </w:tcBorders>
            <w:vAlign w:val="center"/>
          </w:tcPr>
          <w:p w14:paraId="15A93A75">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20</w:t>
            </w:r>
          </w:p>
        </w:tc>
        <w:tc>
          <w:tcPr>
            <w:tcW w:w="2485" w:type="dxa"/>
            <w:tcBorders>
              <w:top w:val="nil"/>
              <w:left w:val="nil"/>
              <w:bottom w:val="single" w:color="auto" w:sz="4" w:space="0"/>
              <w:right w:val="single" w:color="auto" w:sz="4" w:space="0"/>
            </w:tcBorders>
            <w:vAlign w:val="center"/>
          </w:tcPr>
          <w:p w14:paraId="3DCA8649">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手术刀（磁力棒）</w:t>
            </w:r>
          </w:p>
        </w:tc>
        <w:tc>
          <w:tcPr>
            <w:tcW w:w="2806" w:type="dxa"/>
            <w:tcBorders>
              <w:top w:val="nil"/>
              <w:left w:val="nil"/>
              <w:bottom w:val="single" w:color="auto" w:sz="4" w:space="0"/>
              <w:right w:val="single" w:color="auto" w:sz="4" w:space="0"/>
            </w:tcBorders>
            <w:vAlign w:val="center"/>
          </w:tcPr>
          <w:p w14:paraId="278B3B3D">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φ2.5*330mm</w:t>
            </w:r>
          </w:p>
        </w:tc>
        <w:tc>
          <w:tcPr>
            <w:tcW w:w="851" w:type="dxa"/>
            <w:tcBorders>
              <w:top w:val="nil"/>
              <w:left w:val="nil"/>
              <w:bottom w:val="single" w:color="auto" w:sz="4" w:space="0"/>
              <w:right w:val="single" w:color="auto" w:sz="4" w:space="0"/>
            </w:tcBorders>
            <w:vAlign w:val="center"/>
          </w:tcPr>
          <w:p w14:paraId="451AE9C0">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1支</w:t>
            </w:r>
          </w:p>
        </w:tc>
        <w:tc>
          <w:tcPr>
            <w:tcW w:w="1276" w:type="dxa"/>
            <w:tcBorders>
              <w:top w:val="nil"/>
              <w:left w:val="nil"/>
              <w:bottom w:val="single" w:color="auto" w:sz="4" w:space="0"/>
              <w:right w:val="single" w:color="auto" w:sz="4" w:space="0"/>
            </w:tcBorders>
            <w:noWrap/>
            <w:vAlign w:val="center"/>
          </w:tcPr>
          <w:p w14:paraId="7E7B7016">
            <w:pPr>
              <w:spacing w:line="0" w:lineRule="atLeast"/>
              <w:jc w:val="center"/>
              <w:rPr>
                <w:rFonts w:hint="eastAsia" w:ascii="宋体" w:hAnsi="宋体" w:eastAsia="宋体" w:cs="宋体"/>
                <w:bCs/>
                <w:sz w:val="24"/>
                <w:szCs w:val="24"/>
              </w:rPr>
            </w:pPr>
          </w:p>
        </w:tc>
      </w:tr>
      <w:tr w14:paraId="5F77BA52">
        <w:tblPrEx>
          <w:tblCellMar>
            <w:top w:w="0" w:type="dxa"/>
            <w:left w:w="108" w:type="dxa"/>
            <w:bottom w:w="0" w:type="dxa"/>
            <w:right w:w="108" w:type="dxa"/>
          </w:tblCellMar>
        </w:tblPrEx>
        <w:trPr>
          <w:trHeight w:val="300" w:hRule="atLeast"/>
        </w:trPr>
        <w:tc>
          <w:tcPr>
            <w:tcW w:w="804" w:type="dxa"/>
            <w:tcBorders>
              <w:top w:val="nil"/>
              <w:left w:val="single" w:color="auto" w:sz="4" w:space="0"/>
              <w:bottom w:val="single" w:color="auto" w:sz="4" w:space="0"/>
              <w:right w:val="single" w:color="auto" w:sz="4" w:space="0"/>
            </w:tcBorders>
            <w:vAlign w:val="center"/>
          </w:tcPr>
          <w:p w14:paraId="1784F428">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21</w:t>
            </w:r>
          </w:p>
        </w:tc>
        <w:tc>
          <w:tcPr>
            <w:tcW w:w="2485" w:type="dxa"/>
            <w:tcBorders>
              <w:top w:val="nil"/>
              <w:left w:val="nil"/>
              <w:bottom w:val="single" w:color="auto" w:sz="4" w:space="0"/>
              <w:right w:val="single" w:color="auto" w:sz="4" w:space="0"/>
            </w:tcBorders>
            <w:vAlign w:val="center"/>
          </w:tcPr>
          <w:p w14:paraId="6B56A4F0">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骨锤</w:t>
            </w:r>
          </w:p>
        </w:tc>
        <w:tc>
          <w:tcPr>
            <w:tcW w:w="2806" w:type="dxa"/>
            <w:tcBorders>
              <w:top w:val="nil"/>
              <w:left w:val="nil"/>
              <w:bottom w:val="single" w:color="auto" w:sz="4" w:space="0"/>
              <w:right w:val="single" w:color="auto" w:sz="4" w:space="0"/>
            </w:tcBorders>
            <w:vAlign w:val="center"/>
          </w:tcPr>
          <w:p w14:paraId="2530A799">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0g　</w:t>
            </w:r>
          </w:p>
        </w:tc>
        <w:tc>
          <w:tcPr>
            <w:tcW w:w="851" w:type="dxa"/>
            <w:tcBorders>
              <w:top w:val="nil"/>
              <w:left w:val="nil"/>
              <w:bottom w:val="single" w:color="auto" w:sz="4" w:space="0"/>
              <w:right w:val="single" w:color="auto" w:sz="4" w:space="0"/>
            </w:tcBorders>
            <w:vAlign w:val="center"/>
          </w:tcPr>
          <w:p w14:paraId="5E7E3B72">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1把</w:t>
            </w:r>
          </w:p>
        </w:tc>
        <w:tc>
          <w:tcPr>
            <w:tcW w:w="1276" w:type="dxa"/>
            <w:tcBorders>
              <w:top w:val="nil"/>
              <w:left w:val="nil"/>
              <w:bottom w:val="single" w:color="auto" w:sz="4" w:space="0"/>
              <w:right w:val="single" w:color="auto" w:sz="4" w:space="0"/>
            </w:tcBorders>
            <w:noWrap/>
            <w:vAlign w:val="center"/>
          </w:tcPr>
          <w:p w14:paraId="4879D5C3">
            <w:pPr>
              <w:spacing w:line="0" w:lineRule="atLeast"/>
              <w:rPr>
                <w:rFonts w:hint="eastAsia" w:ascii="宋体" w:hAnsi="宋体" w:eastAsia="宋体" w:cs="宋体"/>
                <w:bCs/>
                <w:sz w:val="24"/>
                <w:szCs w:val="24"/>
              </w:rPr>
            </w:pPr>
          </w:p>
        </w:tc>
      </w:tr>
      <w:tr w14:paraId="7875F7B2">
        <w:tblPrEx>
          <w:tblCellMar>
            <w:top w:w="0" w:type="dxa"/>
            <w:left w:w="108" w:type="dxa"/>
            <w:bottom w:w="0" w:type="dxa"/>
            <w:right w:w="108" w:type="dxa"/>
          </w:tblCellMar>
        </w:tblPrEx>
        <w:trPr>
          <w:trHeight w:val="300" w:hRule="atLeast"/>
        </w:trPr>
        <w:tc>
          <w:tcPr>
            <w:tcW w:w="804" w:type="dxa"/>
            <w:tcBorders>
              <w:top w:val="nil"/>
              <w:left w:val="single" w:color="auto" w:sz="4" w:space="0"/>
              <w:bottom w:val="single" w:color="auto" w:sz="4" w:space="0"/>
              <w:right w:val="single" w:color="auto" w:sz="4" w:space="0"/>
            </w:tcBorders>
            <w:vAlign w:val="center"/>
          </w:tcPr>
          <w:p w14:paraId="618B80DF">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22</w:t>
            </w:r>
          </w:p>
        </w:tc>
        <w:tc>
          <w:tcPr>
            <w:tcW w:w="2485" w:type="dxa"/>
            <w:tcBorders>
              <w:top w:val="nil"/>
              <w:left w:val="nil"/>
              <w:bottom w:val="single" w:color="auto" w:sz="4" w:space="0"/>
              <w:right w:val="single" w:color="auto" w:sz="4" w:space="0"/>
            </w:tcBorders>
            <w:vAlign w:val="center"/>
          </w:tcPr>
          <w:p w14:paraId="6CA7D32A">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手术钳(髓核钳直型)</w:t>
            </w:r>
          </w:p>
        </w:tc>
        <w:tc>
          <w:tcPr>
            <w:tcW w:w="2806" w:type="dxa"/>
            <w:tcBorders>
              <w:top w:val="nil"/>
              <w:left w:val="nil"/>
              <w:bottom w:val="single" w:color="auto" w:sz="4" w:space="0"/>
              <w:right w:val="single" w:color="auto" w:sz="4" w:space="0"/>
            </w:tcBorders>
            <w:vAlign w:val="center"/>
          </w:tcPr>
          <w:p w14:paraId="6A4308CE">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φ2.8*330mm</w:t>
            </w:r>
          </w:p>
        </w:tc>
        <w:tc>
          <w:tcPr>
            <w:tcW w:w="851" w:type="dxa"/>
            <w:tcBorders>
              <w:top w:val="nil"/>
              <w:left w:val="nil"/>
              <w:bottom w:val="single" w:color="auto" w:sz="4" w:space="0"/>
              <w:right w:val="single" w:color="auto" w:sz="4" w:space="0"/>
            </w:tcBorders>
            <w:vAlign w:val="center"/>
          </w:tcPr>
          <w:p w14:paraId="204F40A1">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1把</w:t>
            </w:r>
          </w:p>
        </w:tc>
        <w:tc>
          <w:tcPr>
            <w:tcW w:w="1276" w:type="dxa"/>
            <w:tcBorders>
              <w:top w:val="nil"/>
              <w:left w:val="nil"/>
              <w:bottom w:val="single" w:color="auto" w:sz="4" w:space="0"/>
              <w:right w:val="single" w:color="auto" w:sz="4" w:space="0"/>
            </w:tcBorders>
            <w:noWrap/>
            <w:vAlign w:val="center"/>
          </w:tcPr>
          <w:p w14:paraId="2B9F7EC2">
            <w:pPr>
              <w:spacing w:line="0" w:lineRule="atLeast"/>
              <w:jc w:val="center"/>
              <w:rPr>
                <w:rFonts w:hint="eastAsia" w:ascii="宋体" w:hAnsi="宋体" w:eastAsia="宋体" w:cs="宋体"/>
                <w:bCs/>
                <w:sz w:val="24"/>
                <w:szCs w:val="24"/>
              </w:rPr>
            </w:pPr>
          </w:p>
        </w:tc>
      </w:tr>
      <w:tr w14:paraId="1376B98E">
        <w:tblPrEx>
          <w:tblCellMar>
            <w:top w:w="0" w:type="dxa"/>
            <w:left w:w="108" w:type="dxa"/>
            <w:bottom w:w="0" w:type="dxa"/>
            <w:right w:w="108" w:type="dxa"/>
          </w:tblCellMar>
        </w:tblPrEx>
        <w:trPr>
          <w:trHeight w:val="300" w:hRule="atLeast"/>
        </w:trPr>
        <w:tc>
          <w:tcPr>
            <w:tcW w:w="804" w:type="dxa"/>
            <w:tcBorders>
              <w:top w:val="nil"/>
              <w:left w:val="single" w:color="auto" w:sz="4" w:space="0"/>
              <w:bottom w:val="single" w:color="auto" w:sz="4" w:space="0"/>
              <w:right w:val="single" w:color="auto" w:sz="4" w:space="0"/>
            </w:tcBorders>
            <w:vAlign w:val="center"/>
          </w:tcPr>
          <w:p w14:paraId="3DE36B73">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23</w:t>
            </w:r>
          </w:p>
        </w:tc>
        <w:tc>
          <w:tcPr>
            <w:tcW w:w="2485" w:type="dxa"/>
            <w:tcBorders>
              <w:top w:val="nil"/>
              <w:left w:val="nil"/>
              <w:bottom w:val="single" w:color="auto" w:sz="4" w:space="0"/>
              <w:right w:val="single" w:color="auto" w:sz="4" w:space="0"/>
            </w:tcBorders>
            <w:noWrap/>
            <w:vAlign w:val="center"/>
          </w:tcPr>
          <w:p w14:paraId="0ABBB967">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手术钳(髓核钳直型)</w:t>
            </w:r>
          </w:p>
        </w:tc>
        <w:tc>
          <w:tcPr>
            <w:tcW w:w="2806" w:type="dxa"/>
            <w:tcBorders>
              <w:top w:val="nil"/>
              <w:left w:val="nil"/>
              <w:bottom w:val="single" w:color="auto" w:sz="4" w:space="0"/>
              <w:right w:val="single" w:color="auto" w:sz="4" w:space="0"/>
            </w:tcBorders>
            <w:noWrap/>
            <w:vAlign w:val="center"/>
          </w:tcPr>
          <w:p w14:paraId="14022D33">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φ3.5*330mm</w:t>
            </w:r>
          </w:p>
        </w:tc>
        <w:tc>
          <w:tcPr>
            <w:tcW w:w="851" w:type="dxa"/>
            <w:tcBorders>
              <w:top w:val="nil"/>
              <w:left w:val="nil"/>
              <w:bottom w:val="single" w:color="auto" w:sz="4" w:space="0"/>
              <w:right w:val="single" w:color="auto" w:sz="4" w:space="0"/>
            </w:tcBorders>
            <w:vAlign w:val="center"/>
          </w:tcPr>
          <w:p w14:paraId="5BDF78EB">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1把</w:t>
            </w:r>
          </w:p>
        </w:tc>
        <w:tc>
          <w:tcPr>
            <w:tcW w:w="1276" w:type="dxa"/>
            <w:tcBorders>
              <w:top w:val="nil"/>
              <w:left w:val="nil"/>
              <w:bottom w:val="single" w:color="auto" w:sz="4" w:space="0"/>
              <w:right w:val="single" w:color="auto" w:sz="4" w:space="0"/>
            </w:tcBorders>
            <w:noWrap/>
            <w:vAlign w:val="center"/>
          </w:tcPr>
          <w:p w14:paraId="23F7C0D8">
            <w:pPr>
              <w:spacing w:line="0" w:lineRule="atLeast"/>
              <w:jc w:val="center"/>
              <w:rPr>
                <w:rFonts w:hint="eastAsia" w:ascii="宋体" w:hAnsi="宋体" w:eastAsia="宋体" w:cs="宋体"/>
                <w:bCs/>
                <w:sz w:val="24"/>
                <w:szCs w:val="24"/>
              </w:rPr>
            </w:pPr>
          </w:p>
        </w:tc>
      </w:tr>
      <w:tr w14:paraId="4E75422E">
        <w:tblPrEx>
          <w:tblCellMar>
            <w:top w:w="0" w:type="dxa"/>
            <w:left w:w="108" w:type="dxa"/>
            <w:bottom w:w="0" w:type="dxa"/>
            <w:right w:w="108" w:type="dxa"/>
          </w:tblCellMar>
        </w:tblPrEx>
        <w:trPr>
          <w:trHeight w:val="300" w:hRule="atLeast"/>
        </w:trPr>
        <w:tc>
          <w:tcPr>
            <w:tcW w:w="804" w:type="dxa"/>
            <w:tcBorders>
              <w:top w:val="nil"/>
              <w:left w:val="single" w:color="auto" w:sz="4" w:space="0"/>
              <w:bottom w:val="single" w:color="auto" w:sz="4" w:space="0"/>
              <w:right w:val="single" w:color="auto" w:sz="4" w:space="0"/>
            </w:tcBorders>
            <w:vAlign w:val="center"/>
          </w:tcPr>
          <w:p w14:paraId="237D544D">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24</w:t>
            </w:r>
          </w:p>
        </w:tc>
        <w:tc>
          <w:tcPr>
            <w:tcW w:w="2485" w:type="dxa"/>
            <w:tcBorders>
              <w:top w:val="nil"/>
              <w:left w:val="nil"/>
              <w:bottom w:val="single" w:color="auto" w:sz="4" w:space="0"/>
              <w:right w:val="single" w:color="auto" w:sz="4" w:space="0"/>
            </w:tcBorders>
            <w:noWrap/>
            <w:vAlign w:val="center"/>
          </w:tcPr>
          <w:p w14:paraId="7B016CA1">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手术钳(髓核钳上翘)</w:t>
            </w:r>
          </w:p>
        </w:tc>
        <w:tc>
          <w:tcPr>
            <w:tcW w:w="2806" w:type="dxa"/>
            <w:tcBorders>
              <w:top w:val="nil"/>
              <w:left w:val="nil"/>
              <w:bottom w:val="single" w:color="auto" w:sz="4" w:space="0"/>
              <w:right w:val="single" w:color="auto" w:sz="4" w:space="0"/>
            </w:tcBorders>
            <w:noWrap/>
            <w:vAlign w:val="center"/>
          </w:tcPr>
          <w:p w14:paraId="31CFA451">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φ2.8*330mm</w:t>
            </w:r>
          </w:p>
        </w:tc>
        <w:tc>
          <w:tcPr>
            <w:tcW w:w="851" w:type="dxa"/>
            <w:tcBorders>
              <w:top w:val="nil"/>
              <w:left w:val="nil"/>
              <w:bottom w:val="single" w:color="auto" w:sz="4" w:space="0"/>
              <w:right w:val="single" w:color="auto" w:sz="4" w:space="0"/>
            </w:tcBorders>
            <w:vAlign w:val="center"/>
          </w:tcPr>
          <w:p w14:paraId="470B252A">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1把</w:t>
            </w:r>
          </w:p>
        </w:tc>
        <w:tc>
          <w:tcPr>
            <w:tcW w:w="1276" w:type="dxa"/>
            <w:tcBorders>
              <w:top w:val="nil"/>
              <w:left w:val="nil"/>
              <w:bottom w:val="single" w:color="auto" w:sz="4" w:space="0"/>
              <w:right w:val="single" w:color="auto" w:sz="4" w:space="0"/>
            </w:tcBorders>
            <w:noWrap/>
            <w:vAlign w:val="center"/>
          </w:tcPr>
          <w:p w14:paraId="542F98A7">
            <w:pPr>
              <w:spacing w:line="0" w:lineRule="atLeast"/>
              <w:jc w:val="center"/>
              <w:rPr>
                <w:rFonts w:hint="eastAsia" w:ascii="宋体" w:hAnsi="宋体" w:eastAsia="宋体" w:cs="宋体"/>
                <w:bCs/>
                <w:sz w:val="24"/>
                <w:szCs w:val="24"/>
              </w:rPr>
            </w:pPr>
          </w:p>
        </w:tc>
      </w:tr>
      <w:tr w14:paraId="74BB6E7B">
        <w:tblPrEx>
          <w:tblCellMar>
            <w:top w:w="0" w:type="dxa"/>
            <w:left w:w="108" w:type="dxa"/>
            <w:bottom w:w="0" w:type="dxa"/>
            <w:right w:w="108" w:type="dxa"/>
          </w:tblCellMar>
        </w:tblPrEx>
        <w:trPr>
          <w:trHeight w:val="300" w:hRule="atLeast"/>
        </w:trPr>
        <w:tc>
          <w:tcPr>
            <w:tcW w:w="804" w:type="dxa"/>
            <w:tcBorders>
              <w:top w:val="nil"/>
              <w:left w:val="single" w:color="auto" w:sz="4" w:space="0"/>
              <w:bottom w:val="single" w:color="auto" w:sz="4" w:space="0"/>
              <w:right w:val="single" w:color="auto" w:sz="4" w:space="0"/>
            </w:tcBorders>
            <w:vAlign w:val="center"/>
          </w:tcPr>
          <w:p w14:paraId="36C2B141">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25</w:t>
            </w:r>
          </w:p>
        </w:tc>
        <w:tc>
          <w:tcPr>
            <w:tcW w:w="2485" w:type="dxa"/>
            <w:tcBorders>
              <w:top w:val="nil"/>
              <w:left w:val="nil"/>
              <w:bottom w:val="single" w:color="auto" w:sz="4" w:space="0"/>
              <w:right w:val="single" w:color="auto" w:sz="4" w:space="0"/>
            </w:tcBorders>
            <w:noWrap/>
            <w:vAlign w:val="center"/>
          </w:tcPr>
          <w:p w14:paraId="6FF905A7">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手术剪（咬切钳直型）</w:t>
            </w:r>
          </w:p>
        </w:tc>
        <w:tc>
          <w:tcPr>
            <w:tcW w:w="2806" w:type="dxa"/>
            <w:tcBorders>
              <w:top w:val="nil"/>
              <w:left w:val="nil"/>
              <w:bottom w:val="single" w:color="auto" w:sz="4" w:space="0"/>
              <w:right w:val="single" w:color="auto" w:sz="4" w:space="0"/>
            </w:tcBorders>
            <w:noWrap/>
            <w:vAlign w:val="center"/>
          </w:tcPr>
          <w:p w14:paraId="4455D377">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φ2.8*330mm</w:t>
            </w:r>
          </w:p>
        </w:tc>
        <w:tc>
          <w:tcPr>
            <w:tcW w:w="851" w:type="dxa"/>
            <w:tcBorders>
              <w:top w:val="nil"/>
              <w:left w:val="nil"/>
              <w:bottom w:val="single" w:color="auto" w:sz="4" w:space="0"/>
              <w:right w:val="single" w:color="auto" w:sz="4" w:space="0"/>
            </w:tcBorders>
            <w:vAlign w:val="center"/>
          </w:tcPr>
          <w:p w14:paraId="5AFC2611">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1把</w:t>
            </w:r>
          </w:p>
        </w:tc>
        <w:tc>
          <w:tcPr>
            <w:tcW w:w="1276" w:type="dxa"/>
            <w:tcBorders>
              <w:top w:val="nil"/>
              <w:left w:val="nil"/>
              <w:bottom w:val="single" w:color="auto" w:sz="4" w:space="0"/>
              <w:right w:val="single" w:color="auto" w:sz="4" w:space="0"/>
            </w:tcBorders>
            <w:noWrap/>
            <w:vAlign w:val="center"/>
          </w:tcPr>
          <w:p w14:paraId="40120E76">
            <w:pPr>
              <w:spacing w:line="0" w:lineRule="atLeast"/>
              <w:jc w:val="center"/>
              <w:rPr>
                <w:rFonts w:hint="eastAsia" w:ascii="宋体" w:hAnsi="宋体" w:eastAsia="宋体" w:cs="宋体"/>
                <w:bCs/>
                <w:sz w:val="24"/>
                <w:szCs w:val="24"/>
              </w:rPr>
            </w:pPr>
          </w:p>
        </w:tc>
      </w:tr>
      <w:tr w14:paraId="14299D96">
        <w:tblPrEx>
          <w:tblCellMar>
            <w:top w:w="0" w:type="dxa"/>
            <w:left w:w="108" w:type="dxa"/>
            <w:bottom w:w="0" w:type="dxa"/>
            <w:right w:w="108" w:type="dxa"/>
          </w:tblCellMar>
        </w:tblPrEx>
        <w:trPr>
          <w:trHeight w:val="300" w:hRule="atLeast"/>
        </w:trPr>
        <w:tc>
          <w:tcPr>
            <w:tcW w:w="804" w:type="dxa"/>
            <w:tcBorders>
              <w:top w:val="nil"/>
              <w:left w:val="single" w:color="auto" w:sz="4" w:space="0"/>
              <w:bottom w:val="single" w:color="auto" w:sz="4" w:space="0"/>
              <w:right w:val="single" w:color="auto" w:sz="4" w:space="0"/>
            </w:tcBorders>
            <w:vAlign w:val="center"/>
          </w:tcPr>
          <w:p w14:paraId="26FF9096">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26</w:t>
            </w:r>
          </w:p>
        </w:tc>
        <w:tc>
          <w:tcPr>
            <w:tcW w:w="2485" w:type="dxa"/>
            <w:tcBorders>
              <w:top w:val="nil"/>
              <w:left w:val="nil"/>
              <w:bottom w:val="single" w:color="auto" w:sz="4" w:space="0"/>
              <w:right w:val="single" w:color="auto" w:sz="4" w:space="0"/>
            </w:tcBorders>
            <w:noWrap/>
            <w:vAlign w:val="center"/>
          </w:tcPr>
          <w:p w14:paraId="5FAEAF91">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手术剪（咬切钳上翘）</w:t>
            </w:r>
          </w:p>
        </w:tc>
        <w:tc>
          <w:tcPr>
            <w:tcW w:w="2806" w:type="dxa"/>
            <w:tcBorders>
              <w:top w:val="nil"/>
              <w:left w:val="nil"/>
              <w:bottom w:val="single" w:color="auto" w:sz="4" w:space="0"/>
              <w:right w:val="single" w:color="auto" w:sz="4" w:space="0"/>
            </w:tcBorders>
            <w:noWrap/>
            <w:vAlign w:val="center"/>
          </w:tcPr>
          <w:p w14:paraId="0A5CE90C">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φ2.8*330mm</w:t>
            </w:r>
          </w:p>
        </w:tc>
        <w:tc>
          <w:tcPr>
            <w:tcW w:w="851" w:type="dxa"/>
            <w:tcBorders>
              <w:top w:val="nil"/>
              <w:left w:val="nil"/>
              <w:bottom w:val="single" w:color="auto" w:sz="4" w:space="0"/>
              <w:right w:val="single" w:color="auto" w:sz="4" w:space="0"/>
            </w:tcBorders>
            <w:vAlign w:val="center"/>
          </w:tcPr>
          <w:p w14:paraId="4D18F1AD">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1把</w:t>
            </w:r>
          </w:p>
        </w:tc>
        <w:tc>
          <w:tcPr>
            <w:tcW w:w="1276" w:type="dxa"/>
            <w:tcBorders>
              <w:top w:val="nil"/>
              <w:left w:val="nil"/>
              <w:bottom w:val="single" w:color="auto" w:sz="4" w:space="0"/>
              <w:right w:val="single" w:color="auto" w:sz="4" w:space="0"/>
            </w:tcBorders>
            <w:noWrap/>
            <w:vAlign w:val="center"/>
          </w:tcPr>
          <w:p w14:paraId="505FC4C3">
            <w:pPr>
              <w:spacing w:line="0" w:lineRule="atLeast"/>
              <w:jc w:val="center"/>
              <w:rPr>
                <w:rFonts w:hint="eastAsia" w:ascii="宋体" w:hAnsi="宋体" w:eastAsia="宋体" w:cs="宋体"/>
                <w:bCs/>
                <w:sz w:val="24"/>
                <w:szCs w:val="24"/>
              </w:rPr>
            </w:pPr>
          </w:p>
        </w:tc>
      </w:tr>
      <w:tr w14:paraId="2523E533">
        <w:tblPrEx>
          <w:tblCellMar>
            <w:top w:w="0" w:type="dxa"/>
            <w:left w:w="108" w:type="dxa"/>
            <w:bottom w:w="0" w:type="dxa"/>
            <w:right w:w="108" w:type="dxa"/>
          </w:tblCellMar>
        </w:tblPrEx>
        <w:trPr>
          <w:trHeight w:val="300" w:hRule="atLeast"/>
        </w:trPr>
        <w:tc>
          <w:tcPr>
            <w:tcW w:w="804" w:type="dxa"/>
            <w:tcBorders>
              <w:top w:val="nil"/>
              <w:left w:val="single" w:color="auto" w:sz="4" w:space="0"/>
              <w:bottom w:val="single" w:color="auto" w:sz="4" w:space="0"/>
              <w:right w:val="single" w:color="auto" w:sz="4" w:space="0"/>
            </w:tcBorders>
            <w:vAlign w:val="center"/>
          </w:tcPr>
          <w:p w14:paraId="2AD88222">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27</w:t>
            </w:r>
          </w:p>
        </w:tc>
        <w:tc>
          <w:tcPr>
            <w:tcW w:w="2485" w:type="dxa"/>
            <w:tcBorders>
              <w:top w:val="nil"/>
              <w:left w:val="nil"/>
              <w:bottom w:val="single" w:color="auto" w:sz="4" w:space="0"/>
              <w:right w:val="single" w:color="auto" w:sz="4" w:space="0"/>
            </w:tcBorders>
            <w:noWrap/>
            <w:vAlign w:val="center"/>
          </w:tcPr>
          <w:p w14:paraId="1654ACC1">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手术钳(弹簧钳)</w:t>
            </w:r>
          </w:p>
        </w:tc>
        <w:tc>
          <w:tcPr>
            <w:tcW w:w="2806" w:type="dxa"/>
            <w:tcBorders>
              <w:top w:val="nil"/>
              <w:left w:val="nil"/>
              <w:bottom w:val="single" w:color="auto" w:sz="4" w:space="0"/>
              <w:right w:val="single" w:color="auto" w:sz="4" w:space="0"/>
            </w:tcBorders>
            <w:noWrap/>
            <w:vAlign w:val="center"/>
          </w:tcPr>
          <w:p w14:paraId="3A6FCF36">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φ2.8*330mm</w:t>
            </w:r>
          </w:p>
        </w:tc>
        <w:tc>
          <w:tcPr>
            <w:tcW w:w="851" w:type="dxa"/>
            <w:tcBorders>
              <w:top w:val="nil"/>
              <w:left w:val="nil"/>
              <w:bottom w:val="single" w:color="auto" w:sz="4" w:space="0"/>
              <w:right w:val="single" w:color="auto" w:sz="4" w:space="0"/>
            </w:tcBorders>
            <w:vAlign w:val="center"/>
          </w:tcPr>
          <w:p w14:paraId="7954CCD2">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1把</w:t>
            </w:r>
          </w:p>
        </w:tc>
        <w:tc>
          <w:tcPr>
            <w:tcW w:w="1276" w:type="dxa"/>
            <w:tcBorders>
              <w:top w:val="nil"/>
              <w:left w:val="nil"/>
              <w:bottom w:val="single" w:color="auto" w:sz="4" w:space="0"/>
              <w:right w:val="single" w:color="auto" w:sz="4" w:space="0"/>
            </w:tcBorders>
            <w:noWrap/>
            <w:vAlign w:val="center"/>
          </w:tcPr>
          <w:p w14:paraId="55B1302D">
            <w:pPr>
              <w:spacing w:line="0" w:lineRule="atLeast"/>
              <w:jc w:val="center"/>
              <w:rPr>
                <w:rFonts w:hint="eastAsia" w:ascii="宋体" w:hAnsi="宋体" w:eastAsia="宋体" w:cs="宋体"/>
                <w:bCs/>
                <w:sz w:val="24"/>
                <w:szCs w:val="24"/>
              </w:rPr>
            </w:pPr>
          </w:p>
        </w:tc>
      </w:tr>
      <w:tr w14:paraId="3F754B60">
        <w:tblPrEx>
          <w:tblCellMar>
            <w:top w:w="0" w:type="dxa"/>
            <w:left w:w="108" w:type="dxa"/>
            <w:bottom w:w="0" w:type="dxa"/>
            <w:right w:w="108" w:type="dxa"/>
          </w:tblCellMar>
        </w:tblPrEx>
        <w:trPr>
          <w:trHeight w:val="300" w:hRule="atLeast"/>
        </w:trPr>
        <w:tc>
          <w:tcPr>
            <w:tcW w:w="804" w:type="dxa"/>
            <w:tcBorders>
              <w:top w:val="nil"/>
              <w:left w:val="single" w:color="auto" w:sz="4" w:space="0"/>
              <w:bottom w:val="single" w:color="auto" w:sz="4" w:space="0"/>
              <w:right w:val="single" w:color="auto" w:sz="4" w:space="0"/>
            </w:tcBorders>
            <w:vAlign w:val="center"/>
          </w:tcPr>
          <w:p w14:paraId="4DE37D07">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28</w:t>
            </w:r>
          </w:p>
        </w:tc>
        <w:tc>
          <w:tcPr>
            <w:tcW w:w="2485" w:type="dxa"/>
            <w:tcBorders>
              <w:top w:val="nil"/>
              <w:left w:val="nil"/>
              <w:bottom w:val="single" w:color="auto" w:sz="4" w:space="0"/>
              <w:right w:val="single" w:color="auto" w:sz="4" w:space="0"/>
            </w:tcBorders>
            <w:noWrap/>
            <w:vAlign w:val="center"/>
          </w:tcPr>
          <w:p w14:paraId="75FC09BD">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手术钳（可拆卸旋转咬骨钳杆）</w:t>
            </w:r>
          </w:p>
        </w:tc>
        <w:tc>
          <w:tcPr>
            <w:tcW w:w="2806" w:type="dxa"/>
            <w:tcBorders>
              <w:top w:val="nil"/>
              <w:left w:val="nil"/>
              <w:bottom w:val="single" w:color="auto" w:sz="4" w:space="0"/>
              <w:right w:val="single" w:color="auto" w:sz="4" w:space="0"/>
            </w:tcBorders>
            <w:noWrap/>
            <w:vAlign w:val="center"/>
          </w:tcPr>
          <w:p w14:paraId="7920793F">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φ3.0*3.5*330mm</w:t>
            </w:r>
          </w:p>
        </w:tc>
        <w:tc>
          <w:tcPr>
            <w:tcW w:w="851" w:type="dxa"/>
            <w:tcBorders>
              <w:top w:val="nil"/>
              <w:left w:val="nil"/>
              <w:bottom w:val="single" w:color="auto" w:sz="4" w:space="0"/>
              <w:right w:val="single" w:color="auto" w:sz="4" w:space="0"/>
            </w:tcBorders>
            <w:vAlign w:val="center"/>
          </w:tcPr>
          <w:p w14:paraId="240EF054">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1把</w:t>
            </w:r>
          </w:p>
        </w:tc>
        <w:tc>
          <w:tcPr>
            <w:tcW w:w="1276" w:type="dxa"/>
            <w:tcBorders>
              <w:top w:val="nil"/>
              <w:left w:val="nil"/>
              <w:bottom w:val="single" w:color="auto" w:sz="4" w:space="0"/>
              <w:right w:val="single" w:color="auto" w:sz="4" w:space="0"/>
            </w:tcBorders>
            <w:noWrap/>
            <w:vAlign w:val="center"/>
          </w:tcPr>
          <w:p w14:paraId="54C60E19">
            <w:pPr>
              <w:spacing w:line="0" w:lineRule="atLeast"/>
              <w:rPr>
                <w:rFonts w:hint="eastAsia" w:ascii="宋体" w:hAnsi="宋体" w:eastAsia="宋体" w:cs="宋体"/>
                <w:bCs/>
                <w:sz w:val="24"/>
                <w:szCs w:val="24"/>
              </w:rPr>
            </w:pPr>
          </w:p>
        </w:tc>
      </w:tr>
      <w:tr w14:paraId="251E1422">
        <w:tblPrEx>
          <w:tblCellMar>
            <w:top w:w="0" w:type="dxa"/>
            <w:left w:w="108" w:type="dxa"/>
            <w:bottom w:w="0" w:type="dxa"/>
            <w:right w:w="108" w:type="dxa"/>
          </w:tblCellMar>
        </w:tblPrEx>
        <w:trPr>
          <w:trHeight w:val="300" w:hRule="atLeast"/>
        </w:trPr>
        <w:tc>
          <w:tcPr>
            <w:tcW w:w="804" w:type="dxa"/>
            <w:tcBorders>
              <w:top w:val="nil"/>
              <w:left w:val="single" w:color="auto" w:sz="4" w:space="0"/>
              <w:bottom w:val="single" w:color="auto" w:sz="4" w:space="0"/>
              <w:right w:val="single" w:color="auto" w:sz="4" w:space="0"/>
            </w:tcBorders>
            <w:vAlign w:val="center"/>
          </w:tcPr>
          <w:p w14:paraId="28BDAF13">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29</w:t>
            </w:r>
          </w:p>
        </w:tc>
        <w:tc>
          <w:tcPr>
            <w:tcW w:w="2485" w:type="dxa"/>
            <w:tcBorders>
              <w:top w:val="nil"/>
              <w:left w:val="nil"/>
              <w:bottom w:val="single" w:color="auto" w:sz="4" w:space="0"/>
              <w:right w:val="single" w:color="auto" w:sz="4" w:space="0"/>
            </w:tcBorders>
            <w:noWrap/>
            <w:vAlign w:val="center"/>
          </w:tcPr>
          <w:p w14:paraId="1B894DEC">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可拆卸咬骨钳柄</w:t>
            </w:r>
          </w:p>
        </w:tc>
        <w:tc>
          <w:tcPr>
            <w:tcW w:w="2806" w:type="dxa"/>
            <w:tcBorders>
              <w:top w:val="nil"/>
              <w:left w:val="nil"/>
              <w:bottom w:val="single" w:color="auto" w:sz="4" w:space="0"/>
              <w:right w:val="single" w:color="auto" w:sz="4" w:space="0"/>
            </w:tcBorders>
            <w:noWrap/>
            <w:vAlign w:val="center"/>
          </w:tcPr>
          <w:p w14:paraId="4931C197">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851" w:type="dxa"/>
            <w:tcBorders>
              <w:top w:val="nil"/>
              <w:left w:val="nil"/>
              <w:bottom w:val="single" w:color="auto" w:sz="4" w:space="0"/>
              <w:right w:val="single" w:color="auto" w:sz="4" w:space="0"/>
            </w:tcBorders>
            <w:vAlign w:val="center"/>
          </w:tcPr>
          <w:p w14:paraId="1D3D5D1D">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1个</w:t>
            </w:r>
          </w:p>
        </w:tc>
        <w:tc>
          <w:tcPr>
            <w:tcW w:w="1276" w:type="dxa"/>
            <w:tcBorders>
              <w:top w:val="nil"/>
              <w:left w:val="nil"/>
              <w:bottom w:val="single" w:color="auto" w:sz="4" w:space="0"/>
              <w:right w:val="single" w:color="auto" w:sz="4" w:space="0"/>
            </w:tcBorders>
            <w:noWrap/>
            <w:vAlign w:val="center"/>
          </w:tcPr>
          <w:p w14:paraId="55EB7306">
            <w:pPr>
              <w:spacing w:line="0" w:lineRule="atLeast"/>
              <w:rPr>
                <w:rFonts w:hint="eastAsia" w:ascii="宋体" w:hAnsi="宋体" w:eastAsia="宋体" w:cs="宋体"/>
                <w:bCs/>
                <w:sz w:val="24"/>
                <w:szCs w:val="24"/>
              </w:rPr>
            </w:pPr>
          </w:p>
        </w:tc>
      </w:tr>
      <w:tr w14:paraId="7C97B6C9">
        <w:tblPrEx>
          <w:tblCellMar>
            <w:top w:w="0" w:type="dxa"/>
            <w:left w:w="108" w:type="dxa"/>
            <w:bottom w:w="0" w:type="dxa"/>
            <w:right w:w="108" w:type="dxa"/>
          </w:tblCellMar>
        </w:tblPrEx>
        <w:trPr>
          <w:trHeight w:val="300" w:hRule="atLeast"/>
        </w:trPr>
        <w:tc>
          <w:tcPr>
            <w:tcW w:w="804" w:type="dxa"/>
            <w:tcBorders>
              <w:top w:val="nil"/>
              <w:left w:val="single" w:color="auto" w:sz="4" w:space="0"/>
              <w:bottom w:val="single" w:color="auto" w:sz="4" w:space="0"/>
              <w:right w:val="single" w:color="auto" w:sz="4" w:space="0"/>
            </w:tcBorders>
            <w:vAlign w:val="center"/>
          </w:tcPr>
          <w:p w14:paraId="0CC2D51E">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30</w:t>
            </w:r>
          </w:p>
        </w:tc>
        <w:tc>
          <w:tcPr>
            <w:tcW w:w="2485" w:type="dxa"/>
            <w:tcBorders>
              <w:top w:val="nil"/>
              <w:left w:val="nil"/>
              <w:bottom w:val="single" w:color="auto" w:sz="4" w:space="0"/>
              <w:right w:val="single" w:color="auto" w:sz="4" w:space="0"/>
            </w:tcBorders>
            <w:noWrap/>
            <w:vAlign w:val="center"/>
          </w:tcPr>
          <w:p w14:paraId="1941A9A0">
            <w:pPr>
              <w:spacing w:line="0" w:lineRule="atLeast"/>
              <w:rPr>
                <w:rFonts w:hint="eastAsia" w:ascii="宋体" w:hAnsi="宋体" w:eastAsia="宋体" w:cs="宋体"/>
                <w:color w:val="000000"/>
                <w:sz w:val="24"/>
                <w:szCs w:val="24"/>
              </w:rPr>
            </w:pPr>
            <w:r>
              <w:rPr>
                <w:rFonts w:hint="eastAsia" w:ascii="宋体" w:hAnsi="宋体" w:eastAsia="宋体" w:cs="宋体"/>
                <w:color w:val="000000"/>
                <w:sz w:val="24"/>
                <w:szCs w:val="24"/>
              </w:rPr>
              <w:t>椎间孔镜镜体消毒盒</w:t>
            </w:r>
          </w:p>
        </w:tc>
        <w:tc>
          <w:tcPr>
            <w:tcW w:w="2806" w:type="dxa"/>
            <w:tcBorders>
              <w:top w:val="nil"/>
              <w:left w:val="nil"/>
              <w:bottom w:val="single" w:color="auto" w:sz="4" w:space="0"/>
              <w:right w:val="single" w:color="auto" w:sz="4" w:space="0"/>
            </w:tcBorders>
            <w:noWrap/>
            <w:vAlign w:val="center"/>
          </w:tcPr>
          <w:p w14:paraId="45064937">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851" w:type="dxa"/>
            <w:tcBorders>
              <w:top w:val="nil"/>
              <w:left w:val="nil"/>
              <w:bottom w:val="single" w:color="auto" w:sz="4" w:space="0"/>
              <w:right w:val="single" w:color="auto" w:sz="4" w:space="0"/>
            </w:tcBorders>
            <w:vAlign w:val="center"/>
          </w:tcPr>
          <w:p w14:paraId="3C67C2C6">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1个</w:t>
            </w:r>
          </w:p>
        </w:tc>
        <w:tc>
          <w:tcPr>
            <w:tcW w:w="1276" w:type="dxa"/>
            <w:tcBorders>
              <w:top w:val="nil"/>
              <w:left w:val="nil"/>
              <w:bottom w:val="single" w:color="auto" w:sz="4" w:space="0"/>
              <w:right w:val="single" w:color="auto" w:sz="4" w:space="0"/>
            </w:tcBorders>
            <w:noWrap/>
            <w:vAlign w:val="center"/>
          </w:tcPr>
          <w:p w14:paraId="441E7727">
            <w:pPr>
              <w:spacing w:line="0" w:lineRule="atLeast"/>
              <w:rPr>
                <w:rFonts w:hint="eastAsia" w:ascii="宋体" w:hAnsi="宋体" w:eastAsia="宋体" w:cs="宋体"/>
                <w:bCs/>
                <w:sz w:val="24"/>
                <w:szCs w:val="24"/>
              </w:rPr>
            </w:pPr>
          </w:p>
        </w:tc>
      </w:tr>
      <w:tr w14:paraId="0CE97BD9">
        <w:tblPrEx>
          <w:tblCellMar>
            <w:top w:w="0" w:type="dxa"/>
            <w:left w:w="108" w:type="dxa"/>
            <w:bottom w:w="0" w:type="dxa"/>
            <w:right w:w="108" w:type="dxa"/>
          </w:tblCellMar>
        </w:tblPrEx>
        <w:trPr>
          <w:trHeight w:val="300" w:hRule="atLeast"/>
        </w:trPr>
        <w:tc>
          <w:tcPr>
            <w:tcW w:w="804" w:type="dxa"/>
            <w:tcBorders>
              <w:top w:val="nil"/>
              <w:left w:val="single" w:color="auto" w:sz="4" w:space="0"/>
              <w:bottom w:val="single" w:color="auto" w:sz="4" w:space="0"/>
              <w:right w:val="single" w:color="auto" w:sz="4" w:space="0"/>
            </w:tcBorders>
            <w:vAlign w:val="center"/>
          </w:tcPr>
          <w:p w14:paraId="22BD07F8">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31</w:t>
            </w:r>
          </w:p>
        </w:tc>
        <w:tc>
          <w:tcPr>
            <w:tcW w:w="2485" w:type="dxa"/>
            <w:tcBorders>
              <w:top w:val="nil"/>
              <w:left w:val="nil"/>
              <w:bottom w:val="single" w:color="auto" w:sz="4" w:space="0"/>
              <w:right w:val="single" w:color="auto" w:sz="4" w:space="0"/>
            </w:tcBorders>
            <w:noWrap/>
            <w:vAlign w:val="center"/>
          </w:tcPr>
          <w:p w14:paraId="7F38F9AC">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椎间孔镜器械消毒盒</w:t>
            </w:r>
          </w:p>
        </w:tc>
        <w:tc>
          <w:tcPr>
            <w:tcW w:w="2806" w:type="dxa"/>
            <w:tcBorders>
              <w:top w:val="nil"/>
              <w:left w:val="nil"/>
              <w:bottom w:val="single" w:color="auto" w:sz="4" w:space="0"/>
              <w:right w:val="single" w:color="auto" w:sz="4" w:space="0"/>
            </w:tcBorders>
            <w:noWrap/>
            <w:vAlign w:val="center"/>
          </w:tcPr>
          <w:p w14:paraId="7B5DE576">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851" w:type="dxa"/>
            <w:tcBorders>
              <w:top w:val="nil"/>
              <w:left w:val="nil"/>
              <w:bottom w:val="single" w:color="auto" w:sz="4" w:space="0"/>
              <w:right w:val="single" w:color="auto" w:sz="4" w:space="0"/>
            </w:tcBorders>
            <w:vAlign w:val="center"/>
          </w:tcPr>
          <w:p w14:paraId="4BCE3F16">
            <w:pPr>
              <w:spacing w:line="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1个</w:t>
            </w:r>
          </w:p>
        </w:tc>
        <w:tc>
          <w:tcPr>
            <w:tcW w:w="1276" w:type="dxa"/>
            <w:tcBorders>
              <w:top w:val="nil"/>
              <w:left w:val="nil"/>
              <w:bottom w:val="single" w:color="auto" w:sz="4" w:space="0"/>
              <w:right w:val="single" w:color="auto" w:sz="4" w:space="0"/>
            </w:tcBorders>
            <w:noWrap/>
            <w:vAlign w:val="center"/>
          </w:tcPr>
          <w:p w14:paraId="7EF16F01">
            <w:pPr>
              <w:spacing w:line="0" w:lineRule="atLeast"/>
              <w:jc w:val="center"/>
              <w:rPr>
                <w:rFonts w:hint="eastAsia" w:ascii="宋体" w:hAnsi="宋体" w:eastAsia="宋体" w:cs="宋体"/>
                <w:bCs/>
                <w:sz w:val="24"/>
                <w:szCs w:val="24"/>
              </w:rPr>
            </w:pPr>
          </w:p>
        </w:tc>
      </w:tr>
    </w:tbl>
    <w:p w14:paraId="578A1DBD">
      <w:pPr>
        <w:overflowPunct w:val="0"/>
        <w:autoSpaceDE w:val="0"/>
        <w:autoSpaceDN w:val="0"/>
        <w:adjustRightInd w:val="0"/>
        <w:textAlignment w:val="baseline"/>
        <w:rPr>
          <w:rFonts w:hint="eastAsia" w:ascii="宋体" w:hAnsi="宋体" w:eastAsia="宋体" w:cs="宋体"/>
          <w:kern w:val="28"/>
          <w:sz w:val="24"/>
          <w:szCs w:val="24"/>
        </w:rPr>
      </w:pPr>
    </w:p>
    <w:p w14:paraId="1D30F892">
      <w:pPr>
        <w:spacing w:line="240" w:lineRule="atLeast"/>
        <w:rPr>
          <w:rFonts w:hint="eastAsia" w:ascii="宋体" w:hAnsi="宋体" w:eastAsia="宋体" w:cs="宋体"/>
          <w:b/>
          <w:sz w:val="24"/>
          <w:szCs w:val="24"/>
        </w:rPr>
      </w:pPr>
    </w:p>
    <w:p w14:paraId="0F1F99C7">
      <w:pPr>
        <w:spacing w:line="240" w:lineRule="atLeast"/>
        <w:jc w:val="center"/>
        <w:rPr>
          <w:rFonts w:hint="eastAsia" w:ascii="宋体" w:hAnsi="宋体" w:eastAsia="宋体" w:cs="宋体"/>
          <w:b/>
          <w:sz w:val="24"/>
          <w:szCs w:val="24"/>
        </w:rPr>
      </w:pPr>
      <w:r>
        <w:rPr>
          <w:rFonts w:hint="eastAsia" w:ascii="宋体" w:hAnsi="宋体" w:eastAsia="宋体" w:cs="宋体"/>
          <w:b/>
          <w:sz w:val="24"/>
          <w:szCs w:val="24"/>
        </w:rPr>
        <w:t>6、骨科手术器械技术参数</w:t>
      </w:r>
    </w:p>
    <w:p w14:paraId="145F1610">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rPr>
        <w:t>6.1、视向角30°，镜体外径Φ4㎜，工作长度≥175mm；非球面；视场内装有三角形方向标。用于不同角度、方向的检查或治疗。其金属零件全部由符合制造外科器械的不锈钢材料制造；光学物镜前保护玻璃采用光洁、耐磨的蓝宝石材料；</w:t>
      </w:r>
    </w:p>
    <w:p w14:paraId="42A792AB">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rPr>
        <w:t>6.2、视场角：≥120°；</w:t>
      </w:r>
    </w:p>
    <w:p w14:paraId="09245A38">
      <w:pPr>
        <w:spacing w:line="240" w:lineRule="atLeast"/>
        <w:rPr>
          <w:rFonts w:hint="eastAsia" w:ascii="宋体" w:hAnsi="宋体" w:eastAsia="宋体" w:cs="宋体"/>
          <w:sz w:val="24"/>
          <w:szCs w:val="24"/>
        </w:rPr>
      </w:pPr>
      <w:r>
        <w:rPr>
          <w:rFonts w:hint="eastAsia" w:ascii="宋体" w:hAnsi="宋体" w:eastAsia="宋体" w:cs="宋体"/>
          <w:sz w:val="24"/>
          <w:szCs w:val="24"/>
        </w:rPr>
        <w:t>6.3、视向角： 30°；</w:t>
      </w:r>
    </w:p>
    <w:p w14:paraId="2246734C">
      <w:pPr>
        <w:spacing w:line="240" w:lineRule="atLeast"/>
        <w:rPr>
          <w:rFonts w:hint="eastAsia" w:ascii="宋体" w:hAnsi="宋体" w:eastAsia="宋体" w:cs="宋体"/>
          <w:sz w:val="24"/>
          <w:szCs w:val="24"/>
        </w:rPr>
      </w:pPr>
      <w:r>
        <w:rPr>
          <w:rFonts w:hint="eastAsia" w:ascii="宋体" w:hAnsi="宋体" w:eastAsia="宋体" w:cs="宋体"/>
          <w:sz w:val="24"/>
          <w:szCs w:val="24"/>
        </w:rPr>
        <w:t>6.4、</w:t>
      </w:r>
      <w:r>
        <w:rPr>
          <w:rFonts w:hint="eastAsia" w:ascii="宋体" w:hAnsi="宋体" w:eastAsia="宋体" w:cs="宋体"/>
          <w:kern w:val="0"/>
          <w:sz w:val="24"/>
          <w:szCs w:val="24"/>
        </w:rPr>
        <w:t>有效光度率：</w:t>
      </w:r>
      <w:r>
        <w:rPr>
          <w:rFonts w:hint="eastAsia" w:ascii="宋体" w:hAnsi="宋体" w:eastAsia="宋体" w:cs="宋体"/>
          <w:sz w:val="24"/>
          <w:szCs w:val="24"/>
        </w:rPr>
        <w:t>≥</w:t>
      </w:r>
      <w:r>
        <w:rPr>
          <w:rFonts w:hint="eastAsia" w:ascii="宋体" w:hAnsi="宋体" w:eastAsia="宋体" w:cs="宋体"/>
          <w:kern w:val="0"/>
          <w:sz w:val="24"/>
          <w:szCs w:val="24"/>
        </w:rPr>
        <w:t>1500cd/(m²-Im)；</w:t>
      </w:r>
    </w:p>
    <w:p w14:paraId="1EDA192D">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rPr>
        <w:t>6.5、视场中心角分辨力 :  ≥ 5.5 C/（°）；</w:t>
      </w:r>
    </w:p>
    <w:p w14:paraId="611E74F3">
      <w:pPr>
        <w:spacing w:line="240" w:lineRule="atLeast"/>
        <w:rPr>
          <w:rFonts w:hint="eastAsia" w:ascii="宋体" w:hAnsi="宋体" w:eastAsia="宋体" w:cs="宋体"/>
          <w:sz w:val="24"/>
          <w:szCs w:val="24"/>
        </w:rPr>
      </w:pPr>
      <w:r>
        <w:rPr>
          <w:rFonts w:hint="eastAsia" w:ascii="宋体" w:hAnsi="宋体" w:eastAsia="宋体" w:cs="宋体"/>
          <w:sz w:val="24"/>
          <w:szCs w:val="24"/>
        </w:rPr>
        <w:t>6.6、</w:t>
      </w:r>
      <w:r>
        <w:rPr>
          <w:rFonts w:hint="eastAsia" w:ascii="宋体" w:hAnsi="宋体" w:eastAsia="宋体" w:cs="宋体"/>
          <w:kern w:val="0"/>
          <w:sz w:val="24"/>
          <w:szCs w:val="24"/>
        </w:rPr>
        <w:t>综合镜体光效SLer：≥0.40；</w:t>
      </w:r>
    </w:p>
    <w:p w14:paraId="55CE0EA4">
      <w:pPr>
        <w:spacing w:line="240" w:lineRule="atLeast"/>
        <w:rPr>
          <w:rFonts w:hint="eastAsia" w:ascii="宋体" w:hAnsi="宋体" w:eastAsia="宋体" w:cs="宋体"/>
          <w:sz w:val="24"/>
          <w:szCs w:val="24"/>
        </w:rPr>
      </w:pPr>
      <w:r>
        <w:rPr>
          <w:rFonts w:hint="eastAsia" w:ascii="宋体" w:hAnsi="宋体" w:eastAsia="宋体" w:cs="宋体"/>
          <w:sz w:val="24"/>
          <w:szCs w:val="24"/>
        </w:rPr>
        <w:t>6.7、有效景深范围：3mm～100mm；</w:t>
      </w:r>
    </w:p>
    <w:p w14:paraId="2313DE93">
      <w:pPr>
        <w:spacing w:line="240" w:lineRule="atLeast"/>
        <w:ind w:left="484" w:leftChars="2" w:hanging="480" w:hangingChars="200"/>
        <w:rPr>
          <w:rFonts w:hint="eastAsia" w:ascii="宋体" w:hAnsi="宋体" w:eastAsia="宋体" w:cs="宋体"/>
          <w:sz w:val="24"/>
          <w:szCs w:val="24"/>
        </w:rPr>
      </w:pPr>
      <w:r>
        <w:rPr>
          <w:rFonts w:hint="eastAsia" w:ascii="宋体" w:hAnsi="宋体" w:eastAsia="宋体" w:cs="宋体"/>
          <w:sz w:val="24"/>
          <w:szCs w:val="24"/>
        </w:rPr>
        <w:t>6.8、光束接口可连接Karl Stoss、OLYMPUS、Stryker、wolf各进口及国产品牌冷光源、摄像系统；</w:t>
      </w:r>
    </w:p>
    <w:p w14:paraId="5E83EA9B">
      <w:pPr>
        <w:widowControl/>
        <w:adjustRightInd w:val="0"/>
        <w:snapToGrid w:val="0"/>
        <w:spacing w:after="200"/>
        <w:ind w:left="480" w:hanging="480" w:hangingChars="200"/>
        <w:jc w:val="left"/>
        <w:rPr>
          <w:rFonts w:hint="eastAsia" w:ascii="宋体" w:hAnsi="宋体" w:eastAsia="宋体" w:cs="宋体"/>
          <w:kern w:val="0"/>
          <w:sz w:val="24"/>
          <w:szCs w:val="24"/>
        </w:rPr>
      </w:pPr>
      <w:r>
        <w:rPr>
          <w:rFonts w:hint="eastAsia" w:ascii="宋体" w:hAnsi="宋体" w:eastAsia="宋体" w:cs="宋体"/>
          <w:sz w:val="24"/>
          <w:szCs w:val="24"/>
        </w:rPr>
        <w:t xml:space="preserve">6.9、双阀镜鞘30°，可360°旋转，用于内窥镜观察时的通道，并可边观察边灌流，镜鞘直径≤Φ5.5mm；钝形闭孔器≤Φ4.3mm； </w:t>
      </w:r>
    </w:p>
    <w:p w14:paraId="5D50EF38">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rPr>
        <w:t xml:space="preserve">6.10、手术器械标准配置一套，采用不锈钢材质整体加工，表面无镀层装饰； </w:t>
      </w:r>
    </w:p>
    <w:p w14:paraId="4DD8C100">
      <w:pPr>
        <w:rPr>
          <w:rFonts w:hint="eastAsia" w:ascii="宋体" w:hAnsi="宋体" w:eastAsia="宋体" w:cs="宋体"/>
          <w:sz w:val="24"/>
          <w:szCs w:val="24"/>
        </w:rPr>
      </w:pPr>
      <w:r>
        <w:rPr>
          <w:rFonts w:hint="eastAsia" w:ascii="宋体" w:hAnsi="宋体" w:eastAsia="宋体" w:cs="宋体"/>
          <w:sz w:val="24"/>
          <w:szCs w:val="24"/>
        </w:rPr>
        <w:t>6.10.1、扩张器（逐级五级）1套,可完成逐级扩张；</w:t>
      </w:r>
    </w:p>
    <w:p w14:paraId="3F7C092D">
      <w:pPr>
        <w:rPr>
          <w:rFonts w:hint="eastAsia" w:ascii="宋体" w:hAnsi="宋体" w:eastAsia="宋体" w:cs="宋体"/>
          <w:sz w:val="24"/>
          <w:szCs w:val="24"/>
        </w:rPr>
      </w:pPr>
      <w:r>
        <w:rPr>
          <w:rFonts w:hint="eastAsia" w:ascii="宋体" w:hAnsi="宋体" w:eastAsia="宋体" w:cs="宋体"/>
          <w:sz w:val="24"/>
          <w:szCs w:val="24"/>
        </w:rPr>
        <w:t>6.10.2、定位针，规格尺寸，直径≤5.0mm，工作长度≥210mm；</w:t>
      </w:r>
    </w:p>
    <w:p w14:paraId="3491E615">
      <w:pPr>
        <w:ind w:left="960" w:hanging="960" w:hangingChars="400"/>
        <w:rPr>
          <w:rFonts w:hint="eastAsia" w:ascii="宋体" w:hAnsi="宋体" w:eastAsia="宋体" w:cs="宋体"/>
          <w:sz w:val="24"/>
          <w:szCs w:val="24"/>
        </w:rPr>
      </w:pPr>
      <w:r>
        <w:rPr>
          <w:rFonts w:hint="eastAsia" w:ascii="宋体" w:hAnsi="宋体" w:eastAsia="宋体" w:cs="宋体"/>
          <w:sz w:val="24"/>
          <w:szCs w:val="24"/>
        </w:rPr>
        <w:t>6.10.3、骨用牵开器，规格尺寸分别为，直径≤13mm，工作长度≥70mm   直径≤13mm，工作长度≥60mm ；</w:t>
      </w:r>
    </w:p>
    <w:p w14:paraId="642C183E">
      <w:pPr>
        <w:ind w:left="960" w:hanging="960" w:hangingChars="400"/>
        <w:rPr>
          <w:rFonts w:hint="eastAsia" w:ascii="宋体" w:hAnsi="宋体" w:eastAsia="宋体" w:cs="宋体"/>
          <w:sz w:val="24"/>
          <w:szCs w:val="24"/>
        </w:rPr>
      </w:pPr>
      <w:r>
        <w:rPr>
          <w:rFonts w:hint="eastAsia" w:ascii="宋体" w:hAnsi="宋体" w:eastAsia="宋体" w:cs="宋体"/>
          <w:sz w:val="24"/>
          <w:szCs w:val="24"/>
        </w:rPr>
        <w:t>6.10.4、剥离器（剥离肌肉），规格尺寸，工作长度≥160mm；</w:t>
      </w:r>
    </w:p>
    <w:p w14:paraId="6814D8ED">
      <w:pPr>
        <w:ind w:left="960" w:hanging="960" w:hangingChars="400"/>
        <w:rPr>
          <w:rFonts w:hint="eastAsia" w:ascii="宋体" w:hAnsi="宋体" w:eastAsia="宋体" w:cs="宋体"/>
          <w:sz w:val="24"/>
          <w:szCs w:val="24"/>
        </w:rPr>
      </w:pPr>
      <w:r>
        <w:rPr>
          <w:rFonts w:hint="eastAsia" w:ascii="宋体" w:hAnsi="宋体" w:eastAsia="宋体" w:cs="宋体"/>
          <w:sz w:val="24"/>
          <w:szCs w:val="24"/>
        </w:rPr>
        <w:t>6.10.5、剥离器（双头5°/15°），规格尺寸，直径≤3mm，工作长度≥300mm；</w:t>
      </w:r>
    </w:p>
    <w:p w14:paraId="040D4729">
      <w:pPr>
        <w:ind w:left="960" w:hanging="960" w:hangingChars="400"/>
        <w:rPr>
          <w:rFonts w:hint="eastAsia" w:ascii="宋体" w:hAnsi="宋体" w:eastAsia="宋体" w:cs="宋体"/>
          <w:sz w:val="24"/>
          <w:szCs w:val="24"/>
        </w:rPr>
      </w:pPr>
      <w:r>
        <w:rPr>
          <w:rFonts w:hint="eastAsia" w:ascii="宋体" w:hAnsi="宋体" w:eastAsia="宋体" w:cs="宋体"/>
          <w:sz w:val="24"/>
          <w:szCs w:val="24"/>
        </w:rPr>
        <w:t>6.10.6、探针，规格尺寸 直径≤7mm，工作长度≥230mm；</w:t>
      </w:r>
    </w:p>
    <w:p w14:paraId="4C08BF9E">
      <w:pPr>
        <w:ind w:left="960" w:hanging="960" w:hangingChars="400"/>
        <w:rPr>
          <w:rFonts w:hint="eastAsia" w:ascii="宋体" w:hAnsi="宋体" w:eastAsia="宋体" w:cs="宋体"/>
          <w:sz w:val="24"/>
          <w:szCs w:val="24"/>
        </w:rPr>
      </w:pPr>
      <w:r>
        <w:rPr>
          <w:rFonts w:hint="eastAsia" w:ascii="宋体" w:hAnsi="宋体" w:eastAsia="宋体" w:cs="宋体"/>
          <w:sz w:val="24"/>
          <w:szCs w:val="24"/>
        </w:rPr>
        <w:t>6.10.7、神经根拉钩，规格尺寸分别为，直径≤6mm工作长度≥195mm，直径≤10mm，工作长度≥195mm；</w:t>
      </w:r>
    </w:p>
    <w:p w14:paraId="5C7AF268">
      <w:pPr>
        <w:rPr>
          <w:rFonts w:hint="eastAsia" w:ascii="宋体" w:hAnsi="宋体" w:eastAsia="宋体" w:cs="宋体"/>
          <w:sz w:val="24"/>
          <w:szCs w:val="24"/>
        </w:rPr>
      </w:pPr>
      <w:r>
        <w:rPr>
          <w:rFonts w:hint="eastAsia" w:ascii="宋体" w:hAnsi="宋体" w:eastAsia="宋体" w:cs="宋体"/>
          <w:sz w:val="24"/>
          <w:szCs w:val="24"/>
        </w:rPr>
        <w:t xml:space="preserve">6.10.8、骨锤，规格尺寸，工作长度≥220mm，重量≤150g  ；     </w:t>
      </w:r>
    </w:p>
    <w:p w14:paraId="1ED631E7">
      <w:pPr>
        <w:rPr>
          <w:rFonts w:hint="eastAsia" w:ascii="宋体" w:hAnsi="宋体" w:eastAsia="宋体" w:cs="宋体"/>
          <w:sz w:val="24"/>
          <w:szCs w:val="24"/>
        </w:rPr>
      </w:pPr>
      <w:r>
        <w:rPr>
          <w:rFonts w:hint="eastAsia" w:ascii="宋体" w:hAnsi="宋体" w:eastAsia="宋体" w:cs="宋体"/>
          <w:sz w:val="24"/>
          <w:szCs w:val="24"/>
        </w:rPr>
        <w:t>6.10.9、骨刀（直型），规格尺寸直径≤5mm，工作长度≥250mm；</w:t>
      </w:r>
    </w:p>
    <w:p w14:paraId="0ABF026B">
      <w:pPr>
        <w:rPr>
          <w:rFonts w:hint="eastAsia" w:ascii="宋体" w:hAnsi="宋体" w:eastAsia="宋体" w:cs="宋体"/>
          <w:sz w:val="24"/>
          <w:szCs w:val="24"/>
        </w:rPr>
      </w:pPr>
      <w:r>
        <w:rPr>
          <w:rFonts w:hint="eastAsia" w:ascii="宋体" w:hAnsi="宋体" w:eastAsia="宋体" w:cs="宋体"/>
          <w:sz w:val="24"/>
          <w:szCs w:val="24"/>
        </w:rPr>
        <w:t>6.10.10、骨刀（左弯），规格尺寸直径≤5mm，工作长度≥250mm；</w:t>
      </w:r>
    </w:p>
    <w:p w14:paraId="6EA6D63F">
      <w:pPr>
        <w:rPr>
          <w:rFonts w:hint="eastAsia" w:ascii="宋体" w:hAnsi="宋体" w:eastAsia="宋体" w:cs="宋体"/>
          <w:sz w:val="24"/>
          <w:szCs w:val="24"/>
        </w:rPr>
      </w:pPr>
      <w:r>
        <w:rPr>
          <w:rFonts w:hint="eastAsia" w:ascii="宋体" w:hAnsi="宋体" w:eastAsia="宋体" w:cs="宋体"/>
          <w:sz w:val="24"/>
          <w:szCs w:val="24"/>
        </w:rPr>
        <w:t>6.10.11、骨刀（右弯），规格尺寸直径≤5mm，工作长度≥250mm；</w:t>
      </w:r>
    </w:p>
    <w:p w14:paraId="631FDC67">
      <w:pPr>
        <w:rPr>
          <w:rFonts w:hint="eastAsia" w:ascii="宋体" w:hAnsi="宋体" w:eastAsia="宋体" w:cs="宋体"/>
          <w:sz w:val="24"/>
          <w:szCs w:val="24"/>
        </w:rPr>
      </w:pPr>
      <w:r>
        <w:rPr>
          <w:rFonts w:hint="eastAsia" w:ascii="宋体" w:hAnsi="宋体" w:eastAsia="宋体" w:cs="宋体"/>
          <w:sz w:val="24"/>
          <w:szCs w:val="24"/>
        </w:rPr>
        <w:t>6.10.12、骨刮匙(反口)，规格尺寸直径≤3mm，工作长度≥290mm；</w:t>
      </w:r>
    </w:p>
    <w:p w14:paraId="4977B1F2">
      <w:pPr>
        <w:rPr>
          <w:rFonts w:hint="eastAsia" w:ascii="宋体" w:hAnsi="宋体" w:eastAsia="宋体" w:cs="宋体"/>
          <w:sz w:val="24"/>
          <w:szCs w:val="24"/>
        </w:rPr>
      </w:pPr>
      <w:r>
        <w:rPr>
          <w:rFonts w:hint="eastAsia" w:ascii="宋体" w:hAnsi="宋体" w:eastAsia="宋体" w:cs="宋体"/>
          <w:sz w:val="24"/>
          <w:szCs w:val="24"/>
        </w:rPr>
        <w:t>6.10.13、骨刮匙(前弯)，规格尺寸直径≤3mm，工作长度≥260mm；</w:t>
      </w:r>
    </w:p>
    <w:p w14:paraId="1750221B">
      <w:pPr>
        <w:rPr>
          <w:rFonts w:hint="eastAsia" w:ascii="宋体" w:hAnsi="宋体" w:eastAsia="宋体" w:cs="宋体"/>
          <w:sz w:val="24"/>
          <w:szCs w:val="24"/>
        </w:rPr>
      </w:pPr>
      <w:r>
        <w:rPr>
          <w:rFonts w:hint="eastAsia" w:ascii="宋体" w:hAnsi="宋体" w:eastAsia="宋体" w:cs="宋体"/>
          <w:sz w:val="24"/>
          <w:szCs w:val="24"/>
        </w:rPr>
        <w:t>6.10.14、髓核钳（直型），规格尺寸直径≤4.0mm，工作长度≥160mm；</w:t>
      </w:r>
    </w:p>
    <w:p w14:paraId="6CD1DA4A">
      <w:pPr>
        <w:rPr>
          <w:rFonts w:hint="eastAsia" w:ascii="宋体" w:hAnsi="宋体" w:eastAsia="宋体" w:cs="宋体"/>
          <w:sz w:val="24"/>
          <w:szCs w:val="24"/>
        </w:rPr>
      </w:pPr>
      <w:r>
        <w:rPr>
          <w:rFonts w:hint="eastAsia" w:ascii="宋体" w:hAnsi="宋体" w:eastAsia="宋体" w:cs="宋体"/>
          <w:sz w:val="24"/>
          <w:szCs w:val="24"/>
        </w:rPr>
        <w:t>6.10.15、髓核钳(翘头)，规格尺寸直径≤4.0mm，工作长度≥160mm；</w:t>
      </w:r>
    </w:p>
    <w:p w14:paraId="0FB89725">
      <w:pPr>
        <w:pStyle w:val="5"/>
        <w:ind w:left="1200" w:hanging="1200" w:hangingChars="500"/>
        <w:rPr>
          <w:rStyle w:val="49"/>
          <w:rFonts w:hint="eastAsia" w:ascii="宋体" w:hAnsi="宋体" w:eastAsia="宋体" w:cs="宋体"/>
          <w:sz w:val="24"/>
          <w:szCs w:val="24"/>
        </w:rPr>
      </w:pPr>
      <w:r>
        <w:rPr>
          <w:rFonts w:hint="eastAsia" w:ascii="宋体" w:hAnsi="宋体" w:eastAsia="宋体" w:cs="宋体"/>
          <w:sz w:val="24"/>
          <w:szCs w:val="24"/>
        </w:rPr>
        <w:t>6.10.16、可拆卸咬骨钳（钳杆直型）：规格尺寸分别为直径≤3.0mm，工作长度≥</w:t>
      </w:r>
      <w:r>
        <w:rPr>
          <w:rStyle w:val="49"/>
          <w:rFonts w:hint="eastAsia" w:ascii="宋体" w:hAnsi="宋体" w:eastAsia="宋体" w:cs="宋体"/>
          <w:sz w:val="24"/>
          <w:szCs w:val="24"/>
        </w:rPr>
        <w:t>220mm，≥130°；直径≤4.0mm，工作长度≥220mm，≥130°；</w:t>
      </w:r>
    </w:p>
    <w:p w14:paraId="05E43821">
      <w:pPr>
        <w:ind w:left="1200" w:hanging="1200" w:hangingChars="500"/>
        <w:rPr>
          <w:rFonts w:hint="eastAsia" w:ascii="宋体" w:hAnsi="宋体" w:eastAsia="宋体" w:cs="宋体"/>
          <w:sz w:val="24"/>
          <w:szCs w:val="24"/>
        </w:rPr>
      </w:pPr>
      <w:r>
        <w:rPr>
          <w:rFonts w:hint="eastAsia" w:ascii="宋体" w:hAnsi="宋体" w:eastAsia="宋体" w:cs="宋体"/>
          <w:sz w:val="24"/>
          <w:szCs w:val="24"/>
        </w:rPr>
        <w:t>6.10.17、椎板咬骨钳（钳杆弧形）：规格尺寸直径≤3.0mm，工作长度≥225mm  ≥130°；</w:t>
      </w:r>
    </w:p>
    <w:p w14:paraId="596DCBCE">
      <w:pPr>
        <w:rPr>
          <w:rFonts w:hint="eastAsia" w:ascii="宋体" w:hAnsi="宋体" w:eastAsia="宋体" w:cs="宋体"/>
          <w:sz w:val="24"/>
          <w:szCs w:val="24"/>
        </w:rPr>
      </w:pPr>
      <w:r>
        <w:rPr>
          <w:rFonts w:hint="eastAsia" w:ascii="宋体" w:hAnsi="宋体" w:eastAsia="宋体" w:cs="宋体"/>
          <w:sz w:val="24"/>
          <w:szCs w:val="24"/>
        </w:rPr>
        <w:t>6.10.18、可拆卸咬骨钳柄3把；</w:t>
      </w:r>
    </w:p>
    <w:p w14:paraId="1B9E02A6">
      <w:pPr>
        <w:rPr>
          <w:rFonts w:hint="eastAsia" w:ascii="宋体" w:hAnsi="宋体" w:eastAsia="宋体" w:cs="宋体"/>
          <w:sz w:val="24"/>
          <w:szCs w:val="24"/>
        </w:rPr>
      </w:pPr>
      <w:r>
        <w:rPr>
          <w:rFonts w:hint="eastAsia" w:ascii="宋体" w:hAnsi="宋体" w:eastAsia="宋体" w:cs="宋体"/>
          <w:sz w:val="24"/>
          <w:szCs w:val="24"/>
        </w:rPr>
        <w:t>6.10.19、导光束 1条，直径4mm，长度2500mm；</w:t>
      </w:r>
    </w:p>
    <w:p w14:paraId="71AE781B">
      <w:pPr>
        <w:rPr>
          <w:rFonts w:hint="eastAsia" w:ascii="宋体" w:hAnsi="宋体" w:eastAsia="宋体" w:cs="宋体"/>
          <w:sz w:val="24"/>
          <w:szCs w:val="24"/>
        </w:rPr>
      </w:pPr>
      <w:r>
        <w:rPr>
          <w:rFonts w:hint="eastAsia" w:ascii="宋体" w:hAnsi="宋体" w:eastAsia="宋体" w:cs="宋体"/>
          <w:sz w:val="24"/>
          <w:szCs w:val="24"/>
        </w:rPr>
        <w:t>6.10.20、镜体及器械专用消毒盒。</w:t>
      </w:r>
    </w:p>
    <w:p w14:paraId="38BB52CE">
      <w:pPr>
        <w:ind w:firstLine="1446" w:firstLineChars="60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骨科手术器械配置清单</w:t>
      </w:r>
    </w:p>
    <w:tbl>
      <w:tblPr>
        <w:tblStyle w:val="35"/>
        <w:tblW w:w="8378" w:type="dxa"/>
        <w:tblInd w:w="108" w:type="dxa"/>
        <w:tblLayout w:type="fixed"/>
        <w:tblCellMar>
          <w:top w:w="0" w:type="dxa"/>
          <w:left w:w="108" w:type="dxa"/>
          <w:bottom w:w="0" w:type="dxa"/>
          <w:right w:w="108" w:type="dxa"/>
        </w:tblCellMar>
      </w:tblPr>
      <w:tblGrid>
        <w:gridCol w:w="29"/>
        <w:gridCol w:w="560"/>
        <w:gridCol w:w="1996"/>
        <w:gridCol w:w="3797"/>
        <w:gridCol w:w="844"/>
        <w:gridCol w:w="1111"/>
        <w:gridCol w:w="41"/>
      </w:tblGrid>
      <w:tr w14:paraId="6DE0BBD0">
        <w:tblPrEx>
          <w:tblCellMar>
            <w:top w:w="0" w:type="dxa"/>
            <w:left w:w="108" w:type="dxa"/>
            <w:bottom w:w="0" w:type="dxa"/>
            <w:right w:w="108" w:type="dxa"/>
          </w:tblCellMar>
        </w:tblPrEx>
        <w:trPr>
          <w:gridBefore w:val="1"/>
          <w:wBefore w:w="29" w:type="dxa"/>
          <w:trHeight w:val="293" w:hRule="atLeast"/>
        </w:trPr>
        <w:tc>
          <w:tcPr>
            <w:tcW w:w="8349" w:type="dxa"/>
            <w:gridSpan w:val="6"/>
            <w:tcBorders>
              <w:top w:val="nil"/>
              <w:left w:val="nil"/>
              <w:bottom w:val="nil"/>
              <w:right w:val="nil"/>
            </w:tcBorders>
            <w:noWrap/>
            <w:vAlign w:val="bottom"/>
          </w:tcPr>
          <w:tbl>
            <w:tblPr>
              <w:tblStyle w:val="35"/>
              <w:tblW w:w="8150" w:type="dxa"/>
              <w:tblInd w:w="0" w:type="dxa"/>
              <w:tblLayout w:type="fixed"/>
              <w:tblCellMar>
                <w:top w:w="0" w:type="dxa"/>
                <w:left w:w="108" w:type="dxa"/>
                <w:bottom w:w="0" w:type="dxa"/>
                <w:right w:w="108" w:type="dxa"/>
              </w:tblCellMar>
            </w:tblPr>
            <w:tblGrid>
              <w:gridCol w:w="839"/>
              <w:gridCol w:w="2424"/>
              <w:gridCol w:w="3029"/>
              <w:gridCol w:w="978"/>
              <w:gridCol w:w="880"/>
            </w:tblGrid>
            <w:tr w14:paraId="1517F2A1">
              <w:tblPrEx>
                <w:tblCellMar>
                  <w:top w:w="0" w:type="dxa"/>
                  <w:left w:w="108" w:type="dxa"/>
                  <w:bottom w:w="0" w:type="dxa"/>
                  <w:right w:w="108" w:type="dxa"/>
                </w:tblCellMar>
              </w:tblPrEx>
              <w:trPr>
                <w:trHeight w:val="329" w:hRule="atLeast"/>
              </w:trPr>
              <w:tc>
                <w:tcPr>
                  <w:tcW w:w="839" w:type="dxa"/>
                  <w:tcBorders>
                    <w:top w:val="single" w:color="auto" w:sz="4" w:space="0"/>
                    <w:left w:val="single" w:color="auto" w:sz="4" w:space="0"/>
                    <w:bottom w:val="single" w:color="auto" w:sz="4" w:space="0"/>
                    <w:right w:val="single" w:color="auto" w:sz="4" w:space="0"/>
                  </w:tcBorders>
                </w:tcPr>
                <w:p w14:paraId="26921F9A">
                  <w:pPr>
                    <w:spacing w:line="0" w:lineRule="atLeas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2424" w:type="dxa"/>
                  <w:tcBorders>
                    <w:top w:val="single" w:color="auto" w:sz="4" w:space="0"/>
                    <w:left w:val="single" w:color="auto" w:sz="4" w:space="0"/>
                    <w:bottom w:val="single" w:color="auto" w:sz="4" w:space="0"/>
                    <w:right w:val="single" w:color="auto" w:sz="4" w:space="0"/>
                  </w:tcBorders>
                  <w:vAlign w:val="bottom"/>
                </w:tcPr>
                <w:p w14:paraId="16CF6816">
                  <w:pPr>
                    <w:spacing w:line="0" w:lineRule="atLeast"/>
                    <w:rPr>
                      <w:rFonts w:hint="eastAsia" w:ascii="宋体" w:hAnsi="宋体" w:eastAsia="宋体" w:cs="宋体"/>
                      <w:b/>
                      <w:color w:val="auto"/>
                      <w:sz w:val="24"/>
                      <w:szCs w:val="24"/>
                    </w:rPr>
                  </w:pPr>
                  <w:r>
                    <w:rPr>
                      <w:rFonts w:hint="eastAsia" w:ascii="宋体" w:hAnsi="宋体" w:eastAsia="宋体" w:cs="宋体"/>
                      <w:b/>
                      <w:color w:val="auto"/>
                      <w:sz w:val="24"/>
                      <w:szCs w:val="24"/>
                    </w:rPr>
                    <w:t>产品名称</w:t>
                  </w:r>
                </w:p>
              </w:tc>
              <w:tc>
                <w:tcPr>
                  <w:tcW w:w="3029" w:type="dxa"/>
                  <w:tcBorders>
                    <w:top w:val="single" w:color="auto" w:sz="4" w:space="0"/>
                    <w:left w:val="single" w:color="auto" w:sz="4" w:space="0"/>
                    <w:bottom w:val="single" w:color="auto" w:sz="4" w:space="0"/>
                    <w:right w:val="single" w:color="auto" w:sz="4" w:space="0"/>
                  </w:tcBorders>
                  <w:vAlign w:val="bottom"/>
                </w:tcPr>
                <w:p w14:paraId="4EEC874A">
                  <w:pPr>
                    <w:spacing w:line="0" w:lineRule="atLeas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规格型号</w:t>
                  </w:r>
                </w:p>
              </w:tc>
              <w:tc>
                <w:tcPr>
                  <w:tcW w:w="978" w:type="dxa"/>
                  <w:tcBorders>
                    <w:top w:val="single" w:color="auto" w:sz="4" w:space="0"/>
                    <w:left w:val="single" w:color="auto" w:sz="4" w:space="0"/>
                    <w:bottom w:val="single" w:color="auto" w:sz="4" w:space="0"/>
                    <w:right w:val="single" w:color="auto" w:sz="4" w:space="0"/>
                  </w:tcBorders>
                  <w:vAlign w:val="bottom"/>
                </w:tcPr>
                <w:p w14:paraId="40AE8E22">
                  <w:pPr>
                    <w:spacing w:line="0" w:lineRule="atLeas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数量</w:t>
                  </w:r>
                </w:p>
              </w:tc>
              <w:tc>
                <w:tcPr>
                  <w:tcW w:w="880" w:type="dxa"/>
                  <w:tcBorders>
                    <w:top w:val="single" w:color="auto" w:sz="4" w:space="0"/>
                    <w:left w:val="single" w:color="auto" w:sz="4" w:space="0"/>
                    <w:bottom w:val="single" w:color="auto" w:sz="4" w:space="0"/>
                    <w:right w:val="single" w:color="auto" w:sz="4" w:space="0"/>
                  </w:tcBorders>
                  <w:vAlign w:val="bottom"/>
                </w:tcPr>
                <w:p w14:paraId="3917B435">
                  <w:pPr>
                    <w:spacing w:line="0" w:lineRule="atLeas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备注</w:t>
                  </w:r>
                </w:p>
              </w:tc>
            </w:tr>
            <w:tr w14:paraId="19EAD906">
              <w:tblPrEx>
                <w:tblCellMar>
                  <w:top w:w="0" w:type="dxa"/>
                  <w:left w:w="108" w:type="dxa"/>
                  <w:bottom w:w="0" w:type="dxa"/>
                  <w:right w:w="108" w:type="dxa"/>
                </w:tblCellMar>
              </w:tblPrEx>
              <w:trPr>
                <w:trHeight w:val="329" w:hRule="atLeast"/>
              </w:trPr>
              <w:tc>
                <w:tcPr>
                  <w:tcW w:w="839" w:type="dxa"/>
                  <w:tcBorders>
                    <w:top w:val="single" w:color="auto" w:sz="4" w:space="0"/>
                    <w:left w:val="single" w:color="auto" w:sz="4" w:space="0"/>
                    <w:bottom w:val="single" w:color="auto" w:sz="4" w:space="0"/>
                    <w:right w:val="single" w:color="auto" w:sz="4" w:space="0"/>
                  </w:tcBorders>
                </w:tcPr>
                <w:p w14:paraId="5DBE025A">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424" w:type="dxa"/>
                  <w:tcBorders>
                    <w:top w:val="single" w:color="auto" w:sz="4" w:space="0"/>
                    <w:left w:val="single" w:color="auto" w:sz="4" w:space="0"/>
                    <w:bottom w:val="single" w:color="auto" w:sz="4" w:space="0"/>
                    <w:right w:val="single" w:color="auto" w:sz="4" w:space="0"/>
                  </w:tcBorders>
                  <w:vAlign w:val="bottom"/>
                </w:tcPr>
                <w:p w14:paraId="47736CC5">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30°内窥镜</w:t>
                  </w:r>
                </w:p>
              </w:tc>
              <w:tc>
                <w:tcPr>
                  <w:tcW w:w="3029" w:type="dxa"/>
                  <w:tcBorders>
                    <w:top w:val="single" w:color="auto" w:sz="4" w:space="0"/>
                    <w:left w:val="single" w:color="auto" w:sz="4" w:space="0"/>
                    <w:bottom w:val="single" w:color="auto" w:sz="4" w:space="0"/>
                    <w:right w:val="single" w:color="auto" w:sz="4" w:space="0"/>
                  </w:tcBorders>
                  <w:vAlign w:val="bottom"/>
                </w:tcPr>
                <w:p w14:paraId="6D74D36D">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4mmx175mm</w:t>
                  </w:r>
                </w:p>
              </w:tc>
              <w:tc>
                <w:tcPr>
                  <w:tcW w:w="978" w:type="dxa"/>
                  <w:tcBorders>
                    <w:top w:val="single" w:color="auto" w:sz="4" w:space="0"/>
                    <w:left w:val="single" w:color="auto" w:sz="4" w:space="0"/>
                    <w:bottom w:val="single" w:color="auto" w:sz="4" w:space="0"/>
                    <w:right w:val="single" w:color="auto" w:sz="4" w:space="0"/>
                  </w:tcBorders>
                  <w:vAlign w:val="bottom"/>
                </w:tcPr>
                <w:p w14:paraId="55F0B6CD">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w:t>
                  </w:r>
                </w:p>
              </w:tc>
              <w:tc>
                <w:tcPr>
                  <w:tcW w:w="880" w:type="dxa"/>
                  <w:tcBorders>
                    <w:top w:val="single" w:color="auto" w:sz="4" w:space="0"/>
                    <w:left w:val="single" w:color="auto" w:sz="4" w:space="0"/>
                    <w:bottom w:val="single" w:color="auto" w:sz="4" w:space="0"/>
                    <w:right w:val="single" w:color="auto" w:sz="4" w:space="0"/>
                  </w:tcBorders>
                  <w:vAlign w:val="bottom"/>
                </w:tcPr>
                <w:p w14:paraId="256FBA8F">
                  <w:pPr>
                    <w:spacing w:line="0" w:lineRule="atLeast"/>
                    <w:jc w:val="center"/>
                    <w:rPr>
                      <w:rFonts w:hint="eastAsia" w:ascii="宋体" w:hAnsi="宋体" w:eastAsia="宋体" w:cs="宋体"/>
                      <w:color w:val="auto"/>
                      <w:sz w:val="24"/>
                      <w:szCs w:val="24"/>
                    </w:rPr>
                  </w:pPr>
                </w:p>
              </w:tc>
            </w:tr>
            <w:tr w14:paraId="60EBC905">
              <w:tblPrEx>
                <w:tblCellMar>
                  <w:top w:w="0" w:type="dxa"/>
                  <w:left w:w="108" w:type="dxa"/>
                  <w:bottom w:w="0" w:type="dxa"/>
                  <w:right w:w="108" w:type="dxa"/>
                </w:tblCellMar>
              </w:tblPrEx>
              <w:trPr>
                <w:trHeight w:val="329" w:hRule="atLeast"/>
              </w:trPr>
              <w:tc>
                <w:tcPr>
                  <w:tcW w:w="839" w:type="dxa"/>
                  <w:tcBorders>
                    <w:top w:val="single" w:color="auto" w:sz="4" w:space="0"/>
                    <w:left w:val="single" w:color="auto" w:sz="4" w:space="0"/>
                    <w:bottom w:val="single" w:color="auto" w:sz="4" w:space="0"/>
                    <w:right w:val="single" w:color="auto" w:sz="4" w:space="0"/>
                  </w:tcBorders>
                </w:tcPr>
                <w:p w14:paraId="401FDC5B">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424" w:type="dxa"/>
                  <w:tcBorders>
                    <w:top w:val="single" w:color="auto" w:sz="4" w:space="0"/>
                    <w:left w:val="single" w:color="auto" w:sz="4" w:space="0"/>
                    <w:bottom w:val="single" w:color="auto" w:sz="4" w:space="0"/>
                    <w:right w:val="single" w:color="auto" w:sz="4" w:space="0"/>
                  </w:tcBorders>
                </w:tcPr>
                <w:p w14:paraId="5C402C2F">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30°双阀镜鞘</w:t>
                  </w:r>
                </w:p>
              </w:tc>
              <w:tc>
                <w:tcPr>
                  <w:tcW w:w="3029" w:type="dxa"/>
                  <w:tcBorders>
                    <w:top w:val="single" w:color="auto" w:sz="4" w:space="0"/>
                    <w:left w:val="single" w:color="auto" w:sz="4" w:space="0"/>
                    <w:bottom w:val="single" w:color="auto" w:sz="4" w:space="0"/>
                    <w:right w:val="single" w:color="auto" w:sz="4" w:space="0"/>
                  </w:tcBorders>
                </w:tcPr>
                <w:p w14:paraId="6EFFCB6D">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φ5.5mm×140mm</w:t>
                  </w:r>
                </w:p>
              </w:tc>
              <w:tc>
                <w:tcPr>
                  <w:tcW w:w="978" w:type="dxa"/>
                  <w:tcBorders>
                    <w:top w:val="single" w:color="auto" w:sz="4" w:space="0"/>
                    <w:left w:val="single" w:color="auto" w:sz="4" w:space="0"/>
                    <w:bottom w:val="single" w:color="auto" w:sz="4" w:space="0"/>
                    <w:right w:val="single" w:color="auto" w:sz="4" w:space="0"/>
                  </w:tcBorders>
                  <w:vAlign w:val="bottom"/>
                </w:tcPr>
                <w:p w14:paraId="10DF5822">
                  <w:pPr>
                    <w:spacing w:line="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80" w:type="dxa"/>
                  <w:tcBorders>
                    <w:top w:val="single" w:color="auto" w:sz="4" w:space="0"/>
                    <w:left w:val="single" w:color="auto" w:sz="4" w:space="0"/>
                    <w:bottom w:val="single" w:color="auto" w:sz="4" w:space="0"/>
                    <w:right w:val="single" w:color="auto" w:sz="4" w:space="0"/>
                  </w:tcBorders>
                  <w:vAlign w:val="bottom"/>
                </w:tcPr>
                <w:p w14:paraId="105963A5">
                  <w:pPr>
                    <w:spacing w:line="0" w:lineRule="atLeast"/>
                    <w:jc w:val="center"/>
                    <w:rPr>
                      <w:rFonts w:hint="eastAsia" w:ascii="宋体" w:hAnsi="宋体" w:eastAsia="宋体" w:cs="宋体"/>
                      <w:color w:val="auto"/>
                      <w:sz w:val="24"/>
                      <w:szCs w:val="24"/>
                    </w:rPr>
                  </w:pPr>
                </w:p>
              </w:tc>
            </w:tr>
            <w:tr w14:paraId="5481C762">
              <w:tblPrEx>
                <w:tblCellMar>
                  <w:top w:w="0" w:type="dxa"/>
                  <w:left w:w="108" w:type="dxa"/>
                  <w:bottom w:w="0" w:type="dxa"/>
                  <w:right w:w="108" w:type="dxa"/>
                </w:tblCellMar>
              </w:tblPrEx>
              <w:trPr>
                <w:trHeight w:val="329" w:hRule="atLeast"/>
              </w:trPr>
              <w:tc>
                <w:tcPr>
                  <w:tcW w:w="839" w:type="dxa"/>
                  <w:tcBorders>
                    <w:top w:val="single" w:color="auto" w:sz="4" w:space="0"/>
                    <w:left w:val="single" w:color="auto" w:sz="4" w:space="0"/>
                    <w:bottom w:val="single" w:color="auto" w:sz="4" w:space="0"/>
                    <w:right w:val="single" w:color="auto" w:sz="4" w:space="0"/>
                  </w:tcBorders>
                </w:tcPr>
                <w:p w14:paraId="016AEAD6">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424" w:type="dxa"/>
                  <w:tcBorders>
                    <w:top w:val="single" w:color="auto" w:sz="4" w:space="0"/>
                    <w:left w:val="single" w:color="auto" w:sz="4" w:space="0"/>
                    <w:bottom w:val="single" w:color="auto" w:sz="4" w:space="0"/>
                    <w:right w:val="single" w:color="auto" w:sz="4" w:space="0"/>
                  </w:tcBorders>
                </w:tcPr>
                <w:p w14:paraId="0E8844D8">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棱形穿刺针</w:t>
                  </w:r>
                </w:p>
              </w:tc>
              <w:tc>
                <w:tcPr>
                  <w:tcW w:w="3029" w:type="dxa"/>
                  <w:tcBorders>
                    <w:top w:val="single" w:color="auto" w:sz="4" w:space="0"/>
                    <w:left w:val="single" w:color="auto" w:sz="4" w:space="0"/>
                    <w:bottom w:val="single" w:color="auto" w:sz="4" w:space="0"/>
                    <w:right w:val="single" w:color="auto" w:sz="4" w:space="0"/>
                  </w:tcBorders>
                </w:tcPr>
                <w:p w14:paraId="5C431D8E">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φ4.3mm×183mm</w:t>
                  </w:r>
                </w:p>
              </w:tc>
              <w:tc>
                <w:tcPr>
                  <w:tcW w:w="978" w:type="dxa"/>
                  <w:tcBorders>
                    <w:top w:val="single" w:color="auto" w:sz="4" w:space="0"/>
                    <w:left w:val="single" w:color="auto" w:sz="4" w:space="0"/>
                    <w:bottom w:val="single" w:color="auto" w:sz="4" w:space="0"/>
                    <w:right w:val="single" w:color="auto" w:sz="4" w:space="0"/>
                  </w:tcBorders>
                </w:tcPr>
                <w:p w14:paraId="1664C6F1">
                  <w:pPr>
                    <w:spacing w:line="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80" w:type="dxa"/>
                  <w:tcBorders>
                    <w:top w:val="single" w:color="auto" w:sz="4" w:space="0"/>
                    <w:left w:val="single" w:color="auto" w:sz="4" w:space="0"/>
                    <w:bottom w:val="single" w:color="auto" w:sz="4" w:space="0"/>
                    <w:right w:val="single" w:color="auto" w:sz="4" w:space="0"/>
                  </w:tcBorders>
                  <w:vAlign w:val="bottom"/>
                </w:tcPr>
                <w:p w14:paraId="0BDAD3E7">
                  <w:pPr>
                    <w:spacing w:line="0" w:lineRule="atLeast"/>
                    <w:jc w:val="center"/>
                    <w:rPr>
                      <w:rFonts w:hint="eastAsia" w:ascii="宋体" w:hAnsi="宋体" w:eastAsia="宋体" w:cs="宋体"/>
                      <w:color w:val="auto"/>
                      <w:sz w:val="24"/>
                      <w:szCs w:val="24"/>
                    </w:rPr>
                  </w:pPr>
                </w:p>
              </w:tc>
            </w:tr>
            <w:tr w14:paraId="26D44332">
              <w:tblPrEx>
                <w:tblCellMar>
                  <w:top w:w="0" w:type="dxa"/>
                  <w:left w:w="108" w:type="dxa"/>
                  <w:bottom w:w="0" w:type="dxa"/>
                  <w:right w:w="108" w:type="dxa"/>
                </w:tblCellMar>
              </w:tblPrEx>
              <w:trPr>
                <w:trHeight w:val="329" w:hRule="atLeast"/>
              </w:trPr>
              <w:tc>
                <w:tcPr>
                  <w:tcW w:w="839" w:type="dxa"/>
                  <w:tcBorders>
                    <w:top w:val="single" w:color="auto" w:sz="4" w:space="0"/>
                    <w:left w:val="single" w:color="auto" w:sz="4" w:space="0"/>
                    <w:bottom w:val="single" w:color="auto" w:sz="4" w:space="0"/>
                    <w:right w:val="single" w:color="auto" w:sz="4" w:space="0"/>
                  </w:tcBorders>
                </w:tcPr>
                <w:p w14:paraId="2520F8B7">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424" w:type="dxa"/>
                  <w:tcBorders>
                    <w:top w:val="single" w:color="auto" w:sz="4" w:space="0"/>
                    <w:left w:val="single" w:color="auto" w:sz="4" w:space="0"/>
                    <w:bottom w:val="single" w:color="auto" w:sz="4" w:space="0"/>
                    <w:right w:val="single" w:color="auto" w:sz="4" w:space="0"/>
                  </w:tcBorders>
                </w:tcPr>
                <w:p w14:paraId="4FBE263A">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钝形闭孔器</w:t>
                  </w:r>
                </w:p>
              </w:tc>
              <w:tc>
                <w:tcPr>
                  <w:tcW w:w="3029" w:type="dxa"/>
                  <w:tcBorders>
                    <w:top w:val="single" w:color="auto" w:sz="4" w:space="0"/>
                    <w:left w:val="single" w:color="auto" w:sz="4" w:space="0"/>
                    <w:bottom w:val="single" w:color="auto" w:sz="4" w:space="0"/>
                    <w:right w:val="single" w:color="auto" w:sz="4" w:space="0"/>
                  </w:tcBorders>
                </w:tcPr>
                <w:p w14:paraId="6970079F">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φ4.3mm×183mm</w:t>
                  </w:r>
                </w:p>
              </w:tc>
              <w:tc>
                <w:tcPr>
                  <w:tcW w:w="978" w:type="dxa"/>
                  <w:tcBorders>
                    <w:top w:val="single" w:color="auto" w:sz="4" w:space="0"/>
                    <w:left w:val="single" w:color="auto" w:sz="4" w:space="0"/>
                    <w:bottom w:val="single" w:color="auto" w:sz="4" w:space="0"/>
                    <w:right w:val="single" w:color="auto" w:sz="4" w:space="0"/>
                  </w:tcBorders>
                </w:tcPr>
                <w:p w14:paraId="6D0525D6">
                  <w:pPr>
                    <w:spacing w:line="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880" w:type="dxa"/>
                  <w:tcBorders>
                    <w:top w:val="single" w:color="auto" w:sz="4" w:space="0"/>
                    <w:left w:val="single" w:color="auto" w:sz="4" w:space="0"/>
                    <w:bottom w:val="single" w:color="auto" w:sz="4" w:space="0"/>
                    <w:right w:val="single" w:color="auto" w:sz="4" w:space="0"/>
                  </w:tcBorders>
                  <w:vAlign w:val="bottom"/>
                </w:tcPr>
                <w:p w14:paraId="47D6F501">
                  <w:pPr>
                    <w:spacing w:line="0" w:lineRule="atLeast"/>
                    <w:jc w:val="center"/>
                    <w:rPr>
                      <w:rFonts w:hint="eastAsia" w:ascii="宋体" w:hAnsi="宋体" w:eastAsia="宋体" w:cs="宋体"/>
                      <w:color w:val="auto"/>
                      <w:sz w:val="24"/>
                      <w:szCs w:val="24"/>
                    </w:rPr>
                  </w:pPr>
                </w:p>
              </w:tc>
            </w:tr>
            <w:tr w14:paraId="09969768">
              <w:tblPrEx>
                <w:tblCellMar>
                  <w:top w:w="0" w:type="dxa"/>
                  <w:left w:w="108" w:type="dxa"/>
                  <w:bottom w:w="0" w:type="dxa"/>
                  <w:right w:w="108" w:type="dxa"/>
                </w:tblCellMar>
              </w:tblPrEx>
              <w:trPr>
                <w:trHeight w:val="329" w:hRule="atLeast"/>
              </w:trPr>
              <w:tc>
                <w:tcPr>
                  <w:tcW w:w="839" w:type="dxa"/>
                  <w:tcBorders>
                    <w:top w:val="single" w:color="auto" w:sz="4" w:space="0"/>
                    <w:left w:val="single" w:color="auto" w:sz="4" w:space="0"/>
                    <w:bottom w:val="single" w:color="auto" w:sz="4" w:space="0"/>
                    <w:right w:val="single" w:color="auto" w:sz="4" w:space="0"/>
                  </w:tcBorders>
                </w:tcPr>
                <w:p w14:paraId="7C3954CB">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424" w:type="dxa"/>
                  <w:tcBorders>
                    <w:top w:val="single" w:color="auto" w:sz="4" w:space="0"/>
                    <w:left w:val="single" w:color="auto" w:sz="4" w:space="0"/>
                    <w:bottom w:val="single" w:color="auto" w:sz="4" w:space="0"/>
                    <w:right w:val="single" w:color="auto" w:sz="4" w:space="0"/>
                  </w:tcBorders>
                </w:tcPr>
                <w:p w14:paraId="60FB6636">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导光束</w:t>
                  </w:r>
                </w:p>
              </w:tc>
              <w:tc>
                <w:tcPr>
                  <w:tcW w:w="3029" w:type="dxa"/>
                  <w:tcBorders>
                    <w:top w:val="single" w:color="auto" w:sz="4" w:space="0"/>
                    <w:left w:val="single" w:color="auto" w:sz="4" w:space="0"/>
                    <w:bottom w:val="single" w:color="auto" w:sz="4" w:space="0"/>
                    <w:right w:val="single" w:color="auto" w:sz="4" w:space="0"/>
                  </w:tcBorders>
                </w:tcPr>
                <w:p w14:paraId="1C046606">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Ф4×2.5m</w:t>
                  </w:r>
                </w:p>
              </w:tc>
              <w:tc>
                <w:tcPr>
                  <w:tcW w:w="978" w:type="dxa"/>
                  <w:tcBorders>
                    <w:top w:val="single" w:color="auto" w:sz="4" w:space="0"/>
                    <w:left w:val="single" w:color="auto" w:sz="4" w:space="0"/>
                    <w:bottom w:val="single" w:color="auto" w:sz="4" w:space="0"/>
                    <w:right w:val="single" w:color="auto" w:sz="4" w:space="0"/>
                  </w:tcBorders>
                </w:tcPr>
                <w:p w14:paraId="5FF9C4D4">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80" w:type="dxa"/>
                  <w:tcBorders>
                    <w:top w:val="single" w:color="auto" w:sz="4" w:space="0"/>
                    <w:left w:val="single" w:color="auto" w:sz="4" w:space="0"/>
                    <w:bottom w:val="single" w:color="auto" w:sz="4" w:space="0"/>
                    <w:right w:val="single" w:color="auto" w:sz="4" w:space="0"/>
                  </w:tcBorders>
                  <w:vAlign w:val="bottom"/>
                </w:tcPr>
                <w:p w14:paraId="46AA2EE6">
                  <w:pPr>
                    <w:spacing w:line="0" w:lineRule="atLeast"/>
                    <w:jc w:val="center"/>
                    <w:rPr>
                      <w:rFonts w:hint="eastAsia" w:ascii="宋体" w:hAnsi="宋体" w:eastAsia="宋体" w:cs="宋体"/>
                      <w:color w:val="auto"/>
                      <w:sz w:val="24"/>
                      <w:szCs w:val="24"/>
                    </w:rPr>
                  </w:pPr>
                </w:p>
              </w:tc>
            </w:tr>
            <w:tr w14:paraId="23F9A5CD">
              <w:tblPrEx>
                <w:tblCellMar>
                  <w:top w:w="0" w:type="dxa"/>
                  <w:left w:w="108" w:type="dxa"/>
                  <w:bottom w:w="0" w:type="dxa"/>
                  <w:right w:w="108" w:type="dxa"/>
                </w:tblCellMar>
              </w:tblPrEx>
              <w:trPr>
                <w:trHeight w:val="329" w:hRule="atLeast"/>
              </w:trPr>
              <w:tc>
                <w:tcPr>
                  <w:tcW w:w="839" w:type="dxa"/>
                  <w:tcBorders>
                    <w:top w:val="single" w:color="auto" w:sz="4" w:space="0"/>
                    <w:left w:val="single" w:color="auto" w:sz="4" w:space="0"/>
                    <w:bottom w:val="single" w:color="auto" w:sz="4" w:space="0"/>
                    <w:right w:val="single" w:color="auto" w:sz="4" w:space="0"/>
                  </w:tcBorders>
                </w:tcPr>
                <w:p w14:paraId="29FF3189">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424" w:type="dxa"/>
                  <w:tcBorders>
                    <w:top w:val="single" w:color="auto" w:sz="4" w:space="0"/>
                    <w:left w:val="single" w:color="auto" w:sz="4" w:space="0"/>
                    <w:bottom w:val="single" w:color="auto" w:sz="4" w:space="0"/>
                    <w:right w:val="single" w:color="auto" w:sz="4" w:space="0"/>
                  </w:tcBorders>
                  <w:vAlign w:val="bottom"/>
                </w:tcPr>
                <w:p w14:paraId="26EAB1CD">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扩张器（一级）</w:t>
                  </w:r>
                </w:p>
              </w:tc>
              <w:tc>
                <w:tcPr>
                  <w:tcW w:w="3029" w:type="dxa"/>
                  <w:tcBorders>
                    <w:top w:val="single" w:color="auto" w:sz="4" w:space="0"/>
                    <w:left w:val="single" w:color="auto" w:sz="4" w:space="0"/>
                    <w:bottom w:val="single" w:color="auto" w:sz="4" w:space="0"/>
                    <w:right w:val="single" w:color="auto" w:sz="4" w:space="0"/>
                  </w:tcBorders>
                  <w:vAlign w:val="bottom"/>
                </w:tcPr>
                <w:p w14:paraId="49C23CAF">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φ5mm*200mm</w:t>
                  </w:r>
                </w:p>
              </w:tc>
              <w:tc>
                <w:tcPr>
                  <w:tcW w:w="978" w:type="dxa"/>
                  <w:tcBorders>
                    <w:top w:val="single" w:color="auto" w:sz="4" w:space="0"/>
                    <w:left w:val="single" w:color="auto" w:sz="4" w:space="0"/>
                    <w:bottom w:val="single" w:color="auto" w:sz="4" w:space="0"/>
                    <w:right w:val="single" w:color="auto" w:sz="4" w:space="0"/>
                  </w:tcBorders>
                  <w:vAlign w:val="bottom"/>
                </w:tcPr>
                <w:p w14:paraId="43B11EC5">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80" w:type="dxa"/>
                  <w:tcBorders>
                    <w:top w:val="single" w:color="auto" w:sz="4" w:space="0"/>
                    <w:left w:val="single" w:color="auto" w:sz="4" w:space="0"/>
                    <w:bottom w:val="single" w:color="auto" w:sz="4" w:space="0"/>
                    <w:right w:val="single" w:color="auto" w:sz="4" w:space="0"/>
                  </w:tcBorders>
                  <w:vAlign w:val="bottom"/>
                </w:tcPr>
                <w:p w14:paraId="2D837268">
                  <w:pPr>
                    <w:spacing w:line="0" w:lineRule="atLeast"/>
                    <w:jc w:val="center"/>
                    <w:rPr>
                      <w:rFonts w:hint="eastAsia" w:ascii="宋体" w:hAnsi="宋体" w:eastAsia="宋体" w:cs="宋体"/>
                      <w:color w:val="auto"/>
                      <w:sz w:val="24"/>
                      <w:szCs w:val="24"/>
                    </w:rPr>
                  </w:pPr>
                </w:p>
              </w:tc>
            </w:tr>
            <w:tr w14:paraId="4B16DC93">
              <w:tblPrEx>
                <w:tblCellMar>
                  <w:top w:w="0" w:type="dxa"/>
                  <w:left w:w="108" w:type="dxa"/>
                  <w:bottom w:w="0" w:type="dxa"/>
                  <w:right w:w="108" w:type="dxa"/>
                </w:tblCellMar>
              </w:tblPrEx>
              <w:trPr>
                <w:trHeight w:val="329" w:hRule="atLeast"/>
              </w:trPr>
              <w:tc>
                <w:tcPr>
                  <w:tcW w:w="839" w:type="dxa"/>
                  <w:tcBorders>
                    <w:top w:val="single" w:color="auto" w:sz="4" w:space="0"/>
                    <w:left w:val="single" w:color="auto" w:sz="4" w:space="0"/>
                    <w:bottom w:val="single" w:color="auto" w:sz="4" w:space="0"/>
                    <w:right w:val="single" w:color="auto" w:sz="4" w:space="0"/>
                  </w:tcBorders>
                </w:tcPr>
                <w:p w14:paraId="48976847">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424" w:type="dxa"/>
                  <w:tcBorders>
                    <w:top w:val="single" w:color="auto" w:sz="4" w:space="0"/>
                    <w:left w:val="single" w:color="auto" w:sz="4" w:space="0"/>
                    <w:bottom w:val="single" w:color="auto" w:sz="4" w:space="0"/>
                    <w:right w:val="single" w:color="auto" w:sz="4" w:space="0"/>
                  </w:tcBorders>
                  <w:vAlign w:val="bottom"/>
                </w:tcPr>
                <w:p w14:paraId="092102F3">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扩张器（二级）</w:t>
                  </w:r>
                </w:p>
              </w:tc>
              <w:tc>
                <w:tcPr>
                  <w:tcW w:w="3029" w:type="dxa"/>
                  <w:tcBorders>
                    <w:top w:val="single" w:color="auto" w:sz="4" w:space="0"/>
                    <w:left w:val="single" w:color="auto" w:sz="4" w:space="0"/>
                    <w:bottom w:val="single" w:color="auto" w:sz="4" w:space="0"/>
                    <w:right w:val="single" w:color="auto" w:sz="4" w:space="0"/>
                  </w:tcBorders>
                  <w:vAlign w:val="bottom"/>
                </w:tcPr>
                <w:p w14:paraId="259527BA">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φ7mm*185mm</w:t>
                  </w:r>
                </w:p>
              </w:tc>
              <w:tc>
                <w:tcPr>
                  <w:tcW w:w="978" w:type="dxa"/>
                  <w:tcBorders>
                    <w:top w:val="single" w:color="auto" w:sz="4" w:space="0"/>
                    <w:left w:val="single" w:color="auto" w:sz="4" w:space="0"/>
                    <w:bottom w:val="single" w:color="auto" w:sz="4" w:space="0"/>
                    <w:right w:val="single" w:color="auto" w:sz="4" w:space="0"/>
                  </w:tcBorders>
                  <w:vAlign w:val="bottom"/>
                </w:tcPr>
                <w:p w14:paraId="1E82A516">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80" w:type="dxa"/>
                  <w:tcBorders>
                    <w:top w:val="single" w:color="auto" w:sz="4" w:space="0"/>
                    <w:left w:val="single" w:color="auto" w:sz="4" w:space="0"/>
                    <w:bottom w:val="single" w:color="auto" w:sz="4" w:space="0"/>
                    <w:right w:val="single" w:color="auto" w:sz="4" w:space="0"/>
                  </w:tcBorders>
                  <w:vAlign w:val="bottom"/>
                </w:tcPr>
                <w:p w14:paraId="4D69273B">
                  <w:pPr>
                    <w:spacing w:line="0" w:lineRule="atLeast"/>
                    <w:jc w:val="center"/>
                    <w:rPr>
                      <w:rFonts w:hint="eastAsia" w:ascii="宋体" w:hAnsi="宋体" w:eastAsia="宋体" w:cs="宋体"/>
                      <w:color w:val="auto"/>
                      <w:sz w:val="24"/>
                      <w:szCs w:val="24"/>
                    </w:rPr>
                  </w:pPr>
                </w:p>
              </w:tc>
            </w:tr>
            <w:tr w14:paraId="154C0DED">
              <w:tblPrEx>
                <w:tblCellMar>
                  <w:top w:w="0" w:type="dxa"/>
                  <w:left w:w="108" w:type="dxa"/>
                  <w:bottom w:w="0" w:type="dxa"/>
                  <w:right w:w="108" w:type="dxa"/>
                </w:tblCellMar>
              </w:tblPrEx>
              <w:trPr>
                <w:trHeight w:val="329" w:hRule="atLeast"/>
              </w:trPr>
              <w:tc>
                <w:tcPr>
                  <w:tcW w:w="839" w:type="dxa"/>
                  <w:tcBorders>
                    <w:top w:val="single" w:color="auto" w:sz="4" w:space="0"/>
                    <w:left w:val="single" w:color="auto" w:sz="4" w:space="0"/>
                    <w:bottom w:val="single" w:color="auto" w:sz="4" w:space="0"/>
                    <w:right w:val="single" w:color="auto" w:sz="4" w:space="0"/>
                  </w:tcBorders>
                </w:tcPr>
                <w:p w14:paraId="516EF2D1">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2424" w:type="dxa"/>
                  <w:tcBorders>
                    <w:top w:val="single" w:color="auto" w:sz="4" w:space="0"/>
                    <w:left w:val="single" w:color="auto" w:sz="4" w:space="0"/>
                    <w:bottom w:val="single" w:color="auto" w:sz="4" w:space="0"/>
                    <w:right w:val="single" w:color="auto" w:sz="4" w:space="0"/>
                  </w:tcBorders>
                  <w:vAlign w:val="bottom"/>
                </w:tcPr>
                <w:p w14:paraId="678B96A7">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扩张器（三级）</w:t>
                  </w:r>
                </w:p>
              </w:tc>
              <w:tc>
                <w:tcPr>
                  <w:tcW w:w="3029" w:type="dxa"/>
                  <w:tcBorders>
                    <w:top w:val="single" w:color="auto" w:sz="4" w:space="0"/>
                    <w:left w:val="single" w:color="auto" w:sz="4" w:space="0"/>
                    <w:bottom w:val="single" w:color="auto" w:sz="4" w:space="0"/>
                    <w:right w:val="single" w:color="auto" w:sz="4" w:space="0"/>
                  </w:tcBorders>
                  <w:vAlign w:val="bottom"/>
                </w:tcPr>
                <w:p w14:paraId="1EA36817">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φ9mm*170mm</w:t>
                  </w:r>
                </w:p>
              </w:tc>
              <w:tc>
                <w:tcPr>
                  <w:tcW w:w="978" w:type="dxa"/>
                  <w:tcBorders>
                    <w:top w:val="single" w:color="auto" w:sz="4" w:space="0"/>
                    <w:left w:val="single" w:color="auto" w:sz="4" w:space="0"/>
                    <w:bottom w:val="single" w:color="auto" w:sz="4" w:space="0"/>
                    <w:right w:val="single" w:color="auto" w:sz="4" w:space="0"/>
                  </w:tcBorders>
                  <w:vAlign w:val="bottom"/>
                </w:tcPr>
                <w:p w14:paraId="1CF31E18">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80" w:type="dxa"/>
                  <w:tcBorders>
                    <w:top w:val="single" w:color="auto" w:sz="4" w:space="0"/>
                    <w:left w:val="single" w:color="auto" w:sz="4" w:space="0"/>
                    <w:bottom w:val="single" w:color="auto" w:sz="4" w:space="0"/>
                    <w:right w:val="single" w:color="auto" w:sz="4" w:space="0"/>
                  </w:tcBorders>
                  <w:vAlign w:val="bottom"/>
                </w:tcPr>
                <w:p w14:paraId="29EACE3E">
                  <w:pPr>
                    <w:spacing w:line="0" w:lineRule="atLeast"/>
                    <w:jc w:val="center"/>
                    <w:rPr>
                      <w:rFonts w:hint="eastAsia" w:ascii="宋体" w:hAnsi="宋体" w:eastAsia="宋体" w:cs="宋体"/>
                      <w:color w:val="auto"/>
                      <w:sz w:val="24"/>
                      <w:szCs w:val="24"/>
                    </w:rPr>
                  </w:pPr>
                </w:p>
              </w:tc>
            </w:tr>
            <w:tr w14:paraId="32E08555">
              <w:tblPrEx>
                <w:tblCellMar>
                  <w:top w:w="0" w:type="dxa"/>
                  <w:left w:w="108" w:type="dxa"/>
                  <w:bottom w:w="0" w:type="dxa"/>
                  <w:right w:w="108" w:type="dxa"/>
                </w:tblCellMar>
              </w:tblPrEx>
              <w:trPr>
                <w:trHeight w:val="329" w:hRule="atLeast"/>
              </w:trPr>
              <w:tc>
                <w:tcPr>
                  <w:tcW w:w="839" w:type="dxa"/>
                  <w:tcBorders>
                    <w:top w:val="single" w:color="auto" w:sz="4" w:space="0"/>
                    <w:left w:val="single" w:color="auto" w:sz="4" w:space="0"/>
                    <w:bottom w:val="single" w:color="auto" w:sz="4" w:space="0"/>
                    <w:right w:val="single" w:color="auto" w:sz="4" w:space="0"/>
                  </w:tcBorders>
                </w:tcPr>
                <w:p w14:paraId="2315FE06">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2424" w:type="dxa"/>
                  <w:tcBorders>
                    <w:top w:val="single" w:color="auto" w:sz="4" w:space="0"/>
                    <w:left w:val="single" w:color="auto" w:sz="4" w:space="0"/>
                    <w:bottom w:val="single" w:color="auto" w:sz="4" w:space="0"/>
                    <w:right w:val="single" w:color="auto" w:sz="4" w:space="0"/>
                  </w:tcBorders>
                  <w:vAlign w:val="bottom"/>
                </w:tcPr>
                <w:p w14:paraId="1C2883DB">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扩张器（四级）</w:t>
                  </w:r>
                </w:p>
              </w:tc>
              <w:tc>
                <w:tcPr>
                  <w:tcW w:w="3029" w:type="dxa"/>
                  <w:tcBorders>
                    <w:top w:val="single" w:color="auto" w:sz="4" w:space="0"/>
                    <w:left w:val="single" w:color="auto" w:sz="4" w:space="0"/>
                    <w:bottom w:val="single" w:color="auto" w:sz="4" w:space="0"/>
                    <w:right w:val="single" w:color="auto" w:sz="4" w:space="0"/>
                  </w:tcBorders>
                  <w:vAlign w:val="bottom"/>
                </w:tcPr>
                <w:p w14:paraId="4D22D62D">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φ11mm155mm</w:t>
                  </w:r>
                </w:p>
              </w:tc>
              <w:tc>
                <w:tcPr>
                  <w:tcW w:w="978" w:type="dxa"/>
                  <w:tcBorders>
                    <w:top w:val="single" w:color="auto" w:sz="4" w:space="0"/>
                    <w:left w:val="single" w:color="auto" w:sz="4" w:space="0"/>
                    <w:bottom w:val="single" w:color="auto" w:sz="4" w:space="0"/>
                    <w:right w:val="single" w:color="auto" w:sz="4" w:space="0"/>
                  </w:tcBorders>
                  <w:vAlign w:val="bottom"/>
                </w:tcPr>
                <w:p w14:paraId="697E1590">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80" w:type="dxa"/>
                  <w:tcBorders>
                    <w:top w:val="single" w:color="auto" w:sz="4" w:space="0"/>
                    <w:left w:val="single" w:color="auto" w:sz="4" w:space="0"/>
                    <w:bottom w:val="single" w:color="auto" w:sz="4" w:space="0"/>
                    <w:right w:val="single" w:color="auto" w:sz="4" w:space="0"/>
                  </w:tcBorders>
                  <w:vAlign w:val="bottom"/>
                </w:tcPr>
                <w:p w14:paraId="578D9068">
                  <w:pPr>
                    <w:spacing w:line="0" w:lineRule="atLeast"/>
                    <w:jc w:val="center"/>
                    <w:rPr>
                      <w:rFonts w:hint="eastAsia" w:ascii="宋体" w:hAnsi="宋体" w:eastAsia="宋体" w:cs="宋体"/>
                      <w:color w:val="auto"/>
                      <w:sz w:val="24"/>
                      <w:szCs w:val="24"/>
                    </w:rPr>
                  </w:pPr>
                </w:p>
              </w:tc>
            </w:tr>
            <w:tr w14:paraId="12B9DCCC">
              <w:tblPrEx>
                <w:tblCellMar>
                  <w:top w:w="0" w:type="dxa"/>
                  <w:left w:w="108" w:type="dxa"/>
                  <w:bottom w:w="0" w:type="dxa"/>
                  <w:right w:w="108" w:type="dxa"/>
                </w:tblCellMar>
              </w:tblPrEx>
              <w:trPr>
                <w:trHeight w:val="329" w:hRule="atLeast"/>
              </w:trPr>
              <w:tc>
                <w:tcPr>
                  <w:tcW w:w="839" w:type="dxa"/>
                  <w:tcBorders>
                    <w:top w:val="single" w:color="auto" w:sz="4" w:space="0"/>
                    <w:left w:val="single" w:color="auto" w:sz="4" w:space="0"/>
                    <w:bottom w:val="single" w:color="auto" w:sz="4" w:space="0"/>
                    <w:right w:val="single" w:color="auto" w:sz="4" w:space="0"/>
                  </w:tcBorders>
                </w:tcPr>
                <w:p w14:paraId="5D292CCB">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2424" w:type="dxa"/>
                  <w:tcBorders>
                    <w:top w:val="single" w:color="auto" w:sz="4" w:space="0"/>
                    <w:left w:val="single" w:color="auto" w:sz="4" w:space="0"/>
                    <w:bottom w:val="single" w:color="auto" w:sz="4" w:space="0"/>
                    <w:right w:val="single" w:color="auto" w:sz="4" w:space="0"/>
                  </w:tcBorders>
                  <w:vAlign w:val="bottom"/>
                </w:tcPr>
                <w:p w14:paraId="1212CF95">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扩张器（五级）</w:t>
                  </w:r>
                </w:p>
              </w:tc>
              <w:tc>
                <w:tcPr>
                  <w:tcW w:w="3029" w:type="dxa"/>
                  <w:tcBorders>
                    <w:top w:val="single" w:color="auto" w:sz="4" w:space="0"/>
                    <w:left w:val="single" w:color="auto" w:sz="4" w:space="0"/>
                    <w:bottom w:val="single" w:color="auto" w:sz="4" w:space="0"/>
                    <w:right w:val="single" w:color="auto" w:sz="4" w:space="0"/>
                  </w:tcBorders>
                  <w:vAlign w:val="bottom"/>
                </w:tcPr>
                <w:p w14:paraId="24D19147">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φ13mm*140mm</w:t>
                  </w:r>
                </w:p>
              </w:tc>
              <w:tc>
                <w:tcPr>
                  <w:tcW w:w="978" w:type="dxa"/>
                  <w:tcBorders>
                    <w:top w:val="single" w:color="auto" w:sz="4" w:space="0"/>
                    <w:left w:val="single" w:color="auto" w:sz="4" w:space="0"/>
                    <w:bottom w:val="single" w:color="auto" w:sz="4" w:space="0"/>
                    <w:right w:val="single" w:color="auto" w:sz="4" w:space="0"/>
                  </w:tcBorders>
                  <w:vAlign w:val="bottom"/>
                </w:tcPr>
                <w:p w14:paraId="0CCDC3A1">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80" w:type="dxa"/>
                  <w:tcBorders>
                    <w:top w:val="single" w:color="auto" w:sz="4" w:space="0"/>
                    <w:left w:val="single" w:color="auto" w:sz="4" w:space="0"/>
                    <w:bottom w:val="single" w:color="auto" w:sz="4" w:space="0"/>
                    <w:right w:val="single" w:color="auto" w:sz="4" w:space="0"/>
                  </w:tcBorders>
                  <w:vAlign w:val="bottom"/>
                </w:tcPr>
                <w:p w14:paraId="7CB2E226">
                  <w:pPr>
                    <w:spacing w:line="0" w:lineRule="atLeast"/>
                    <w:jc w:val="center"/>
                    <w:rPr>
                      <w:rFonts w:hint="eastAsia" w:ascii="宋体" w:hAnsi="宋体" w:eastAsia="宋体" w:cs="宋体"/>
                      <w:color w:val="auto"/>
                      <w:sz w:val="24"/>
                      <w:szCs w:val="24"/>
                    </w:rPr>
                  </w:pPr>
                </w:p>
              </w:tc>
            </w:tr>
            <w:tr w14:paraId="61B867EC">
              <w:tblPrEx>
                <w:tblCellMar>
                  <w:top w:w="0" w:type="dxa"/>
                  <w:left w:w="108" w:type="dxa"/>
                  <w:bottom w:w="0" w:type="dxa"/>
                  <w:right w:w="108" w:type="dxa"/>
                </w:tblCellMar>
              </w:tblPrEx>
              <w:trPr>
                <w:trHeight w:val="329" w:hRule="atLeast"/>
              </w:trPr>
              <w:tc>
                <w:tcPr>
                  <w:tcW w:w="839" w:type="dxa"/>
                  <w:tcBorders>
                    <w:top w:val="single" w:color="auto" w:sz="4" w:space="0"/>
                    <w:left w:val="single" w:color="auto" w:sz="4" w:space="0"/>
                    <w:bottom w:val="single" w:color="auto" w:sz="4" w:space="0"/>
                    <w:right w:val="single" w:color="auto" w:sz="4" w:space="0"/>
                  </w:tcBorders>
                </w:tcPr>
                <w:p w14:paraId="0F397CA6">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2424" w:type="dxa"/>
                  <w:tcBorders>
                    <w:top w:val="single" w:color="auto" w:sz="4" w:space="0"/>
                    <w:left w:val="single" w:color="auto" w:sz="4" w:space="0"/>
                    <w:bottom w:val="single" w:color="auto" w:sz="4" w:space="0"/>
                    <w:right w:val="single" w:color="auto" w:sz="4" w:space="0"/>
                  </w:tcBorders>
                  <w:vAlign w:val="bottom"/>
                </w:tcPr>
                <w:p w14:paraId="62F84F52">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定位针</w:t>
                  </w:r>
                </w:p>
              </w:tc>
              <w:tc>
                <w:tcPr>
                  <w:tcW w:w="3029" w:type="dxa"/>
                  <w:tcBorders>
                    <w:top w:val="single" w:color="auto" w:sz="4" w:space="0"/>
                    <w:left w:val="single" w:color="auto" w:sz="4" w:space="0"/>
                    <w:bottom w:val="single" w:color="auto" w:sz="4" w:space="0"/>
                    <w:right w:val="single" w:color="auto" w:sz="4" w:space="0"/>
                  </w:tcBorders>
                  <w:vAlign w:val="bottom"/>
                </w:tcPr>
                <w:p w14:paraId="53BD70C5">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Φ5.0*210mm</w:t>
                  </w:r>
                </w:p>
              </w:tc>
              <w:tc>
                <w:tcPr>
                  <w:tcW w:w="978" w:type="dxa"/>
                  <w:tcBorders>
                    <w:top w:val="single" w:color="auto" w:sz="4" w:space="0"/>
                    <w:left w:val="single" w:color="auto" w:sz="4" w:space="0"/>
                    <w:bottom w:val="single" w:color="auto" w:sz="4" w:space="0"/>
                    <w:right w:val="single" w:color="auto" w:sz="4" w:space="0"/>
                  </w:tcBorders>
                  <w:vAlign w:val="bottom"/>
                </w:tcPr>
                <w:p w14:paraId="79048A31">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80" w:type="dxa"/>
                  <w:tcBorders>
                    <w:top w:val="single" w:color="auto" w:sz="4" w:space="0"/>
                    <w:left w:val="single" w:color="auto" w:sz="4" w:space="0"/>
                    <w:bottom w:val="single" w:color="auto" w:sz="4" w:space="0"/>
                    <w:right w:val="single" w:color="auto" w:sz="4" w:space="0"/>
                  </w:tcBorders>
                  <w:vAlign w:val="bottom"/>
                </w:tcPr>
                <w:p w14:paraId="62029647">
                  <w:pPr>
                    <w:spacing w:line="0" w:lineRule="atLeast"/>
                    <w:jc w:val="center"/>
                    <w:rPr>
                      <w:rFonts w:hint="eastAsia" w:ascii="宋体" w:hAnsi="宋体" w:eastAsia="宋体" w:cs="宋体"/>
                      <w:color w:val="auto"/>
                      <w:sz w:val="24"/>
                      <w:szCs w:val="24"/>
                    </w:rPr>
                  </w:pPr>
                </w:p>
              </w:tc>
            </w:tr>
            <w:tr w14:paraId="32986239">
              <w:tblPrEx>
                <w:tblCellMar>
                  <w:top w:w="0" w:type="dxa"/>
                  <w:left w:w="108" w:type="dxa"/>
                  <w:bottom w:w="0" w:type="dxa"/>
                  <w:right w:w="108" w:type="dxa"/>
                </w:tblCellMar>
              </w:tblPrEx>
              <w:trPr>
                <w:trHeight w:val="329" w:hRule="atLeast"/>
              </w:trPr>
              <w:tc>
                <w:tcPr>
                  <w:tcW w:w="839" w:type="dxa"/>
                  <w:tcBorders>
                    <w:top w:val="single" w:color="auto" w:sz="4" w:space="0"/>
                    <w:left w:val="single" w:color="auto" w:sz="4" w:space="0"/>
                    <w:bottom w:val="single" w:color="auto" w:sz="4" w:space="0"/>
                    <w:right w:val="single" w:color="auto" w:sz="4" w:space="0"/>
                  </w:tcBorders>
                </w:tcPr>
                <w:p w14:paraId="15212629">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2424" w:type="dxa"/>
                  <w:tcBorders>
                    <w:top w:val="single" w:color="auto" w:sz="4" w:space="0"/>
                    <w:left w:val="single" w:color="auto" w:sz="4" w:space="0"/>
                    <w:bottom w:val="single" w:color="auto" w:sz="4" w:space="0"/>
                    <w:right w:val="single" w:color="auto" w:sz="4" w:space="0"/>
                  </w:tcBorders>
                  <w:vAlign w:val="bottom"/>
                </w:tcPr>
                <w:p w14:paraId="5A9271B6">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骨用牵开器</w:t>
                  </w:r>
                </w:p>
              </w:tc>
              <w:tc>
                <w:tcPr>
                  <w:tcW w:w="3029" w:type="dxa"/>
                  <w:tcBorders>
                    <w:top w:val="single" w:color="auto" w:sz="4" w:space="0"/>
                    <w:left w:val="single" w:color="auto" w:sz="4" w:space="0"/>
                    <w:bottom w:val="single" w:color="auto" w:sz="4" w:space="0"/>
                    <w:right w:val="single" w:color="auto" w:sz="4" w:space="0"/>
                  </w:tcBorders>
                  <w:vAlign w:val="bottom"/>
                </w:tcPr>
                <w:p w14:paraId="4FFC5B64">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φ13mm×70mm</w:t>
                  </w:r>
                </w:p>
              </w:tc>
              <w:tc>
                <w:tcPr>
                  <w:tcW w:w="978" w:type="dxa"/>
                  <w:tcBorders>
                    <w:top w:val="single" w:color="auto" w:sz="4" w:space="0"/>
                    <w:left w:val="single" w:color="auto" w:sz="4" w:space="0"/>
                    <w:bottom w:val="single" w:color="auto" w:sz="4" w:space="0"/>
                    <w:right w:val="single" w:color="auto" w:sz="4" w:space="0"/>
                  </w:tcBorders>
                  <w:vAlign w:val="bottom"/>
                </w:tcPr>
                <w:p w14:paraId="7BEA50A0">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80" w:type="dxa"/>
                  <w:tcBorders>
                    <w:top w:val="single" w:color="auto" w:sz="4" w:space="0"/>
                    <w:left w:val="single" w:color="auto" w:sz="4" w:space="0"/>
                    <w:bottom w:val="single" w:color="auto" w:sz="4" w:space="0"/>
                    <w:right w:val="single" w:color="auto" w:sz="4" w:space="0"/>
                  </w:tcBorders>
                  <w:vAlign w:val="bottom"/>
                </w:tcPr>
                <w:p w14:paraId="27476A3C">
                  <w:pPr>
                    <w:spacing w:line="0" w:lineRule="atLeast"/>
                    <w:jc w:val="center"/>
                    <w:rPr>
                      <w:rFonts w:hint="eastAsia" w:ascii="宋体" w:hAnsi="宋体" w:eastAsia="宋体" w:cs="宋体"/>
                      <w:color w:val="auto"/>
                      <w:sz w:val="24"/>
                      <w:szCs w:val="24"/>
                    </w:rPr>
                  </w:pPr>
                </w:p>
              </w:tc>
            </w:tr>
            <w:tr w14:paraId="5B5A2312">
              <w:tblPrEx>
                <w:tblCellMar>
                  <w:top w:w="0" w:type="dxa"/>
                  <w:left w:w="108" w:type="dxa"/>
                  <w:bottom w:w="0" w:type="dxa"/>
                  <w:right w:w="108" w:type="dxa"/>
                </w:tblCellMar>
              </w:tblPrEx>
              <w:trPr>
                <w:trHeight w:val="329" w:hRule="atLeast"/>
              </w:trPr>
              <w:tc>
                <w:tcPr>
                  <w:tcW w:w="839" w:type="dxa"/>
                  <w:tcBorders>
                    <w:top w:val="single" w:color="auto" w:sz="4" w:space="0"/>
                    <w:left w:val="single" w:color="auto" w:sz="4" w:space="0"/>
                    <w:bottom w:val="single" w:color="auto" w:sz="4" w:space="0"/>
                    <w:right w:val="single" w:color="auto" w:sz="4" w:space="0"/>
                  </w:tcBorders>
                </w:tcPr>
                <w:p w14:paraId="20DBBE1A">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2424" w:type="dxa"/>
                  <w:tcBorders>
                    <w:top w:val="single" w:color="auto" w:sz="4" w:space="0"/>
                    <w:left w:val="single" w:color="auto" w:sz="4" w:space="0"/>
                    <w:bottom w:val="single" w:color="auto" w:sz="4" w:space="0"/>
                    <w:right w:val="single" w:color="auto" w:sz="4" w:space="0"/>
                  </w:tcBorders>
                  <w:vAlign w:val="bottom"/>
                </w:tcPr>
                <w:p w14:paraId="3A6B27FE">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骨用牵开器</w:t>
                  </w:r>
                </w:p>
              </w:tc>
              <w:tc>
                <w:tcPr>
                  <w:tcW w:w="3029" w:type="dxa"/>
                  <w:tcBorders>
                    <w:top w:val="single" w:color="auto" w:sz="4" w:space="0"/>
                    <w:left w:val="single" w:color="auto" w:sz="4" w:space="0"/>
                    <w:bottom w:val="single" w:color="auto" w:sz="4" w:space="0"/>
                    <w:right w:val="single" w:color="auto" w:sz="4" w:space="0"/>
                  </w:tcBorders>
                  <w:vAlign w:val="bottom"/>
                </w:tcPr>
                <w:p w14:paraId="7F4D044A">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φ13mm×60mm</w:t>
                  </w:r>
                </w:p>
              </w:tc>
              <w:tc>
                <w:tcPr>
                  <w:tcW w:w="978" w:type="dxa"/>
                  <w:tcBorders>
                    <w:top w:val="single" w:color="auto" w:sz="4" w:space="0"/>
                    <w:left w:val="single" w:color="auto" w:sz="4" w:space="0"/>
                    <w:bottom w:val="single" w:color="auto" w:sz="4" w:space="0"/>
                    <w:right w:val="single" w:color="auto" w:sz="4" w:space="0"/>
                  </w:tcBorders>
                  <w:vAlign w:val="bottom"/>
                </w:tcPr>
                <w:p w14:paraId="50CE9637">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80" w:type="dxa"/>
                  <w:tcBorders>
                    <w:top w:val="single" w:color="auto" w:sz="4" w:space="0"/>
                    <w:left w:val="single" w:color="auto" w:sz="4" w:space="0"/>
                    <w:bottom w:val="single" w:color="auto" w:sz="4" w:space="0"/>
                    <w:right w:val="single" w:color="auto" w:sz="4" w:space="0"/>
                  </w:tcBorders>
                  <w:vAlign w:val="bottom"/>
                </w:tcPr>
                <w:p w14:paraId="6ABA73BF">
                  <w:pPr>
                    <w:spacing w:line="0" w:lineRule="atLeast"/>
                    <w:jc w:val="center"/>
                    <w:rPr>
                      <w:rFonts w:hint="eastAsia" w:ascii="宋体" w:hAnsi="宋体" w:eastAsia="宋体" w:cs="宋体"/>
                      <w:color w:val="auto"/>
                      <w:sz w:val="24"/>
                      <w:szCs w:val="24"/>
                    </w:rPr>
                  </w:pPr>
                </w:p>
              </w:tc>
            </w:tr>
            <w:tr w14:paraId="4B1D2056">
              <w:tblPrEx>
                <w:tblCellMar>
                  <w:top w:w="0" w:type="dxa"/>
                  <w:left w:w="108" w:type="dxa"/>
                  <w:bottom w:w="0" w:type="dxa"/>
                  <w:right w:w="108" w:type="dxa"/>
                </w:tblCellMar>
              </w:tblPrEx>
              <w:trPr>
                <w:trHeight w:val="329" w:hRule="atLeast"/>
              </w:trPr>
              <w:tc>
                <w:tcPr>
                  <w:tcW w:w="839" w:type="dxa"/>
                  <w:tcBorders>
                    <w:top w:val="single" w:color="auto" w:sz="4" w:space="0"/>
                    <w:left w:val="single" w:color="auto" w:sz="4" w:space="0"/>
                    <w:bottom w:val="single" w:color="auto" w:sz="4" w:space="0"/>
                    <w:right w:val="single" w:color="auto" w:sz="4" w:space="0"/>
                  </w:tcBorders>
                </w:tcPr>
                <w:p w14:paraId="1C4DEE64">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2424" w:type="dxa"/>
                  <w:tcBorders>
                    <w:top w:val="single" w:color="auto" w:sz="4" w:space="0"/>
                    <w:left w:val="single" w:color="auto" w:sz="4" w:space="0"/>
                    <w:bottom w:val="single" w:color="auto" w:sz="4" w:space="0"/>
                    <w:right w:val="single" w:color="auto" w:sz="4" w:space="0"/>
                  </w:tcBorders>
                  <w:vAlign w:val="bottom"/>
                </w:tcPr>
                <w:p w14:paraId="0A33B52C">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剥离器（剥离肌肉）</w:t>
                  </w:r>
                </w:p>
              </w:tc>
              <w:tc>
                <w:tcPr>
                  <w:tcW w:w="3029" w:type="dxa"/>
                  <w:tcBorders>
                    <w:top w:val="single" w:color="auto" w:sz="4" w:space="0"/>
                    <w:left w:val="single" w:color="auto" w:sz="4" w:space="0"/>
                    <w:bottom w:val="single" w:color="auto" w:sz="4" w:space="0"/>
                    <w:right w:val="single" w:color="auto" w:sz="4" w:space="0"/>
                  </w:tcBorders>
                  <w:vAlign w:val="bottom"/>
                </w:tcPr>
                <w:p w14:paraId="6C0AB1C6">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160mm</w:t>
                  </w:r>
                </w:p>
              </w:tc>
              <w:tc>
                <w:tcPr>
                  <w:tcW w:w="978" w:type="dxa"/>
                  <w:tcBorders>
                    <w:top w:val="single" w:color="auto" w:sz="4" w:space="0"/>
                    <w:left w:val="single" w:color="auto" w:sz="4" w:space="0"/>
                    <w:bottom w:val="single" w:color="auto" w:sz="4" w:space="0"/>
                    <w:right w:val="single" w:color="auto" w:sz="4" w:space="0"/>
                  </w:tcBorders>
                  <w:vAlign w:val="bottom"/>
                </w:tcPr>
                <w:p w14:paraId="28AE2E9D">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80" w:type="dxa"/>
                  <w:tcBorders>
                    <w:top w:val="single" w:color="auto" w:sz="4" w:space="0"/>
                    <w:left w:val="single" w:color="auto" w:sz="4" w:space="0"/>
                    <w:bottom w:val="single" w:color="auto" w:sz="4" w:space="0"/>
                    <w:right w:val="single" w:color="auto" w:sz="4" w:space="0"/>
                  </w:tcBorders>
                  <w:vAlign w:val="bottom"/>
                </w:tcPr>
                <w:p w14:paraId="6428CA58">
                  <w:pPr>
                    <w:spacing w:line="0" w:lineRule="atLeast"/>
                    <w:jc w:val="center"/>
                    <w:rPr>
                      <w:rFonts w:hint="eastAsia" w:ascii="宋体" w:hAnsi="宋体" w:eastAsia="宋体" w:cs="宋体"/>
                      <w:color w:val="auto"/>
                      <w:sz w:val="24"/>
                      <w:szCs w:val="24"/>
                    </w:rPr>
                  </w:pPr>
                </w:p>
              </w:tc>
            </w:tr>
            <w:tr w14:paraId="5381751D">
              <w:tblPrEx>
                <w:tblCellMar>
                  <w:top w:w="0" w:type="dxa"/>
                  <w:left w:w="108" w:type="dxa"/>
                  <w:bottom w:w="0" w:type="dxa"/>
                  <w:right w:w="108" w:type="dxa"/>
                </w:tblCellMar>
              </w:tblPrEx>
              <w:trPr>
                <w:trHeight w:val="329" w:hRule="atLeast"/>
              </w:trPr>
              <w:tc>
                <w:tcPr>
                  <w:tcW w:w="839" w:type="dxa"/>
                  <w:tcBorders>
                    <w:top w:val="single" w:color="auto" w:sz="4" w:space="0"/>
                    <w:left w:val="single" w:color="auto" w:sz="4" w:space="0"/>
                    <w:bottom w:val="single" w:color="auto" w:sz="4" w:space="0"/>
                    <w:right w:val="single" w:color="auto" w:sz="4" w:space="0"/>
                  </w:tcBorders>
                </w:tcPr>
                <w:p w14:paraId="79E14FE4">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2424" w:type="dxa"/>
                  <w:tcBorders>
                    <w:top w:val="single" w:color="auto" w:sz="4" w:space="0"/>
                    <w:left w:val="single" w:color="auto" w:sz="4" w:space="0"/>
                    <w:bottom w:val="single" w:color="auto" w:sz="4" w:space="0"/>
                    <w:right w:val="single" w:color="auto" w:sz="4" w:space="0"/>
                  </w:tcBorders>
                  <w:vAlign w:val="bottom"/>
                </w:tcPr>
                <w:p w14:paraId="5B880808">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剥离器（双头5°、15°）</w:t>
                  </w:r>
                </w:p>
              </w:tc>
              <w:tc>
                <w:tcPr>
                  <w:tcW w:w="3029" w:type="dxa"/>
                  <w:tcBorders>
                    <w:top w:val="single" w:color="auto" w:sz="4" w:space="0"/>
                    <w:left w:val="single" w:color="auto" w:sz="4" w:space="0"/>
                    <w:bottom w:val="single" w:color="auto" w:sz="4" w:space="0"/>
                    <w:right w:val="single" w:color="auto" w:sz="4" w:space="0"/>
                  </w:tcBorders>
                  <w:vAlign w:val="bottom"/>
                </w:tcPr>
                <w:p w14:paraId="223B4C4F">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φ3mm*300mm</w:t>
                  </w:r>
                </w:p>
              </w:tc>
              <w:tc>
                <w:tcPr>
                  <w:tcW w:w="978" w:type="dxa"/>
                  <w:tcBorders>
                    <w:top w:val="single" w:color="auto" w:sz="4" w:space="0"/>
                    <w:left w:val="single" w:color="auto" w:sz="4" w:space="0"/>
                    <w:bottom w:val="single" w:color="auto" w:sz="4" w:space="0"/>
                    <w:right w:val="single" w:color="auto" w:sz="4" w:space="0"/>
                  </w:tcBorders>
                  <w:vAlign w:val="bottom"/>
                </w:tcPr>
                <w:p w14:paraId="1D3484D9">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80" w:type="dxa"/>
                  <w:tcBorders>
                    <w:top w:val="single" w:color="auto" w:sz="4" w:space="0"/>
                    <w:left w:val="single" w:color="auto" w:sz="4" w:space="0"/>
                    <w:bottom w:val="single" w:color="auto" w:sz="4" w:space="0"/>
                    <w:right w:val="single" w:color="auto" w:sz="4" w:space="0"/>
                  </w:tcBorders>
                  <w:vAlign w:val="bottom"/>
                </w:tcPr>
                <w:p w14:paraId="6939A432">
                  <w:pPr>
                    <w:spacing w:line="0" w:lineRule="atLeast"/>
                    <w:jc w:val="center"/>
                    <w:rPr>
                      <w:rFonts w:hint="eastAsia" w:ascii="宋体" w:hAnsi="宋体" w:eastAsia="宋体" w:cs="宋体"/>
                      <w:color w:val="auto"/>
                      <w:sz w:val="24"/>
                      <w:szCs w:val="24"/>
                    </w:rPr>
                  </w:pPr>
                </w:p>
              </w:tc>
            </w:tr>
            <w:tr w14:paraId="2A82852F">
              <w:tblPrEx>
                <w:tblCellMar>
                  <w:top w:w="0" w:type="dxa"/>
                  <w:left w:w="108" w:type="dxa"/>
                  <w:bottom w:w="0" w:type="dxa"/>
                  <w:right w:w="108" w:type="dxa"/>
                </w:tblCellMar>
              </w:tblPrEx>
              <w:trPr>
                <w:trHeight w:val="329" w:hRule="atLeast"/>
              </w:trPr>
              <w:tc>
                <w:tcPr>
                  <w:tcW w:w="839" w:type="dxa"/>
                  <w:tcBorders>
                    <w:top w:val="single" w:color="auto" w:sz="4" w:space="0"/>
                    <w:left w:val="single" w:color="auto" w:sz="4" w:space="0"/>
                    <w:bottom w:val="single" w:color="auto" w:sz="4" w:space="0"/>
                    <w:right w:val="single" w:color="auto" w:sz="4" w:space="0"/>
                  </w:tcBorders>
                </w:tcPr>
                <w:p w14:paraId="7F0663E2">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2424" w:type="dxa"/>
                  <w:tcBorders>
                    <w:top w:val="single" w:color="auto" w:sz="4" w:space="0"/>
                    <w:left w:val="single" w:color="auto" w:sz="4" w:space="0"/>
                    <w:bottom w:val="single" w:color="auto" w:sz="4" w:space="0"/>
                    <w:right w:val="single" w:color="auto" w:sz="4" w:space="0"/>
                  </w:tcBorders>
                  <w:vAlign w:val="bottom"/>
                </w:tcPr>
                <w:p w14:paraId="22B5E655">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探针</w:t>
                  </w:r>
                </w:p>
              </w:tc>
              <w:tc>
                <w:tcPr>
                  <w:tcW w:w="3029" w:type="dxa"/>
                  <w:tcBorders>
                    <w:top w:val="single" w:color="auto" w:sz="4" w:space="0"/>
                    <w:left w:val="single" w:color="auto" w:sz="4" w:space="0"/>
                    <w:bottom w:val="single" w:color="auto" w:sz="4" w:space="0"/>
                    <w:right w:val="single" w:color="auto" w:sz="4" w:space="0"/>
                  </w:tcBorders>
                  <w:vAlign w:val="bottom"/>
                </w:tcPr>
                <w:p w14:paraId="691F2772">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φ7mm*230mm</w:t>
                  </w:r>
                </w:p>
              </w:tc>
              <w:tc>
                <w:tcPr>
                  <w:tcW w:w="978" w:type="dxa"/>
                  <w:tcBorders>
                    <w:top w:val="single" w:color="auto" w:sz="4" w:space="0"/>
                    <w:left w:val="single" w:color="auto" w:sz="4" w:space="0"/>
                    <w:bottom w:val="single" w:color="auto" w:sz="4" w:space="0"/>
                    <w:right w:val="single" w:color="auto" w:sz="4" w:space="0"/>
                  </w:tcBorders>
                  <w:vAlign w:val="bottom"/>
                </w:tcPr>
                <w:p w14:paraId="165A5D7A">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80" w:type="dxa"/>
                  <w:tcBorders>
                    <w:top w:val="single" w:color="auto" w:sz="4" w:space="0"/>
                    <w:left w:val="single" w:color="auto" w:sz="4" w:space="0"/>
                    <w:bottom w:val="single" w:color="auto" w:sz="4" w:space="0"/>
                    <w:right w:val="single" w:color="auto" w:sz="4" w:space="0"/>
                  </w:tcBorders>
                  <w:vAlign w:val="bottom"/>
                </w:tcPr>
                <w:p w14:paraId="0FE73B0F">
                  <w:pPr>
                    <w:spacing w:line="0" w:lineRule="atLeast"/>
                    <w:jc w:val="center"/>
                    <w:rPr>
                      <w:rFonts w:hint="eastAsia" w:ascii="宋体" w:hAnsi="宋体" w:eastAsia="宋体" w:cs="宋体"/>
                      <w:color w:val="auto"/>
                      <w:sz w:val="24"/>
                      <w:szCs w:val="24"/>
                    </w:rPr>
                  </w:pPr>
                </w:p>
              </w:tc>
            </w:tr>
            <w:tr w14:paraId="7E8102AE">
              <w:tblPrEx>
                <w:tblCellMar>
                  <w:top w:w="0" w:type="dxa"/>
                  <w:left w:w="108" w:type="dxa"/>
                  <w:bottom w:w="0" w:type="dxa"/>
                  <w:right w:w="108" w:type="dxa"/>
                </w:tblCellMar>
              </w:tblPrEx>
              <w:trPr>
                <w:trHeight w:val="329" w:hRule="atLeast"/>
              </w:trPr>
              <w:tc>
                <w:tcPr>
                  <w:tcW w:w="839" w:type="dxa"/>
                  <w:tcBorders>
                    <w:top w:val="single" w:color="auto" w:sz="4" w:space="0"/>
                    <w:left w:val="single" w:color="auto" w:sz="4" w:space="0"/>
                    <w:bottom w:val="single" w:color="auto" w:sz="4" w:space="0"/>
                    <w:right w:val="single" w:color="auto" w:sz="4" w:space="0"/>
                  </w:tcBorders>
                </w:tcPr>
                <w:p w14:paraId="49EA85FE">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2424" w:type="dxa"/>
                  <w:tcBorders>
                    <w:top w:val="single" w:color="auto" w:sz="4" w:space="0"/>
                    <w:left w:val="single" w:color="auto" w:sz="4" w:space="0"/>
                    <w:bottom w:val="single" w:color="auto" w:sz="4" w:space="0"/>
                    <w:right w:val="single" w:color="auto" w:sz="4" w:space="0"/>
                  </w:tcBorders>
                  <w:vAlign w:val="bottom"/>
                </w:tcPr>
                <w:p w14:paraId="18BABC71">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神经根拉钩</w:t>
                  </w:r>
                </w:p>
              </w:tc>
              <w:tc>
                <w:tcPr>
                  <w:tcW w:w="3029" w:type="dxa"/>
                  <w:tcBorders>
                    <w:top w:val="single" w:color="auto" w:sz="4" w:space="0"/>
                    <w:left w:val="single" w:color="auto" w:sz="4" w:space="0"/>
                    <w:bottom w:val="single" w:color="auto" w:sz="4" w:space="0"/>
                    <w:right w:val="single" w:color="auto" w:sz="4" w:space="0"/>
                  </w:tcBorders>
                  <w:vAlign w:val="bottom"/>
                </w:tcPr>
                <w:p w14:paraId="3B1B2C80">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φ6mm195mm</w:t>
                  </w:r>
                </w:p>
              </w:tc>
              <w:tc>
                <w:tcPr>
                  <w:tcW w:w="978" w:type="dxa"/>
                  <w:tcBorders>
                    <w:top w:val="single" w:color="auto" w:sz="4" w:space="0"/>
                    <w:left w:val="single" w:color="auto" w:sz="4" w:space="0"/>
                    <w:bottom w:val="single" w:color="auto" w:sz="4" w:space="0"/>
                    <w:right w:val="single" w:color="auto" w:sz="4" w:space="0"/>
                  </w:tcBorders>
                  <w:vAlign w:val="bottom"/>
                </w:tcPr>
                <w:p w14:paraId="0230CE09">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80" w:type="dxa"/>
                  <w:tcBorders>
                    <w:top w:val="single" w:color="auto" w:sz="4" w:space="0"/>
                    <w:left w:val="single" w:color="auto" w:sz="4" w:space="0"/>
                    <w:bottom w:val="single" w:color="auto" w:sz="4" w:space="0"/>
                    <w:right w:val="single" w:color="auto" w:sz="4" w:space="0"/>
                  </w:tcBorders>
                  <w:vAlign w:val="bottom"/>
                </w:tcPr>
                <w:p w14:paraId="0A865544">
                  <w:pPr>
                    <w:spacing w:line="0" w:lineRule="atLeast"/>
                    <w:jc w:val="center"/>
                    <w:rPr>
                      <w:rFonts w:hint="eastAsia" w:ascii="宋体" w:hAnsi="宋体" w:eastAsia="宋体" w:cs="宋体"/>
                      <w:color w:val="auto"/>
                      <w:sz w:val="24"/>
                      <w:szCs w:val="24"/>
                    </w:rPr>
                  </w:pPr>
                </w:p>
              </w:tc>
            </w:tr>
            <w:tr w14:paraId="05A04024">
              <w:tblPrEx>
                <w:tblCellMar>
                  <w:top w:w="0" w:type="dxa"/>
                  <w:left w:w="108" w:type="dxa"/>
                  <w:bottom w:w="0" w:type="dxa"/>
                  <w:right w:w="108" w:type="dxa"/>
                </w:tblCellMar>
              </w:tblPrEx>
              <w:trPr>
                <w:trHeight w:val="329" w:hRule="atLeast"/>
              </w:trPr>
              <w:tc>
                <w:tcPr>
                  <w:tcW w:w="839" w:type="dxa"/>
                  <w:tcBorders>
                    <w:top w:val="single" w:color="auto" w:sz="4" w:space="0"/>
                    <w:left w:val="single" w:color="auto" w:sz="4" w:space="0"/>
                    <w:bottom w:val="single" w:color="auto" w:sz="4" w:space="0"/>
                    <w:right w:val="single" w:color="auto" w:sz="4" w:space="0"/>
                  </w:tcBorders>
                </w:tcPr>
                <w:p w14:paraId="4215ACED">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2424" w:type="dxa"/>
                  <w:tcBorders>
                    <w:top w:val="single" w:color="auto" w:sz="4" w:space="0"/>
                    <w:left w:val="single" w:color="auto" w:sz="4" w:space="0"/>
                    <w:bottom w:val="single" w:color="auto" w:sz="4" w:space="0"/>
                    <w:right w:val="single" w:color="auto" w:sz="4" w:space="0"/>
                  </w:tcBorders>
                  <w:vAlign w:val="bottom"/>
                </w:tcPr>
                <w:p w14:paraId="06F2F61F">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神经根拉钩</w:t>
                  </w:r>
                </w:p>
              </w:tc>
              <w:tc>
                <w:tcPr>
                  <w:tcW w:w="3029" w:type="dxa"/>
                  <w:tcBorders>
                    <w:top w:val="single" w:color="auto" w:sz="4" w:space="0"/>
                    <w:left w:val="single" w:color="auto" w:sz="4" w:space="0"/>
                    <w:bottom w:val="single" w:color="auto" w:sz="4" w:space="0"/>
                    <w:right w:val="single" w:color="auto" w:sz="4" w:space="0"/>
                  </w:tcBorders>
                  <w:vAlign w:val="bottom"/>
                </w:tcPr>
                <w:p w14:paraId="3267B781">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φ10mm*195mm</w:t>
                  </w:r>
                </w:p>
              </w:tc>
              <w:tc>
                <w:tcPr>
                  <w:tcW w:w="978" w:type="dxa"/>
                  <w:tcBorders>
                    <w:top w:val="single" w:color="auto" w:sz="4" w:space="0"/>
                    <w:left w:val="single" w:color="auto" w:sz="4" w:space="0"/>
                    <w:bottom w:val="single" w:color="auto" w:sz="4" w:space="0"/>
                    <w:right w:val="single" w:color="auto" w:sz="4" w:space="0"/>
                  </w:tcBorders>
                  <w:vAlign w:val="bottom"/>
                </w:tcPr>
                <w:p w14:paraId="15A6951B">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80" w:type="dxa"/>
                  <w:tcBorders>
                    <w:top w:val="single" w:color="auto" w:sz="4" w:space="0"/>
                    <w:left w:val="single" w:color="auto" w:sz="4" w:space="0"/>
                    <w:bottom w:val="single" w:color="auto" w:sz="4" w:space="0"/>
                    <w:right w:val="single" w:color="auto" w:sz="4" w:space="0"/>
                  </w:tcBorders>
                  <w:vAlign w:val="bottom"/>
                </w:tcPr>
                <w:p w14:paraId="12DF174F">
                  <w:pPr>
                    <w:spacing w:line="0" w:lineRule="atLeast"/>
                    <w:jc w:val="center"/>
                    <w:rPr>
                      <w:rFonts w:hint="eastAsia" w:ascii="宋体" w:hAnsi="宋体" w:eastAsia="宋体" w:cs="宋体"/>
                      <w:color w:val="auto"/>
                      <w:sz w:val="24"/>
                      <w:szCs w:val="24"/>
                    </w:rPr>
                  </w:pPr>
                </w:p>
              </w:tc>
            </w:tr>
            <w:tr w14:paraId="0A0CCFA6">
              <w:tblPrEx>
                <w:tblCellMar>
                  <w:top w:w="0" w:type="dxa"/>
                  <w:left w:w="108" w:type="dxa"/>
                  <w:bottom w:w="0" w:type="dxa"/>
                  <w:right w:w="108" w:type="dxa"/>
                </w:tblCellMar>
              </w:tblPrEx>
              <w:trPr>
                <w:trHeight w:val="329" w:hRule="atLeast"/>
              </w:trPr>
              <w:tc>
                <w:tcPr>
                  <w:tcW w:w="839" w:type="dxa"/>
                  <w:tcBorders>
                    <w:top w:val="single" w:color="auto" w:sz="4" w:space="0"/>
                    <w:left w:val="single" w:color="auto" w:sz="4" w:space="0"/>
                    <w:bottom w:val="single" w:color="auto" w:sz="4" w:space="0"/>
                    <w:right w:val="single" w:color="auto" w:sz="4" w:space="0"/>
                  </w:tcBorders>
                </w:tcPr>
                <w:p w14:paraId="68095B31">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2424" w:type="dxa"/>
                  <w:tcBorders>
                    <w:top w:val="single" w:color="auto" w:sz="4" w:space="0"/>
                    <w:left w:val="single" w:color="auto" w:sz="4" w:space="0"/>
                    <w:bottom w:val="single" w:color="auto" w:sz="4" w:space="0"/>
                    <w:right w:val="single" w:color="auto" w:sz="4" w:space="0"/>
                  </w:tcBorders>
                  <w:vAlign w:val="bottom"/>
                </w:tcPr>
                <w:p w14:paraId="15B4E5E1">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骨锤</w:t>
                  </w:r>
                </w:p>
              </w:tc>
              <w:tc>
                <w:tcPr>
                  <w:tcW w:w="3029" w:type="dxa"/>
                  <w:tcBorders>
                    <w:top w:val="single" w:color="auto" w:sz="4" w:space="0"/>
                    <w:left w:val="single" w:color="auto" w:sz="4" w:space="0"/>
                    <w:bottom w:val="single" w:color="auto" w:sz="4" w:space="0"/>
                    <w:right w:val="single" w:color="auto" w:sz="4" w:space="0"/>
                  </w:tcBorders>
                  <w:vAlign w:val="bottom"/>
                </w:tcPr>
                <w:p w14:paraId="56F93C58">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220mm*150g</w:t>
                  </w:r>
                </w:p>
              </w:tc>
              <w:tc>
                <w:tcPr>
                  <w:tcW w:w="978" w:type="dxa"/>
                  <w:tcBorders>
                    <w:top w:val="single" w:color="auto" w:sz="4" w:space="0"/>
                    <w:left w:val="single" w:color="auto" w:sz="4" w:space="0"/>
                    <w:bottom w:val="single" w:color="auto" w:sz="4" w:space="0"/>
                    <w:right w:val="single" w:color="auto" w:sz="4" w:space="0"/>
                  </w:tcBorders>
                  <w:vAlign w:val="bottom"/>
                </w:tcPr>
                <w:p w14:paraId="7BFC04D4">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80" w:type="dxa"/>
                  <w:tcBorders>
                    <w:top w:val="single" w:color="auto" w:sz="4" w:space="0"/>
                    <w:left w:val="single" w:color="auto" w:sz="4" w:space="0"/>
                    <w:bottom w:val="single" w:color="auto" w:sz="4" w:space="0"/>
                    <w:right w:val="single" w:color="auto" w:sz="4" w:space="0"/>
                  </w:tcBorders>
                  <w:vAlign w:val="bottom"/>
                </w:tcPr>
                <w:p w14:paraId="3F910903">
                  <w:pPr>
                    <w:spacing w:line="0" w:lineRule="atLeast"/>
                    <w:jc w:val="center"/>
                    <w:rPr>
                      <w:rFonts w:hint="eastAsia" w:ascii="宋体" w:hAnsi="宋体" w:eastAsia="宋体" w:cs="宋体"/>
                      <w:color w:val="auto"/>
                      <w:sz w:val="24"/>
                      <w:szCs w:val="24"/>
                    </w:rPr>
                  </w:pPr>
                </w:p>
              </w:tc>
            </w:tr>
            <w:tr w14:paraId="01DE97D6">
              <w:tblPrEx>
                <w:tblCellMar>
                  <w:top w:w="0" w:type="dxa"/>
                  <w:left w:w="108" w:type="dxa"/>
                  <w:bottom w:w="0" w:type="dxa"/>
                  <w:right w:w="108" w:type="dxa"/>
                </w:tblCellMar>
              </w:tblPrEx>
              <w:trPr>
                <w:trHeight w:val="329" w:hRule="atLeast"/>
              </w:trPr>
              <w:tc>
                <w:tcPr>
                  <w:tcW w:w="839" w:type="dxa"/>
                  <w:tcBorders>
                    <w:top w:val="single" w:color="auto" w:sz="4" w:space="0"/>
                    <w:left w:val="single" w:color="auto" w:sz="4" w:space="0"/>
                    <w:bottom w:val="single" w:color="auto" w:sz="4" w:space="0"/>
                    <w:right w:val="single" w:color="auto" w:sz="4" w:space="0"/>
                  </w:tcBorders>
                </w:tcPr>
                <w:p w14:paraId="313E92E7">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2424" w:type="dxa"/>
                  <w:tcBorders>
                    <w:top w:val="single" w:color="auto" w:sz="4" w:space="0"/>
                    <w:left w:val="single" w:color="auto" w:sz="4" w:space="0"/>
                    <w:bottom w:val="single" w:color="auto" w:sz="4" w:space="0"/>
                    <w:right w:val="single" w:color="auto" w:sz="4" w:space="0"/>
                  </w:tcBorders>
                  <w:vAlign w:val="bottom"/>
                </w:tcPr>
                <w:p w14:paraId="6BE0ADC5">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骨刀</w:t>
                  </w:r>
                </w:p>
              </w:tc>
              <w:tc>
                <w:tcPr>
                  <w:tcW w:w="3029" w:type="dxa"/>
                  <w:tcBorders>
                    <w:top w:val="single" w:color="auto" w:sz="4" w:space="0"/>
                    <w:left w:val="single" w:color="auto" w:sz="4" w:space="0"/>
                    <w:bottom w:val="single" w:color="auto" w:sz="4" w:space="0"/>
                    <w:right w:val="single" w:color="auto" w:sz="4" w:space="0"/>
                  </w:tcBorders>
                  <w:vAlign w:val="bottom"/>
                </w:tcPr>
                <w:p w14:paraId="2B4F0B92">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φ5mm*250mm</w:t>
                  </w:r>
                </w:p>
              </w:tc>
              <w:tc>
                <w:tcPr>
                  <w:tcW w:w="978" w:type="dxa"/>
                  <w:tcBorders>
                    <w:top w:val="single" w:color="auto" w:sz="4" w:space="0"/>
                    <w:left w:val="single" w:color="auto" w:sz="4" w:space="0"/>
                    <w:bottom w:val="single" w:color="auto" w:sz="4" w:space="0"/>
                    <w:right w:val="single" w:color="auto" w:sz="4" w:space="0"/>
                  </w:tcBorders>
                  <w:vAlign w:val="bottom"/>
                </w:tcPr>
                <w:p w14:paraId="578F221C">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80" w:type="dxa"/>
                  <w:tcBorders>
                    <w:top w:val="single" w:color="auto" w:sz="4" w:space="0"/>
                    <w:left w:val="single" w:color="auto" w:sz="4" w:space="0"/>
                    <w:bottom w:val="single" w:color="auto" w:sz="4" w:space="0"/>
                    <w:right w:val="single" w:color="auto" w:sz="4" w:space="0"/>
                  </w:tcBorders>
                  <w:vAlign w:val="bottom"/>
                </w:tcPr>
                <w:p w14:paraId="233D1008">
                  <w:pPr>
                    <w:spacing w:line="0" w:lineRule="atLeast"/>
                    <w:jc w:val="center"/>
                    <w:rPr>
                      <w:rFonts w:hint="eastAsia" w:ascii="宋体" w:hAnsi="宋体" w:eastAsia="宋体" w:cs="宋体"/>
                      <w:color w:val="auto"/>
                      <w:sz w:val="24"/>
                      <w:szCs w:val="24"/>
                    </w:rPr>
                  </w:pPr>
                </w:p>
              </w:tc>
            </w:tr>
            <w:tr w14:paraId="110D2CE5">
              <w:tblPrEx>
                <w:tblCellMar>
                  <w:top w:w="0" w:type="dxa"/>
                  <w:left w:w="108" w:type="dxa"/>
                  <w:bottom w:w="0" w:type="dxa"/>
                  <w:right w:w="108" w:type="dxa"/>
                </w:tblCellMar>
              </w:tblPrEx>
              <w:trPr>
                <w:trHeight w:val="329" w:hRule="atLeast"/>
              </w:trPr>
              <w:tc>
                <w:tcPr>
                  <w:tcW w:w="839" w:type="dxa"/>
                  <w:tcBorders>
                    <w:top w:val="single" w:color="auto" w:sz="4" w:space="0"/>
                    <w:left w:val="single" w:color="auto" w:sz="4" w:space="0"/>
                    <w:bottom w:val="single" w:color="auto" w:sz="4" w:space="0"/>
                    <w:right w:val="single" w:color="auto" w:sz="4" w:space="0"/>
                  </w:tcBorders>
                </w:tcPr>
                <w:p w14:paraId="0FFB894A">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2424" w:type="dxa"/>
                  <w:tcBorders>
                    <w:top w:val="single" w:color="auto" w:sz="4" w:space="0"/>
                    <w:left w:val="single" w:color="auto" w:sz="4" w:space="0"/>
                    <w:bottom w:val="single" w:color="auto" w:sz="4" w:space="0"/>
                    <w:right w:val="single" w:color="auto" w:sz="4" w:space="0"/>
                  </w:tcBorders>
                  <w:vAlign w:val="bottom"/>
                </w:tcPr>
                <w:p w14:paraId="25765BB1">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骨刀(左弯)</w:t>
                  </w:r>
                </w:p>
              </w:tc>
              <w:tc>
                <w:tcPr>
                  <w:tcW w:w="3029" w:type="dxa"/>
                  <w:tcBorders>
                    <w:top w:val="single" w:color="auto" w:sz="4" w:space="0"/>
                    <w:left w:val="single" w:color="auto" w:sz="4" w:space="0"/>
                    <w:bottom w:val="single" w:color="auto" w:sz="4" w:space="0"/>
                    <w:right w:val="single" w:color="auto" w:sz="4" w:space="0"/>
                  </w:tcBorders>
                  <w:vAlign w:val="bottom"/>
                </w:tcPr>
                <w:p w14:paraId="25F1DB67">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φ5mm*250mm</w:t>
                  </w:r>
                </w:p>
              </w:tc>
              <w:tc>
                <w:tcPr>
                  <w:tcW w:w="978" w:type="dxa"/>
                  <w:tcBorders>
                    <w:top w:val="single" w:color="auto" w:sz="4" w:space="0"/>
                    <w:left w:val="single" w:color="auto" w:sz="4" w:space="0"/>
                    <w:bottom w:val="single" w:color="auto" w:sz="4" w:space="0"/>
                    <w:right w:val="single" w:color="auto" w:sz="4" w:space="0"/>
                  </w:tcBorders>
                  <w:vAlign w:val="bottom"/>
                </w:tcPr>
                <w:p w14:paraId="67D70922">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80" w:type="dxa"/>
                  <w:tcBorders>
                    <w:top w:val="single" w:color="auto" w:sz="4" w:space="0"/>
                    <w:left w:val="single" w:color="auto" w:sz="4" w:space="0"/>
                    <w:bottom w:val="single" w:color="auto" w:sz="4" w:space="0"/>
                    <w:right w:val="single" w:color="auto" w:sz="4" w:space="0"/>
                  </w:tcBorders>
                  <w:vAlign w:val="bottom"/>
                </w:tcPr>
                <w:p w14:paraId="7F2F5A12">
                  <w:pPr>
                    <w:spacing w:line="0" w:lineRule="atLeast"/>
                    <w:jc w:val="center"/>
                    <w:rPr>
                      <w:rFonts w:hint="eastAsia" w:ascii="宋体" w:hAnsi="宋体" w:eastAsia="宋体" w:cs="宋体"/>
                      <w:color w:val="auto"/>
                      <w:sz w:val="24"/>
                      <w:szCs w:val="24"/>
                    </w:rPr>
                  </w:pPr>
                </w:p>
              </w:tc>
            </w:tr>
            <w:tr w14:paraId="6F1CDB9E">
              <w:tblPrEx>
                <w:tblCellMar>
                  <w:top w:w="0" w:type="dxa"/>
                  <w:left w:w="108" w:type="dxa"/>
                  <w:bottom w:w="0" w:type="dxa"/>
                  <w:right w:w="108" w:type="dxa"/>
                </w:tblCellMar>
              </w:tblPrEx>
              <w:trPr>
                <w:trHeight w:val="329" w:hRule="atLeast"/>
              </w:trPr>
              <w:tc>
                <w:tcPr>
                  <w:tcW w:w="839" w:type="dxa"/>
                  <w:tcBorders>
                    <w:top w:val="single" w:color="auto" w:sz="4" w:space="0"/>
                    <w:left w:val="single" w:color="auto" w:sz="4" w:space="0"/>
                    <w:bottom w:val="single" w:color="auto" w:sz="4" w:space="0"/>
                    <w:right w:val="single" w:color="auto" w:sz="4" w:space="0"/>
                  </w:tcBorders>
                </w:tcPr>
                <w:p w14:paraId="32571976">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22</w:t>
                  </w:r>
                </w:p>
              </w:tc>
              <w:tc>
                <w:tcPr>
                  <w:tcW w:w="2424" w:type="dxa"/>
                  <w:tcBorders>
                    <w:top w:val="single" w:color="auto" w:sz="4" w:space="0"/>
                    <w:left w:val="single" w:color="auto" w:sz="4" w:space="0"/>
                    <w:bottom w:val="single" w:color="auto" w:sz="4" w:space="0"/>
                    <w:right w:val="single" w:color="auto" w:sz="4" w:space="0"/>
                  </w:tcBorders>
                  <w:vAlign w:val="bottom"/>
                </w:tcPr>
                <w:p w14:paraId="5D193D0B">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骨刀(右弯)</w:t>
                  </w:r>
                </w:p>
              </w:tc>
              <w:tc>
                <w:tcPr>
                  <w:tcW w:w="3029" w:type="dxa"/>
                  <w:tcBorders>
                    <w:top w:val="single" w:color="auto" w:sz="4" w:space="0"/>
                    <w:left w:val="single" w:color="auto" w:sz="4" w:space="0"/>
                    <w:bottom w:val="single" w:color="auto" w:sz="4" w:space="0"/>
                    <w:right w:val="single" w:color="auto" w:sz="4" w:space="0"/>
                  </w:tcBorders>
                  <w:vAlign w:val="bottom"/>
                </w:tcPr>
                <w:p w14:paraId="7E108FB5">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φ5mm*250mm</w:t>
                  </w:r>
                </w:p>
              </w:tc>
              <w:tc>
                <w:tcPr>
                  <w:tcW w:w="978" w:type="dxa"/>
                  <w:tcBorders>
                    <w:top w:val="single" w:color="auto" w:sz="4" w:space="0"/>
                    <w:left w:val="single" w:color="auto" w:sz="4" w:space="0"/>
                    <w:bottom w:val="single" w:color="auto" w:sz="4" w:space="0"/>
                    <w:right w:val="single" w:color="auto" w:sz="4" w:space="0"/>
                  </w:tcBorders>
                  <w:vAlign w:val="bottom"/>
                </w:tcPr>
                <w:p w14:paraId="224494A7">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80" w:type="dxa"/>
                  <w:tcBorders>
                    <w:top w:val="single" w:color="auto" w:sz="4" w:space="0"/>
                    <w:left w:val="single" w:color="auto" w:sz="4" w:space="0"/>
                    <w:bottom w:val="single" w:color="auto" w:sz="4" w:space="0"/>
                    <w:right w:val="single" w:color="auto" w:sz="4" w:space="0"/>
                  </w:tcBorders>
                  <w:vAlign w:val="bottom"/>
                </w:tcPr>
                <w:p w14:paraId="3540F0C9">
                  <w:pPr>
                    <w:spacing w:line="0" w:lineRule="atLeast"/>
                    <w:jc w:val="center"/>
                    <w:rPr>
                      <w:rFonts w:hint="eastAsia" w:ascii="宋体" w:hAnsi="宋体" w:eastAsia="宋体" w:cs="宋体"/>
                      <w:color w:val="auto"/>
                      <w:sz w:val="24"/>
                      <w:szCs w:val="24"/>
                    </w:rPr>
                  </w:pPr>
                </w:p>
              </w:tc>
            </w:tr>
            <w:tr w14:paraId="03171572">
              <w:tblPrEx>
                <w:tblCellMar>
                  <w:top w:w="0" w:type="dxa"/>
                  <w:left w:w="108" w:type="dxa"/>
                  <w:bottom w:w="0" w:type="dxa"/>
                  <w:right w:w="108" w:type="dxa"/>
                </w:tblCellMar>
              </w:tblPrEx>
              <w:trPr>
                <w:trHeight w:val="329" w:hRule="atLeast"/>
              </w:trPr>
              <w:tc>
                <w:tcPr>
                  <w:tcW w:w="839" w:type="dxa"/>
                  <w:tcBorders>
                    <w:top w:val="single" w:color="auto" w:sz="4" w:space="0"/>
                    <w:left w:val="single" w:color="auto" w:sz="4" w:space="0"/>
                    <w:bottom w:val="single" w:color="auto" w:sz="4" w:space="0"/>
                    <w:right w:val="single" w:color="auto" w:sz="4" w:space="0"/>
                  </w:tcBorders>
                </w:tcPr>
                <w:p w14:paraId="5D6ACC85">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23</w:t>
                  </w:r>
                </w:p>
              </w:tc>
              <w:tc>
                <w:tcPr>
                  <w:tcW w:w="2424" w:type="dxa"/>
                  <w:tcBorders>
                    <w:top w:val="single" w:color="auto" w:sz="4" w:space="0"/>
                    <w:left w:val="single" w:color="auto" w:sz="4" w:space="0"/>
                    <w:bottom w:val="single" w:color="auto" w:sz="4" w:space="0"/>
                    <w:right w:val="single" w:color="auto" w:sz="4" w:space="0"/>
                  </w:tcBorders>
                  <w:vAlign w:val="bottom"/>
                </w:tcPr>
                <w:p w14:paraId="27F9FE06">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骨刮匙(反口)</w:t>
                  </w:r>
                </w:p>
              </w:tc>
              <w:tc>
                <w:tcPr>
                  <w:tcW w:w="3029" w:type="dxa"/>
                  <w:tcBorders>
                    <w:top w:val="single" w:color="auto" w:sz="4" w:space="0"/>
                    <w:left w:val="single" w:color="auto" w:sz="4" w:space="0"/>
                    <w:bottom w:val="single" w:color="auto" w:sz="4" w:space="0"/>
                    <w:right w:val="single" w:color="auto" w:sz="4" w:space="0"/>
                  </w:tcBorders>
                  <w:vAlign w:val="bottom"/>
                </w:tcPr>
                <w:p w14:paraId="7ABC71DF">
                  <w:pPr>
                    <w:tabs>
                      <w:tab w:val="left" w:pos="780"/>
                    </w:tabs>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φ3mm*290mm 45°</w:t>
                  </w:r>
                </w:p>
              </w:tc>
              <w:tc>
                <w:tcPr>
                  <w:tcW w:w="978" w:type="dxa"/>
                  <w:tcBorders>
                    <w:top w:val="single" w:color="auto" w:sz="4" w:space="0"/>
                    <w:left w:val="single" w:color="auto" w:sz="4" w:space="0"/>
                    <w:bottom w:val="single" w:color="auto" w:sz="4" w:space="0"/>
                    <w:right w:val="single" w:color="auto" w:sz="4" w:space="0"/>
                  </w:tcBorders>
                  <w:vAlign w:val="bottom"/>
                </w:tcPr>
                <w:p w14:paraId="140CD7BC">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80" w:type="dxa"/>
                  <w:tcBorders>
                    <w:top w:val="single" w:color="auto" w:sz="4" w:space="0"/>
                    <w:left w:val="single" w:color="auto" w:sz="4" w:space="0"/>
                    <w:bottom w:val="single" w:color="auto" w:sz="4" w:space="0"/>
                    <w:right w:val="single" w:color="auto" w:sz="4" w:space="0"/>
                  </w:tcBorders>
                  <w:vAlign w:val="bottom"/>
                </w:tcPr>
                <w:p w14:paraId="27BC3A1C">
                  <w:pPr>
                    <w:spacing w:line="0" w:lineRule="atLeast"/>
                    <w:jc w:val="center"/>
                    <w:rPr>
                      <w:rFonts w:hint="eastAsia" w:ascii="宋体" w:hAnsi="宋体" w:eastAsia="宋体" w:cs="宋体"/>
                      <w:color w:val="auto"/>
                      <w:sz w:val="24"/>
                      <w:szCs w:val="24"/>
                    </w:rPr>
                  </w:pPr>
                </w:p>
              </w:tc>
            </w:tr>
            <w:tr w14:paraId="79C27AFB">
              <w:tblPrEx>
                <w:tblCellMar>
                  <w:top w:w="0" w:type="dxa"/>
                  <w:left w:w="108" w:type="dxa"/>
                  <w:bottom w:w="0" w:type="dxa"/>
                  <w:right w:w="108" w:type="dxa"/>
                </w:tblCellMar>
              </w:tblPrEx>
              <w:trPr>
                <w:trHeight w:val="589" w:hRule="atLeast"/>
              </w:trPr>
              <w:tc>
                <w:tcPr>
                  <w:tcW w:w="839" w:type="dxa"/>
                  <w:tcBorders>
                    <w:top w:val="single" w:color="auto" w:sz="4" w:space="0"/>
                    <w:left w:val="single" w:color="auto" w:sz="4" w:space="0"/>
                    <w:bottom w:val="single" w:color="auto" w:sz="4" w:space="0"/>
                    <w:right w:val="single" w:color="auto" w:sz="4" w:space="0"/>
                  </w:tcBorders>
                </w:tcPr>
                <w:p w14:paraId="3F19B829">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24</w:t>
                  </w:r>
                </w:p>
              </w:tc>
              <w:tc>
                <w:tcPr>
                  <w:tcW w:w="2424" w:type="dxa"/>
                  <w:tcBorders>
                    <w:top w:val="single" w:color="auto" w:sz="4" w:space="0"/>
                    <w:left w:val="single" w:color="auto" w:sz="4" w:space="0"/>
                    <w:bottom w:val="single" w:color="auto" w:sz="4" w:space="0"/>
                    <w:right w:val="single" w:color="auto" w:sz="4" w:space="0"/>
                  </w:tcBorders>
                  <w:vAlign w:val="bottom"/>
                </w:tcPr>
                <w:p w14:paraId="00166A27">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骨刮匙(前弯)</w:t>
                  </w:r>
                </w:p>
              </w:tc>
              <w:tc>
                <w:tcPr>
                  <w:tcW w:w="3029" w:type="dxa"/>
                  <w:tcBorders>
                    <w:top w:val="single" w:color="auto" w:sz="4" w:space="0"/>
                    <w:left w:val="single" w:color="auto" w:sz="4" w:space="0"/>
                    <w:bottom w:val="single" w:color="auto" w:sz="4" w:space="0"/>
                    <w:right w:val="single" w:color="auto" w:sz="4" w:space="0"/>
                  </w:tcBorders>
                  <w:vAlign w:val="bottom"/>
                </w:tcPr>
                <w:p w14:paraId="6BBEFEBA">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φ3mm*260mm</w:t>
                  </w:r>
                </w:p>
              </w:tc>
              <w:tc>
                <w:tcPr>
                  <w:tcW w:w="978" w:type="dxa"/>
                  <w:tcBorders>
                    <w:top w:val="single" w:color="auto" w:sz="4" w:space="0"/>
                    <w:left w:val="single" w:color="auto" w:sz="4" w:space="0"/>
                    <w:bottom w:val="single" w:color="auto" w:sz="4" w:space="0"/>
                    <w:right w:val="single" w:color="auto" w:sz="4" w:space="0"/>
                  </w:tcBorders>
                  <w:vAlign w:val="bottom"/>
                </w:tcPr>
                <w:p w14:paraId="5D1C6149">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80" w:type="dxa"/>
                  <w:tcBorders>
                    <w:top w:val="single" w:color="auto" w:sz="4" w:space="0"/>
                    <w:left w:val="single" w:color="auto" w:sz="4" w:space="0"/>
                    <w:bottom w:val="single" w:color="auto" w:sz="4" w:space="0"/>
                    <w:right w:val="single" w:color="auto" w:sz="4" w:space="0"/>
                  </w:tcBorders>
                  <w:vAlign w:val="bottom"/>
                </w:tcPr>
                <w:p w14:paraId="38FDF9E3">
                  <w:pPr>
                    <w:spacing w:line="0" w:lineRule="atLeast"/>
                    <w:jc w:val="center"/>
                    <w:rPr>
                      <w:rFonts w:hint="eastAsia" w:ascii="宋体" w:hAnsi="宋体" w:eastAsia="宋体" w:cs="宋体"/>
                      <w:color w:val="auto"/>
                      <w:sz w:val="24"/>
                      <w:szCs w:val="24"/>
                    </w:rPr>
                  </w:pPr>
                </w:p>
              </w:tc>
            </w:tr>
            <w:tr w14:paraId="2C9C3B90">
              <w:tblPrEx>
                <w:tblCellMar>
                  <w:top w:w="0" w:type="dxa"/>
                  <w:left w:w="108" w:type="dxa"/>
                  <w:bottom w:w="0" w:type="dxa"/>
                  <w:right w:w="108" w:type="dxa"/>
                </w:tblCellMar>
              </w:tblPrEx>
              <w:trPr>
                <w:trHeight w:val="589" w:hRule="atLeast"/>
              </w:trPr>
              <w:tc>
                <w:tcPr>
                  <w:tcW w:w="839" w:type="dxa"/>
                  <w:tcBorders>
                    <w:top w:val="single" w:color="auto" w:sz="4" w:space="0"/>
                    <w:left w:val="single" w:color="auto" w:sz="4" w:space="0"/>
                    <w:bottom w:val="single" w:color="auto" w:sz="4" w:space="0"/>
                    <w:right w:val="single" w:color="auto" w:sz="4" w:space="0"/>
                  </w:tcBorders>
                </w:tcPr>
                <w:p w14:paraId="5A982245">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25</w:t>
                  </w:r>
                </w:p>
              </w:tc>
              <w:tc>
                <w:tcPr>
                  <w:tcW w:w="2424" w:type="dxa"/>
                  <w:tcBorders>
                    <w:top w:val="single" w:color="auto" w:sz="4" w:space="0"/>
                    <w:left w:val="single" w:color="auto" w:sz="4" w:space="0"/>
                    <w:bottom w:val="single" w:color="auto" w:sz="4" w:space="0"/>
                    <w:right w:val="single" w:color="auto" w:sz="4" w:space="0"/>
                  </w:tcBorders>
                  <w:vAlign w:val="bottom"/>
                </w:tcPr>
                <w:p w14:paraId="56E245C0">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髓核钳(直型)</w:t>
                  </w:r>
                </w:p>
              </w:tc>
              <w:tc>
                <w:tcPr>
                  <w:tcW w:w="3029" w:type="dxa"/>
                  <w:tcBorders>
                    <w:top w:val="single" w:color="auto" w:sz="4" w:space="0"/>
                    <w:left w:val="single" w:color="auto" w:sz="4" w:space="0"/>
                    <w:bottom w:val="single" w:color="auto" w:sz="4" w:space="0"/>
                    <w:right w:val="single" w:color="auto" w:sz="4" w:space="0"/>
                  </w:tcBorders>
                  <w:vAlign w:val="bottom"/>
                </w:tcPr>
                <w:p w14:paraId="343A6292">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φ4.0mm*160mm</w:t>
                  </w:r>
                </w:p>
              </w:tc>
              <w:tc>
                <w:tcPr>
                  <w:tcW w:w="978" w:type="dxa"/>
                  <w:tcBorders>
                    <w:top w:val="single" w:color="auto" w:sz="4" w:space="0"/>
                    <w:left w:val="single" w:color="auto" w:sz="4" w:space="0"/>
                    <w:bottom w:val="single" w:color="auto" w:sz="4" w:space="0"/>
                    <w:right w:val="single" w:color="auto" w:sz="4" w:space="0"/>
                  </w:tcBorders>
                  <w:vAlign w:val="bottom"/>
                </w:tcPr>
                <w:p w14:paraId="3F9C2C32">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80" w:type="dxa"/>
                  <w:tcBorders>
                    <w:top w:val="single" w:color="auto" w:sz="4" w:space="0"/>
                    <w:left w:val="single" w:color="auto" w:sz="4" w:space="0"/>
                    <w:bottom w:val="single" w:color="auto" w:sz="4" w:space="0"/>
                    <w:right w:val="single" w:color="auto" w:sz="4" w:space="0"/>
                  </w:tcBorders>
                  <w:vAlign w:val="bottom"/>
                </w:tcPr>
                <w:p w14:paraId="76634AF1">
                  <w:pPr>
                    <w:spacing w:line="0" w:lineRule="atLeast"/>
                    <w:jc w:val="center"/>
                    <w:rPr>
                      <w:rFonts w:hint="eastAsia" w:ascii="宋体" w:hAnsi="宋体" w:eastAsia="宋体" w:cs="宋体"/>
                      <w:color w:val="auto"/>
                      <w:sz w:val="24"/>
                      <w:szCs w:val="24"/>
                    </w:rPr>
                  </w:pPr>
                </w:p>
              </w:tc>
            </w:tr>
            <w:tr w14:paraId="513F28C3">
              <w:tblPrEx>
                <w:tblCellMar>
                  <w:top w:w="0" w:type="dxa"/>
                  <w:left w:w="108" w:type="dxa"/>
                  <w:bottom w:w="0" w:type="dxa"/>
                  <w:right w:w="108" w:type="dxa"/>
                </w:tblCellMar>
              </w:tblPrEx>
              <w:trPr>
                <w:trHeight w:val="40" w:hRule="atLeast"/>
              </w:trPr>
              <w:tc>
                <w:tcPr>
                  <w:tcW w:w="839" w:type="dxa"/>
                  <w:tcBorders>
                    <w:top w:val="single" w:color="auto" w:sz="4" w:space="0"/>
                    <w:left w:val="single" w:color="auto" w:sz="4" w:space="0"/>
                    <w:bottom w:val="single" w:color="auto" w:sz="4" w:space="0"/>
                    <w:right w:val="single" w:color="auto" w:sz="4" w:space="0"/>
                  </w:tcBorders>
                </w:tcPr>
                <w:p w14:paraId="3E790E41">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26</w:t>
                  </w:r>
                </w:p>
              </w:tc>
              <w:tc>
                <w:tcPr>
                  <w:tcW w:w="2424" w:type="dxa"/>
                  <w:tcBorders>
                    <w:top w:val="single" w:color="auto" w:sz="4" w:space="0"/>
                    <w:left w:val="single" w:color="auto" w:sz="4" w:space="0"/>
                    <w:bottom w:val="single" w:color="auto" w:sz="4" w:space="0"/>
                    <w:right w:val="single" w:color="auto" w:sz="4" w:space="0"/>
                  </w:tcBorders>
                  <w:vAlign w:val="bottom"/>
                </w:tcPr>
                <w:p w14:paraId="59C87F51">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髓核钳(翘头)</w:t>
                  </w:r>
                </w:p>
              </w:tc>
              <w:tc>
                <w:tcPr>
                  <w:tcW w:w="3029" w:type="dxa"/>
                  <w:tcBorders>
                    <w:top w:val="single" w:color="auto" w:sz="4" w:space="0"/>
                    <w:left w:val="single" w:color="auto" w:sz="4" w:space="0"/>
                    <w:bottom w:val="single" w:color="auto" w:sz="4" w:space="0"/>
                    <w:right w:val="single" w:color="auto" w:sz="4" w:space="0"/>
                  </w:tcBorders>
                  <w:vAlign w:val="bottom"/>
                </w:tcPr>
                <w:p w14:paraId="11578107">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φ4.0mm*160mm</w:t>
                  </w:r>
                </w:p>
              </w:tc>
              <w:tc>
                <w:tcPr>
                  <w:tcW w:w="978" w:type="dxa"/>
                  <w:tcBorders>
                    <w:top w:val="single" w:color="auto" w:sz="4" w:space="0"/>
                    <w:left w:val="single" w:color="auto" w:sz="4" w:space="0"/>
                    <w:bottom w:val="single" w:color="auto" w:sz="4" w:space="0"/>
                    <w:right w:val="single" w:color="auto" w:sz="4" w:space="0"/>
                  </w:tcBorders>
                  <w:vAlign w:val="bottom"/>
                </w:tcPr>
                <w:p w14:paraId="1A1FC97E">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80" w:type="dxa"/>
                  <w:tcBorders>
                    <w:top w:val="single" w:color="auto" w:sz="4" w:space="0"/>
                    <w:left w:val="single" w:color="auto" w:sz="4" w:space="0"/>
                    <w:bottom w:val="single" w:color="auto" w:sz="4" w:space="0"/>
                    <w:right w:val="single" w:color="auto" w:sz="4" w:space="0"/>
                  </w:tcBorders>
                  <w:vAlign w:val="bottom"/>
                </w:tcPr>
                <w:p w14:paraId="05050812">
                  <w:pPr>
                    <w:spacing w:line="0" w:lineRule="atLeast"/>
                    <w:jc w:val="center"/>
                    <w:rPr>
                      <w:rFonts w:hint="eastAsia" w:ascii="宋体" w:hAnsi="宋体" w:eastAsia="宋体" w:cs="宋体"/>
                      <w:color w:val="auto"/>
                      <w:sz w:val="24"/>
                      <w:szCs w:val="24"/>
                    </w:rPr>
                  </w:pPr>
                </w:p>
              </w:tc>
            </w:tr>
            <w:tr w14:paraId="67EA432C">
              <w:tblPrEx>
                <w:tblCellMar>
                  <w:top w:w="0" w:type="dxa"/>
                  <w:left w:w="108" w:type="dxa"/>
                  <w:bottom w:w="0" w:type="dxa"/>
                  <w:right w:w="108" w:type="dxa"/>
                </w:tblCellMar>
              </w:tblPrEx>
              <w:trPr>
                <w:trHeight w:val="329" w:hRule="atLeast"/>
              </w:trPr>
              <w:tc>
                <w:tcPr>
                  <w:tcW w:w="839" w:type="dxa"/>
                  <w:tcBorders>
                    <w:top w:val="single" w:color="auto" w:sz="4" w:space="0"/>
                    <w:left w:val="single" w:color="auto" w:sz="4" w:space="0"/>
                    <w:bottom w:val="single" w:color="auto" w:sz="4" w:space="0"/>
                    <w:right w:val="single" w:color="auto" w:sz="4" w:space="0"/>
                  </w:tcBorders>
                </w:tcPr>
                <w:p w14:paraId="66B946F8">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27</w:t>
                  </w:r>
                </w:p>
              </w:tc>
              <w:tc>
                <w:tcPr>
                  <w:tcW w:w="2424" w:type="dxa"/>
                  <w:tcBorders>
                    <w:top w:val="single" w:color="auto" w:sz="4" w:space="0"/>
                    <w:left w:val="single" w:color="auto" w:sz="4" w:space="0"/>
                    <w:bottom w:val="single" w:color="auto" w:sz="4" w:space="0"/>
                    <w:right w:val="single" w:color="auto" w:sz="4" w:space="0"/>
                  </w:tcBorders>
                  <w:vAlign w:val="bottom"/>
                </w:tcPr>
                <w:p w14:paraId="06E60344">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可拆卸咬骨钳（钳杆直型）</w:t>
                  </w:r>
                </w:p>
              </w:tc>
              <w:tc>
                <w:tcPr>
                  <w:tcW w:w="3029" w:type="dxa"/>
                  <w:tcBorders>
                    <w:top w:val="single" w:color="auto" w:sz="4" w:space="0"/>
                    <w:left w:val="single" w:color="auto" w:sz="4" w:space="0"/>
                    <w:bottom w:val="single" w:color="auto" w:sz="4" w:space="0"/>
                    <w:right w:val="single" w:color="auto" w:sz="4" w:space="0"/>
                  </w:tcBorders>
                  <w:vAlign w:val="bottom"/>
                </w:tcPr>
                <w:p w14:paraId="1812687B">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φ3.0mm*220mm*130°</w:t>
                  </w:r>
                </w:p>
              </w:tc>
              <w:tc>
                <w:tcPr>
                  <w:tcW w:w="978" w:type="dxa"/>
                  <w:tcBorders>
                    <w:top w:val="single" w:color="auto" w:sz="4" w:space="0"/>
                    <w:left w:val="single" w:color="auto" w:sz="4" w:space="0"/>
                    <w:bottom w:val="single" w:color="auto" w:sz="4" w:space="0"/>
                    <w:right w:val="single" w:color="auto" w:sz="4" w:space="0"/>
                  </w:tcBorders>
                  <w:vAlign w:val="bottom"/>
                </w:tcPr>
                <w:p w14:paraId="31F6F5F0">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80" w:type="dxa"/>
                  <w:tcBorders>
                    <w:top w:val="single" w:color="auto" w:sz="4" w:space="0"/>
                    <w:left w:val="single" w:color="auto" w:sz="4" w:space="0"/>
                    <w:bottom w:val="single" w:color="auto" w:sz="4" w:space="0"/>
                    <w:right w:val="single" w:color="auto" w:sz="4" w:space="0"/>
                  </w:tcBorders>
                  <w:vAlign w:val="bottom"/>
                </w:tcPr>
                <w:p w14:paraId="4FCF9F22">
                  <w:pPr>
                    <w:spacing w:line="0" w:lineRule="atLeast"/>
                    <w:jc w:val="center"/>
                    <w:rPr>
                      <w:rFonts w:hint="eastAsia" w:ascii="宋体" w:hAnsi="宋体" w:eastAsia="宋体" w:cs="宋体"/>
                      <w:color w:val="auto"/>
                      <w:sz w:val="24"/>
                      <w:szCs w:val="24"/>
                    </w:rPr>
                  </w:pPr>
                </w:p>
              </w:tc>
            </w:tr>
            <w:tr w14:paraId="7A432F63">
              <w:tblPrEx>
                <w:tblCellMar>
                  <w:top w:w="0" w:type="dxa"/>
                  <w:left w:w="108" w:type="dxa"/>
                  <w:bottom w:w="0" w:type="dxa"/>
                  <w:right w:w="108" w:type="dxa"/>
                </w:tblCellMar>
              </w:tblPrEx>
              <w:trPr>
                <w:trHeight w:val="329" w:hRule="atLeast"/>
              </w:trPr>
              <w:tc>
                <w:tcPr>
                  <w:tcW w:w="839" w:type="dxa"/>
                  <w:tcBorders>
                    <w:top w:val="single" w:color="auto" w:sz="4" w:space="0"/>
                    <w:left w:val="single" w:color="auto" w:sz="4" w:space="0"/>
                    <w:bottom w:val="single" w:color="auto" w:sz="4" w:space="0"/>
                    <w:right w:val="single" w:color="auto" w:sz="4" w:space="0"/>
                  </w:tcBorders>
                </w:tcPr>
                <w:p w14:paraId="3C140F8E">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28</w:t>
                  </w:r>
                </w:p>
              </w:tc>
              <w:tc>
                <w:tcPr>
                  <w:tcW w:w="2424" w:type="dxa"/>
                  <w:tcBorders>
                    <w:top w:val="single" w:color="auto" w:sz="4" w:space="0"/>
                    <w:left w:val="single" w:color="auto" w:sz="4" w:space="0"/>
                    <w:bottom w:val="single" w:color="auto" w:sz="4" w:space="0"/>
                    <w:right w:val="single" w:color="auto" w:sz="4" w:space="0"/>
                  </w:tcBorders>
                  <w:vAlign w:val="bottom"/>
                </w:tcPr>
                <w:p w14:paraId="6A25ED07">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可拆卸咬骨钳（钳杆直型）</w:t>
                  </w:r>
                </w:p>
              </w:tc>
              <w:tc>
                <w:tcPr>
                  <w:tcW w:w="3029" w:type="dxa"/>
                  <w:tcBorders>
                    <w:top w:val="single" w:color="auto" w:sz="4" w:space="0"/>
                    <w:left w:val="single" w:color="auto" w:sz="4" w:space="0"/>
                    <w:bottom w:val="single" w:color="auto" w:sz="4" w:space="0"/>
                    <w:right w:val="single" w:color="auto" w:sz="4" w:space="0"/>
                  </w:tcBorders>
                  <w:vAlign w:val="bottom"/>
                </w:tcPr>
                <w:p w14:paraId="6F89AAE6">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φ4.0mm*220mm*130°</w:t>
                  </w:r>
                </w:p>
              </w:tc>
              <w:tc>
                <w:tcPr>
                  <w:tcW w:w="978" w:type="dxa"/>
                  <w:tcBorders>
                    <w:top w:val="single" w:color="auto" w:sz="4" w:space="0"/>
                    <w:left w:val="single" w:color="auto" w:sz="4" w:space="0"/>
                    <w:bottom w:val="single" w:color="auto" w:sz="4" w:space="0"/>
                    <w:right w:val="single" w:color="auto" w:sz="4" w:space="0"/>
                  </w:tcBorders>
                  <w:vAlign w:val="bottom"/>
                </w:tcPr>
                <w:p w14:paraId="30307871">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80" w:type="dxa"/>
                  <w:tcBorders>
                    <w:top w:val="single" w:color="auto" w:sz="4" w:space="0"/>
                    <w:left w:val="single" w:color="auto" w:sz="4" w:space="0"/>
                    <w:bottom w:val="single" w:color="auto" w:sz="4" w:space="0"/>
                    <w:right w:val="single" w:color="auto" w:sz="4" w:space="0"/>
                  </w:tcBorders>
                  <w:vAlign w:val="bottom"/>
                </w:tcPr>
                <w:p w14:paraId="3952D414">
                  <w:pPr>
                    <w:spacing w:line="0" w:lineRule="atLeast"/>
                    <w:jc w:val="center"/>
                    <w:rPr>
                      <w:rFonts w:hint="eastAsia" w:ascii="宋体" w:hAnsi="宋体" w:eastAsia="宋体" w:cs="宋体"/>
                      <w:color w:val="auto"/>
                      <w:sz w:val="24"/>
                      <w:szCs w:val="24"/>
                    </w:rPr>
                  </w:pPr>
                </w:p>
              </w:tc>
            </w:tr>
            <w:tr w14:paraId="6FC0CDC0">
              <w:tblPrEx>
                <w:tblCellMar>
                  <w:top w:w="0" w:type="dxa"/>
                  <w:left w:w="108" w:type="dxa"/>
                  <w:bottom w:w="0" w:type="dxa"/>
                  <w:right w:w="108" w:type="dxa"/>
                </w:tblCellMar>
              </w:tblPrEx>
              <w:trPr>
                <w:trHeight w:val="329" w:hRule="atLeast"/>
              </w:trPr>
              <w:tc>
                <w:tcPr>
                  <w:tcW w:w="839" w:type="dxa"/>
                  <w:tcBorders>
                    <w:top w:val="single" w:color="auto" w:sz="4" w:space="0"/>
                    <w:left w:val="single" w:color="auto" w:sz="4" w:space="0"/>
                    <w:bottom w:val="single" w:color="auto" w:sz="4" w:space="0"/>
                    <w:right w:val="single" w:color="auto" w:sz="4" w:space="0"/>
                  </w:tcBorders>
                </w:tcPr>
                <w:p w14:paraId="6EFB32F1">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29</w:t>
                  </w:r>
                </w:p>
              </w:tc>
              <w:tc>
                <w:tcPr>
                  <w:tcW w:w="2424" w:type="dxa"/>
                  <w:tcBorders>
                    <w:top w:val="single" w:color="auto" w:sz="4" w:space="0"/>
                    <w:left w:val="single" w:color="auto" w:sz="4" w:space="0"/>
                    <w:bottom w:val="single" w:color="auto" w:sz="4" w:space="0"/>
                    <w:right w:val="single" w:color="auto" w:sz="4" w:space="0"/>
                  </w:tcBorders>
                  <w:vAlign w:val="bottom"/>
                </w:tcPr>
                <w:p w14:paraId="0F8017BA">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椎板咬骨钳（钳杆弧形）</w:t>
                  </w:r>
                </w:p>
              </w:tc>
              <w:tc>
                <w:tcPr>
                  <w:tcW w:w="3029" w:type="dxa"/>
                  <w:tcBorders>
                    <w:top w:val="single" w:color="auto" w:sz="4" w:space="0"/>
                    <w:left w:val="single" w:color="auto" w:sz="4" w:space="0"/>
                    <w:bottom w:val="single" w:color="auto" w:sz="4" w:space="0"/>
                    <w:right w:val="single" w:color="auto" w:sz="4" w:space="0"/>
                  </w:tcBorders>
                  <w:vAlign w:val="bottom"/>
                </w:tcPr>
                <w:p w14:paraId="2A0BF536">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φ3.0mm*220mm*130°</w:t>
                  </w:r>
                </w:p>
              </w:tc>
              <w:tc>
                <w:tcPr>
                  <w:tcW w:w="978" w:type="dxa"/>
                  <w:tcBorders>
                    <w:top w:val="single" w:color="auto" w:sz="4" w:space="0"/>
                    <w:left w:val="single" w:color="auto" w:sz="4" w:space="0"/>
                    <w:bottom w:val="single" w:color="auto" w:sz="4" w:space="0"/>
                    <w:right w:val="single" w:color="auto" w:sz="4" w:space="0"/>
                  </w:tcBorders>
                  <w:vAlign w:val="bottom"/>
                </w:tcPr>
                <w:p w14:paraId="28CC24C9">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80" w:type="dxa"/>
                  <w:tcBorders>
                    <w:top w:val="single" w:color="auto" w:sz="4" w:space="0"/>
                    <w:left w:val="single" w:color="auto" w:sz="4" w:space="0"/>
                    <w:bottom w:val="single" w:color="auto" w:sz="4" w:space="0"/>
                    <w:right w:val="single" w:color="auto" w:sz="4" w:space="0"/>
                  </w:tcBorders>
                  <w:vAlign w:val="bottom"/>
                </w:tcPr>
                <w:p w14:paraId="77236E8B">
                  <w:pPr>
                    <w:spacing w:line="0" w:lineRule="atLeast"/>
                    <w:jc w:val="center"/>
                    <w:rPr>
                      <w:rFonts w:hint="eastAsia" w:ascii="宋体" w:hAnsi="宋体" w:eastAsia="宋体" w:cs="宋体"/>
                      <w:color w:val="auto"/>
                      <w:sz w:val="24"/>
                      <w:szCs w:val="24"/>
                    </w:rPr>
                  </w:pPr>
                </w:p>
              </w:tc>
            </w:tr>
            <w:tr w14:paraId="7AAFA2F4">
              <w:tblPrEx>
                <w:tblCellMar>
                  <w:top w:w="0" w:type="dxa"/>
                  <w:left w:w="108" w:type="dxa"/>
                  <w:bottom w:w="0" w:type="dxa"/>
                  <w:right w:w="108" w:type="dxa"/>
                </w:tblCellMar>
              </w:tblPrEx>
              <w:trPr>
                <w:trHeight w:val="329" w:hRule="atLeast"/>
              </w:trPr>
              <w:tc>
                <w:tcPr>
                  <w:tcW w:w="839" w:type="dxa"/>
                  <w:tcBorders>
                    <w:top w:val="single" w:color="auto" w:sz="4" w:space="0"/>
                    <w:left w:val="single" w:color="auto" w:sz="4" w:space="0"/>
                    <w:bottom w:val="single" w:color="auto" w:sz="4" w:space="0"/>
                    <w:right w:val="single" w:color="auto" w:sz="4" w:space="0"/>
                  </w:tcBorders>
                </w:tcPr>
                <w:p w14:paraId="5B961436">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2424" w:type="dxa"/>
                  <w:tcBorders>
                    <w:top w:val="single" w:color="auto" w:sz="4" w:space="0"/>
                    <w:left w:val="single" w:color="auto" w:sz="4" w:space="0"/>
                    <w:bottom w:val="single" w:color="auto" w:sz="4" w:space="0"/>
                    <w:right w:val="single" w:color="auto" w:sz="4" w:space="0"/>
                  </w:tcBorders>
                  <w:vAlign w:val="bottom"/>
                </w:tcPr>
                <w:p w14:paraId="02BC6DDF">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可拆卸咬骨钳柄</w:t>
                  </w:r>
                </w:p>
              </w:tc>
              <w:tc>
                <w:tcPr>
                  <w:tcW w:w="3029" w:type="dxa"/>
                  <w:tcBorders>
                    <w:top w:val="single" w:color="auto" w:sz="4" w:space="0"/>
                    <w:left w:val="single" w:color="auto" w:sz="4" w:space="0"/>
                    <w:bottom w:val="single" w:color="auto" w:sz="4" w:space="0"/>
                    <w:right w:val="single" w:color="auto" w:sz="4" w:space="0"/>
                  </w:tcBorders>
                  <w:vAlign w:val="bottom"/>
                </w:tcPr>
                <w:p w14:paraId="77AE409A">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978" w:type="dxa"/>
                  <w:tcBorders>
                    <w:top w:val="single" w:color="auto" w:sz="4" w:space="0"/>
                    <w:left w:val="single" w:color="auto" w:sz="4" w:space="0"/>
                    <w:bottom w:val="single" w:color="auto" w:sz="4" w:space="0"/>
                    <w:right w:val="single" w:color="auto" w:sz="4" w:space="0"/>
                  </w:tcBorders>
                  <w:vAlign w:val="bottom"/>
                </w:tcPr>
                <w:p w14:paraId="7B618427">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880" w:type="dxa"/>
                  <w:tcBorders>
                    <w:top w:val="single" w:color="auto" w:sz="4" w:space="0"/>
                    <w:left w:val="single" w:color="auto" w:sz="4" w:space="0"/>
                    <w:bottom w:val="single" w:color="auto" w:sz="4" w:space="0"/>
                    <w:right w:val="single" w:color="auto" w:sz="4" w:space="0"/>
                  </w:tcBorders>
                  <w:vAlign w:val="bottom"/>
                </w:tcPr>
                <w:p w14:paraId="732ED5D6">
                  <w:pPr>
                    <w:spacing w:line="0" w:lineRule="atLeast"/>
                    <w:jc w:val="center"/>
                    <w:rPr>
                      <w:rFonts w:hint="eastAsia" w:ascii="宋体" w:hAnsi="宋体" w:eastAsia="宋体" w:cs="宋体"/>
                      <w:color w:val="auto"/>
                      <w:sz w:val="24"/>
                      <w:szCs w:val="24"/>
                    </w:rPr>
                  </w:pPr>
                </w:p>
              </w:tc>
            </w:tr>
            <w:tr w14:paraId="2ACF9510">
              <w:tblPrEx>
                <w:tblCellMar>
                  <w:top w:w="0" w:type="dxa"/>
                  <w:left w:w="108" w:type="dxa"/>
                  <w:bottom w:w="0" w:type="dxa"/>
                  <w:right w:w="108" w:type="dxa"/>
                </w:tblCellMar>
              </w:tblPrEx>
              <w:trPr>
                <w:trHeight w:val="329" w:hRule="atLeast"/>
              </w:trPr>
              <w:tc>
                <w:tcPr>
                  <w:tcW w:w="839" w:type="dxa"/>
                  <w:tcBorders>
                    <w:top w:val="single" w:color="auto" w:sz="4" w:space="0"/>
                    <w:left w:val="single" w:color="auto" w:sz="4" w:space="0"/>
                    <w:bottom w:val="single" w:color="auto" w:sz="4" w:space="0"/>
                    <w:right w:val="single" w:color="auto" w:sz="4" w:space="0"/>
                  </w:tcBorders>
                </w:tcPr>
                <w:p w14:paraId="03F1FF05">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31</w:t>
                  </w:r>
                </w:p>
              </w:tc>
              <w:tc>
                <w:tcPr>
                  <w:tcW w:w="2424" w:type="dxa"/>
                  <w:tcBorders>
                    <w:top w:val="single" w:color="auto" w:sz="4" w:space="0"/>
                    <w:left w:val="single" w:color="auto" w:sz="4" w:space="0"/>
                    <w:bottom w:val="single" w:color="auto" w:sz="4" w:space="0"/>
                    <w:right w:val="single" w:color="auto" w:sz="4" w:space="0"/>
                  </w:tcBorders>
                  <w:vAlign w:val="bottom"/>
                </w:tcPr>
                <w:p w14:paraId="6E7B38AF">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消毒盒</w:t>
                  </w:r>
                </w:p>
              </w:tc>
              <w:tc>
                <w:tcPr>
                  <w:tcW w:w="3029" w:type="dxa"/>
                  <w:tcBorders>
                    <w:top w:val="single" w:color="auto" w:sz="4" w:space="0"/>
                    <w:left w:val="single" w:color="auto" w:sz="4" w:space="0"/>
                    <w:bottom w:val="single" w:color="auto" w:sz="4" w:space="0"/>
                    <w:right w:val="single" w:color="auto" w:sz="4" w:space="0"/>
                  </w:tcBorders>
                  <w:vAlign w:val="bottom"/>
                </w:tcPr>
                <w:p w14:paraId="54B8EF68">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978" w:type="dxa"/>
                  <w:tcBorders>
                    <w:top w:val="single" w:color="auto" w:sz="4" w:space="0"/>
                    <w:left w:val="single" w:color="auto" w:sz="4" w:space="0"/>
                    <w:bottom w:val="single" w:color="auto" w:sz="4" w:space="0"/>
                    <w:right w:val="single" w:color="auto" w:sz="4" w:space="0"/>
                  </w:tcBorders>
                  <w:vAlign w:val="bottom"/>
                </w:tcPr>
                <w:p w14:paraId="3D9FC1A2">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80" w:type="dxa"/>
                  <w:tcBorders>
                    <w:top w:val="single" w:color="auto" w:sz="4" w:space="0"/>
                    <w:left w:val="single" w:color="auto" w:sz="4" w:space="0"/>
                    <w:bottom w:val="single" w:color="auto" w:sz="4" w:space="0"/>
                    <w:right w:val="single" w:color="auto" w:sz="4" w:space="0"/>
                  </w:tcBorders>
                  <w:vAlign w:val="bottom"/>
                </w:tcPr>
                <w:p w14:paraId="50216006">
                  <w:pPr>
                    <w:spacing w:line="0" w:lineRule="atLeast"/>
                    <w:jc w:val="center"/>
                    <w:rPr>
                      <w:rFonts w:hint="eastAsia" w:ascii="宋体" w:hAnsi="宋体" w:eastAsia="宋体" w:cs="宋体"/>
                      <w:color w:val="auto"/>
                      <w:sz w:val="24"/>
                      <w:szCs w:val="24"/>
                    </w:rPr>
                  </w:pPr>
                </w:p>
              </w:tc>
            </w:tr>
          </w:tbl>
          <w:p w14:paraId="39515CE0">
            <w:pPr>
              <w:spacing w:line="0" w:lineRule="atLeast"/>
              <w:rPr>
                <w:rFonts w:hint="eastAsia" w:ascii="宋体" w:hAnsi="宋体" w:eastAsia="宋体" w:cs="宋体"/>
                <w:color w:val="auto"/>
                <w:sz w:val="24"/>
                <w:szCs w:val="24"/>
              </w:rPr>
            </w:pPr>
          </w:p>
          <w:p w14:paraId="4D767651">
            <w:pPr>
              <w:pStyle w:val="26"/>
              <w:rPr>
                <w:rFonts w:hint="eastAsia" w:ascii="宋体" w:hAnsi="宋体" w:eastAsia="宋体" w:cs="宋体"/>
                <w:color w:val="auto"/>
                <w:sz w:val="24"/>
                <w:szCs w:val="24"/>
              </w:rPr>
            </w:pPr>
          </w:p>
          <w:p w14:paraId="116A0048">
            <w:pPr>
              <w:pStyle w:val="68"/>
              <w:widowControl/>
              <w:numPr>
                <w:ilvl w:val="0"/>
                <w:numId w:val="5"/>
              </w:numPr>
              <w:adjustRightInd w:val="0"/>
              <w:snapToGrid w:val="0"/>
              <w:spacing w:after="200"/>
              <w:ind w:firstLineChars="0"/>
              <w:jc w:val="center"/>
              <w:rPr>
                <w:rFonts w:hint="eastAsia" w:ascii="宋体" w:hAnsi="宋体" w:eastAsia="宋体" w:cs="宋体"/>
                <w:b/>
                <w:color w:val="auto"/>
                <w:kern w:val="0"/>
                <w:sz w:val="24"/>
                <w:szCs w:val="24"/>
              </w:rPr>
            </w:pPr>
            <w:r>
              <w:rPr>
                <w:rFonts w:hint="eastAsia" w:ascii="宋体" w:hAnsi="宋体" w:eastAsia="宋体" w:cs="宋体"/>
                <w:b/>
                <w:bCs/>
                <w:color w:val="auto"/>
                <w:kern w:val="0"/>
                <w:sz w:val="24"/>
                <w:szCs w:val="24"/>
              </w:rPr>
              <w:t>内窥镜手术动力系统</w:t>
            </w:r>
            <w:r>
              <w:rPr>
                <w:rFonts w:hint="eastAsia" w:ascii="宋体" w:hAnsi="宋体" w:eastAsia="宋体" w:cs="宋体"/>
                <w:b/>
                <w:color w:val="auto"/>
                <w:kern w:val="0"/>
                <w:sz w:val="24"/>
                <w:szCs w:val="24"/>
              </w:rPr>
              <w:t>技术参数</w:t>
            </w:r>
            <w:r>
              <w:rPr>
                <w:rFonts w:hint="eastAsia" w:ascii="宋体" w:hAnsi="宋体" w:eastAsia="宋体" w:cs="宋体"/>
                <w:b/>
                <w:color w:val="auto"/>
                <w:kern w:val="0"/>
                <w:sz w:val="24"/>
                <w:szCs w:val="24"/>
                <w:lang w:val="en-US" w:eastAsia="zh-CN"/>
              </w:rPr>
              <w:t>(配备2套)</w:t>
            </w:r>
          </w:p>
          <w:p w14:paraId="59862A0F">
            <w:pPr>
              <w:widowControl/>
              <w:adjustRightInd w:val="0"/>
              <w:snapToGrid w:val="0"/>
              <w:spacing w:after="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7.1、整体要求</w:t>
            </w:r>
          </w:p>
          <w:p w14:paraId="611897EB">
            <w:pPr>
              <w:widowControl/>
              <w:adjustRightInd w:val="0"/>
              <w:snapToGrid w:val="0"/>
              <w:spacing w:after="200"/>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适用于外科手术中对人体骨组织或软组织的切除、刨削、磨削等操作处理。</w:t>
            </w:r>
          </w:p>
          <w:p w14:paraId="6E174351">
            <w:pPr>
              <w:widowControl/>
              <w:adjustRightInd w:val="0"/>
              <w:snapToGrid w:val="0"/>
              <w:spacing w:after="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7.2、主机</w:t>
            </w:r>
          </w:p>
          <w:p w14:paraId="7C2F0133">
            <w:pPr>
              <w:widowControl/>
              <w:adjustRightInd w:val="0"/>
              <w:snapToGrid w:val="0"/>
              <w:spacing w:after="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7.2.1、液晶屏显示，功率≥100VA，动力采用脚踏式控制。</w:t>
            </w:r>
          </w:p>
          <w:p w14:paraId="2C6E58B5">
            <w:pPr>
              <w:widowControl/>
              <w:adjustRightInd w:val="0"/>
              <w:snapToGrid w:val="0"/>
              <w:spacing w:after="200"/>
              <w:ind w:left="720" w:hanging="720" w:hangingChars="3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7.2.2、具有手柄/刀具自动识别功能；微电脑控制系统，手柄、脚踏连接故障诊断功能，转速可调。</w:t>
            </w:r>
          </w:p>
          <w:p w14:paraId="3E7DFCA5">
            <w:pPr>
              <w:widowControl/>
              <w:adjustRightInd w:val="0"/>
              <w:snapToGrid w:val="0"/>
              <w:spacing w:after="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7.2.3、</w:t>
            </w:r>
            <w:r>
              <w:rPr>
                <w:rFonts w:hint="eastAsia" w:ascii="宋体" w:hAnsi="宋体" w:eastAsia="宋体" w:cs="宋体"/>
                <w:color w:val="auto"/>
                <w:kern w:val="0"/>
                <w:sz w:val="24"/>
                <w:szCs w:val="24"/>
                <w:lang w:val="en-US" w:eastAsia="zh-CN"/>
              </w:rPr>
              <w:t>设计</w:t>
            </w:r>
            <w:r>
              <w:rPr>
                <w:rFonts w:hint="eastAsia" w:ascii="宋体" w:hAnsi="宋体" w:eastAsia="宋体" w:cs="宋体"/>
                <w:color w:val="auto"/>
                <w:kern w:val="0"/>
                <w:sz w:val="24"/>
                <w:szCs w:val="24"/>
              </w:rPr>
              <w:t>使用寿命≥8年</w:t>
            </w:r>
          </w:p>
          <w:p w14:paraId="651EF130">
            <w:pPr>
              <w:widowControl/>
              <w:adjustRightInd w:val="0"/>
              <w:snapToGrid w:val="0"/>
              <w:spacing w:after="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7.2.4、配蠕动泵，蠕动泵流量</w:t>
            </w:r>
            <w:r>
              <w:rPr>
                <w:rFonts w:hint="eastAsia" w:ascii="宋体" w:hAnsi="宋体" w:eastAsia="宋体" w:cs="宋体"/>
                <w:color w:val="auto"/>
                <w:kern w:val="0"/>
                <w:sz w:val="24"/>
                <w:szCs w:val="24"/>
                <w:lang w:val="en-US" w:eastAsia="zh-CN"/>
              </w:rPr>
              <w:t>调节</w:t>
            </w:r>
            <w:r>
              <w:rPr>
                <w:rFonts w:hint="eastAsia" w:ascii="宋体" w:hAnsi="宋体" w:eastAsia="宋体" w:cs="宋体"/>
                <w:color w:val="auto"/>
                <w:kern w:val="0"/>
                <w:sz w:val="24"/>
                <w:szCs w:val="24"/>
              </w:rPr>
              <w:t>范围0-70ML\min</w:t>
            </w:r>
          </w:p>
          <w:p w14:paraId="3A2304D3">
            <w:pPr>
              <w:widowControl/>
              <w:adjustRightInd w:val="0"/>
              <w:snapToGrid w:val="0"/>
              <w:spacing w:after="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7.2.5、脚踏IPX8防水等级，脚踏线缆≥3m。</w:t>
            </w:r>
          </w:p>
          <w:p w14:paraId="6E797F8A">
            <w:pPr>
              <w:widowControl/>
              <w:adjustRightInd w:val="0"/>
              <w:snapToGrid w:val="0"/>
              <w:spacing w:after="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7.3、刨削手柄</w:t>
            </w:r>
            <w:r>
              <w:rPr>
                <w:rFonts w:hint="eastAsia" w:ascii="宋体" w:hAnsi="宋体" w:eastAsia="宋体" w:cs="宋体"/>
                <w:color w:val="auto"/>
                <w:kern w:val="0"/>
                <w:sz w:val="24"/>
                <w:szCs w:val="24"/>
              </w:rPr>
              <w:tab/>
            </w:r>
          </w:p>
          <w:p w14:paraId="09770848">
            <w:pPr>
              <w:widowControl/>
              <w:adjustRightInd w:val="0"/>
              <w:snapToGrid w:val="0"/>
              <w:spacing w:after="200"/>
              <w:ind w:left="720" w:hanging="720" w:hangingChars="3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7.3.1、分体式刨削手柄 </w:t>
            </w:r>
          </w:p>
          <w:p w14:paraId="1E9C79BB">
            <w:pPr>
              <w:widowControl/>
              <w:adjustRightInd w:val="0"/>
              <w:snapToGrid w:val="0"/>
              <w:spacing w:after="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7.3.2  手柄有带手控或不带手控，多种方式可供临床选择</w:t>
            </w:r>
          </w:p>
          <w:p w14:paraId="10298AA9">
            <w:pPr>
              <w:widowControl/>
              <w:adjustRightInd w:val="0"/>
              <w:snapToGrid w:val="0"/>
              <w:spacing w:after="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7.3.3、刨削手柄和刀具连接部位锁止可靠</w:t>
            </w:r>
          </w:p>
          <w:p w14:paraId="7EDF7665">
            <w:pPr>
              <w:widowControl/>
              <w:adjustRightInd w:val="0"/>
              <w:snapToGrid w:val="0"/>
              <w:spacing w:after="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7.3.4、手柄直径≤20mm，重量≤100g（不含线缆），可高温高压灭菌。</w:t>
            </w:r>
          </w:p>
          <w:p w14:paraId="22C9FA28">
            <w:pPr>
              <w:widowControl/>
              <w:adjustRightInd w:val="0"/>
              <w:snapToGrid w:val="0"/>
              <w:spacing w:after="200"/>
              <w:ind w:left="960" w:hanging="960" w:hangingChars="4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7.3.5、单向转速3000-13000r</w:t>
            </w:r>
            <w:r>
              <w:rPr>
                <w:rFonts w:hint="eastAsia" w:ascii="宋体" w:hAnsi="宋体" w:eastAsia="宋体" w:cs="宋体"/>
                <w:color w:val="auto"/>
                <w:kern w:val="0"/>
                <w:sz w:val="24"/>
                <w:szCs w:val="24"/>
                <w:lang w:val="en-US" w:eastAsia="zh-CN"/>
              </w:rPr>
              <w:t>pm</w:t>
            </w:r>
            <w:r>
              <w:rPr>
                <w:rFonts w:hint="eastAsia" w:ascii="宋体" w:hAnsi="宋体" w:eastAsia="宋体" w:cs="宋体"/>
                <w:color w:val="auto"/>
                <w:kern w:val="0"/>
                <w:sz w:val="24"/>
                <w:szCs w:val="24"/>
              </w:rPr>
              <w:t>，往复转速500-6000 r</w:t>
            </w:r>
            <w:r>
              <w:rPr>
                <w:rFonts w:hint="eastAsia" w:ascii="宋体" w:hAnsi="宋体" w:eastAsia="宋体" w:cs="宋体"/>
                <w:color w:val="auto"/>
                <w:kern w:val="0"/>
                <w:sz w:val="24"/>
                <w:szCs w:val="24"/>
                <w:lang w:val="en-US" w:eastAsia="zh-CN"/>
              </w:rPr>
              <w:t>pm</w:t>
            </w:r>
            <w:r>
              <w:rPr>
                <w:rFonts w:hint="eastAsia" w:ascii="宋体" w:hAnsi="宋体" w:eastAsia="宋体" w:cs="宋体"/>
                <w:color w:val="auto"/>
                <w:kern w:val="0"/>
                <w:sz w:val="24"/>
                <w:szCs w:val="24"/>
              </w:rPr>
              <w:t>，</w:t>
            </w:r>
          </w:p>
          <w:p w14:paraId="2EE6BAE6">
            <w:pPr>
              <w:widowControl/>
              <w:adjustRightInd w:val="0"/>
              <w:snapToGrid w:val="0"/>
              <w:spacing w:after="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7.4、刨刀</w:t>
            </w:r>
          </w:p>
          <w:p w14:paraId="369971E5">
            <w:pPr>
              <w:widowControl/>
              <w:adjustRightInd w:val="0"/>
              <w:snapToGrid w:val="0"/>
              <w:spacing w:after="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7.4.1、尾部自锁插头</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直排引设计。</w:t>
            </w:r>
          </w:p>
          <w:p w14:paraId="3EB69829">
            <w:pPr>
              <w:widowControl/>
              <w:adjustRightInd w:val="0"/>
              <w:snapToGrid w:val="0"/>
              <w:spacing w:after="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7.4.2、刀具设计有抽吸阀。</w:t>
            </w:r>
          </w:p>
          <w:p w14:paraId="2C1A40CA">
            <w:pPr>
              <w:widowControl/>
              <w:adjustRightInd w:val="0"/>
              <w:snapToGrid w:val="0"/>
              <w:spacing w:after="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7.4.3、刨刀含有刨削头、刀杆、主体、抽吸阀、驱动接口、抽吸接口组成；</w:t>
            </w:r>
          </w:p>
          <w:p w14:paraId="389239CF">
            <w:pPr>
              <w:widowControl/>
              <w:adjustRightInd w:val="0"/>
              <w:snapToGrid w:val="0"/>
              <w:spacing w:after="200"/>
              <w:ind w:left="720" w:hanging="720" w:hangingChars="3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7.4.4、刨削刀头，刀杆直径2.5mm-5.5mm，长度130mm  弯曲角度0〫、15〫、20〫、30°</w:t>
            </w:r>
          </w:p>
          <w:p w14:paraId="1FDE18A3">
            <w:pPr>
              <w:widowControl/>
              <w:adjustRightInd w:val="0"/>
              <w:snapToGrid w:val="0"/>
              <w:spacing w:after="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7.4.5、具备护鞘钻头，刀杆直径4.0、5.0、5.5，长度130m-160m；</w:t>
            </w:r>
          </w:p>
          <w:p w14:paraId="619AC673">
            <w:pPr>
              <w:widowControl/>
              <w:adjustRightInd w:val="0"/>
              <w:snapToGrid w:val="0"/>
              <w:spacing w:after="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7.4.6、刨削刀头转速≥5000 r</w:t>
            </w:r>
            <w:r>
              <w:rPr>
                <w:rFonts w:hint="eastAsia" w:ascii="宋体" w:hAnsi="宋体" w:eastAsia="宋体" w:cs="宋体"/>
                <w:color w:val="auto"/>
                <w:kern w:val="0"/>
                <w:sz w:val="24"/>
                <w:szCs w:val="24"/>
                <w:lang w:val="en-US" w:eastAsia="zh-CN"/>
              </w:rPr>
              <w:t>pm</w:t>
            </w:r>
            <w:r>
              <w:rPr>
                <w:rFonts w:hint="eastAsia" w:ascii="宋体" w:hAnsi="宋体" w:eastAsia="宋体" w:cs="宋体"/>
                <w:color w:val="auto"/>
                <w:kern w:val="0"/>
                <w:sz w:val="24"/>
                <w:szCs w:val="24"/>
              </w:rPr>
              <w:t xml:space="preserve"> 刨削磨钻头转速≥12000 r</w:t>
            </w:r>
            <w:r>
              <w:rPr>
                <w:rFonts w:hint="eastAsia" w:ascii="宋体" w:hAnsi="宋体" w:eastAsia="宋体" w:cs="宋体"/>
                <w:color w:val="auto"/>
                <w:kern w:val="0"/>
                <w:sz w:val="24"/>
                <w:szCs w:val="24"/>
                <w:lang w:val="en-US" w:eastAsia="zh-CN"/>
              </w:rPr>
              <w:t>pm</w:t>
            </w:r>
          </w:p>
          <w:p w14:paraId="3CD858B0">
            <w:pPr>
              <w:widowControl/>
              <w:adjustRightInd w:val="0"/>
              <w:snapToGrid w:val="0"/>
              <w:spacing w:after="200"/>
              <w:ind w:left="720" w:hanging="720" w:hangingChars="3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7.4.7、刨刀，钻头等均有一次性无菌产品和可重复消毒使用产品可选，注册证或说明书有明确证明。</w:t>
            </w:r>
          </w:p>
          <w:p w14:paraId="3D516913">
            <w:pPr>
              <w:widowControl/>
              <w:adjustRightInd w:val="0"/>
              <w:snapToGrid w:val="0"/>
              <w:spacing w:after="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7.5、磨钻手柄</w:t>
            </w:r>
          </w:p>
          <w:p w14:paraId="2A281AB9">
            <w:pPr>
              <w:widowControl/>
              <w:adjustRightInd w:val="0"/>
              <w:snapToGrid w:val="0"/>
              <w:spacing w:after="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7.5.1、接插方便快捷，可高温高压灭菌；</w:t>
            </w:r>
          </w:p>
          <w:p w14:paraId="729FA081">
            <w:pPr>
              <w:widowControl/>
              <w:adjustRightInd w:val="0"/>
              <w:snapToGrid w:val="0"/>
              <w:spacing w:after="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7.5.2、输出动力强劲稳定，最高工作转速</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60000r</w:t>
            </w:r>
            <w:r>
              <w:rPr>
                <w:rFonts w:hint="eastAsia" w:ascii="宋体" w:hAnsi="宋体" w:eastAsia="宋体" w:cs="宋体"/>
                <w:color w:val="auto"/>
                <w:kern w:val="0"/>
                <w:sz w:val="24"/>
                <w:szCs w:val="24"/>
                <w:lang w:val="en-US" w:eastAsia="zh-CN"/>
              </w:rPr>
              <w:t>pm</w:t>
            </w:r>
            <w:r>
              <w:rPr>
                <w:rFonts w:hint="eastAsia" w:ascii="宋体" w:hAnsi="宋体" w:eastAsia="宋体" w:cs="宋体"/>
                <w:color w:val="auto"/>
                <w:kern w:val="0"/>
                <w:sz w:val="24"/>
                <w:szCs w:val="24"/>
              </w:rPr>
              <w:t>；</w:t>
            </w:r>
          </w:p>
          <w:p w14:paraId="0B2869B8">
            <w:pPr>
              <w:widowControl/>
              <w:adjustRightInd w:val="0"/>
              <w:snapToGrid w:val="0"/>
              <w:spacing w:after="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7.5.3、手柄外径≤18mm，主体长度≤100mm，重量≤130g，（不含线缆）。</w:t>
            </w:r>
          </w:p>
          <w:p w14:paraId="029D64B5">
            <w:pPr>
              <w:widowControl/>
              <w:adjustRightInd w:val="0"/>
              <w:snapToGrid w:val="0"/>
              <w:spacing w:after="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7.6、磨钻头</w:t>
            </w:r>
          </w:p>
          <w:p w14:paraId="4F209B97">
            <w:pPr>
              <w:widowControl/>
              <w:adjustRightInd w:val="0"/>
              <w:snapToGrid w:val="0"/>
              <w:spacing w:after="200"/>
              <w:ind w:left="480" w:hanging="480" w:hanging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7.6.1、微创脊柱磨头：具有金刚砂球形和不锈钢切削刃球形两种，磨头直径2-3.5 mm可选，刀头工作最高转速≥60000r</w:t>
            </w:r>
            <w:r>
              <w:rPr>
                <w:rFonts w:hint="eastAsia" w:ascii="宋体" w:hAnsi="宋体" w:eastAsia="宋体" w:cs="宋体"/>
                <w:color w:val="auto"/>
                <w:kern w:val="0"/>
                <w:sz w:val="24"/>
                <w:szCs w:val="24"/>
                <w:lang w:val="en-US" w:eastAsia="zh-CN"/>
              </w:rPr>
              <w:t>pm</w:t>
            </w:r>
            <w:r>
              <w:rPr>
                <w:rFonts w:hint="eastAsia" w:ascii="宋体" w:hAnsi="宋体" w:eastAsia="宋体" w:cs="宋体"/>
                <w:color w:val="auto"/>
                <w:kern w:val="0"/>
                <w:sz w:val="24"/>
                <w:szCs w:val="24"/>
              </w:rPr>
              <w:t>，连接杆长≥150mm</w:t>
            </w:r>
          </w:p>
          <w:p w14:paraId="5E6E0BB9">
            <w:pPr>
              <w:widowControl/>
              <w:adjustRightInd w:val="0"/>
              <w:snapToGrid w:val="0"/>
              <w:spacing w:after="200"/>
              <w:ind w:left="480" w:hanging="480" w:hanging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7.6.2、一体式磨头，刀杆弯曲，手术操作视野好，快速打磨骨质，磨头最高转速≥120000</w:t>
            </w:r>
            <w:r>
              <w:rPr>
                <w:rFonts w:hint="eastAsia" w:ascii="宋体" w:hAnsi="宋体" w:eastAsia="宋体" w:cs="宋体"/>
                <w:color w:val="auto"/>
                <w:kern w:val="0"/>
                <w:sz w:val="24"/>
                <w:szCs w:val="24"/>
                <w:lang w:eastAsia="zh-CN"/>
              </w:rPr>
              <w:t>rpm</w:t>
            </w:r>
            <w:r>
              <w:rPr>
                <w:rFonts w:hint="eastAsia" w:ascii="宋体" w:hAnsi="宋体" w:eastAsia="宋体" w:cs="宋体"/>
                <w:color w:val="auto"/>
                <w:kern w:val="0"/>
                <w:sz w:val="24"/>
                <w:szCs w:val="24"/>
              </w:rPr>
              <w:t>。磨头直径2mm-5mm可选择，具有金刚砂和切削刃两种可选。</w:t>
            </w:r>
          </w:p>
          <w:p w14:paraId="7DF6C473">
            <w:pPr>
              <w:widowControl/>
              <w:adjustRightInd w:val="0"/>
              <w:snapToGrid w:val="0"/>
              <w:spacing w:after="200"/>
              <w:ind w:left="720" w:hanging="720" w:hangingChars="3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7.6.3、动力骨刀：刀头齿部长度≥9mm，刀头前后往复运动，不损伤软组织，最高转速转速≥60000</w:t>
            </w:r>
            <w:r>
              <w:rPr>
                <w:rFonts w:hint="eastAsia" w:ascii="宋体" w:hAnsi="宋体" w:eastAsia="宋体" w:cs="宋体"/>
                <w:color w:val="auto"/>
                <w:kern w:val="0"/>
                <w:sz w:val="24"/>
                <w:szCs w:val="24"/>
                <w:lang w:eastAsia="zh-CN"/>
              </w:rPr>
              <w:t>rpm</w:t>
            </w:r>
            <w:r>
              <w:rPr>
                <w:rFonts w:hint="eastAsia" w:ascii="宋体" w:hAnsi="宋体" w:eastAsia="宋体" w:cs="宋体"/>
                <w:color w:val="auto"/>
                <w:kern w:val="0"/>
                <w:sz w:val="24"/>
                <w:szCs w:val="24"/>
              </w:rPr>
              <w:t xml:space="preserve"> 。</w:t>
            </w:r>
          </w:p>
          <w:p w14:paraId="2EF0AF56">
            <w:pPr>
              <w:widowControl/>
              <w:adjustRightInd w:val="0"/>
              <w:snapToGrid w:val="0"/>
              <w:spacing w:after="200"/>
              <w:ind w:left="720" w:hanging="720" w:hangingChars="3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7.6.4、摆动形动力骨刀：前端有齿，刃部直径8-10mm，刀头往复运动最高转速≥60000</w:t>
            </w:r>
            <w:r>
              <w:rPr>
                <w:rFonts w:hint="eastAsia" w:ascii="宋体" w:hAnsi="宋体" w:eastAsia="宋体" w:cs="宋体"/>
                <w:color w:val="auto"/>
                <w:kern w:val="0"/>
                <w:sz w:val="24"/>
                <w:szCs w:val="24"/>
                <w:lang w:eastAsia="zh-CN"/>
              </w:rPr>
              <w:t>rpm</w:t>
            </w:r>
            <w:r>
              <w:rPr>
                <w:rFonts w:hint="eastAsia" w:ascii="宋体" w:hAnsi="宋体" w:eastAsia="宋体" w:cs="宋体"/>
                <w:color w:val="auto"/>
                <w:kern w:val="0"/>
                <w:sz w:val="24"/>
                <w:szCs w:val="24"/>
              </w:rPr>
              <w:t>。</w:t>
            </w:r>
          </w:p>
          <w:p w14:paraId="3456C136">
            <w:pPr>
              <w:widowControl/>
              <w:adjustRightInd w:val="0"/>
              <w:snapToGrid w:val="0"/>
              <w:spacing w:after="200"/>
              <w:ind w:left="720" w:hanging="720" w:hangingChars="3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7.6.5、一体式护鞘磨头：前端刀杆弯曲，磨头前端带保护鞘，手术操作视野好。磨头直径2-3.5mm可选，工作最高转速≥60000</w:t>
            </w:r>
            <w:r>
              <w:rPr>
                <w:rFonts w:hint="eastAsia" w:ascii="宋体" w:hAnsi="宋体" w:eastAsia="宋体" w:cs="宋体"/>
                <w:color w:val="auto"/>
                <w:kern w:val="0"/>
                <w:sz w:val="24"/>
                <w:szCs w:val="24"/>
                <w:lang w:eastAsia="zh-CN"/>
              </w:rPr>
              <w:t>rpm</w:t>
            </w:r>
            <w:r>
              <w:rPr>
                <w:rFonts w:hint="eastAsia" w:ascii="宋体" w:hAnsi="宋体" w:eastAsia="宋体" w:cs="宋体"/>
                <w:color w:val="auto"/>
                <w:kern w:val="0"/>
                <w:sz w:val="24"/>
                <w:szCs w:val="24"/>
              </w:rPr>
              <w:t xml:space="preserve"> 。</w:t>
            </w:r>
          </w:p>
          <w:p w14:paraId="68DAEF61">
            <w:pPr>
              <w:widowControl/>
              <w:adjustRightInd w:val="0"/>
              <w:snapToGrid w:val="0"/>
              <w:spacing w:after="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7.7、配置要求</w:t>
            </w:r>
          </w:p>
          <w:p w14:paraId="03E650F7">
            <w:pPr>
              <w:spacing w:line="0" w:lineRule="atLeas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主机质保</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年；配套通用手柄1把，刨削手柄1把；UBE磨头</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8支，微创磨头</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4支，刨刀刀头</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10支，型号可选可调。</w:t>
            </w:r>
          </w:p>
          <w:p w14:paraId="4C1C1C1E">
            <w:pPr>
              <w:spacing w:line="0" w:lineRule="atLeast"/>
              <w:ind w:firstLine="482" w:firstLineChars="20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内窥镜手术动力系统配置清单</w:t>
            </w:r>
          </w:p>
        </w:tc>
      </w:tr>
      <w:tr w14:paraId="3B1EC65B">
        <w:tblPrEx>
          <w:tblCellMar>
            <w:top w:w="0" w:type="dxa"/>
            <w:left w:w="108" w:type="dxa"/>
            <w:bottom w:w="0" w:type="dxa"/>
            <w:right w:w="108" w:type="dxa"/>
          </w:tblCellMar>
        </w:tblPrEx>
        <w:trPr>
          <w:gridAfter w:val="1"/>
          <w:wAfter w:w="41" w:type="dxa"/>
          <w:trHeight w:val="330" w:hRule="atLeast"/>
          <w:jc w:val="center"/>
        </w:trPr>
        <w:tc>
          <w:tcPr>
            <w:tcW w:w="5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4DA740">
            <w:pPr>
              <w:spacing w:line="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p>
        </w:tc>
        <w:tc>
          <w:tcPr>
            <w:tcW w:w="1996" w:type="dxa"/>
            <w:tcBorders>
              <w:top w:val="single" w:color="auto" w:sz="4" w:space="0"/>
              <w:left w:val="nil"/>
              <w:bottom w:val="single" w:color="auto" w:sz="4" w:space="0"/>
              <w:right w:val="single" w:color="auto" w:sz="4" w:space="0"/>
            </w:tcBorders>
            <w:shd w:val="clear" w:color="auto" w:fill="auto"/>
            <w:vAlign w:val="center"/>
          </w:tcPr>
          <w:p w14:paraId="38870F62">
            <w:pPr>
              <w:spacing w:line="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名称</w:t>
            </w:r>
          </w:p>
        </w:tc>
        <w:tc>
          <w:tcPr>
            <w:tcW w:w="3797" w:type="dxa"/>
            <w:tcBorders>
              <w:top w:val="single" w:color="auto" w:sz="4" w:space="0"/>
              <w:left w:val="nil"/>
              <w:bottom w:val="single" w:color="auto" w:sz="4" w:space="0"/>
              <w:right w:val="single" w:color="auto" w:sz="4" w:space="0"/>
            </w:tcBorders>
            <w:shd w:val="clear" w:color="auto" w:fill="auto"/>
            <w:vAlign w:val="center"/>
          </w:tcPr>
          <w:p w14:paraId="5D6DC39C">
            <w:pPr>
              <w:spacing w:line="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规格</w:t>
            </w:r>
          </w:p>
        </w:tc>
        <w:tc>
          <w:tcPr>
            <w:tcW w:w="844" w:type="dxa"/>
            <w:tcBorders>
              <w:top w:val="single" w:color="auto" w:sz="4" w:space="0"/>
              <w:left w:val="nil"/>
              <w:bottom w:val="single" w:color="auto" w:sz="4" w:space="0"/>
              <w:right w:val="single" w:color="auto" w:sz="4" w:space="0"/>
            </w:tcBorders>
            <w:shd w:val="clear" w:color="auto" w:fill="auto"/>
            <w:vAlign w:val="center"/>
          </w:tcPr>
          <w:p w14:paraId="54DC9F71">
            <w:pPr>
              <w:spacing w:line="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1111" w:type="dxa"/>
            <w:tcBorders>
              <w:top w:val="single" w:color="auto" w:sz="4" w:space="0"/>
              <w:left w:val="nil"/>
              <w:bottom w:val="single" w:color="auto" w:sz="4" w:space="0"/>
              <w:right w:val="single" w:color="auto" w:sz="4" w:space="0"/>
            </w:tcBorders>
            <w:shd w:val="clear" w:color="auto" w:fill="auto"/>
            <w:noWrap/>
            <w:vAlign w:val="center"/>
          </w:tcPr>
          <w:p w14:paraId="56EA0AC9">
            <w:pPr>
              <w:spacing w:line="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14:paraId="0EF3CCC9">
        <w:tblPrEx>
          <w:tblCellMar>
            <w:top w:w="0" w:type="dxa"/>
            <w:left w:w="108" w:type="dxa"/>
            <w:bottom w:w="0" w:type="dxa"/>
            <w:right w:w="108" w:type="dxa"/>
          </w:tblCellMar>
        </w:tblPrEx>
        <w:trPr>
          <w:gridAfter w:val="1"/>
          <w:wAfter w:w="41" w:type="dxa"/>
          <w:trHeight w:val="293" w:hRule="atLeast"/>
          <w:jc w:val="center"/>
        </w:trPr>
        <w:tc>
          <w:tcPr>
            <w:tcW w:w="589" w:type="dxa"/>
            <w:gridSpan w:val="2"/>
            <w:tcBorders>
              <w:top w:val="nil"/>
              <w:left w:val="single" w:color="auto" w:sz="4" w:space="0"/>
              <w:bottom w:val="single" w:color="auto" w:sz="4" w:space="0"/>
              <w:right w:val="single" w:color="auto" w:sz="4" w:space="0"/>
            </w:tcBorders>
            <w:shd w:val="clear" w:color="auto" w:fill="auto"/>
            <w:vAlign w:val="center"/>
          </w:tcPr>
          <w:p w14:paraId="40DB0A13">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996" w:type="dxa"/>
            <w:tcBorders>
              <w:top w:val="nil"/>
              <w:left w:val="nil"/>
              <w:bottom w:val="single" w:color="auto" w:sz="4" w:space="0"/>
              <w:right w:val="single" w:color="auto" w:sz="4" w:space="0"/>
            </w:tcBorders>
            <w:shd w:val="clear" w:color="auto" w:fill="auto"/>
            <w:vAlign w:val="center"/>
          </w:tcPr>
          <w:p w14:paraId="2D3B0E6A">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内窥镜手术动力主机</w:t>
            </w:r>
          </w:p>
        </w:tc>
        <w:tc>
          <w:tcPr>
            <w:tcW w:w="3797" w:type="dxa"/>
            <w:tcBorders>
              <w:top w:val="nil"/>
              <w:left w:val="nil"/>
              <w:bottom w:val="single" w:color="auto" w:sz="4" w:space="0"/>
              <w:right w:val="single" w:color="auto" w:sz="4" w:space="0"/>
            </w:tcBorders>
            <w:shd w:val="clear" w:color="auto" w:fill="auto"/>
            <w:vAlign w:val="center"/>
          </w:tcPr>
          <w:p w14:paraId="07AC3F4D">
            <w:pPr>
              <w:spacing w:line="0" w:lineRule="atLeast"/>
              <w:ind w:firstLine="480" w:firstLineChars="200"/>
              <w:rPr>
                <w:rFonts w:hint="eastAsia" w:ascii="宋体" w:hAnsi="宋体" w:eastAsia="宋体" w:cs="宋体"/>
                <w:b/>
                <w:color w:val="auto"/>
                <w:sz w:val="24"/>
                <w:szCs w:val="24"/>
              </w:rPr>
            </w:pPr>
            <w:r>
              <w:rPr>
                <w:rFonts w:hint="eastAsia" w:ascii="宋体" w:hAnsi="宋体" w:eastAsia="宋体" w:cs="宋体"/>
                <w:color w:val="auto"/>
                <w:kern w:val="0"/>
                <w:sz w:val="24"/>
                <w:szCs w:val="24"/>
              </w:rPr>
              <w:t>微电脑液晶屏控制系统</w:t>
            </w:r>
          </w:p>
        </w:tc>
        <w:tc>
          <w:tcPr>
            <w:tcW w:w="844" w:type="dxa"/>
            <w:tcBorders>
              <w:top w:val="nil"/>
              <w:left w:val="nil"/>
              <w:bottom w:val="single" w:color="auto" w:sz="4" w:space="0"/>
              <w:right w:val="single" w:color="auto" w:sz="4" w:space="0"/>
            </w:tcBorders>
            <w:shd w:val="clear" w:color="auto" w:fill="auto"/>
            <w:vAlign w:val="center"/>
          </w:tcPr>
          <w:p w14:paraId="57CD8C61">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11" w:type="dxa"/>
            <w:tcBorders>
              <w:top w:val="nil"/>
              <w:left w:val="nil"/>
              <w:bottom w:val="single" w:color="auto" w:sz="4" w:space="0"/>
              <w:right w:val="single" w:color="auto" w:sz="4" w:space="0"/>
            </w:tcBorders>
            <w:shd w:val="clear" w:color="auto" w:fill="auto"/>
            <w:noWrap/>
            <w:vAlign w:val="center"/>
          </w:tcPr>
          <w:p w14:paraId="10166F2B">
            <w:pPr>
              <w:spacing w:line="0" w:lineRule="atLeast"/>
              <w:rPr>
                <w:rFonts w:hint="eastAsia" w:ascii="宋体" w:hAnsi="宋体" w:eastAsia="宋体" w:cs="宋体"/>
                <w:color w:val="auto"/>
                <w:sz w:val="24"/>
                <w:szCs w:val="24"/>
              </w:rPr>
            </w:pPr>
          </w:p>
        </w:tc>
      </w:tr>
      <w:tr w14:paraId="2AD8E1AF">
        <w:tblPrEx>
          <w:tblCellMar>
            <w:top w:w="0" w:type="dxa"/>
            <w:left w:w="108" w:type="dxa"/>
            <w:bottom w:w="0" w:type="dxa"/>
            <w:right w:w="108" w:type="dxa"/>
          </w:tblCellMar>
        </w:tblPrEx>
        <w:trPr>
          <w:gridAfter w:val="1"/>
          <w:wAfter w:w="41" w:type="dxa"/>
          <w:trHeight w:val="293" w:hRule="atLeast"/>
          <w:jc w:val="center"/>
        </w:trPr>
        <w:tc>
          <w:tcPr>
            <w:tcW w:w="589" w:type="dxa"/>
            <w:gridSpan w:val="2"/>
            <w:tcBorders>
              <w:top w:val="nil"/>
              <w:left w:val="single" w:color="auto" w:sz="4" w:space="0"/>
              <w:bottom w:val="single" w:color="auto" w:sz="4" w:space="0"/>
              <w:right w:val="single" w:color="auto" w:sz="4" w:space="0"/>
            </w:tcBorders>
            <w:shd w:val="clear" w:color="auto" w:fill="auto"/>
            <w:vAlign w:val="center"/>
          </w:tcPr>
          <w:p w14:paraId="532CA544">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996" w:type="dxa"/>
            <w:tcBorders>
              <w:top w:val="nil"/>
              <w:left w:val="nil"/>
              <w:bottom w:val="single" w:color="auto" w:sz="4" w:space="0"/>
              <w:right w:val="single" w:color="auto" w:sz="4" w:space="0"/>
            </w:tcBorders>
            <w:shd w:val="clear" w:color="auto" w:fill="auto"/>
            <w:vAlign w:val="center"/>
          </w:tcPr>
          <w:p w14:paraId="7728F2E9">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脚踏开关</w:t>
            </w:r>
          </w:p>
        </w:tc>
        <w:tc>
          <w:tcPr>
            <w:tcW w:w="3797" w:type="dxa"/>
            <w:tcBorders>
              <w:top w:val="nil"/>
              <w:left w:val="nil"/>
              <w:bottom w:val="single" w:color="auto" w:sz="4" w:space="0"/>
              <w:right w:val="single" w:color="auto" w:sz="4" w:space="0"/>
            </w:tcBorders>
            <w:shd w:val="clear" w:color="auto" w:fill="auto"/>
            <w:vAlign w:val="center"/>
          </w:tcPr>
          <w:p w14:paraId="0BAFD950">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IPX8防水等级，脚踏线缆≥3m</w:t>
            </w:r>
          </w:p>
        </w:tc>
        <w:tc>
          <w:tcPr>
            <w:tcW w:w="844" w:type="dxa"/>
            <w:tcBorders>
              <w:top w:val="nil"/>
              <w:left w:val="nil"/>
              <w:bottom w:val="single" w:color="auto" w:sz="4" w:space="0"/>
              <w:right w:val="single" w:color="auto" w:sz="4" w:space="0"/>
            </w:tcBorders>
            <w:shd w:val="clear" w:color="auto" w:fill="auto"/>
            <w:vAlign w:val="center"/>
          </w:tcPr>
          <w:p w14:paraId="7F0B1587">
            <w:pPr>
              <w:spacing w:line="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111" w:type="dxa"/>
            <w:tcBorders>
              <w:top w:val="nil"/>
              <w:left w:val="nil"/>
              <w:bottom w:val="single" w:color="auto" w:sz="4" w:space="0"/>
              <w:right w:val="single" w:color="auto" w:sz="4" w:space="0"/>
            </w:tcBorders>
            <w:shd w:val="clear" w:color="auto" w:fill="auto"/>
            <w:noWrap/>
            <w:vAlign w:val="center"/>
          </w:tcPr>
          <w:p w14:paraId="2F83E95C">
            <w:pPr>
              <w:spacing w:line="0" w:lineRule="atLeast"/>
              <w:rPr>
                <w:rFonts w:hint="eastAsia" w:ascii="宋体" w:hAnsi="宋体" w:eastAsia="宋体" w:cs="宋体"/>
                <w:color w:val="auto"/>
                <w:sz w:val="24"/>
                <w:szCs w:val="24"/>
              </w:rPr>
            </w:pPr>
          </w:p>
        </w:tc>
      </w:tr>
      <w:tr w14:paraId="4BEFC055">
        <w:tblPrEx>
          <w:tblCellMar>
            <w:top w:w="0" w:type="dxa"/>
            <w:left w:w="108" w:type="dxa"/>
            <w:bottom w:w="0" w:type="dxa"/>
            <w:right w:w="108" w:type="dxa"/>
          </w:tblCellMar>
        </w:tblPrEx>
        <w:trPr>
          <w:gridAfter w:val="1"/>
          <w:wAfter w:w="41" w:type="dxa"/>
          <w:trHeight w:val="293" w:hRule="atLeast"/>
          <w:jc w:val="center"/>
        </w:trPr>
        <w:tc>
          <w:tcPr>
            <w:tcW w:w="589" w:type="dxa"/>
            <w:gridSpan w:val="2"/>
            <w:tcBorders>
              <w:top w:val="nil"/>
              <w:left w:val="single" w:color="auto" w:sz="4" w:space="0"/>
              <w:bottom w:val="single" w:color="auto" w:sz="4" w:space="0"/>
              <w:right w:val="single" w:color="auto" w:sz="4" w:space="0"/>
            </w:tcBorders>
            <w:shd w:val="clear" w:color="auto" w:fill="auto"/>
            <w:vAlign w:val="center"/>
          </w:tcPr>
          <w:p w14:paraId="10D261F6">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996" w:type="dxa"/>
            <w:tcBorders>
              <w:top w:val="nil"/>
              <w:left w:val="nil"/>
              <w:bottom w:val="single" w:color="auto" w:sz="4" w:space="0"/>
              <w:right w:val="single" w:color="auto" w:sz="4" w:space="0"/>
            </w:tcBorders>
            <w:shd w:val="clear" w:color="auto" w:fill="auto"/>
            <w:vAlign w:val="center"/>
          </w:tcPr>
          <w:p w14:paraId="774369AD">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手柄</w:t>
            </w:r>
          </w:p>
        </w:tc>
        <w:tc>
          <w:tcPr>
            <w:tcW w:w="3797" w:type="dxa"/>
            <w:tcBorders>
              <w:top w:val="nil"/>
              <w:left w:val="nil"/>
              <w:bottom w:val="single" w:color="auto" w:sz="4" w:space="0"/>
              <w:right w:val="single" w:color="auto" w:sz="4" w:space="0"/>
            </w:tcBorders>
            <w:shd w:val="clear" w:color="auto" w:fill="auto"/>
            <w:vAlign w:val="center"/>
          </w:tcPr>
          <w:p w14:paraId="126BC6C5">
            <w:pPr>
              <w:spacing w:line="0" w:lineRule="atLeast"/>
              <w:jc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rPr>
              <w:t>最高转速≥60000</w:t>
            </w:r>
            <w:r>
              <w:rPr>
                <w:rFonts w:hint="eastAsia" w:ascii="宋体" w:hAnsi="宋体" w:eastAsia="宋体" w:cs="宋体"/>
                <w:color w:val="auto"/>
                <w:kern w:val="0"/>
                <w:sz w:val="24"/>
                <w:szCs w:val="24"/>
                <w:lang w:eastAsia="zh-CN"/>
              </w:rPr>
              <w:t>rpm</w:t>
            </w:r>
          </w:p>
        </w:tc>
        <w:tc>
          <w:tcPr>
            <w:tcW w:w="844" w:type="dxa"/>
            <w:tcBorders>
              <w:top w:val="nil"/>
              <w:left w:val="nil"/>
              <w:bottom w:val="single" w:color="auto" w:sz="4" w:space="0"/>
              <w:right w:val="single" w:color="auto" w:sz="4" w:space="0"/>
            </w:tcBorders>
            <w:shd w:val="clear" w:color="auto" w:fill="auto"/>
            <w:vAlign w:val="center"/>
          </w:tcPr>
          <w:p w14:paraId="01D0BE93">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11" w:type="dxa"/>
            <w:tcBorders>
              <w:top w:val="nil"/>
              <w:left w:val="nil"/>
              <w:bottom w:val="single" w:color="auto" w:sz="4" w:space="0"/>
              <w:right w:val="single" w:color="auto" w:sz="4" w:space="0"/>
            </w:tcBorders>
            <w:shd w:val="clear" w:color="auto" w:fill="auto"/>
            <w:noWrap/>
            <w:vAlign w:val="center"/>
          </w:tcPr>
          <w:p w14:paraId="1582911F">
            <w:pPr>
              <w:spacing w:line="0" w:lineRule="atLeast"/>
              <w:jc w:val="center"/>
              <w:rPr>
                <w:rFonts w:hint="eastAsia" w:ascii="宋体" w:hAnsi="宋体" w:eastAsia="宋体" w:cs="宋体"/>
                <w:color w:val="auto"/>
                <w:sz w:val="24"/>
                <w:szCs w:val="24"/>
              </w:rPr>
            </w:pPr>
          </w:p>
        </w:tc>
      </w:tr>
      <w:tr w14:paraId="1F447C9D">
        <w:tblPrEx>
          <w:tblCellMar>
            <w:top w:w="0" w:type="dxa"/>
            <w:left w:w="108" w:type="dxa"/>
            <w:bottom w:w="0" w:type="dxa"/>
            <w:right w:w="108" w:type="dxa"/>
          </w:tblCellMar>
        </w:tblPrEx>
        <w:trPr>
          <w:gridAfter w:val="1"/>
          <w:wAfter w:w="41" w:type="dxa"/>
          <w:trHeight w:val="293" w:hRule="atLeast"/>
          <w:jc w:val="center"/>
        </w:trPr>
        <w:tc>
          <w:tcPr>
            <w:tcW w:w="589" w:type="dxa"/>
            <w:gridSpan w:val="2"/>
            <w:tcBorders>
              <w:top w:val="nil"/>
              <w:left w:val="single" w:color="auto" w:sz="4" w:space="0"/>
              <w:bottom w:val="single" w:color="auto" w:sz="4" w:space="0"/>
              <w:right w:val="single" w:color="auto" w:sz="4" w:space="0"/>
            </w:tcBorders>
            <w:shd w:val="clear" w:color="auto" w:fill="auto"/>
            <w:vAlign w:val="center"/>
          </w:tcPr>
          <w:p w14:paraId="5B56448C">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996" w:type="dxa"/>
            <w:tcBorders>
              <w:top w:val="nil"/>
              <w:left w:val="nil"/>
              <w:bottom w:val="single" w:color="auto" w:sz="4" w:space="0"/>
              <w:right w:val="single" w:color="auto" w:sz="4" w:space="0"/>
            </w:tcBorders>
            <w:shd w:val="clear" w:color="auto" w:fill="auto"/>
            <w:vAlign w:val="center"/>
          </w:tcPr>
          <w:p w14:paraId="58FC82DB">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刨削手柄</w:t>
            </w:r>
          </w:p>
        </w:tc>
        <w:tc>
          <w:tcPr>
            <w:tcW w:w="3797" w:type="dxa"/>
            <w:tcBorders>
              <w:top w:val="nil"/>
              <w:left w:val="nil"/>
              <w:bottom w:val="single" w:color="auto" w:sz="4" w:space="0"/>
              <w:right w:val="single" w:color="auto" w:sz="4" w:space="0"/>
            </w:tcBorders>
            <w:shd w:val="clear" w:color="auto" w:fill="auto"/>
            <w:vAlign w:val="center"/>
          </w:tcPr>
          <w:p w14:paraId="630491BC">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单向旋转转头转速3000-13000</w:t>
            </w:r>
            <w:r>
              <w:rPr>
                <w:rFonts w:hint="eastAsia" w:ascii="宋体" w:hAnsi="宋体" w:eastAsia="宋体" w:cs="宋体"/>
                <w:color w:val="auto"/>
                <w:sz w:val="24"/>
                <w:szCs w:val="24"/>
                <w:lang w:eastAsia="zh-CN"/>
              </w:rPr>
              <w:t>rpm</w:t>
            </w:r>
            <w:r>
              <w:rPr>
                <w:rFonts w:hint="eastAsia" w:ascii="宋体" w:hAnsi="宋体" w:eastAsia="宋体" w:cs="宋体"/>
                <w:color w:val="auto"/>
                <w:sz w:val="24"/>
                <w:szCs w:val="24"/>
              </w:rPr>
              <w:t xml:space="preserve">，往复旋转刀头转速500-6000 </w:t>
            </w:r>
            <w:r>
              <w:rPr>
                <w:rFonts w:hint="eastAsia" w:ascii="宋体" w:hAnsi="宋体" w:eastAsia="宋体" w:cs="宋体"/>
                <w:color w:val="auto"/>
                <w:sz w:val="24"/>
                <w:szCs w:val="24"/>
                <w:lang w:eastAsia="zh-CN"/>
              </w:rPr>
              <w:t>rpm</w:t>
            </w:r>
            <w:r>
              <w:rPr>
                <w:rFonts w:hint="eastAsia" w:ascii="宋体" w:hAnsi="宋体" w:eastAsia="宋体" w:cs="宋体"/>
                <w:color w:val="auto"/>
                <w:sz w:val="24"/>
                <w:szCs w:val="24"/>
              </w:rPr>
              <w:t>，</w:t>
            </w:r>
          </w:p>
        </w:tc>
        <w:tc>
          <w:tcPr>
            <w:tcW w:w="844" w:type="dxa"/>
            <w:tcBorders>
              <w:top w:val="nil"/>
              <w:left w:val="nil"/>
              <w:bottom w:val="single" w:color="auto" w:sz="4" w:space="0"/>
              <w:right w:val="single" w:color="auto" w:sz="4" w:space="0"/>
            </w:tcBorders>
            <w:shd w:val="clear" w:color="auto" w:fill="auto"/>
            <w:vAlign w:val="center"/>
          </w:tcPr>
          <w:p w14:paraId="1C396919">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11" w:type="dxa"/>
            <w:tcBorders>
              <w:top w:val="nil"/>
              <w:left w:val="nil"/>
              <w:bottom w:val="single" w:color="auto" w:sz="4" w:space="0"/>
              <w:right w:val="single" w:color="auto" w:sz="4" w:space="0"/>
            </w:tcBorders>
            <w:shd w:val="clear" w:color="auto" w:fill="auto"/>
            <w:noWrap/>
            <w:vAlign w:val="center"/>
          </w:tcPr>
          <w:p w14:paraId="0041BFD6">
            <w:pPr>
              <w:spacing w:line="0" w:lineRule="atLeast"/>
              <w:jc w:val="center"/>
              <w:rPr>
                <w:rFonts w:hint="eastAsia" w:ascii="宋体" w:hAnsi="宋体" w:eastAsia="宋体" w:cs="宋体"/>
                <w:color w:val="auto"/>
                <w:sz w:val="24"/>
                <w:szCs w:val="24"/>
              </w:rPr>
            </w:pPr>
          </w:p>
        </w:tc>
      </w:tr>
      <w:tr w14:paraId="3B9D38BB">
        <w:tblPrEx>
          <w:tblCellMar>
            <w:top w:w="0" w:type="dxa"/>
            <w:left w:w="108" w:type="dxa"/>
            <w:bottom w:w="0" w:type="dxa"/>
            <w:right w:w="108" w:type="dxa"/>
          </w:tblCellMar>
        </w:tblPrEx>
        <w:trPr>
          <w:gridAfter w:val="1"/>
          <w:wAfter w:w="41" w:type="dxa"/>
          <w:trHeight w:val="316" w:hRule="atLeast"/>
          <w:jc w:val="center"/>
        </w:trPr>
        <w:tc>
          <w:tcPr>
            <w:tcW w:w="589" w:type="dxa"/>
            <w:gridSpan w:val="2"/>
            <w:tcBorders>
              <w:top w:val="nil"/>
              <w:left w:val="single" w:color="auto" w:sz="4" w:space="0"/>
              <w:bottom w:val="single" w:color="auto" w:sz="4" w:space="0"/>
              <w:right w:val="single" w:color="auto" w:sz="4" w:space="0"/>
            </w:tcBorders>
            <w:shd w:val="clear" w:color="auto" w:fill="auto"/>
            <w:vAlign w:val="center"/>
          </w:tcPr>
          <w:p w14:paraId="468CBE04">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996" w:type="dxa"/>
            <w:tcBorders>
              <w:top w:val="nil"/>
              <w:left w:val="nil"/>
              <w:bottom w:val="single" w:color="auto" w:sz="4" w:space="0"/>
              <w:right w:val="single" w:color="auto" w:sz="4" w:space="0"/>
            </w:tcBorders>
            <w:shd w:val="clear" w:color="auto" w:fill="auto"/>
            <w:vAlign w:val="center"/>
          </w:tcPr>
          <w:p w14:paraId="4B9E8297">
            <w:pPr>
              <w:spacing w:line="0" w:lineRule="atLeast"/>
              <w:jc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rPr>
              <w:t>UBE磨头</w:t>
            </w:r>
            <w:r>
              <w:rPr>
                <w:rFonts w:hint="eastAsia" w:ascii="宋体" w:hAnsi="宋体" w:eastAsia="宋体" w:cs="宋体"/>
                <w:color w:val="auto"/>
                <w:kern w:val="0"/>
                <w:sz w:val="24"/>
                <w:szCs w:val="24"/>
                <w:lang w:eastAsia="zh-CN"/>
              </w:rPr>
              <w:t>（阳采）</w:t>
            </w:r>
          </w:p>
        </w:tc>
        <w:tc>
          <w:tcPr>
            <w:tcW w:w="3797" w:type="dxa"/>
            <w:tcBorders>
              <w:top w:val="nil"/>
              <w:left w:val="nil"/>
              <w:bottom w:val="single" w:color="auto" w:sz="4" w:space="0"/>
              <w:right w:val="single" w:color="auto" w:sz="4" w:space="0"/>
            </w:tcBorders>
            <w:shd w:val="clear" w:color="auto" w:fill="auto"/>
          </w:tcPr>
          <w:p w14:paraId="4205547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一次性使用</w:t>
            </w:r>
          </w:p>
        </w:tc>
        <w:tc>
          <w:tcPr>
            <w:tcW w:w="844" w:type="dxa"/>
            <w:tcBorders>
              <w:top w:val="nil"/>
              <w:left w:val="nil"/>
              <w:bottom w:val="single" w:color="auto" w:sz="4" w:space="0"/>
              <w:right w:val="single" w:color="auto" w:sz="4" w:space="0"/>
            </w:tcBorders>
            <w:shd w:val="clear" w:color="auto" w:fill="auto"/>
            <w:vAlign w:val="center"/>
          </w:tcPr>
          <w:p w14:paraId="486E7939">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111" w:type="dxa"/>
            <w:tcBorders>
              <w:top w:val="nil"/>
              <w:left w:val="nil"/>
              <w:bottom w:val="single" w:color="auto" w:sz="4" w:space="0"/>
              <w:right w:val="single" w:color="auto" w:sz="4" w:space="0"/>
            </w:tcBorders>
            <w:shd w:val="clear" w:color="auto" w:fill="auto"/>
            <w:noWrap/>
            <w:vAlign w:val="center"/>
          </w:tcPr>
          <w:p w14:paraId="7A7954D4">
            <w:pPr>
              <w:spacing w:line="0" w:lineRule="atLeast"/>
              <w:jc w:val="center"/>
              <w:rPr>
                <w:rFonts w:hint="eastAsia" w:ascii="宋体" w:hAnsi="宋体" w:eastAsia="宋体" w:cs="宋体"/>
                <w:color w:val="auto"/>
                <w:sz w:val="24"/>
                <w:szCs w:val="24"/>
              </w:rPr>
            </w:pPr>
          </w:p>
        </w:tc>
      </w:tr>
      <w:tr w14:paraId="2A4FA792">
        <w:tblPrEx>
          <w:tblCellMar>
            <w:top w:w="0" w:type="dxa"/>
            <w:left w:w="108" w:type="dxa"/>
            <w:bottom w:w="0" w:type="dxa"/>
            <w:right w:w="108" w:type="dxa"/>
          </w:tblCellMar>
        </w:tblPrEx>
        <w:trPr>
          <w:gridAfter w:val="1"/>
          <w:wAfter w:w="41" w:type="dxa"/>
          <w:trHeight w:val="293" w:hRule="atLeast"/>
          <w:jc w:val="center"/>
        </w:trPr>
        <w:tc>
          <w:tcPr>
            <w:tcW w:w="589" w:type="dxa"/>
            <w:gridSpan w:val="2"/>
            <w:tcBorders>
              <w:top w:val="nil"/>
              <w:left w:val="single" w:color="auto" w:sz="4" w:space="0"/>
              <w:bottom w:val="single" w:color="auto" w:sz="4" w:space="0"/>
              <w:right w:val="single" w:color="auto" w:sz="4" w:space="0"/>
            </w:tcBorders>
            <w:shd w:val="clear" w:color="auto" w:fill="auto"/>
            <w:vAlign w:val="center"/>
          </w:tcPr>
          <w:p w14:paraId="649D2122">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996" w:type="dxa"/>
            <w:tcBorders>
              <w:top w:val="nil"/>
              <w:left w:val="nil"/>
              <w:bottom w:val="single" w:color="auto" w:sz="4" w:space="0"/>
              <w:right w:val="single" w:color="auto" w:sz="4" w:space="0"/>
            </w:tcBorders>
            <w:shd w:val="clear" w:color="auto" w:fill="auto"/>
            <w:vAlign w:val="center"/>
          </w:tcPr>
          <w:p w14:paraId="4FBC6509">
            <w:pPr>
              <w:spacing w:line="0" w:lineRule="atLeast"/>
              <w:jc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rPr>
              <w:t>微创磨头</w:t>
            </w:r>
            <w:r>
              <w:rPr>
                <w:rFonts w:hint="eastAsia" w:ascii="宋体" w:hAnsi="宋体" w:eastAsia="宋体" w:cs="宋体"/>
                <w:color w:val="auto"/>
                <w:kern w:val="0"/>
                <w:sz w:val="24"/>
                <w:szCs w:val="24"/>
                <w:lang w:eastAsia="zh-CN"/>
              </w:rPr>
              <w:t>（阳采）</w:t>
            </w:r>
          </w:p>
        </w:tc>
        <w:tc>
          <w:tcPr>
            <w:tcW w:w="3797" w:type="dxa"/>
            <w:tcBorders>
              <w:top w:val="nil"/>
              <w:left w:val="nil"/>
              <w:bottom w:val="single" w:color="auto" w:sz="4" w:space="0"/>
              <w:right w:val="single" w:color="auto" w:sz="4" w:space="0"/>
            </w:tcBorders>
            <w:shd w:val="clear" w:color="auto" w:fill="auto"/>
          </w:tcPr>
          <w:p w14:paraId="0F68BE6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一次性使用</w:t>
            </w:r>
          </w:p>
        </w:tc>
        <w:tc>
          <w:tcPr>
            <w:tcW w:w="844" w:type="dxa"/>
            <w:tcBorders>
              <w:top w:val="nil"/>
              <w:left w:val="nil"/>
              <w:bottom w:val="single" w:color="auto" w:sz="4" w:space="0"/>
              <w:right w:val="single" w:color="auto" w:sz="4" w:space="0"/>
            </w:tcBorders>
            <w:shd w:val="clear" w:color="auto" w:fill="auto"/>
            <w:vAlign w:val="center"/>
          </w:tcPr>
          <w:p w14:paraId="3CCB8DBB">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111" w:type="dxa"/>
            <w:tcBorders>
              <w:top w:val="nil"/>
              <w:left w:val="nil"/>
              <w:bottom w:val="single" w:color="auto" w:sz="4" w:space="0"/>
              <w:right w:val="single" w:color="auto" w:sz="4" w:space="0"/>
            </w:tcBorders>
            <w:shd w:val="clear" w:color="auto" w:fill="auto"/>
            <w:noWrap/>
            <w:vAlign w:val="center"/>
          </w:tcPr>
          <w:p w14:paraId="2FB63A46">
            <w:pPr>
              <w:spacing w:line="0" w:lineRule="atLeast"/>
              <w:jc w:val="center"/>
              <w:rPr>
                <w:rFonts w:hint="eastAsia" w:ascii="宋体" w:hAnsi="宋体" w:eastAsia="宋体" w:cs="宋体"/>
                <w:color w:val="auto"/>
                <w:sz w:val="24"/>
                <w:szCs w:val="24"/>
              </w:rPr>
            </w:pPr>
          </w:p>
        </w:tc>
      </w:tr>
      <w:tr w14:paraId="11B8BF7C">
        <w:tblPrEx>
          <w:tblCellMar>
            <w:top w:w="0" w:type="dxa"/>
            <w:left w:w="108" w:type="dxa"/>
            <w:bottom w:w="0" w:type="dxa"/>
            <w:right w:w="108" w:type="dxa"/>
          </w:tblCellMar>
        </w:tblPrEx>
        <w:trPr>
          <w:gridAfter w:val="1"/>
          <w:wAfter w:w="41" w:type="dxa"/>
          <w:trHeight w:val="293" w:hRule="atLeast"/>
          <w:jc w:val="center"/>
        </w:trPr>
        <w:tc>
          <w:tcPr>
            <w:tcW w:w="589" w:type="dxa"/>
            <w:gridSpan w:val="2"/>
            <w:tcBorders>
              <w:top w:val="nil"/>
              <w:left w:val="single" w:color="auto" w:sz="4" w:space="0"/>
              <w:bottom w:val="single" w:color="auto" w:sz="4" w:space="0"/>
              <w:right w:val="single" w:color="auto" w:sz="4" w:space="0"/>
            </w:tcBorders>
            <w:shd w:val="clear" w:color="auto" w:fill="auto"/>
            <w:vAlign w:val="center"/>
          </w:tcPr>
          <w:p w14:paraId="77FAC753">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996" w:type="dxa"/>
            <w:tcBorders>
              <w:top w:val="nil"/>
              <w:left w:val="nil"/>
              <w:bottom w:val="single" w:color="auto" w:sz="4" w:space="0"/>
              <w:right w:val="single" w:color="auto" w:sz="4" w:space="0"/>
            </w:tcBorders>
            <w:shd w:val="clear" w:color="auto" w:fill="auto"/>
            <w:vAlign w:val="center"/>
          </w:tcPr>
          <w:p w14:paraId="0AF2A61B">
            <w:pPr>
              <w:spacing w:line="0" w:lineRule="atLeas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刨削刀头</w:t>
            </w:r>
            <w:r>
              <w:rPr>
                <w:rFonts w:hint="eastAsia" w:ascii="宋体" w:hAnsi="宋体" w:eastAsia="宋体" w:cs="宋体"/>
                <w:color w:val="auto"/>
                <w:sz w:val="24"/>
                <w:szCs w:val="24"/>
                <w:lang w:eastAsia="zh-CN"/>
              </w:rPr>
              <w:t>（阳采）</w:t>
            </w:r>
          </w:p>
        </w:tc>
        <w:tc>
          <w:tcPr>
            <w:tcW w:w="3797" w:type="dxa"/>
            <w:tcBorders>
              <w:top w:val="nil"/>
              <w:left w:val="nil"/>
              <w:bottom w:val="single" w:color="auto" w:sz="4" w:space="0"/>
              <w:right w:val="single" w:color="auto" w:sz="4" w:space="0"/>
            </w:tcBorders>
            <w:shd w:val="clear" w:color="auto" w:fill="auto"/>
            <w:vAlign w:val="center"/>
          </w:tcPr>
          <w:p w14:paraId="6A19801E">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一次性使用</w:t>
            </w:r>
          </w:p>
        </w:tc>
        <w:tc>
          <w:tcPr>
            <w:tcW w:w="844" w:type="dxa"/>
            <w:tcBorders>
              <w:top w:val="nil"/>
              <w:left w:val="nil"/>
              <w:bottom w:val="single" w:color="auto" w:sz="4" w:space="0"/>
              <w:right w:val="single" w:color="auto" w:sz="4" w:space="0"/>
            </w:tcBorders>
            <w:shd w:val="clear" w:color="auto" w:fill="auto"/>
            <w:vAlign w:val="center"/>
          </w:tcPr>
          <w:p w14:paraId="654663EE">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111" w:type="dxa"/>
            <w:tcBorders>
              <w:top w:val="nil"/>
              <w:left w:val="nil"/>
              <w:bottom w:val="single" w:color="auto" w:sz="4" w:space="0"/>
              <w:right w:val="single" w:color="auto" w:sz="4" w:space="0"/>
            </w:tcBorders>
            <w:shd w:val="clear" w:color="auto" w:fill="auto"/>
            <w:noWrap/>
            <w:vAlign w:val="center"/>
          </w:tcPr>
          <w:p w14:paraId="6A0D3F82">
            <w:pPr>
              <w:spacing w:line="0" w:lineRule="atLeast"/>
              <w:jc w:val="center"/>
              <w:rPr>
                <w:rFonts w:hint="eastAsia" w:ascii="宋体" w:hAnsi="宋体" w:eastAsia="宋体" w:cs="宋体"/>
                <w:color w:val="auto"/>
                <w:sz w:val="24"/>
                <w:szCs w:val="24"/>
              </w:rPr>
            </w:pPr>
          </w:p>
        </w:tc>
      </w:tr>
    </w:tbl>
    <w:p w14:paraId="212244B1">
      <w:pPr>
        <w:spacing w:line="240" w:lineRule="atLeast"/>
        <w:rPr>
          <w:rFonts w:hint="eastAsia" w:ascii="宋体" w:hAnsi="宋体" w:eastAsia="宋体" w:cs="宋体"/>
          <w:b/>
          <w:sz w:val="24"/>
          <w:szCs w:val="24"/>
        </w:rPr>
      </w:pPr>
    </w:p>
    <w:p w14:paraId="41359864">
      <w:pPr>
        <w:spacing w:line="240" w:lineRule="atLeast"/>
        <w:rPr>
          <w:rFonts w:hint="eastAsia" w:ascii="宋体" w:hAnsi="宋体" w:eastAsia="宋体" w:cs="宋体"/>
          <w:b/>
          <w:sz w:val="24"/>
          <w:szCs w:val="24"/>
        </w:rPr>
      </w:pPr>
      <w:r>
        <w:rPr>
          <w:rFonts w:hint="eastAsia" w:ascii="宋体" w:hAnsi="宋体" w:eastAsia="宋体" w:cs="宋体"/>
          <w:b/>
          <w:sz w:val="24"/>
          <w:szCs w:val="24"/>
        </w:rPr>
        <w:t>8、射频等离子体手术系统参数</w:t>
      </w:r>
    </w:p>
    <w:p w14:paraId="5DE632A9">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rPr>
        <w:t>一、临床用途：椎间盘突出消融（颈椎和腰椎）、软骨打磨成形、滑膜切除、肌腱打孔、半月板成形、韧带松解皱缩、肌肉松解皱缩、运动神经减压等微创手术、术中止血。</w:t>
      </w:r>
    </w:p>
    <w:p w14:paraId="4EB414B4">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rPr>
        <w:t>二、技术参数指标：</w:t>
      </w:r>
    </w:p>
    <w:p w14:paraId="0E4F4808">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、输出模式：等离子模块两种模式切换： 消融切割 1 1 、 凝固止血；射频模块两种模式循环切换：射频消融、消融止血；每种模式 1-10 档可调</w:t>
      </w:r>
    </w:p>
    <w:p w14:paraId="1F867B7A">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、等离子工作频率：≤100KHz；射频工作频率：≤1.7MHz；</w:t>
      </w:r>
    </w:p>
    <w:p w14:paraId="0D84AA6C">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、最大输出功率：等离子模式：≤350W@250Ω；射频模式：≤1</w:t>
      </w:r>
      <w:r>
        <w:rPr>
          <w:rFonts w:hint="eastAsia" w:ascii="宋体" w:hAnsi="宋体" w:eastAsia="宋体" w:cs="宋体"/>
          <w:sz w:val="24"/>
          <w:szCs w:val="24"/>
          <w:lang w:val="en-US" w:eastAsia="zh-CN"/>
        </w:rPr>
        <w:t>10</w:t>
      </w:r>
      <w:r>
        <w:rPr>
          <w:rFonts w:hint="eastAsia" w:ascii="宋体" w:hAnsi="宋体" w:eastAsia="宋体" w:cs="宋体"/>
          <w:sz w:val="24"/>
          <w:szCs w:val="24"/>
        </w:rPr>
        <w:t>W@200Ω；</w:t>
      </w:r>
    </w:p>
    <w:p w14:paraId="2BDB6B91">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、电压范围：等离子模式电压范围：0-320Vrms@100KHz；射频模式电压范围：</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"mailto:0-210Vrms@1.7MHz"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u w:val="single"/>
        </w:rPr>
        <w:t>0-210Vrms@1.7MHz</w:t>
      </w:r>
      <w:r>
        <w:rPr>
          <w:rFonts w:hint="eastAsia" w:ascii="宋体" w:hAnsi="宋体" w:eastAsia="宋体" w:cs="宋体"/>
          <w:color w:val="auto"/>
          <w:sz w:val="24"/>
          <w:szCs w:val="24"/>
          <w:u w:val="single"/>
        </w:rPr>
        <w:fldChar w:fldCharType="end"/>
      </w:r>
      <w:r>
        <w:rPr>
          <w:rFonts w:hint="eastAsia" w:ascii="宋体" w:hAnsi="宋体" w:eastAsia="宋体" w:cs="宋体"/>
          <w:color w:val="auto"/>
          <w:sz w:val="24"/>
          <w:szCs w:val="24"/>
        </w:rPr>
        <w:t>；</w:t>
      </w:r>
    </w:p>
    <w:p w14:paraId="5B15F0E9">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、组织阻抗实时监测：显示范围 0-999，数字显示，当系统工作时，实时显示组织阻抗；</w:t>
      </w:r>
    </w:p>
    <w:p w14:paraId="2CFC9947">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、报警和指示：声光报警报警指示（连续单音：正常输出；间隔双音：报警、无输出）；</w:t>
      </w:r>
    </w:p>
    <w:p w14:paraId="6F428DA1">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、工作时间显示：数字显示，0-99s 循环显示；</w:t>
      </w:r>
    </w:p>
    <w:p w14:paraId="3220CEF2">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、防电击类型：Ⅰ类 CF 型；</w:t>
      </w:r>
    </w:p>
    <w:p w14:paraId="0E5CD8E0">
      <w:pPr>
        <w:spacing w:line="240" w:lineRule="atLeast"/>
        <w:ind w:left="960" w:hanging="960" w:hangingChars="4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、国家Ⅲ类注册。</w:t>
      </w:r>
    </w:p>
    <w:p w14:paraId="1ADB4588">
      <w:pPr>
        <w:widowControl/>
        <w:adjustRightInd w:val="0"/>
        <w:snapToGrid w:val="0"/>
        <w:spacing w:after="120"/>
        <w:jc w:val="center"/>
        <w:rPr>
          <w:rFonts w:hint="eastAsia" w:ascii="宋体" w:hAnsi="宋体" w:eastAsia="宋体" w:cs="宋体"/>
          <w:b/>
          <w:kern w:val="0"/>
          <w:sz w:val="24"/>
          <w:szCs w:val="24"/>
        </w:rPr>
      </w:pPr>
      <w:r>
        <w:rPr>
          <w:rFonts w:hint="eastAsia" w:ascii="宋体" w:hAnsi="宋体" w:eastAsia="宋体" w:cs="宋体"/>
          <w:b/>
          <w:kern w:val="0"/>
          <w:sz w:val="24"/>
          <w:szCs w:val="24"/>
        </w:rPr>
        <w:t>等离子射频手术系统配置</w:t>
      </w:r>
      <w:r>
        <w:rPr>
          <w:rFonts w:hint="eastAsia" w:ascii="宋体" w:hAnsi="宋体" w:eastAsia="宋体" w:cs="宋体"/>
          <w:b/>
          <w:kern w:val="0"/>
          <w:sz w:val="24"/>
          <w:szCs w:val="24"/>
          <w:lang w:val="en-US" w:eastAsia="zh-CN"/>
        </w:rPr>
        <w:t>(配备2套)</w:t>
      </w:r>
    </w:p>
    <w:tbl>
      <w:tblPr>
        <w:tblStyle w:val="35"/>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52"/>
        <w:gridCol w:w="3226"/>
        <w:gridCol w:w="851"/>
        <w:gridCol w:w="1134"/>
      </w:tblGrid>
      <w:tr w14:paraId="5B4C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9" w:type="dxa"/>
            <w:vAlign w:val="center"/>
          </w:tcPr>
          <w:p w14:paraId="6FA1DAF7">
            <w:pPr>
              <w:widowControl/>
              <w:adjustRightInd w:val="0"/>
              <w:snapToGrid w:val="0"/>
              <w:spacing w:line="0" w:lineRule="atLeast"/>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2552" w:type="dxa"/>
            <w:vAlign w:val="center"/>
          </w:tcPr>
          <w:p w14:paraId="34C2905B">
            <w:pPr>
              <w:widowControl/>
              <w:adjustRightInd w:val="0"/>
              <w:snapToGrid w:val="0"/>
              <w:spacing w:line="0" w:lineRule="atLeast"/>
              <w:jc w:val="center"/>
              <w:rPr>
                <w:rFonts w:hint="eastAsia" w:ascii="宋体" w:hAnsi="宋体" w:eastAsia="宋体" w:cs="宋体"/>
                <w:b/>
                <w:kern w:val="0"/>
                <w:sz w:val="24"/>
                <w:szCs w:val="24"/>
              </w:rPr>
            </w:pPr>
            <w:r>
              <w:rPr>
                <w:rFonts w:hint="eastAsia" w:ascii="宋体" w:hAnsi="宋体" w:eastAsia="宋体" w:cs="宋体"/>
                <w:b/>
                <w:kern w:val="0"/>
                <w:sz w:val="24"/>
                <w:szCs w:val="24"/>
              </w:rPr>
              <w:t>名称</w:t>
            </w:r>
          </w:p>
        </w:tc>
        <w:tc>
          <w:tcPr>
            <w:tcW w:w="3226" w:type="dxa"/>
            <w:vAlign w:val="center"/>
          </w:tcPr>
          <w:p w14:paraId="347ACF16">
            <w:pPr>
              <w:widowControl/>
              <w:adjustRightInd w:val="0"/>
              <w:snapToGrid w:val="0"/>
              <w:spacing w:line="0" w:lineRule="atLeast"/>
              <w:jc w:val="center"/>
              <w:rPr>
                <w:rFonts w:hint="eastAsia" w:ascii="宋体" w:hAnsi="宋体" w:eastAsia="宋体" w:cs="宋体"/>
                <w:b/>
                <w:kern w:val="0"/>
                <w:sz w:val="24"/>
                <w:szCs w:val="24"/>
              </w:rPr>
            </w:pPr>
            <w:r>
              <w:rPr>
                <w:rFonts w:hint="eastAsia" w:ascii="宋体" w:hAnsi="宋体" w:eastAsia="宋体" w:cs="宋体"/>
                <w:b/>
                <w:kern w:val="0"/>
                <w:sz w:val="24"/>
                <w:szCs w:val="24"/>
              </w:rPr>
              <w:t>规格型号</w:t>
            </w:r>
          </w:p>
        </w:tc>
        <w:tc>
          <w:tcPr>
            <w:tcW w:w="851" w:type="dxa"/>
            <w:vAlign w:val="center"/>
          </w:tcPr>
          <w:p w14:paraId="0E8961B4">
            <w:pPr>
              <w:widowControl/>
              <w:adjustRightInd w:val="0"/>
              <w:snapToGrid w:val="0"/>
              <w:spacing w:line="0" w:lineRule="atLeast"/>
              <w:jc w:val="center"/>
              <w:rPr>
                <w:rFonts w:hint="eastAsia" w:ascii="宋体" w:hAnsi="宋体" w:eastAsia="宋体" w:cs="宋体"/>
                <w:b/>
                <w:kern w:val="0"/>
                <w:sz w:val="24"/>
                <w:szCs w:val="24"/>
              </w:rPr>
            </w:pPr>
            <w:r>
              <w:rPr>
                <w:rFonts w:hint="eastAsia" w:ascii="宋体" w:hAnsi="宋体" w:eastAsia="宋体" w:cs="宋体"/>
                <w:b/>
                <w:kern w:val="0"/>
                <w:sz w:val="24"/>
                <w:szCs w:val="24"/>
              </w:rPr>
              <w:t>数量</w:t>
            </w:r>
          </w:p>
        </w:tc>
        <w:tc>
          <w:tcPr>
            <w:tcW w:w="1134" w:type="dxa"/>
          </w:tcPr>
          <w:p w14:paraId="0B1EF811">
            <w:pPr>
              <w:widowControl/>
              <w:adjustRightInd w:val="0"/>
              <w:snapToGrid w:val="0"/>
              <w:spacing w:line="0" w:lineRule="atLeast"/>
              <w:jc w:val="center"/>
              <w:rPr>
                <w:rFonts w:hint="eastAsia" w:ascii="宋体" w:hAnsi="宋体" w:eastAsia="宋体" w:cs="宋体"/>
                <w:b/>
                <w:kern w:val="0"/>
                <w:sz w:val="24"/>
                <w:szCs w:val="24"/>
              </w:rPr>
            </w:pPr>
            <w:r>
              <w:rPr>
                <w:rFonts w:hint="eastAsia" w:ascii="宋体" w:hAnsi="宋体" w:eastAsia="宋体" w:cs="宋体"/>
                <w:b/>
                <w:kern w:val="0"/>
                <w:sz w:val="24"/>
                <w:szCs w:val="24"/>
              </w:rPr>
              <w:t>备注</w:t>
            </w:r>
          </w:p>
        </w:tc>
      </w:tr>
      <w:tr w14:paraId="693B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09" w:type="dxa"/>
            <w:vAlign w:val="center"/>
          </w:tcPr>
          <w:p w14:paraId="481ACDE1">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552" w:type="dxa"/>
            <w:vAlign w:val="center"/>
          </w:tcPr>
          <w:p w14:paraId="785F4D54">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等离子射频手术系统</w:t>
            </w:r>
          </w:p>
        </w:tc>
        <w:tc>
          <w:tcPr>
            <w:tcW w:w="3226" w:type="dxa"/>
            <w:vAlign w:val="center"/>
          </w:tcPr>
          <w:p w14:paraId="74264520">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台式</w:t>
            </w:r>
          </w:p>
        </w:tc>
        <w:tc>
          <w:tcPr>
            <w:tcW w:w="851" w:type="dxa"/>
            <w:vAlign w:val="center"/>
          </w:tcPr>
          <w:p w14:paraId="311CFC40">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1台</w:t>
            </w:r>
          </w:p>
        </w:tc>
        <w:tc>
          <w:tcPr>
            <w:tcW w:w="1134" w:type="dxa"/>
          </w:tcPr>
          <w:p w14:paraId="0C17A8B0">
            <w:pPr>
              <w:widowControl/>
              <w:adjustRightInd w:val="0"/>
              <w:snapToGrid w:val="0"/>
              <w:spacing w:line="0" w:lineRule="atLeast"/>
              <w:jc w:val="center"/>
              <w:rPr>
                <w:rFonts w:hint="eastAsia" w:ascii="宋体" w:hAnsi="宋体" w:eastAsia="宋体" w:cs="宋体"/>
                <w:kern w:val="0"/>
                <w:sz w:val="24"/>
                <w:szCs w:val="24"/>
              </w:rPr>
            </w:pPr>
          </w:p>
        </w:tc>
      </w:tr>
      <w:tr w14:paraId="40D5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09" w:type="dxa"/>
            <w:vAlign w:val="center"/>
          </w:tcPr>
          <w:p w14:paraId="1A7C9F8E">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552" w:type="dxa"/>
            <w:vAlign w:val="center"/>
          </w:tcPr>
          <w:p w14:paraId="378D1C79">
            <w:pPr>
              <w:widowControl/>
              <w:adjustRightInd w:val="0"/>
              <w:snapToGrid w:val="0"/>
              <w:spacing w:line="0" w:lineRule="atLeas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等离子体刀头</w:t>
            </w:r>
            <w:r>
              <w:rPr>
                <w:rFonts w:hint="eastAsia" w:ascii="宋体" w:hAnsi="宋体" w:eastAsia="宋体" w:cs="宋体"/>
                <w:kern w:val="0"/>
                <w:sz w:val="24"/>
                <w:szCs w:val="24"/>
                <w:lang w:eastAsia="zh-CN"/>
              </w:rPr>
              <w:t>（阳采）</w:t>
            </w:r>
          </w:p>
        </w:tc>
        <w:tc>
          <w:tcPr>
            <w:tcW w:w="3226" w:type="dxa"/>
            <w:vAlign w:val="center"/>
          </w:tcPr>
          <w:p w14:paraId="2B96398C">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sz w:val="24"/>
                <w:szCs w:val="24"/>
              </w:rPr>
              <w:t>直径2.3x390mm（孔镜用）</w:t>
            </w:r>
          </w:p>
        </w:tc>
        <w:tc>
          <w:tcPr>
            <w:tcW w:w="851" w:type="dxa"/>
            <w:vAlign w:val="center"/>
          </w:tcPr>
          <w:p w14:paraId="1E2B5DCD">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4把</w:t>
            </w:r>
          </w:p>
        </w:tc>
        <w:tc>
          <w:tcPr>
            <w:tcW w:w="1134" w:type="dxa"/>
          </w:tcPr>
          <w:p w14:paraId="65E03E5F">
            <w:pPr>
              <w:widowControl/>
              <w:adjustRightInd w:val="0"/>
              <w:snapToGrid w:val="0"/>
              <w:spacing w:line="0" w:lineRule="atLeast"/>
              <w:jc w:val="center"/>
              <w:rPr>
                <w:rFonts w:hint="eastAsia" w:ascii="宋体" w:hAnsi="宋体" w:eastAsia="宋体" w:cs="宋体"/>
                <w:kern w:val="0"/>
                <w:sz w:val="24"/>
                <w:szCs w:val="24"/>
              </w:rPr>
            </w:pPr>
          </w:p>
        </w:tc>
      </w:tr>
      <w:tr w14:paraId="7A31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09" w:type="dxa"/>
            <w:vAlign w:val="center"/>
          </w:tcPr>
          <w:p w14:paraId="4D5B159A">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552" w:type="dxa"/>
            <w:vAlign w:val="center"/>
          </w:tcPr>
          <w:p w14:paraId="27ED9D24">
            <w:pPr>
              <w:widowControl/>
              <w:adjustRightInd w:val="0"/>
              <w:snapToGrid w:val="0"/>
              <w:spacing w:line="0" w:lineRule="atLeas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一次性</w:t>
            </w:r>
            <w:r>
              <w:rPr>
                <w:rFonts w:hint="eastAsia" w:ascii="宋体" w:hAnsi="宋体" w:eastAsia="宋体" w:cs="宋体"/>
                <w:kern w:val="0"/>
                <w:sz w:val="24"/>
                <w:szCs w:val="24"/>
              </w:rPr>
              <w:t>等离子体刀头</w:t>
            </w:r>
            <w:r>
              <w:rPr>
                <w:rFonts w:hint="eastAsia" w:ascii="宋体" w:hAnsi="宋体" w:eastAsia="宋体" w:cs="宋体"/>
                <w:kern w:val="0"/>
                <w:sz w:val="24"/>
                <w:szCs w:val="24"/>
                <w:lang w:eastAsia="zh-CN"/>
              </w:rPr>
              <w:t>（阳采）</w:t>
            </w:r>
          </w:p>
        </w:tc>
        <w:tc>
          <w:tcPr>
            <w:tcW w:w="3226" w:type="dxa"/>
            <w:vAlign w:val="center"/>
          </w:tcPr>
          <w:p w14:paraId="6BB5AB41">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45°、90°各2把（关节用）</w:t>
            </w:r>
          </w:p>
        </w:tc>
        <w:tc>
          <w:tcPr>
            <w:tcW w:w="851" w:type="dxa"/>
            <w:vAlign w:val="center"/>
          </w:tcPr>
          <w:p w14:paraId="4F72D98D">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4把</w:t>
            </w:r>
          </w:p>
        </w:tc>
        <w:tc>
          <w:tcPr>
            <w:tcW w:w="1134" w:type="dxa"/>
          </w:tcPr>
          <w:p w14:paraId="75D2F1E6">
            <w:pPr>
              <w:widowControl/>
              <w:adjustRightInd w:val="0"/>
              <w:snapToGrid w:val="0"/>
              <w:spacing w:line="0" w:lineRule="atLeast"/>
              <w:jc w:val="center"/>
              <w:rPr>
                <w:rFonts w:hint="eastAsia" w:ascii="宋体" w:hAnsi="宋体" w:eastAsia="宋体" w:cs="宋体"/>
                <w:kern w:val="0"/>
                <w:sz w:val="24"/>
                <w:szCs w:val="24"/>
              </w:rPr>
            </w:pPr>
          </w:p>
        </w:tc>
      </w:tr>
      <w:tr w14:paraId="12F6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09" w:type="dxa"/>
            <w:vAlign w:val="center"/>
          </w:tcPr>
          <w:p w14:paraId="0A7AE19C">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2552" w:type="dxa"/>
            <w:vAlign w:val="center"/>
          </w:tcPr>
          <w:p w14:paraId="7B0873F0">
            <w:pPr>
              <w:widowControl/>
              <w:adjustRightInd w:val="0"/>
              <w:snapToGrid w:val="0"/>
              <w:spacing w:line="0" w:lineRule="atLeas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一次性</w:t>
            </w:r>
            <w:r>
              <w:rPr>
                <w:rFonts w:hint="eastAsia" w:ascii="宋体" w:hAnsi="宋体" w:eastAsia="宋体" w:cs="宋体"/>
                <w:kern w:val="0"/>
                <w:sz w:val="24"/>
                <w:szCs w:val="24"/>
              </w:rPr>
              <w:t>等离子体刀头</w:t>
            </w:r>
            <w:r>
              <w:rPr>
                <w:rFonts w:hint="eastAsia" w:ascii="宋体" w:hAnsi="宋体" w:eastAsia="宋体" w:cs="宋体"/>
                <w:kern w:val="0"/>
                <w:sz w:val="24"/>
                <w:szCs w:val="24"/>
                <w:lang w:eastAsia="zh-CN"/>
              </w:rPr>
              <w:t>（阳采）</w:t>
            </w:r>
          </w:p>
        </w:tc>
        <w:tc>
          <w:tcPr>
            <w:tcW w:w="3226" w:type="dxa"/>
            <w:vAlign w:val="center"/>
          </w:tcPr>
          <w:p w14:paraId="6051A9A6">
            <w:pPr>
              <w:widowControl/>
              <w:adjustRightInd w:val="0"/>
              <w:snapToGrid w:val="0"/>
              <w:spacing w:line="0" w:lineRule="atLeast"/>
              <w:ind w:firstLine="480" w:firstLineChars="200"/>
              <w:jc w:val="center"/>
              <w:rPr>
                <w:rFonts w:hint="eastAsia" w:ascii="宋体" w:hAnsi="宋体" w:eastAsia="宋体" w:cs="宋体"/>
                <w:kern w:val="0"/>
                <w:sz w:val="24"/>
                <w:szCs w:val="24"/>
              </w:rPr>
            </w:pPr>
            <w:r>
              <w:rPr>
                <w:rFonts w:hint="eastAsia" w:ascii="宋体" w:hAnsi="宋体" w:eastAsia="宋体" w:cs="宋体"/>
                <w:sz w:val="24"/>
                <w:szCs w:val="24"/>
              </w:rPr>
              <w:t>盘内、外各2把</w:t>
            </w:r>
          </w:p>
        </w:tc>
        <w:tc>
          <w:tcPr>
            <w:tcW w:w="851" w:type="dxa"/>
            <w:vAlign w:val="center"/>
          </w:tcPr>
          <w:p w14:paraId="6C000F41">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4把</w:t>
            </w:r>
          </w:p>
        </w:tc>
        <w:tc>
          <w:tcPr>
            <w:tcW w:w="1134" w:type="dxa"/>
          </w:tcPr>
          <w:p w14:paraId="7E420B26">
            <w:pPr>
              <w:widowControl/>
              <w:adjustRightInd w:val="0"/>
              <w:snapToGrid w:val="0"/>
              <w:spacing w:line="0" w:lineRule="atLeast"/>
              <w:jc w:val="center"/>
              <w:rPr>
                <w:rFonts w:hint="eastAsia" w:ascii="宋体" w:hAnsi="宋体" w:eastAsia="宋体" w:cs="宋体"/>
                <w:kern w:val="0"/>
                <w:sz w:val="24"/>
                <w:szCs w:val="24"/>
              </w:rPr>
            </w:pPr>
          </w:p>
        </w:tc>
      </w:tr>
      <w:tr w14:paraId="3407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14:paraId="695E1BDD">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2552" w:type="dxa"/>
            <w:vAlign w:val="center"/>
          </w:tcPr>
          <w:p w14:paraId="0446CA98">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脚踏控制板</w:t>
            </w:r>
          </w:p>
        </w:tc>
        <w:tc>
          <w:tcPr>
            <w:tcW w:w="3226" w:type="dxa"/>
            <w:vAlign w:val="center"/>
          </w:tcPr>
          <w:p w14:paraId="1264BAF3">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防水</w:t>
            </w:r>
          </w:p>
        </w:tc>
        <w:tc>
          <w:tcPr>
            <w:tcW w:w="851" w:type="dxa"/>
            <w:vAlign w:val="center"/>
          </w:tcPr>
          <w:p w14:paraId="5998F4E8">
            <w:pPr>
              <w:widowControl/>
              <w:adjustRightInd w:val="0"/>
              <w:snapToGrid w:val="0"/>
              <w:spacing w:line="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1只</w:t>
            </w:r>
          </w:p>
        </w:tc>
        <w:tc>
          <w:tcPr>
            <w:tcW w:w="1134" w:type="dxa"/>
          </w:tcPr>
          <w:p w14:paraId="42020327">
            <w:pPr>
              <w:widowControl/>
              <w:adjustRightInd w:val="0"/>
              <w:snapToGrid w:val="0"/>
              <w:spacing w:line="0" w:lineRule="atLeast"/>
              <w:jc w:val="center"/>
              <w:rPr>
                <w:rFonts w:hint="eastAsia" w:ascii="宋体" w:hAnsi="宋体" w:eastAsia="宋体" w:cs="宋体"/>
                <w:kern w:val="0"/>
                <w:sz w:val="24"/>
                <w:szCs w:val="24"/>
              </w:rPr>
            </w:pPr>
          </w:p>
        </w:tc>
      </w:tr>
    </w:tbl>
    <w:p w14:paraId="20DB2101">
      <w:pPr>
        <w:numPr>
          <w:ilvl w:val="0"/>
          <w:numId w:val="5"/>
        </w:numPr>
        <w:snapToGrid w:val="0"/>
        <w:spacing w:line="0" w:lineRule="atLeast"/>
        <w:ind w:left="720" w:leftChars="0" w:hanging="720" w:firstLineChars="0"/>
        <w:contextualSpacing/>
        <w:rPr>
          <w:rFonts w:hint="eastAsia" w:ascii="宋体" w:hAnsi="宋体" w:eastAsia="宋体" w:cs="宋体"/>
          <w:kern w:val="0"/>
          <w:sz w:val="24"/>
          <w:szCs w:val="24"/>
          <w:lang w:eastAsia="zh-CN"/>
        </w:rPr>
      </w:pPr>
      <w:r>
        <w:rPr>
          <w:rFonts w:hint="eastAsia" w:ascii="宋体" w:hAnsi="宋体" w:eastAsia="宋体" w:cs="宋体"/>
          <w:sz w:val="24"/>
          <w:szCs w:val="24"/>
          <w:lang w:val="en-US" w:eastAsia="zh-CN"/>
        </w:rPr>
        <w:t>机器原厂</w:t>
      </w:r>
      <w:r>
        <w:rPr>
          <w:rFonts w:hint="eastAsia" w:ascii="宋体" w:hAnsi="宋体" w:eastAsia="宋体" w:cs="宋体"/>
          <w:kern w:val="0"/>
          <w:sz w:val="24"/>
          <w:szCs w:val="24"/>
        </w:rPr>
        <w:t>质保三年</w:t>
      </w:r>
      <w:r>
        <w:rPr>
          <w:rFonts w:hint="eastAsia" w:ascii="宋体" w:hAnsi="宋体" w:eastAsia="宋体" w:cs="宋体"/>
          <w:kern w:val="0"/>
          <w:sz w:val="24"/>
          <w:szCs w:val="24"/>
          <w:lang w:eastAsia="zh-CN"/>
        </w:rPr>
        <w:t>（提供厂家承诺）。</w:t>
      </w:r>
    </w:p>
    <w:p w14:paraId="2C241C84">
      <w:pPr>
        <w:pStyle w:val="26"/>
        <w:numPr>
          <w:ilvl w:val="0"/>
          <w:numId w:val="0"/>
        </w:numPr>
        <w:ind w:leftChars="0"/>
        <w:rPr>
          <w:rFonts w:hint="eastAsia" w:ascii="宋体" w:hAnsi="宋体" w:eastAsia="宋体" w:cs="宋体"/>
          <w:sz w:val="24"/>
          <w:szCs w:val="24"/>
          <w:lang w:val="en-US" w:eastAsia="zh-CN"/>
        </w:rPr>
      </w:pPr>
    </w:p>
    <w:p w14:paraId="4862AD7E">
      <w:pPr>
        <w:pStyle w:val="26"/>
        <w:numPr>
          <w:ilvl w:val="0"/>
          <w:numId w:val="0"/>
        </w:numPr>
        <w:ind w:leftChars="0"/>
        <w:rPr>
          <w:rFonts w:hint="eastAsia" w:ascii="宋体" w:hAnsi="宋体" w:eastAsia="宋体" w:cs="宋体"/>
          <w:sz w:val="24"/>
          <w:szCs w:val="24"/>
          <w:lang w:val="en-US" w:eastAsia="zh-CN"/>
        </w:rPr>
      </w:pPr>
    </w:p>
    <w:p w14:paraId="6ED93340">
      <w:pPr>
        <w:pStyle w:val="26"/>
        <w:numPr>
          <w:ilvl w:val="0"/>
          <w:numId w:val="5"/>
        </w:numPr>
        <w:ind w:left="720" w:leftChars="0" w:hanging="720" w:firstLineChars="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配备1台</w:t>
      </w:r>
      <w:r>
        <w:rPr>
          <w:rFonts w:hint="eastAsia" w:ascii="宋体" w:hAnsi="宋体" w:eastAsia="宋体" w:cs="宋体"/>
          <w:b/>
          <w:bCs/>
          <w:sz w:val="24"/>
          <w:szCs w:val="24"/>
        </w:rPr>
        <w:t>物理加压循环降温仪</w:t>
      </w:r>
    </w:p>
    <w:p w14:paraId="3B74362F">
      <w:pPr>
        <w:pStyle w:val="26"/>
        <w:numPr>
          <w:ilvl w:val="0"/>
          <w:numId w:val="0"/>
        </w:numPr>
        <w:ind w:leftChars="0"/>
        <w:rPr>
          <w:rFonts w:hint="eastAsia" w:ascii="宋体" w:hAnsi="宋体" w:eastAsia="宋体" w:cs="宋体"/>
          <w:kern w:val="0"/>
          <w:sz w:val="24"/>
          <w:szCs w:val="24"/>
          <w:lang w:val="en-US" w:eastAsia="zh-CN" w:bidi="ar-SA"/>
        </w:rPr>
      </w:pPr>
    </w:p>
    <w:p w14:paraId="75C5D71C">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利用半导体制冷技术将水温降低，通过水泵以适当的压力将冷水循环加压到护套内，降低患者患处温度，促使局部血管收缩，从而影响机体各系统体液循环和新陈代谢活动，对踝、膝、肩、肘、腿、腕、腰等部位的局部肿胀、疼痛症状，达到辅助治疗的作用。机器不小于7寸触摸屏显示，实时显示治疗参数设置情况。</w:t>
      </w:r>
    </w:p>
    <w:p w14:paraId="7B78881A">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2.压力：a) 高压压力可调范围6kPa～8.5kPa，步进0.1kPa，允差±0.5kPa；</w:t>
      </w:r>
    </w:p>
    <w:p w14:paraId="7723FC91">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b) 低压压力可调范围3kPa～5.5kPa，步进0.1kPa，允差±0.5kPa；</w:t>
      </w:r>
    </w:p>
    <w:p w14:paraId="57BBE9E2">
      <w:pPr>
        <w:keepNext w:val="0"/>
        <w:keepLines w:val="0"/>
        <w:pageBreakBefore w:val="0"/>
        <w:widowControl/>
        <w:kinsoku/>
        <w:wordWrap/>
        <w:overflowPunct/>
        <w:topLinePunct w:val="0"/>
        <w:autoSpaceDE/>
        <w:autoSpaceDN/>
        <w:bidi w:val="0"/>
        <w:adjustRightInd w:val="0"/>
        <w:snapToGrid w:val="0"/>
        <w:spacing w:line="360" w:lineRule="auto"/>
        <w:ind w:firstLine="1200" w:firstLineChars="5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c) 具有压力实时显示功能，允差±0.5kPa。</w:t>
      </w:r>
    </w:p>
    <w:p w14:paraId="750FA07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3.温度可调节范围2～20℃,步进0.5℃。</w:t>
      </w:r>
    </w:p>
    <w:p w14:paraId="2776ED95">
      <w:pPr>
        <w:keepNext w:val="0"/>
        <w:keepLines w:val="0"/>
        <w:pageBreakBefore w:val="0"/>
        <w:widowControl/>
        <w:numPr>
          <w:ilvl w:val="0"/>
          <w:numId w:val="6"/>
        </w:numPr>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治疗时间范围5～100min, 步进5min。</w:t>
      </w:r>
    </w:p>
    <w:p w14:paraId="033D36FC">
      <w:pPr>
        <w:keepNext w:val="0"/>
        <w:keepLines w:val="0"/>
        <w:pageBreakBefore w:val="0"/>
        <w:widowControl/>
        <w:numPr>
          <w:ilvl w:val="0"/>
          <w:numId w:val="7"/>
        </w:numPr>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皮肤温度：a)  体温传感器温度允差±0.5℃；</w:t>
      </w:r>
    </w:p>
    <w:p w14:paraId="607387E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1680" w:firstLineChars="7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b)当体温传感器温度低于12℃时，设备有提示。</w:t>
      </w:r>
    </w:p>
    <w:p w14:paraId="075A9190">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6.循环次数5～200范围内可调,步进5。</w:t>
      </w:r>
    </w:p>
    <w:p w14:paraId="69749150">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7.护套：标配7种护套，踝部护套/肩部护套/腿部护套/腕部护套/膝部护套/腰部护套/肘部护套，每种护套2套。</w:t>
      </w:r>
    </w:p>
    <w:p w14:paraId="4832CB20">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8.耐压性能：护套和连接管路能承受12.75kPa的压强，保持1min，不破裂，不变形。</w:t>
      </w:r>
    </w:p>
    <w:p w14:paraId="693B42DF">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9.过压保护：设备具有过压保护措施，以保证在单一故障状态下能够在护套和连接管路中产生的最大压强不大于设备标称最大输出压强的1.2倍。</w:t>
      </w:r>
    </w:p>
    <w:p w14:paraId="2C7D288D">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10.警示功能：a)当循环液体不足时，设备停止工作，并有屏幕提示和蜂鸣声提示。b）当冷却液体不足时，设备制冷停止，并有屏幕提示和蜂鸣声提示。c）设备输出时具有指示功能。</w:t>
      </w:r>
    </w:p>
    <w:p w14:paraId="68A47B1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11、 软件功能：a）可以选择A或B治疗模式；b）可以进行低压、高压、水温、循环次数、保压时间参数的设置；c）设备输出时，实时显示水温、压力、体温、剩余次数和保压时间。</w:t>
      </w:r>
    </w:p>
    <w:p w14:paraId="39378740">
      <w:pPr>
        <w:pStyle w:val="26"/>
        <w:numPr>
          <w:ilvl w:val="0"/>
          <w:numId w:val="0"/>
        </w:numP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12.具有冷却水液位检测和皮肤温度过低提醒功能。</w:t>
      </w:r>
    </w:p>
    <w:p w14:paraId="2ED2D3B9">
      <w:pPr>
        <w:pStyle w:val="26"/>
        <w:numPr>
          <w:ilvl w:val="0"/>
          <w:numId w:val="5"/>
        </w:numPr>
        <w:ind w:left="720" w:leftChars="0" w:hanging="72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★所有机器整机质保3年，厂家提供承诺，盖公章</w:t>
      </w:r>
    </w:p>
    <w:p w14:paraId="3518ED6E">
      <w:pPr>
        <w:numPr>
          <w:ilvl w:val="0"/>
          <w:numId w:val="0"/>
        </w:numPr>
        <w:ind w:leftChars="0" w:right="0" w:rightChars="0"/>
        <w:rPr>
          <w:rFonts w:hint="eastAsia" w:ascii="宋体" w:hAnsi="宋体" w:eastAsia="宋体" w:cs="宋体"/>
          <w:sz w:val="24"/>
          <w:szCs w:val="24"/>
          <w:lang w:val="en-US" w:eastAsia="zh-CN"/>
        </w:rPr>
      </w:pPr>
    </w:p>
    <w:p w14:paraId="4DCCC1F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eastAsia"/>
          <w:b/>
          <w:bCs/>
          <w:sz w:val="32"/>
          <w:szCs w:val="40"/>
          <w:lang w:val="en-US" w:eastAsia="zh-CN"/>
        </w:rPr>
      </w:pPr>
      <w:r>
        <w:rPr>
          <w:rFonts w:hint="eastAsia"/>
          <w:b/>
          <w:bCs/>
          <w:sz w:val="32"/>
          <w:szCs w:val="40"/>
          <w:lang w:val="en-US" w:eastAsia="zh-CN"/>
        </w:rPr>
        <w:t>第二包</w:t>
      </w:r>
    </w:p>
    <w:p w14:paraId="167F9983">
      <w:pPr>
        <w:autoSpaceDE w:val="0"/>
        <w:autoSpaceDN w:val="0"/>
        <w:adjustRightInd w:val="0"/>
        <w:spacing w:line="360" w:lineRule="auto"/>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心电监护（</w:t>
      </w:r>
      <w:r>
        <w:rPr>
          <w:rFonts w:hint="eastAsia" w:ascii="宋体" w:hAnsi="宋体" w:eastAsia="宋体" w:cs="宋体"/>
          <w:b/>
          <w:sz w:val="24"/>
          <w:szCs w:val="24"/>
          <w:lang w:val="en-US" w:eastAsia="zh-CN"/>
        </w:rPr>
        <w:t>监护仪</w:t>
      </w:r>
      <w:r>
        <w:rPr>
          <w:rFonts w:hint="eastAsia" w:ascii="宋体" w:hAnsi="宋体" w:cs="宋体"/>
          <w:b/>
          <w:sz w:val="24"/>
          <w:szCs w:val="24"/>
          <w:lang w:val="en-US" w:eastAsia="zh-CN"/>
        </w:rPr>
        <w:t>）(核心产品）</w:t>
      </w:r>
    </w:p>
    <w:p w14:paraId="0D7F8849">
      <w:pPr>
        <w:autoSpaceDE w:val="0"/>
        <w:autoSpaceDN w:val="0"/>
        <w:adjustRightInd w:val="0"/>
        <w:spacing w:line="360" w:lineRule="auto"/>
        <w:rPr>
          <w:rFonts w:hint="eastAsia" w:ascii="宋体" w:hAnsi="宋体" w:eastAsia="宋体" w:cs="宋体"/>
          <w:b/>
          <w:sz w:val="24"/>
          <w:szCs w:val="24"/>
        </w:rPr>
      </w:pPr>
      <w:r>
        <w:rPr>
          <w:rFonts w:hint="eastAsia" w:ascii="宋体" w:hAnsi="宋体" w:eastAsia="宋体" w:cs="宋体"/>
          <w:b/>
          <w:sz w:val="24"/>
          <w:szCs w:val="24"/>
        </w:rPr>
        <w:t>监护仪结构：</w:t>
      </w:r>
    </w:p>
    <w:p w14:paraId="4CB56481">
      <w:pPr>
        <w:widowControl w:val="0"/>
        <w:numPr>
          <w:ilvl w:val="0"/>
          <w:numId w:val="8"/>
        </w:numPr>
        <w:autoSpaceDE w:val="0"/>
        <w:autoSpaceDN w:val="0"/>
        <w:adjustRightInd w:val="0"/>
        <w:spacing w:after="0" w:line="360" w:lineRule="auto"/>
        <w:rPr>
          <w:rFonts w:hint="eastAsia" w:ascii="宋体" w:hAnsi="宋体" w:eastAsia="宋体" w:cs="宋体"/>
          <w:sz w:val="24"/>
          <w:szCs w:val="24"/>
        </w:rPr>
      </w:pPr>
      <w:r>
        <w:rPr>
          <w:rFonts w:hint="eastAsia" w:ascii="宋体" w:hAnsi="宋体" w:eastAsia="宋体" w:cs="宋体"/>
          <w:sz w:val="24"/>
          <w:szCs w:val="24"/>
        </w:rPr>
        <w:t>模块化插件式床边监护仪，主机、显示屏和插件槽一体化设计，主机插槽数≥4个</w:t>
      </w:r>
    </w:p>
    <w:p w14:paraId="5ED2B943">
      <w:pPr>
        <w:widowControl w:val="0"/>
        <w:numPr>
          <w:ilvl w:val="0"/>
          <w:numId w:val="8"/>
        </w:numPr>
        <w:autoSpaceDE w:val="0"/>
        <w:autoSpaceDN w:val="0"/>
        <w:adjustRightInd w:val="0"/>
        <w:spacing w:after="0" w:line="360" w:lineRule="auto"/>
        <w:rPr>
          <w:rFonts w:hint="eastAsia" w:ascii="宋体" w:hAnsi="宋体" w:eastAsia="宋体" w:cs="宋体"/>
          <w:sz w:val="24"/>
          <w:szCs w:val="24"/>
        </w:rPr>
      </w:pPr>
      <w:r>
        <w:rPr>
          <w:rFonts w:hint="eastAsia" w:ascii="宋体" w:hAnsi="宋体" w:eastAsia="宋体" w:cs="宋体"/>
          <w:sz w:val="24"/>
          <w:szCs w:val="24"/>
        </w:rPr>
        <w:t>≥12英寸彩色触摸屏，分辨率≥1280×800像素，≥8通道显示，显示屏亮度自动调节，屏幕支持手势滑动操作，支持穿戴医用防护手套操作</w:t>
      </w:r>
    </w:p>
    <w:p w14:paraId="5C56DAF1">
      <w:pPr>
        <w:widowControl w:val="0"/>
        <w:numPr>
          <w:ilvl w:val="0"/>
          <w:numId w:val="8"/>
        </w:numPr>
        <w:autoSpaceDE w:val="0"/>
        <w:autoSpaceDN w:val="0"/>
        <w:adjustRightInd w:val="0"/>
        <w:spacing w:after="0" w:line="360" w:lineRule="auto"/>
        <w:rPr>
          <w:rFonts w:hint="eastAsia" w:ascii="宋体" w:hAnsi="宋体" w:eastAsia="宋体" w:cs="宋体"/>
          <w:sz w:val="24"/>
          <w:szCs w:val="24"/>
        </w:rPr>
      </w:pPr>
      <w:r>
        <w:rPr>
          <w:rFonts w:hint="eastAsia" w:ascii="宋体" w:hAnsi="宋体" w:eastAsia="宋体" w:cs="宋体"/>
          <w:sz w:val="24"/>
          <w:szCs w:val="24"/>
        </w:rPr>
        <w:t>采用无风扇设计</w:t>
      </w:r>
    </w:p>
    <w:p w14:paraId="11E0F5C6">
      <w:pPr>
        <w:widowControl w:val="0"/>
        <w:numPr>
          <w:ilvl w:val="0"/>
          <w:numId w:val="8"/>
        </w:numPr>
        <w:autoSpaceDE w:val="0"/>
        <w:autoSpaceDN w:val="0"/>
        <w:adjustRightInd w:val="0"/>
        <w:spacing w:after="0" w:line="360" w:lineRule="auto"/>
        <w:rPr>
          <w:rFonts w:hint="eastAsia" w:ascii="宋体" w:hAnsi="宋体" w:eastAsia="宋体" w:cs="宋体"/>
          <w:sz w:val="24"/>
          <w:szCs w:val="24"/>
        </w:rPr>
      </w:pPr>
      <w:r>
        <w:rPr>
          <w:rFonts w:hint="eastAsia" w:ascii="宋体" w:hAnsi="宋体" w:eastAsia="宋体" w:cs="宋体"/>
          <w:sz w:val="24"/>
          <w:szCs w:val="24"/>
        </w:rPr>
        <w:t>可内置高能锂电池，供电时间≥4小时</w:t>
      </w:r>
    </w:p>
    <w:p w14:paraId="7022BCF9">
      <w:pPr>
        <w:widowControl w:val="0"/>
        <w:numPr>
          <w:ilvl w:val="0"/>
          <w:numId w:val="8"/>
        </w:numPr>
        <w:autoSpaceDE w:val="0"/>
        <w:autoSpaceDN w:val="0"/>
        <w:adjustRightInd w:val="0"/>
        <w:spacing w:after="0" w:line="360" w:lineRule="auto"/>
        <w:rPr>
          <w:rFonts w:hint="eastAsia" w:ascii="宋体" w:hAnsi="宋体" w:eastAsia="宋体" w:cs="宋体"/>
          <w:sz w:val="24"/>
          <w:szCs w:val="24"/>
        </w:rPr>
      </w:pPr>
      <w:r>
        <w:rPr>
          <w:rFonts w:hint="eastAsia" w:ascii="宋体" w:hAnsi="宋体" w:eastAsia="宋体" w:cs="宋体"/>
          <w:sz w:val="24"/>
          <w:szCs w:val="24"/>
        </w:rPr>
        <w:t>配置≥4个USB接口，支持连接存储介质、鼠标、键盘、条码扫描枪等USB设备</w:t>
      </w:r>
    </w:p>
    <w:p w14:paraId="2CEC8B00">
      <w:pPr>
        <w:autoSpaceDE w:val="0"/>
        <w:autoSpaceDN w:val="0"/>
        <w:adjustRightInd w:val="0"/>
        <w:spacing w:line="360" w:lineRule="auto"/>
        <w:rPr>
          <w:rFonts w:hint="eastAsia" w:ascii="宋体" w:hAnsi="宋体" w:eastAsia="宋体" w:cs="宋体"/>
          <w:b/>
          <w:sz w:val="24"/>
          <w:szCs w:val="24"/>
        </w:rPr>
      </w:pPr>
      <w:r>
        <w:rPr>
          <w:rFonts w:hint="eastAsia" w:ascii="宋体" w:hAnsi="宋体" w:eastAsia="宋体" w:cs="宋体"/>
          <w:b/>
          <w:sz w:val="24"/>
          <w:szCs w:val="24"/>
        </w:rPr>
        <w:t>监测参数：</w:t>
      </w:r>
    </w:p>
    <w:p w14:paraId="754DC102">
      <w:pPr>
        <w:widowControl w:val="0"/>
        <w:numPr>
          <w:ilvl w:val="0"/>
          <w:numId w:val="8"/>
        </w:numPr>
        <w:autoSpaceDE w:val="0"/>
        <w:autoSpaceDN w:val="0"/>
        <w:adjustRightInd w:val="0"/>
        <w:spacing w:after="0" w:line="360" w:lineRule="auto"/>
        <w:rPr>
          <w:rFonts w:hint="eastAsia" w:ascii="宋体" w:hAnsi="宋体" w:eastAsia="宋体" w:cs="宋体"/>
          <w:sz w:val="24"/>
          <w:szCs w:val="24"/>
        </w:rPr>
      </w:pPr>
      <w:r>
        <w:rPr>
          <w:rFonts w:hint="eastAsia" w:ascii="宋体" w:hAnsi="宋体" w:eastAsia="宋体" w:cs="宋体"/>
          <w:sz w:val="24"/>
          <w:szCs w:val="24"/>
        </w:rPr>
        <w:t>基本功能模块支持心电，呼吸，心率，无创血压，血氧饱和度，脉搏，双通道体温和双通道有创血压的同时监测</w:t>
      </w:r>
    </w:p>
    <w:p w14:paraId="1549F337">
      <w:pPr>
        <w:widowControl w:val="0"/>
        <w:numPr>
          <w:ilvl w:val="0"/>
          <w:numId w:val="8"/>
        </w:numPr>
        <w:autoSpaceDE w:val="0"/>
        <w:autoSpaceDN w:val="0"/>
        <w:adjustRightInd w:val="0"/>
        <w:spacing w:after="0" w:line="360" w:lineRule="auto"/>
        <w:rPr>
          <w:rFonts w:hint="eastAsia" w:ascii="宋体" w:hAnsi="宋体" w:eastAsia="宋体" w:cs="宋体"/>
          <w:sz w:val="24"/>
          <w:szCs w:val="24"/>
        </w:rPr>
      </w:pPr>
      <w:r>
        <w:rPr>
          <w:rFonts w:hint="eastAsia" w:ascii="宋体" w:hAnsi="宋体" w:eastAsia="宋体" w:cs="宋体"/>
          <w:sz w:val="24"/>
          <w:szCs w:val="24"/>
        </w:rPr>
        <w:t>ECG支持3/5导心电监测。</w:t>
      </w:r>
    </w:p>
    <w:p w14:paraId="224A1EDA">
      <w:pPr>
        <w:widowControl w:val="0"/>
        <w:numPr>
          <w:ilvl w:val="0"/>
          <w:numId w:val="8"/>
        </w:numPr>
        <w:autoSpaceDE w:val="0"/>
        <w:autoSpaceDN w:val="0"/>
        <w:adjustRightInd w:val="0"/>
        <w:spacing w:after="0" w:line="360" w:lineRule="auto"/>
        <w:rPr>
          <w:rFonts w:hint="eastAsia" w:ascii="宋体" w:hAnsi="宋体" w:eastAsia="宋体" w:cs="宋体"/>
          <w:sz w:val="24"/>
          <w:szCs w:val="24"/>
        </w:rPr>
      </w:pPr>
      <w:r>
        <w:rPr>
          <w:rFonts w:hint="eastAsia" w:ascii="宋体" w:hAnsi="宋体" w:eastAsia="宋体" w:cs="宋体"/>
          <w:sz w:val="24"/>
          <w:szCs w:val="24"/>
        </w:rPr>
        <w:t>支持房颤及室上性心律失常分析功能，如：室上性心动过速，SVCs/min等，标配支持≥27种实时心律失常分析</w:t>
      </w:r>
    </w:p>
    <w:p w14:paraId="7FC6B648">
      <w:pPr>
        <w:widowControl w:val="0"/>
        <w:numPr>
          <w:ilvl w:val="0"/>
          <w:numId w:val="8"/>
        </w:numPr>
        <w:autoSpaceDE w:val="0"/>
        <w:autoSpaceDN w:val="0"/>
        <w:adjustRightInd w:val="0"/>
        <w:spacing w:after="0" w:line="360" w:lineRule="auto"/>
        <w:rPr>
          <w:rFonts w:hint="eastAsia" w:ascii="宋体" w:hAnsi="宋体" w:eastAsia="宋体" w:cs="宋体"/>
          <w:sz w:val="24"/>
          <w:szCs w:val="24"/>
        </w:rPr>
      </w:pPr>
      <w:r>
        <w:rPr>
          <w:rFonts w:hint="eastAsia" w:ascii="宋体" w:hAnsi="宋体" w:eastAsia="宋体" w:cs="宋体"/>
          <w:sz w:val="24"/>
          <w:szCs w:val="24"/>
        </w:rPr>
        <w:t>支持≥3通道心电波形同步分析，可进行多导心电分析，提供产品界面、手册截图或技术专利证名材料</w:t>
      </w:r>
    </w:p>
    <w:p w14:paraId="54F7D974">
      <w:pPr>
        <w:widowControl w:val="0"/>
        <w:numPr>
          <w:ilvl w:val="0"/>
          <w:numId w:val="8"/>
        </w:numPr>
        <w:autoSpaceDE w:val="0"/>
        <w:autoSpaceDN w:val="0"/>
        <w:adjustRightInd w:val="0"/>
        <w:spacing w:after="0" w:line="360" w:lineRule="auto"/>
        <w:rPr>
          <w:rFonts w:hint="eastAsia" w:ascii="宋体" w:hAnsi="宋体" w:eastAsia="宋体" w:cs="宋体"/>
          <w:sz w:val="24"/>
          <w:szCs w:val="24"/>
        </w:rPr>
      </w:pPr>
      <w:r>
        <w:rPr>
          <w:rFonts w:hint="eastAsia" w:ascii="宋体" w:hAnsi="宋体" w:eastAsia="宋体" w:cs="宋体"/>
          <w:sz w:val="24"/>
          <w:szCs w:val="24"/>
        </w:rPr>
        <w:t>提供ST段分析功能，适用于成人，小儿和新生儿，</w:t>
      </w:r>
      <w:r>
        <w:rPr>
          <w:rFonts w:hint="eastAsia" w:ascii="宋体" w:hAnsi="宋体" w:eastAsia="宋体" w:cs="宋体"/>
          <w:color w:val="000000" w:themeColor="text1"/>
          <w:sz w:val="24"/>
          <w:szCs w:val="24"/>
          <w14:textFill>
            <w14:solidFill>
              <w14:schemeClr w14:val="tx1"/>
            </w14:solidFill>
          </w14:textFill>
        </w:rPr>
        <w:t>支持在专门的窗口中分组显示心脏前壁，下壁和侧壁的ST实时片段和参考片段</w:t>
      </w:r>
      <w:r>
        <w:rPr>
          <w:rFonts w:hint="eastAsia" w:ascii="宋体" w:hAnsi="宋体" w:eastAsia="宋体" w:cs="宋体"/>
          <w:sz w:val="24"/>
          <w:szCs w:val="24"/>
        </w:rPr>
        <w:t xml:space="preserve"> </w:t>
      </w:r>
    </w:p>
    <w:p w14:paraId="3125F46A">
      <w:pPr>
        <w:widowControl w:val="0"/>
        <w:numPr>
          <w:ilvl w:val="0"/>
          <w:numId w:val="8"/>
        </w:numPr>
        <w:autoSpaceDE w:val="0"/>
        <w:autoSpaceDN w:val="0"/>
        <w:adjustRightInd w:val="0"/>
        <w:spacing w:after="0" w:line="360" w:lineRule="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支持RR呼吸率测量，测量范围：1～200</w:t>
      </w: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pm</w:t>
      </w:r>
    </w:p>
    <w:p w14:paraId="0AAF1213">
      <w:pPr>
        <w:widowControl w:val="0"/>
        <w:numPr>
          <w:ilvl w:val="0"/>
          <w:numId w:val="8"/>
        </w:numPr>
        <w:autoSpaceDE w:val="0"/>
        <w:autoSpaceDN w:val="0"/>
        <w:adjustRightInd w:val="0"/>
        <w:spacing w:after="0" w:line="360" w:lineRule="auto"/>
        <w:rPr>
          <w:rFonts w:hint="eastAsia" w:ascii="宋体" w:hAnsi="宋体" w:eastAsia="宋体" w:cs="宋体"/>
          <w:sz w:val="24"/>
          <w:szCs w:val="24"/>
        </w:rPr>
      </w:pPr>
      <w:r>
        <w:rPr>
          <w:rFonts w:hint="eastAsia" w:ascii="宋体" w:hAnsi="宋体" w:eastAsia="宋体" w:cs="宋体"/>
          <w:sz w:val="24"/>
          <w:szCs w:val="24"/>
        </w:rPr>
        <w:t>具有QT/QTc实时连续测量功能，提供QT，QTc和ΔQTc参数值的显示</w:t>
      </w:r>
    </w:p>
    <w:p w14:paraId="15F2AD5B">
      <w:pPr>
        <w:widowControl w:val="0"/>
        <w:numPr>
          <w:ilvl w:val="0"/>
          <w:numId w:val="8"/>
        </w:numPr>
        <w:autoSpaceDE w:val="0"/>
        <w:autoSpaceDN w:val="0"/>
        <w:adjustRightInd w:val="0"/>
        <w:spacing w:after="0" w:line="360" w:lineRule="auto"/>
        <w:rPr>
          <w:rFonts w:hint="eastAsia" w:ascii="宋体" w:hAnsi="宋体" w:eastAsia="宋体" w:cs="宋体"/>
          <w:sz w:val="24"/>
          <w:szCs w:val="24"/>
        </w:rPr>
      </w:pPr>
      <w:r>
        <w:rPr>
          <w:rFonts w:hint="eastAsia" w:ascii="宋体" w:hAnsi="宋体" w:eastAsia="宋体" w:cs="宋体"/>
          <w:sz w:val="24"/>
          <w:szCs w:val="24"/>
        </w:rPr>
        <w:t>无创血压适用于成人，小儿和新生儿</w:t>
      </w:r>
    </w:p>
    <w:p w14:paraId="1435CE72">
      <w:pPr>
        <w:widowControl w:val="0"/>
        <w:numPr>
          <w:ilvl w:val="0"/>
          <w:numId w:val="8"/>
        </w:numPr>
        <w:autoSpaceDE w:val="0"/>
        <w:autoSpaceDN w:val="0"/>
        <w:adjustRightInd w:val="0"/>
        <w:spacing w:after="0" w:line="360" w:lineRule="auto"/>
        <w:rPr>
          <w:rFonts w:hint="eastAsia" w:ascii="宋体" w:hAnsi="宋体" w:eastAsia="宋体" w:cs="宋体"/>
          <w:sz w:val="24"/>
          <w:szCs w:val="24"/>
        </w:rPr>
      </w:pPr>
      <w:r>
        <w:rPr>
          <w:rFonts w:hint="eastAsia" w:ascii="宋体" w:hAnsi="宋体" w:eastAsia="宋体" w:cs="宋体"/>
          <w:sz w:val="24"/>
          <w:szCs w:val="24"/>
        </w:rPr>
        <w:t>无创血压提供手动、自动间隔、连续、序列、整点五种测量模式</w:t>
      </w:r>
    </w:p>
    <w:p w14:paraId="2DA188B0">
      <w:pPr>
        <w:widowControl w:val="0"/>
        <w:numPr>
          <w:ilvl w:val="0"/>
          <w:numId w:val="8"/>
        </w:numPr>
        <w:autoSpaceDE w:val="0"/>
        <w:autoSpaceDN w:val="0"/>
        <w:adjustRightInd w:val="0"/>
        <w:spacing w:after="0" w:line="360" w:lineRule="auto"/>
        <w:rPr>
          <w:rFonts w:hint="eastAsia" w:ascii="宋体" w:hAnsi="宋体" w:eastAsia="宋体" w:cs="宋体"/>
          <w:sz w:val="24"/>
          <w:szCs w:val="24"/>
        </w:rPr>
      </w:pPr>
      <w:r>
        <w:rPr>
          <w:rFonts w:hint="eastAsia" w:ascii="宋体" w:hAnsi="宋体" w:eastAsia="宋体" w:cs="宋体"/>
          <w:sz w:val="24"/>
          <w:szCs w:val="24"/>
        </w:rPr>
        <w:t>提供辅助静脉穿刺功能</w:t>
      </w:r>
    </w:p>
    <w:p w14:paraId="45CBD4D4">
      <w:pPr>
        <w:widowControl w:val="0"/>
        <w:numPr>
          <w:ilvl w:val="0"/>
          <w:numId w:val="8"/>
        </w:numPr>
        <w:tabs>
          <w:tab w:val="left" w:pos="720"/>
          <w:tab w:val="clear" w:pos="704"/>
        </w:tabs>
        <w:autoSpaceDE w:val="0"/>
        <w:autoSpaceDN w:val="0"/>
        <w:adjustRightInd w:val="0"/>
        <w:spacing w:after="0" w:line="360" w:lineRule="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N</w:t>
      </w:r>
      <w:r>
        <w:rPr>
          <w:rFonts w:hint="eastAsia" w:ascii="宋体" w:hAnsi="宋体" w:eastAsia="宋体" w:cs="宋体"/>
          <w:sz w:val="24"/>
          <w:szCs w:val="24"/>
        </w:rPr>
        <w:t>IBP 成人病人类型收缩压测量：25～290mmHg</w:t>
      </w:r>
    </w:p>
    <w:p w14:paraId="2E546127">
      <w:pPr>
        <w:widowControl w:val="0"/>
        <w:numPr>
          <w:ilvl w:val="0"/>
          <w:numId w:val="8"/>
        </w:numPr>
        <w:autoSpaceDE w:val="0"/>
        <w:autoSpaceDN w:val="0"/>
        <w:adjustRightInd w:val="0"/>
        <w:spacing w:after="0" w:line="360" w:lineRule="auto"/>
        <w:rPr>
          <w:rFonts w:hint="eastAsia" w:ascii="宋体" w:hAnsi="宋体" w:eastAsia="宋体" w:cs="宋体"/>
          <w:sz w:val="24"/>
          <w:szCs w:val="24"/>
        </w:rPr>
      </w:pPr>
      <w:r>
        <w:rPr>
          <w:rFonts w:hint="eastAsia" w:ascii="宋体" w:hAnsi="宋体" w:eastAsia="宋体" w:cs="宋体"/>
          <w:sz w:val="24"/>
          <w:szCs w:val="24"/>
        </w:rPr>
        <w:t>血氧监测适用于成人，小儿和新生儿</w:t>
      </w:r>
    </w:p>
    <w:p w14:paraId="299FEE06">
      <w:pPr>
        <w:widowControl w:val="0"/>
        <w:numPr>
          <w:ilvl w:val="0"/>
          <w:numId w:val="8"/>
        </w:numPr>
        <w:autoSpaceDE w:val="0"/>
        <w:autoSpaceDN w:val="0"/>
        <w:adjustRightInd w:val="0"/>
        <w:spacing w:after="0" w:line="360" w:lineRule="auto"/>
        <w:rPr>
          <w:rFonts w:hint="eastAsia" w:ascii="宋体" w:hAnsi="宋体" w:eastAsia="宋体" w:cs="宋体"/>
          <w:sz w:val="24"/>
          <w:szCs w:val="24"/>
        </w:rPr>
      </w:pPr>
      <w:r>
        <w:rPr>
          <w:rFonts w:hint="eastAsia" w:ascii="宋体" w:hAnsi="宋体" w:eastAsia="宋体" w:cs="宋体"/>
          <w:sz w:val="24"/>
          <w:szCs w:val="24"/>
        </w:rPr>
        <w:t>提供灌注指数（PI）的监测</w:t>
      </w:r>
    </w:p>
    <w:p w14:paraId="4B7637BC">
      <w:pPr>
        <w:widowControl w:val="0"/>
        <w:numPr>
          <w:ilvl w:val="0"/>
          <w:numId w:val="8"/>
        </w:numPr>
        <w:autoSpaceDE w:val="0"/>
        <w:autoSpaceDN w:val="0"/>
        <w:adjustRightInd w:val="0"/>
        <w:spacing w:after="0" w:line="360" w:lineRule="auto"/>
        <w:rPr>
          <w:rFonts w:hint="eastAsia" w:ascii="宋体" w:hAnsi="宋体" w:eastAsia="宋体" w:cs="宋体"/>
          <w:sz w:val="24"/>
          <w:szCs w:val="24"/>
        </w:rPr>
      </w:pPr>
      <w:r>
        <w:rPr>
          <w:rFonts w:hint="eastAsia" w:ascii="宋体" w:hAnsi="宋体" w:eastAsia="宋体" w:cs="宋体"/>
          <w:sz w:val="24"/>
          <w:szCs w:val="24"/>
        </w:rPr>
        <w:t>配置指套式血氧探头，支持浸泡清洁与消毒，防水等级IPx7</w:t>
      </w:r>
    </w:p>
    <w:p w14:paraId="303730E3">
      <w:pPr>
        <w:widowControl w:val="0"/>
        <w:numPr>
          <w:ilvl w:val="0"/>
          <w:numId w:val="8"/>
        </w:numPr>
        <w:autoSpaceDE w:val="0"/>
        <w:autoSpaceDN w:val="0"/>
        <w:adjustRightInd w:val="0"/>
        <w:spacing w:after="0" w:line="360" w:lineRule="auto"/>
        <w:rPr>
          <w:rFonts w:hint="eastAsia" w:ascii="宋体" w:hAnsi="宋体" w:eastAsia="宋体" w:cs="宋体"/>
          <w:sz w:val="24"/>
          <w:szCs w:val="24"/>
        </w:rPr>
      </w:pPr>
      <w:r>
        <w:rPr>
          <w:rFonts w:hint="eastAsia" w:ascii="宋体" w:hAnsi="宋体" w:eastAsia="宋体" w:cs="宋体"/>
          <w:sz w:val="24"/>
          <w:szCs w:val="24"/>
        </w:rPr>
        <w:t>支持双通道有创压IBP监测，支持升级多达6通道有创压监测</w:t>
      </w:r>
    </w:p>
    <w:p w14:paraId="1F902601">
      <w:pPr>
        <w:widowControl w:val="0"/>
        <w:numPr>
          <w:ilvl w:val="0"/>
          <w:numId w:val="8"/>
        </w:numPr>
        <w:autoSpaceDE w:val="0"/>
        <w:autoSpaceDN w:val="0"/>
        <w:adjustRightInd w:val="0"/>
        <w:spacing w:after="0" w:line="360" w:lineRule="auto"/>
        <w:rPr>
          <w:rFonts w:hint="eastAsia" w:ascii="宋体" w:hAnsi="宋体" w:eastAsia="宋体" w:cs="宋体"/>
          <w:sz w:val="24"/>
          <w:szCs w:val="24"/>
        </w:rPr>
      </w:pPr>
      <w:r>
        <w:rPr>
          <w:rFonts w:hint="eastAsia" w:ascii="宋体" w:hAnsi="宋体" w:eastAsia="宋体" w:cs="宋体"/>
          <w:sz w:val="24"/>
          <w:szCs w:val="24"/>
        </w:rPr>
        <w:t>有创压适用于成人，小儿和新生儿</w:t>
      </w:r>
    </w:p>
    <w:p w14:paraId="3E6D0E50">
      <w:pPr>
        <w:widowControl w:val="0"/>
        <w:numPr>
          <w:ilvl w:val="0"/>
          <w:numId w:val="8"/>
        </w:numPr>
        <w:autoSpaceDE w:val="0"/>
        <w:autoSpaceDN w:val="0"/>
        <w:adjustRightInd w:val="0"/>
        <w:spacing w:after="0" w:line="360" w:lineRule="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IBP有创压测量范围：-50～360mmHg</w:t>
      </w:r>
    </w:p>
    <w:p w14:paraId="31B2B3F7">
      <w:pPr>
        <w:widowControl w:val="0"/>
        <w:numPr>
          <w:ilvl w:val="0"/>
          <w:numId w:val="8"/>
        </w:numPr>
        <w:autoSpaceDE w:val="0"/>
        <w:autoSpaceDN w:val="0"/>
        <w:adjustRightInd w:val="0"/>
        <w:spacing w:after="0" w:line="360" w:lineRule="auto"/>
        <w:rPr>
          <w:rFonts w:hint="eastAsia" w:ascii="宋体" w:hAnsi="宋体" w:eastAsia="宋体" w:cs="宋体"/>
          <w:sz w:val="24"/>
          <w:szCs w:val="24"/>
        </w:rPr>
      </w:pPr>
      <w:r>
        <w:rPr>
          <w:rFonts w:hint="eastAsia" w:ascii="宋体" w:hAnsi="宋体" w:eastAsia="宋体" w:cs="宋体"/>
          <w:sz w:val="24"/>
          <w:szCs w:val="24"/>
        </w:rPr>
        <w:t xml:space="preserve">提供肺动脉锲压（PAWP）的监测和PPV参数监测 </w:t>
      </w:r>
    </w:p>
    <w:p w14:paraId="1EBF8F41">
      <w:pPr>
        <w:widowControl w:val="0"/>
        <w:numPr>
          <w:ilvl w:val="0"/>
          <w:numId w:val="8"/>
        </w:numPr>
        <w:autoSpaceDE w:val="0"/>
        <w:autoSpaceDN w:val="0"/>
        <w:adjustRightInd w:val="0"/>
        <w:spacing w:after="0" w:line="360" w:lineRule="auto"/>
        <w:rPr>
          <w:rFonts w:hint="eastAsia" w:ascii="宋体" w:hAnsi="宋体" w:eastAsia="宋体" w:cs="宋体"/>
          <w:sz w:val="24"/>
          <w:szCs w:val="24"/>
        </w:rPr>
      </w:pPr>
      <w:r>
        <w:rPr>
          <w:rFonts w:hint="eastAsia" w:ascii="宋体" w:hAnsi="宋体" w:eastAsia="宋体" w:cs="宋体"/>
          <w:sz w:val="24"/>
          <w:szCs w:val="24"/>
        </w:rPr>
        <w:t>支持多达6道IBP波形叠加显示，满足临床对比查看和节约显示空间的需求</w:t>
      </w:r>
    </w:p>
    <w:p w14:paraId="1B30C892">
      <w:pPr>
        <w:widowControl w:val="0"/>
        <w:numPr>
          <w:ilvl w:val="0"/>
          <w:numId w:val="8"/>
        </w:numPr>
        <w:autoSpaceDE w:val="0"/>
        <w:autoSpaceDN w:val="0"/>
        <w:adjustRightInd w:val="0"/>
        <w:spacing w:after="0" w:line="360" w:lineRule="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支持升级脑电图EEG，振幅整合脑电图aEEG监测模块，可提供4通道脑电图以及DSA致密频谱密度查看</w:t>
      </w:r>
    </w:p>
    <w:p w14:paraId="10430E04">
      <w:pPr>
        <w:widowControl w:val="0"/>
        <w:numPr>
          <w:ilvl w:val="0"/>
          <w:numId w:val="8"/>
        </w:numPr>
        <w:autoSpaceDE w:val="0"/>
        <w:autoSpaceDN w:val="0"/>
        <w:adjustRightInd w:val="0"/>
        <w:spacing w:after="0"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后期</w:t>
      </w:r>
      <w:r>
        <w:rPr>
          <w:rFonts w:hint="eastAsia" w:ascii="宋体" w:hAnsi="宋体" w:eastAsia="宋体" w:cs="宋体"/>
          <w:sz w:val="24"/>
          <w:szCs w:val="24"/>
          <w:lang w:val="en-US" w:eastAsia="zh-Hans"/>
        </w:rPr>
        <w:t>支持升级</w:t>
      </w:r>
      <w:r>
        <w:rPr>
          <w:rFonts w:hint="eastAsia" w:ascii="宋体" w:hAnsi="宋体" w:eastAsia="宋体" w:cs="宋体"/>
          <w:sz w:val="24"/>
          <w:szCs w:val="24"/>
        </w:rPr>
        <w:t>PiCCO技术监测功能模块或PiCCO技术单机产品，非漂浮导管热稀释法或无创胸阻抗法，可监测胸腔内血容量(ITBV)、血管外肺水(EVLW)，肺毛细血管通透性指数(PVPI)等参数，提供完整的血流动力学参数监测</w:t>
      </w:r>
    </w:p>
    <w:p w14:paraId="60D5B6A6">
      <w:pPr>
        <w:widowControl w:val="0"/>
        <w:numPr>
          <w:ilvl w:val="0"/>
          <w:numId w:val="8"/>
        </w:numPr>
        <w:autoSpaceDE w:val="0"/>
        <w:autoSpaceDN w:val="0"/>
        <w:adjustRightInd w:val="0"/>
        <w:spacing w:after="0"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后期</w:t>
      </w:r>
      <w:r>
        <w:rPr>
          <w:rFonts w:hint="eastAsia" w:ascii="宋体" w:hAnsi="宋体" w:eastAsia="宋体" w:cs="宋体"/>
          <w:sz w:val="24"/>
          <w:szCs w:val="24"/>
        </w:rPr>
        <w:t>支持升级模块，进行RM呼吸力学监测，提供≥18项呼吸力学参数参数指标，可监测包括： PIF峰值吸气流量，PEF峰值呼气流量， WOB病人呼吸功，NIF负吸入压力，RSBI浅呼吸指数</w:t>
      </w:r>
    </w:p>
    <w:p w14:paraId="4E967A68">
      <w:pPr>
        <w:pStyle w:val="68"/>
        <w:widowControl w:val="0"/>
        <w:numPr>
          <w:ilvl w:val="0"/>
          <w:numId w:val="8"/>
        </w:numPr>
        <w:autoSpaceDE w:val="0"/>
        <w:autoSpaceDN w:val="0"/>
        <w:adjustRightInd w:val="0"/>
        <w:spacing w:line="360" w:lineRule="auto"/>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lang w:val="en-US" w:eastAsia="zh-CN"/>
        </w:rPr>
        <w:t>后期</w:t>
      </w:r>
      <w:r>
        <w:rPr>
          <w:rFonts w:hint="eastAsia" w:ascii="宋体" w:hAnsi="宋体" w:eastAsia="宋体" w:cs="宋体"/>
          <w:color w:val="000000" w:themeColor="text1"/>
          <w:sz w:val="24"/>
          <w:szCs w:val="24"/>
          <w14:textFill>
            <w14:solidFill>
              <w14:schemeClr w14:val="tx1"/>
            </w14:solidFill>
          </w14:textFill>
        </w:rPr>
        <w:t>支持升级模块，可与主流品牌的麻醉机、输注泵产品相连，实现麻醉机、输注泵设备的信息在监护仪上显示、存储、记录、打印或者用于参与计算。</w:t>
      </w:r>
    </w:p>
    <w:p w14:paraId="36681DFF">
      <w:pPr>
        <w:widowControl w:val="0"/>
        <w:numPr>
          <w:ilvl w:val="-1"/>
          <w:numId w:val="0"/>
        </w:numPr>
        <w:autoSpaceDE w:val="0"/>
        <w:autoSpaceDN w:val="0"/>
        <w:adjustRightInd w:val="0"/>
        <w:spacing w:after="0" w:line="360" w:lineRule="auto"/>
        <w:ind w:left="284" w:firstLine="0"/>
        <w:rPr>
          <w:rFonts w:hint="eastAsia" w:ascii="宋体" w:hAnsi="宋体" w:eastAsia="宋体" w:cs="宋体"/>
          <w:sz w:val="24"/>
          <w:szCs w:val="24"/>
        </w:rPr>
      </w:pPr>
    </w:p>
    <w:p w14:paraId="2AF549E8">
      <w:pPr>
        <w:spacing w:line="360" w:lineRule="auto"/>
        <w:ind w:right="-512" w:rightChars="-244"/>
        <w:rPr>
          <w:rFonts w:hint="eastAsia" w:ascii="宋体" w:hAnsi="宋体" w:eastAsia="宋体" w:cs="宋体"/>
          <w:b/>
          <w:sz w:val="24"/>
          <w:szCs w:val="24"/>
        </w:rPr>
      </w:pPr>
      <w:r>
        <w:rPr>
          <w:rFonts w:hint="eastAsia" w:ascii="宋体" w:hAnsi="宋体" w:eastAsia="宋体" w:cs="宋体"/>
          <w:b/>
          <w:sz w:val="24"/>
          <w:szCs w:val="24"/>
        </w:rPr>
        <w:t>系统功能：</w:t>
      </w:r>
    </w:p>
    <w:p w14:paraId="59938E92">
      <w:pPr>
        <w:widowControl w:val="0"/>
        <w:numPr>
          <w:ilvl w:val="0"/>
          <w:numId w:val="8"/>
        </w:numPr>
        <w:spacing w:after="0"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具有图形化报警指示功能，看报警信息更容易</w:t>
      </w:r>
    </w:p>
    <w:p w14:paraId="5D9AF498">
      <w:pPr>
        <w:widowControl w:val="0"/>
        <w:numPr>
          <w:ilvl w:val="0"/>
          <w:numId w:val="8"/>
        </w:numPr>
        <w:spacing w:after="0"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具有报警升级功能，当参数报警经过一定的时间未被处理或伴发了其他报警，就会升级到更高一个级别</w:t>
      </w:r>
    </w:p>
    <w:p w14:paraId="350A9DA3">
      <w:pPr>
        <w:widowControl w:val="0"/>
        <w:numPr>
          <w:ilvl w:val="0"/>
          <w:numId w:val="8"/>
        </w:numPr>
        <w:spacing w:after="0"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具有特殊报警音，当监护仪在病人发生致命性参数报警时，发出特殊的报警音进行提示病人处于危急状态</w:t>
      </w:r>
    </w:p>
    <w:p w14:paraId="55493672">
      <w:pPr>
        <w:widowControl w:val="0"/>
        <w:numPr>
          <w:ilvl w:val="0"/>
          <w:numId w:val="8"/>
        </w:numPr>
        <w:spacing w:after="0"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支持根据病人的参数趋势变化，自动推送推荐报警限</w:t>
      </w:r>
    </w:p>
    <w:p w14:paraId="34343C03">
      <w:pPr>
        <w:widowControl w:val="0"/>
        <w:numPr>
          <w:ilvl w:val="0"/>
          <w:numId w:val="8"/>
        </w:numPr>
        <w:spacing w:after="0"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标配具备血液动力学，药物计算，氧合计算，通气计算和肾功能计算功能，并提供产品、手册截图证明材料</w:t>
      </w:r>
    </w:p>
    <w:p w14:paraId="15A06A88">
      <w:pPr>
        <w:widowControl w:val="0"/>
        <w:numPr>
          <w:ilvl w:val="0"/>
          <w:numId w:val="8"/>
        </w:numPr>
        <w:spacing w:after="0"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支持≥100小时趋势表和趋势图回顾，最小分辨率1分钟</w:t>
      </w:r>
    </w:p>
    <w:p w14:paraId="18562330">
      <w:pPr>
        <w:widowControl w:val="0"/>
        <w:numPr>
          <w:ilvl w:val="0"/>
          <w:numId w:val="8"/>
        </w:numPr>
        <w:spacing w:after="0"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支持≥800条事件回顾。每条报警事件至少能够存储32秒三道相关波形，以及报警触发时所有测量参数值</w:t>
      </w:r>
    </w:p>
    <w:p w14:paraId="2F3A60F3">
      <w:pPr>
        <w:widowControl w:val="0"/>
        <w:numPr>
          <w:ilvl w:val="0"/>
          <w:numId w:val="8"/>
        </w:numPr>
        <w:spacing w:after="0" w:line="360" w:lineRule="auto"/>
        <w:jc w:val="both"/>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具备</w:t>
      </w:r>
      <w:r>
        <w:rPr>
          <w:rFonts w:hint="eastAsia" w:ascii="宋体" w:hAnsi="宋体" w:eastAsia="宋体" w:cs="宋体"/>
          <w:sz w:val="24"/>
          <w:szCs w:val="24"/>
        </w:rPr>
        <w:t>≥</w:t>
      </w:r>
      <w:r>
        <w:rPr>
          <w:rFonts w:hint="eastAsia" w:ascii="宋体" w:hAnsi="宋体" w:eastAsia="宋体" w:cs="宋体"/>
          <w:color w:val="000000" w:themeColor="text1"/>
          <w:sz w:val="24"/>
          <w:szCs w:val="24"/>
          <w14:textFill>
            <w14:solidFill>
              <w14:schemeClr w14:val="tx1"/>
            </w14:solidFill>
          </w14:textFill>
        </w:rPr>
        <w:t>40小时全息波形的存储与回顾功能</w:t>
      </w:r>
    </w:p>
    <w:p w14:paraId="2BF6A038">
      <w:pPr>
        <w:widowControl w:val="0"/>
        <w:numPr>
          <w:ilvl w:val="0"/>
          <w:numId w:val="8"/>
        </w:numPr>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支持≥100小时ST波形片段的存储与回顾</w:t>
      </w:r>
    </w:p>
    <w:p w14:paraId="296102D5">
      <w:pPr>
        <w:widowControl w:val="0"/>
        <w:numPr>
          <w:ilvl w:val="0"/>
          <w:numId w:val="8"/>
        </w:numPr>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工作模式提供：监护模式、待机模式、抢救模式，体外循环模式、插管模式，夜间模式、隐私模式、演示模式</w:t>
      </w:r>
    </w:p>
    <w:p w14:paraId="53426F70">
      <w:pPr>
        <w:pStyle w:val="68"/>
        <w:numPr>
          <w:ilvl w:val="0"/>
          <w:numId w:val="8"/>
        </w:numPr>
        <w:spacing w:line="360" w:lineRule="auto"/>
        <w:ind w:right="-512" w:rightChars="-244" w:firstLineChars="0"/>
        <w:rPr>
          <w:rFonts w:hint="eastAsia" w:ascii="宋体" w:hAnsi="宋体" w:eastAsia="宋体" w:cs="宋体"/>
          <w:sz w:val="24"/>
          <w:szCs w:val="24"/>
        </w:rPr>
      </w:pPr>
      <w:r>
        <w:rPr>
          <w:rFonts w:hint="eastAsia" w:ascii="宋体" w:hAnsi="宋体" w:eastAsia="宋体" w:cs="宋体"/>
          <w:sz w:val="24"/>
          <w:szCs w:val="24"/>
        </w:rPr>
        <w:t>产品通过国家III类注册</w:t>
      </w:r>
    </w:p>
    <w:p w14:paraId="4FAE46E0">
      <w:pPr>
        <w:pStyle w:val="68"/>
        <w:numPr>
          <w:ilvl w:val="0"/>
          <w:numId w:val="8"/>
        </w:numPr>
        <w:spacing w:line="360" w:lineRule="auto"/>
        <w:ind w:right="-512" w:rightChars="-244" w:firstLineChars="0"/>
        <w:rPr>
          <w:rFonts w:hint="eastAsia" w:ascii="宋体" w:hAnsi="宋体" w:eastAsia="宋体" w:cs="宋体"/>
          <w:sz w:val="24"/>
          <w:szCs w:val="24"/>
        </w:rPr>
      </w:pPr>
      <w:r>
        <w:rPr>
          <w:rFonts w:hint="eastAsia" w:ascii="宋体" w:hAnsi="宋体" w:eastAsia="宋体" w:cs="宋体"/>
          <w:sz w:val="24"/>
          <w:szCs w:val="24"/>
        </w:rPr>
        <w:t>设计使用年限≥10年</w:t>
      </w:r>
    </w:p>
    <w:p w14:paraId="60AB7C86">
      <w:pPr>
        <w:pStyle w:val="68"/>
        <w:numPr>
          <w:ilvl w:val="0"/>
          <w:numId w:val="8"/>
        </w:numPr>
        <w:spacing w:line="360" w:lineRule="auto"/>
        <w:ind w:right="-512" w:rightChars="-244"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★每台配套所有导联线（心电、血压、血氧、体温）各2套，每套配备导联线保护套；</w:t>
      </w:r>
    </w:p>
    <w:p w14:paraId="30F8E4B0">
      <w:pPr>
        <w:pStyle w:val="68"/>
        <w:numPr>
          <w:ilvl w:val="0"/>
          <w:numId w:val="8"/>
        </w:numPr>
        <w:spacing w:line="360" w:lineRule="auto"/>
        <w:ind w:right="-512" w:rightChars="-244"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★监护仪采购共计60台，需配备8个二氧化碳模块、16个二氧化碳积水杯和16个采样管;配备8个麻醉深度检测模块及附件包8个（每个模块配套不少于300片电极片），有创血压导联线16根。</w:t>
      </w:r>
    </w:p>
    <w:p w14:paraId="27006E1C">
      <w:pPr>
        <w:pStyle w:val="68"/>
        <w:numPr>
          <w:ilvl w:val="0"/>
          <w:numId w:val="8"/>
        </w:numPr>
        <w:spacing w:line="360" w:lineRule="auto"/>
        <w:ind w:right="-512" w:rightChars="-244"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监护仪采购共计60台，需配备6套心电监护挂架（需把挂架固定座安装在墙壁上，负责安装）</w:t>
      </w:r>
    </w:p>
    <w:p w14:paraId="2DBE8F9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44.★整机质保3年，厂家提供承诺，设备首检费用由中标人承担。</w:t>
      </w:r>
    </w:p>
    <w:p w14:paraId="31B9353E">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rPr>
        <w:t>移动式心电图机</w:t>
      </w:r>
      <w:r>
        <w:rPr>
          <w:rFonts w:hint="eastAsia" w:ascii="宋体" w:hAnsi="宋体" w:cs="宋体"/>
          <w:b/>
          <w:bCs/>
          <w:sz w:val="24"/>
          <w:szCs w:val="24"/>
          <w:lang w:eastAsia="zh-CN"/>
        </w:rPr>
        <w:t>（</w:t>
      </w:r>
      <w:r>
        <w:rPr>
          <w:rFonts w:hint="eastAsia" w:ascii="宋体" w:hAnsi="宋体" w:eastAsia="宋体" w:cs="宋体"/>
          <w:b/>
          <w:bCs/>
          <w:sz w:val="24"/>
          <w:szCs w:val="24"/>
        </w:rPr>
        <w:t>便携式12导心电图机</w:t>
      </w:r>
      <w:r>
        <w:rPr>
          <w:rFonts w:hint="eastAsia" w:ascii="宋体" w:hAnsi="宋体" w:cs="宋体"/>
          <w:b/>
          <w:bCs/>
          <w:sz w:val="24"/>
          <w:szCs w:val="24"/>
          <w:lang w:eastAsia="zh-CN"/>
        </w:rPr>
        <w:t>）</w:t>
      </w:r>
      <w:r>
        <w:rPr>
          <w:rFonts w:hint="eastAsia" w:ascii="宋体" w:hAnsi="宋体" w:eastAsia="宋体" w:cs="宋体"/>
          <w:b/>
          <w:bCs/>
          <w:sz w:val="24"/>
          <w:szCs w:val="24"/>
          <w:lang w:val="en-US" w:eastAsia="zh-CN"/>
        </w:rPr>
        <w:t>技术参数</w:t>
      </w:r>
    </w:p>
    <w:p w14:paraId="47840716">
      <w:pPr>
        <w:rPr>
          <w:rFonts w:hint="eastAsia" w:ascii="宋体" w:hAnsi="宋体" w:eastAsia="宋体" w:cs="宋体"/>
          <w:sz w:val="24"/>
          <w:szCs w:val="24"/>
        </w:rPr>
      </w:pPr>
    </w:p>
    <w:p w14:paraId="7508965A">
      <w:pPr>
        <w:rPr>
          <w:rFonts w:hint="eastAsia" w:ascii="宋体" w:hAnsi="宋体" w:eastAsia="宋体" w:cs="宋体"/>
          <w:sz w:val="24"/>
          <w:szCs w:val="24"/>
        </w:rPr>
      </w:pPr>
      <w:r>
        <w:rPr>
          <w:rFonts w:hint="eastAsia" w:ascii="宋体" w:hAnsi="宋体" w:eastAsia="宋体" w:cs="宋体"/>
          <w:sz w:val="24"/>
          <w:szCs w:val="24"/>
        </w:rPr>
        <w:t>1.心电输入：12导联同步采集，10电极 支持12</w:t>
      </w:r>
      <w:r>
        <w:rPr>
          <w:rFonts w:hint="eastAsia" w:ascii="宋体" w:hAnsi="宋体" w:eastAsia="宋体" w:cs="宋体"/>
          <w:sz w:val="24"/>
          <w:szCs w:val="24"/>
          <w:lang w:val="en-US" w:eastAsia="zh-CN"/>
        </w:rPr>
        <w:t>/18</w:t>
      </w:r>
      <w:r>
        <w:rPr>
          <w:rFonts w:hint="eastAsia" w:ascii="宋体" w:hAnsi="宋体" w:eastAsia="宋体" w:cs="宋体"/>
          <w:sz w:val="24"/>
          <w:szCs w:val="24"/>
        </w:rPr>
        <w:t>导联采集方式；</w:t>
      </w:r>
    </w:p>
    <w:p w14:paraId="2E9443B7">
      <w:pPr>
        <w:rPr>
          <w:rFonts w:hint="eastAsia" w:ascii="宋体" w:hAnsi="宋体" w:eastAsia="宋体" w:cs="宋体"/>
          <w:sz w:val="24"/>
          <w:szCs w:val="24"/>
        </w:rPr>
      </w:pPr>
      <w:r>
        <w:rPr>
          <w:rFonts w:hint="eastAsia" w:ascii="宋体" w:hAnsi="宋体" w:eastAsia="宋体" w:cs="宋体"/>
          <w:sz w:val="24"/>
          <w:szCs w:val="24"/>
        </w:rPr>
        <w:t>2.性能 频率响应:0.05-150Hz (-3db),耐极化电压:±500mV,±1%；</w:t>
      </w:r>
    </w:p>
    <w:p w14:paraId="68745DD1">
      <w:pPr>
        <w:rPr>
          <w:rFonts w:hint="eastAsia" w:ascii="宋体" w:hAnsi="宋体" w:eastAsia="宋体" w:cs="宋体"/>
          <w:sz w:val="24"/>
          <w:szCs w:val="24"/>
        </w:rPr>
      </w:pPr>
      <w:r>
        <w:rPr>
          <w:rFonts w:hint="eastAsia" w:ascii="宋体" w:hAnsi="宋体" w:eastAsia="宋体" w:cs="宋体"/>
          <w:sz w:val="24"/>
          <w:szCs w:val="24"/>
        </w:rPr>
        <w:t>3.共模抑制比：≥89dB(关闭工频滤波状态下)；</w:t>
      </w:r>
    </w:p>
    <w:p w14:paraId="7FDAD064">
      <w:pPr>
        <w:rPr>
          <w:rFonts w:hint="eastAsia" w:ascii="宋体" w:hAnsi="宋体" w:eastAsia="宋体" w:cs="宋体"/>
          <w:sz w:val="24"/>
          <w:szCs w:val="24"/>
        </w:rPr>
      </w:pPr>
      <w:r>
        <w:rPr>
          <w:rFonts w:hint="eastAsia" w:ascii="宋体" w:hAnsi="宋体" w:eastAsia="宋体" w:cs="宋体"/>
          <w:sz w:val="24"/>
          <w:szCs w:val="24"/>
        </w:rPr>
        <w:t>4.A/D转换＞20bit；</w:t>
      </w:r>
    </w:p>
    <w:p w14:paraId="246AC7D9">
      <w:pPr>
        <w:rPr>
          <w:rFonts w:hint="eastAsia" w:ascii="宋体" w:hAnsi="宋体" w:eastAsia="宋体" w:cs="宋体"/>
          <w:sz w:val="24"/>
          <w:szCs w:val="24"/>
        </w:rPr>
      </w:pPr>
      <w:r>
        <w:rPr>
          <w:rFonts w:hint="eastAsia" w:ascii="宋体" w:hAnsi="宋体" w:eastAsia="宋体" w:cs="宋体"/>
          <w:sz w:val="24"/>
          <w:szCs w:val="24"/>
        </w:rPr>
        <w:t>5.测量心率范围：30bpm-300bpm，测量精度≤±1bmp或相对误差≤±1%；</w:t>
      </w:r>
    </w:p>
    <w:p w14:paraId="6209FDE1">
      <w:pPr>
        <w:rPr>
          <w:rFonts w:hint="eastAsia" w:ascii="宋体" w:hAnsi="宋体" w:eastAsia="宋体" w:cs="宋体"/>
          <w:sz w:val="24"/>
          <w:szCs w:val="24"/>
        </w:rPr>
      </w:pPr>
      <w:r>
        <w:rPr>
          <w:rFonts w:hint="eastAsia" w:ascii="宋体" w:hAnsi="宋体" w:eastAsia="宋体" w:cs="宋体"/>
          <w:sz w:val="24"/>
          <w:szCs w:val="24"/>
        </w:rPr>
        <w:t>6.除颤保护：具有抗除颤电击保护功能，除颤器冲击的能量损失 ≤1%，支持心脏起搏信号检测；</w:t>
      </w:r>
    </w:p>
    <w:p w14:paraId="258940B3">
      <w:pPr>
        <w:rPr>
          <w:rFonts w:hint="eastAsia" w:ascii="宋体" w:hAnsi="宋体" w:eastAsia="宋体" w:cs="宋体"/>
          <w:sz w:val="24"/>
          <w:szCs w:val="24"/>
        </w:rPr>
      </w:pPr>
      <w:r>
        <w:rPr>
          <w:rFonts w:hint="eastAsia" w:ascii="宋体" w:hAnsi="宋体" w:eastAsia="宋体" w:cs="宋体"/>
          <w:sz w:val="24"/>
          <w:szCs w:val="24"/>
        </w:rPr>
        <w:t>7.具有电极脱落提示功能，明确显示脱落电极；</w:t>
      </w:r>
    </w:p>
    <w:p w14:paraId="653840DC">
      <w:pPr>
        <w:rPr>
          <w:rFonts w:hint="eastAsia" w:ascii="宋体" w:hAnsi="宋体" w:eastAsia="宋体" w:cs="宋体"/>
          <w:sz w:val="24"/>
          <w:szCs w:val="24"/>
        </w:rPr>
      </w:pPr>
      <w:r>
        <w:rPr>
          <w:rFonts w:hint="eastAsia" w:ascii="宋体" w:hAnsi="宋体" w:eastAsia="宋体" w:cs="宋体"/>
          <w:sz w:val="24"/>
          <w:szCs w:val="24"/>
        </w:rPr>
        <w:t>8.外观及附件 心电采集盒显示屏尺寸≤2.4寸TFT彩色液晶屏</w:t>
      </w:r>
    </w:p>
    <w:p w14:paraId="5DD4F4C1">
      <w:pPr>
        <w:rPr>
          <w:rFonts w:hint="eastAsia" w:ascii="宋体" w:hAnsi="宋体" w:eastAsia="宋体" w:cs="宋体"/>
          <w:sz w:val="24"/>
          <w:szCs w:val="24"/>
        </w:rPr>
      </w:pPr>
      <w:r>
        <w:rPr>
          <w:rFonts w:hint="eastAsia" w:ascii="宋体" w:hAnsi="宋体" w:eastAsia="宋体" w:cs="宋体"/>
          <w:sz w:val="24"/>
          <w:szCs w:val="24"/>
        </w:rPr>
        <w:t>9.便携性：机身需小巧轻便，采集设备重量≤12</w:t>
      </w:r>
      <w:r>
        <w:rPr>
          <w:rFonts w:hint="eastAsia" w:ascii="宋体" w:hAnsi="宋体" w:eastAsia="宋体" w:cs="宋体"/>
          <w:sz w:val="24"/>
          <w:szCs w:val="24"/>
          <w:lang w:val="en-US" w:eastAsia="zh-CN"/>
        </w:rPr>
        <w:t>5</w:t>
      </w:r>
      <w:r>
        <w:rPr>
          <w:rFonts w:hint="eastAsia" w:ascii="宋体" w:hAnsi="宋体" w:eastAsia="宋体" w:cs="宋体"/>
          <w:sz w:val="24"/>
          <w:szCs w:val="24"/>
        </w:rPr>
        <w:t>g。即可配置专业推车，固定安放设备，应用在移动查房；也可配置便携性收纳包，应用在出诊和急救场景；</w:t>
      </w:r>
    </w:p>
    <w:p w14:paraId="1FD29E6A">
      <w:pPr>
        <w:rPr>
          <w:rFonts w:hint="eastAsia" w:ascii="宋体" w:hAnsi="宋体" w:eastAsia="宋体" w:cs="宋体"/>
          <w:sz w:val="24"/>
          <w:szCs w:val="24"/>
        </w:rPr>
      </w:pPr>
      <w:r>
        <w:rPr>
          <w:rFonts w:hint="eastAsia" w:ascii="宋体" w:hAnsi="宋体" w:eastAsia="宋体" w:cs="宋体"/>
          <w:sz w:val="24"/>
          <w:szCs w:val="24"/>
        </w:rPr>
        <w:t>10.支持多种打印机连接方式，包括直连打印机、WIFI连接网络打印机和蓝牙打印机等；</w:t>
      </w:r>
    </w:p>
    <w:p w14:paraId="088B9764">
      <w:pPr>
        <w:rPr>
          <w:rFonts w:hint="eastAsia" w:ascii="宋体" w:hAnsi="宋体" w:eastAsia="宋体" w:cs="宋体"/>
          <w:sz w:val="24"/>
          <w:szCs w:val="24"/>
        </w:rPr>
      </w:pPr>
      <w:r>
        <w:rPr>
          <w:rFonts w:hint="eastAsia" w:ascii="宋体" w:hAnsi="宋体" w:eastAsia="宋体" w:cs="宋体"/>
          <w:sz w:val="24"/>
          <w:szCs w:val="24"/>
        </w:rPr>
        <w:t>11.软件功能 支持自动分析结果；</w:t>
      </w:r>
    </w:p>
    <w:p w14:paraId="5A1602F9">
      <w:pPr>
        <w:rPr>
          <w:rFonts w:hint="eastAsia" w:ascii="宋体" w:hAnsi="宋体" w:eastAsia="宋体" w:cs="宋体"/>
          <w:sz w:val="24"/>
          <w:szCs w:val="24"/>
        </w:rPr>
      </w:pPr>
      <w:r>
        <w:rPr>
          <w:rFonts w:hint="eastAsia" w:ascii="宋体" w:hAnsi="宋体" w:eastAsia="宋体" w:cs="宋体"/>
          <w:sz w:val="24"/>
          <w:szCs w:val="24"/>
        </w:rPr>
        <w:t>12.支持快捷诊断结果输入，用户可自定义诊断结果输入模板；</w:t>
      </w:r>
    </w:p>
    <w:p w14:paraId="3D28DE82">
      <w:pPr>
        <w:rPr>
          <w:rFonts w:hint="eastAsia" w:ascii="宋体" w:hAnsi="宋体" w:eastAsia="宋体" w:cs="宋体"/>
          <w:sz w:val="24"/>
          <w:szCs w:val="24"/>
          <w:lang w:eastAsia="zh-CN"/>
        </w:rPr>
      </w:pPr>
      <w:r>
        <w:rPr>
          <w:rFonts w:hint="eastAsia" w:ascii="宋体" w:hAnsi="宋体" w:eastAsia="宋体" w:cs="宋体"/>
          <w:sz w:val="24"/>
          <w:szCs w:val="24"/>
        </w:rPr>
        <w:t>13.支持原始波形数据远程传输及展现，实现</w:t>
      </w:r>
      <w:r>
        <w:rPr>
          <w:rFonts w:hint="eastAsia" w:ascii="宋体" w:hAnsi="宋体" w:eastAsia="宋体" w:cs="宋体"/>
          <w:sz w:val="24"/>
          <w:szCs w:val="24"/>
          <w:lang w:eastAsia="zh-CN"/>
        </w:rPr>
        <w:t>乡镇</w:t>
      </w:r>
      <w:r>
        <w:rPr>
          <w:rFonts w:hint="eastAsia" w:ascii="宋体" w:hAnsi="宋体" w:eastAsia="宋体" w:cs="宋体"/>
          <w:sz w:val="24"/>
          <w:szCs w:val="24"/>
        </w:rPr>
        <w:t>医院与</w:t>
      </w:r>
      <w:r>
        <w:rPr>
          <w:rFonts w:hint="eastAsia" w:ascii="宋体" w:hAnsi="宋体" w:eastAsia="宋体" w:cs="宋体"/>
          <w:sz w:val="24"/>
          <w:szCs w:val="24"/>
          <w:lang w:eastAsia="zh-CN"/>
        </w:rPr>
        <w:t>上级</w:t>
      </w:r>
      <w:r>
        <w:rPr>
          <w:rFonts w:hint="eastAsia" w:ascii="宋体" w:hAnsi="宋体" w:eastAsia="宋体" w:cs="宋体"/>
          <w:sz w:val="24"/>
          <w:szCs w:val="24"/>
        </w:rPr>
        <w:t>医院间的心电会诊功能；</w:t>
      </w:r>
    </w:p>
    <w:p w14:paraId="1880ADD9">
      <w:pPr>
        <w:rPr>
          <w:rFonts w:hint="eastAsia" w:ascii="宋体" w:hAnsi="宋体" w:eastAsia="宋体" w:cs="宋体"/>
          <w:sz w:val="24"/>
          <w:szCs w:val="24"/>
        </w:rPr>
      </w:pPr>
      <w:r>
        <w:rPr>
          <w:rFonts w:hint="eastAsia" w:ascii="宋体" w:hAnsi="宋体" w:eastAsia="宋体" w:cs="宋体"/>
          <w:sz w:val="24"/>
          <w:szCs w:val="24"/>
        </w:rPr>
        <w:t>14.支持新病例接收语音提醒；</w:t>
      </w:r>
    </w:p>
    <w:p w14:paraId="1B7C9544">
      <w:pPr>
        <w:rPr>
          <w:rFonts w:hint="eastAsia" w:ascii="宋体" w:hAnsi="宋体" w:eastAsia="宋体" w:cs="宋体"/>
          <w:sz w:val="24"/>
          <w:szCs w:val="24"/>
        </w:rPr>
      </w:pPr>
      <w:r>
        <w:rPr>
          <w:rFonts w:hint="eastAsia" w:ascii="宋体" w:hAnsi="宋体" w:eastAsia="宋体" w:cs="宋体"/>
          <w:sz w:val="24"/>
          <w:szCs w:val="24"/>
        </w:rPr>
        <w:t>15.支持单个心拍自动识别和选中放大对比功能，12</w:t>
      </w:r>
      <w:r>
        <w:rPr>
          <w:rFonts w:hint="eastAsia" w:ascii="宋体" w:hAnsi="宋体" w:eastAsia="宋体" w:cs="宋体"/>
          <w:sz w:val="24"/>
          <w:szCs w:val="24"/>
          <w:lang w:val="en-US" w:eastAsia="zh-CN"/>
        </w:rPr>
        <w:t>/18</w:t>
      </w:r>
      <w:r>
        <w:rPr>
          <w:rFonts w:hint="eastAsia" w:ascii="宋体" w:hAnsi="宋体" w:eastAsia="宋体" w:cs="宋体"/>
          <w:sz w:val="24"/>
          <w:szCs w:val="24"/>
        </w:rPr>
        <w:t>导叠加对比功能，提供多项专业测量参数；</w:t>
      </w:r>
    </w:p>
    <w:p w14:paraId="5B77FE3E">
      <w:pPr>
        <w:rPr>
          <w:rFonts w:hint="eastAsia" w:ascii="宋体" w:hAnsi="宋体" w:eastAsia="宋体" w:cs="宋体"/>
          <w:sz w:val="24"/>
          <w:szCs w:val="24"/>
        </w:rPr>
      </w:pPr>
      <w:r>
        <w:rPr>
          <w:rFonts w:hint="eastAsia" w:ascii="宋体" w:hAnsi="宋体" w:eastAsia="宋体" w:cs="宋体"/>
          <w:sz w:val="24"/>
          <w:szCs w:val="24"/>
        </w:rPr>
        <w:t>16.支持手机APP心电图读图诊断功能，方便会诊医生及时诊断；</w:t>
      </w:r>
    </w:p>
    <w:p w14:paraId="5E318EF6">
      <w:pPr>
        <w:rPr>
          <w:rFonts w:hint="eastAsia" w:ascii="宋体" w:hAnsi="宋体" w:eastAsia="宋体" w:cs="宋体"/>
          <w:sz w:val="24"/>
          <w:szCs w:val="24"/>
          <w:lang w:eastAsia="zh-CN"/>
        </w:rPr>
      </w:pPr>
      <w:r>
        <w:rPr>
          <w:rFonts w:hint="eastAsia" w:ascii="宋体" w:hAnsi="宋体" w:eastAsia="宋体" w:cs="宋体"/>
          <w:sz w:val="24"/>
          <w:szCs w:val="24"/>
        </w:rPr>
        <w:t>17.★</w:t>
      </w:r>
      <w:r>
        <w:rPr>
          <w:rFonts w:hint="eastAsia" w:ascii="宋体" w:hAnsi="宋体" w:eastAsia="宋体" w:cs="宋体"/>
          <w:sz w:val="24"/>
          <w:szCs w:val="24"/>
          <w:lang w:eastAsia="zh-CN"/>
        </w:rPr>
        <w:t>配置插入</w:t>
      </w:r>
      <w:r>
        <w:rPr>
          <w:rFonts w:hint="eastAsia" w:ascii="宋体" w:hAnsi="宋体" w:eastAsia="宋体" w:cs="宋体"/>
          <w:sz w:val="24"/>
          <w:szCs w:val="24"/>
          <w:lang w:val="en-US" w:eastAsia="zh-CN"/>
        </w:rPr>
        <w:t>SIM卡，物联卡，</w:t>
      </w:r>
      <w:r>
        <w:rPr>
          <w:rFonts w:hint="eastAsia" w:ascii="宋体" w:hAnsi="宋体" w:eastAsia="宋体" w:cs="宋体"/>
          <w:sz w:val="24"/>
          <w:szCs w:val="24"/>
        </w:rPr>
        <w:t>WIFI连接网络</w:t>
      </w:r>
      <w:r>
        <w:rPr>
          <w:rFonts w:hint="eastAsia" w:ascii="宋体" w:hAnsi="宋体" w:eastAsia="宋体" w:cs="宋体"/>
          <w:sz w:val="24"/>
          <w:szCs w:val="24"/>
          <w:lang w:eastAsia="zh-CN"/>
        </w:rPr>
        <w:t>，蓝牙功能，具备网络远程传输心电图功能，具备远程诊断系统回报功能，配置</w:t>
      </w:r>
      <w:r>
        <w:rPr>
          <w:rFonts w:hint="eastAsia" w:ascii="宋体" w:hAnsi="宋体" w:eastAsia="宋体" w:cs="宋体"/>
          <w:sz w:val="24"/>
          <w:szCs w:val="24"/>
          <w:lang w:val="en-US" w:eastAsia="zh-CN"/>
        </w:rPr>
        <w:t>SIM卡并设备有效期内免费使用</w:t>
      </w:r>
      <w:r>
        <w:rPr>
          <w:rFonts w:hint="eastAsia" w:ascii="宋体" w:hAnsi="宋体" w:eastAsia="宋体" w:cs="宋体"/>
          <w:sz w:val="24"/>
          <w:szCs w:val="24"/>
          <w:lang w:eastAsia="zh-CN"/>
        </w:rPr>
        <w:t>。</w:t>
      </w:r>
    </w:p>
    <w:p w14:paraId="000AC6AA">
      <w:pP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z w:val="24"/>
          <w:szCs w:val="24"/>
          <w:lang w:val="en-US" w:eastAsia="zh-CN"/>
        </w:rPr>
        <w:t>1</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eastAsia="zh-CN"/>
          <w14:textFill>
            <w14:solidFill>
              <w14:schemeClr w14:val="tx1"/>
            </w14:solidFill>
          </w14:textFill>
        </w:rPr>
        <w:t>具备户外急救，不受固定网络等条件限制，实现远程传输及远程会诊功能。</w:t>
      </w:r>
    </w:p>
    <w:p w14:paraId="5929EC70">
      <w:pP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19.▲网络连通后</w:t>
      </w:r>
      <w:r>
        <w:rPr>
          <w:rFonts w:hint="eastAsia" w:ascii="宋体" w:hAnsi="宋体" w:eastAsia="宋体" w:cs="宋体"/>
          <w:color w:val="000000" w:themeColor="text1"/>
          <w:sz w:val="24"/>
          <w:szCs w:val="24"/>
          <w:lang w:eastAsia="zh-CN"/>
          <w14:textFill>
            <w14:solidFill>
              <w14:schemeClr w14:val="tx1"/>
            </w14:solidFill>
          </w14:textFill>
        </w:rPr>
        <w:t>时钟与我</w:t>
      </w:r>
      <w:r>
        <w:rPr>
          <w:rFonts w:hint="eastAsia" w:ascii="宋体" w:hAnsi="宋体" w:eastAsia="宋体" w:cs="宋体"/>
          <w:color w:val="000000" w:themeColor="text1"/>
          <w:sz w:val="24"/>
          <w:szCs w:val="24"/>
          <w:lang w:val="en-US" w:eastAsia="zh-CN"/>
          <w14:textFill>
            <w14:solidFill>
              <w14:schemeClr w14:val="tx1"/>
            </w14:solidFill>
          </w14:textFill>
        </w:rPr>
        <w:t>院胸痛中心</w:t>
      </w:r>
      <w:r>
        <w:rPr>
          <w:rFonts w:hint="eastAsia" w:ascii="宋体" w:hAnsi="宋体" w:eastAsia="宋体" w:cs="宋体"/>
          <w:color w:val="000000" w:themeColor="text1"/>
          <w:sz w:val="24"/>
          <w:szCs w:val="24"/>
          <w:lang w:eastAsia="zh-CN"/>
          <w14:textFill>
            <w14:solidFill>
              <w14:schemeClr w14:val="tx1"/>
            </w14:solidFill>
          </w14:textFill>
        </w:rPr>
        <w:t>系统统一。</w:t>
      </w:r>
    </w:p>
    <w:p w14:paraId="0B89F9BC">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lang w:eastAsia="zh-CN"/>
          <w14:textFill>
            <w14:solidFill>
              <w14:schemeClr w14:val="tx1"/>
            </w14:solidFill>
          </w14:textFill>
        </w:rPr>
        <w:t>支持采集数据电子化存档，可反复多次查看及打印，建立区域居民健康数据库。</w:t>
      </w:r>
    </w:p>
    <w:p w14:paraId="3A34E92D">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w:t>
      </w:r>
      <w:r>
        <w:rPr>
          <w:rFonts w:hint="eastAsia" w:ascii="宋体" w:hAnsi="宋体" w:eastAsia="宋体" w:cs="宋体"/>
          <w:color w:val="000000" w:themeColor="text1"/>
          <w:sz w:val="24"/>
          <w:szCs w:val="24"/>
          <w14:textFill>
            <w14:solidFill>
              <w14:schemeClr w14:val="tx1"/>
            </w14:solidFill>
          </w14:textFill>
        </w:rPr>
        <w:t>.电源交直流两用自动转换，交流电源：交流 220V  50Hz，直流电源：内置可充电锂离子电池，充满电后可连续工作5小时以上；</w:t>
      </w:r>
    </w:p>
    <w:p w14:paraId="7B86F0A5">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 免费接入院胸痛中心网络,接口费用含在投标费用内。</w:t>
      </w:r>
    </w:p>
    <w:p w14:paraId="108A9335">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 每台配置台车1个，密钥每台配备3个，导联线每台配3套含（吸球、四肢夹、导联线）。含充电底座、平板。</w:t>
      </w:r>
    </w:p>
    <w:p w14:paraId="0AC356AC">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 ▲包含SIM卡服务费至少6年。</w:t>
      </w:r>
    </w:p>
    <w:p w14:paraId="199D4443">
      <w:pPr>
        <w:pStyle w:val="26"/>
        <w:numPr>
          <w:ilvl w:val="0"/>
          <w:numId w:val="0"/>
        </w:numPr>
        <w:ind w:leftChars="0"/>
        <w:rPr>
          <w:rFonts w:hint="eastAsia" w:ascii="宋体" w:hAnsi="宋体" w:eastAsia="宋体" w:cs="宋体"/>
          <w:b/>
          <w:bCs/>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★25</w:t>
      </w:r>
      <w:r>
        <w:rPr>
          <w:rFonts w:hint="eastAsia" w:ascii="宋体" w:hAnsi="宋体" w:eastAsia="宋体" w:cs="宋体"/>
          <w:b/>
          <w:bCs/>
          <w:sz w:val="24"/>
          <w:szCs w:val="24"/>
          <w:lang w:val="en-US" w:eastAsia="zh-CN"/>
        </w:rPr>
        <w:t>整机质保3年，制造商提供承诺，加盖公章。设备首检费用由中标人承担。</w:t>
      </w:r>
    </w:p>
    <w:p w14:paraId="73722B76">
      <w:pPr>
        <w:widowControl/>
        <w:numPr>
          <w:ilvl w:val="0"/>
          <w:numId w:val="0"/>
        </w:numPr>
        <w:spacing w:line="480" w:lineRule="exact"/>
        <w:ind w:left="283" w:leftChars="0"/>
        <w:jc w:val="center"/>
        <w:rPr>
          <w:rFonts w:hint="default" w:ascii="宋体" w:hAnsi="宋体" w:eastAsia="宋体" w:cs="宋体"/>
          <w:color w:val="auto"/>
          <w:kern w:val="0"/>
          <w:sz w:val="32"/>
          <w:szCs w:val="32"/>
          <w:highlight w:val="none"/>
          <w:lang w:val="en-US"/>
        </w:rPr>
      </w:pPr>
      <w:r>
        <w:rPr>
          <w:rFonts w:hint="eastAsia" w:ascii="宋体" w:hAnsi="宋体" w:eastAsia="宋体" w:cs="宋体"/>
          <w:b/>
          <w:bCs/>
          <w:sz w:val="32"/>
          <w:szCs w:val="32"/>
          <w:lang w:eastAsia="zh-CN"/>
        </w:rPr>
        <w:t>除颤式心电监护仪</w:t>
      </w:r>
      <w:r>
        <w:rPr>
          <w:rFonts w:hint="eastAsia" w:ascii="宋体" w:hAnsi="宋体" w:cs="宋体"/>
          <w:b/>
          <w:bCs/>
          <w:sz w:val="32"/>
          <w:szCs w:val="32"/>
          <w:lang w:val="en-US" w:eastAsia="zh-CN"/>
        </w:rPr>
        <w:t>技术参数</w:t>
      </w:r>
    </w:p>
    <w:p w14:paraId="6A946519">
      <w:pPr>
        <w:widowControl/>
        <w:numPr>
          <w:ilvl w:val="0"/>
          <w:numId w:val="9"/>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重量：≤</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kg（含电池）。</w:t>
      </w:r>
    </w:p>
    <w:p w14:paraId="0BDA088A">
      <w:pPr>
        <w:widowControl/>
        <w:numPr>
          <w:ilvl w:val="0"/>
          <w:numId w:val="9"/>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彩色屏≥</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英寸，可显示≥</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通道监护参数波形，自动亮度调节。</w:t>
      </w:r>
    </w:p>
    <w:p w14:paraId="0696109C">
      <w:pPr>
        <w:widowControl/>
        <w:numPr>
          <w:ilvl w:val="0"/>
          <w:numId w:val="9"/>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提供图形化故障排除指引，帮助医护人员快速解决设备故障。</w:t>
      </w:r>
    </w:p>
    <w:p w14:paraId="299E2767">
      <w:pPr>
        <w:widowControl/>
        <w:numPr>
          <w:ilvl w:val="0"/>
          <w:numId w:val="9"/>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屏幕显示心电波形扫描时间最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s。</w:t>
      </w:r>
    </w:p>
    <w:p w14:paraId="13F67B50">
      <w:pPr>
        <w:widowControl/>
        <w:numPr>
          <w:ilvl w:val="0"/>
          <w:numId w:val="9"/>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▲具备手动除颤、心电监护、呼吸监护、</w:t>
      </w:r>
      <w:r>
        <w:rPr>
          <w:rFonts w:hint="eastAsia" w:ascii="宋体" w:hAnsi="宋体" w:eastAsia="宋体" w:cs="宋体"/>
          <w:color w:val="auto"/>
          <w:kern w:val="0"/>
          <w:sz w:val="24"/>
          <w:szCs w:val="24"/>
          <w:highlight w:val="none"/>
          <w:lang w:eastAsia="zh-CN"/>
        </w:rPr>
        <w:t>血压测量，血氧测量，</w:t>
      </w:r>
      <w:r>
        <w:rPr>
          <w:rFonts w:hint="eastAsia" w:ascii="宋体" w:hAnsi="宋体" w:eastAsia="宋体" w:cs="宋体"/>
          <w:color w:val="auto"/>
          <w:kern w:val="0"/>
          <w:sz w:val="24"/>
          <w:szCs w:val="24"/>
          <w:highlight w:val="none"/>
        </w:rPr>
        <w:t>自动体外除颤（AED）功能，AED功能适用于</w:t>
      </w:r>
      <w:r>
        <w:rPr>
          <w:rFonts w:hint="eastAsia" w:ascii="宋体" w:hAnsi="宋体" w:eastAsia="宋体" w:cs="宋体"/>
          <w:color w:val="auto"/>
          <w:kern w:val="0"/>
          <w:sz w:val="24"/>
          <w:szCs w:val="24"/>
          <w:highlight w:val="none"/>
          <w:lang w:val="en-US" w:eastAsia="zh-CN"/>
        </w:rPr>
        <w:t>一个月</w:t>
      </w:r>
      <w:r>
        <w:rPr>
          <w:rFonts w:hint="eastAsia" w:ascii="宋体" w:hAnsi="宋体" w:eastAsia="宋体" w:cs="宋体"/>
          <w:color w:val="auto"/>
          <w:kern w:val="0"/>
          <w:sz w:val="24"/>
          <w:szCs w:val="24"/>
          <w:highlight w:val="none"/>
        </w:rPr>
        <w:t>以上人群。</w:t>
      </w:r>
    </w:p>
    <w:p w14:paraId="65D1C548">
      <w:pPr>
        <w:widowControl/>
        <w:numPr>
          <w:ilvl w:val="0"/>
          <w:numId w:val="9"/>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除颤采用双相波技术，具备自动阻抗补偿功能。</w:t>
      </w:r>
    </w:p>
    <w:p w14:paraId="71917C61">
      <w:pPr>
        <w:widowControl/>
        <w:numPr>
          <w:ilvl w:val="0"/>
          <w:numId w:val="9"/>
        </w:numPr>
        <w:spacing w:line="480" w:lineRule="exact"/>
        <w:jc w:val="left"/>
        <w:rPr>
          <w:rFonts w:hint="eastAsia" w:ascii="宋体" w:hAnsi="宋体" w:eastAsia="宋体" w:cs="宋体"/>
          <w:color w:val="auto"/>
          <w:kern w:val="0"/>
          <w:sz w:val="24"/>
          <w:szCs w:val="24"/>
          <w:highlight w:val="none"/>
        </w:rPr>
      </w:pPr>
      <w:bookmarkStart w:id="371" w:name="_Hlk172228867"/>
      <w:r>
        <w:rPr>
          <w:rFonts w:hint="eastAsia" w:ascii="宋体" w:hAnsi="宋体" w:eastAsia="宋体" w:cs="宋体"/>
          <w:color w:val="auto"/>
          <w:kern w:val="0"/>
          <w:sz w:val="24"/>
          <w:szCs w:val="24"/>
          <w:highlight w:val="none"/>
        </w:rPr>
        <w:t>手动除颤分为同步和异步两种方式，能量分20档以上，可通过体外电极板进行能量选择，最大能量可达360J。</w:t>
      </w:r>
    </w:p>
    <w:bookmarkEnd w:id="371"/>
    <w:p w14:paraId="2833EB86">
      <w:pPr>
        <w:widowControl/>
        <w:numPr>
          <w:ilvl w:val="0"/>
          <w:numId w:val="9"/>
        </w:numPr>
        <w:spacing w:line="480" w:lineRule="exact"/>
        <w:jc w:val="left"/>
        <w:rPr>
          <w:rFonts w:hint="eastAsia" w:ascii="宋体" w:hAnsi="宋体" w:eastAsia="宋体" w:cs="宋体"/>
          <w:color w:val="auto"/>
          <w:kern w:val="0"/>
          <w:sz w:val="24"/>
          <w:szCs w:val="24"/>
          <w:highlight w:val="none"/>
        </w:rPr>
      </w:pPr>
      <w:bookmarkStart w:id="372" w:name="_Hlk172228884"/>
      <w:r>
        <w:rPr>
          <w:rFonts w:hint="eastAsia" w:ascii="宋体" w:hAnsi="宋体" w:eastAsia="宋体" w:cs="宋体"/>
          <w:color w:val="auto"/>
          <w:kern w:val="0"/>
          <w:sz w:val="24"/>
          <w:szCs w:val="24"/>
          <w:highlight w:val="none"/>
          <w:lang w:val="en-US" w:eastAsia="zh-CN"/>
        </w:rPr>
        <w:t>支</w:t>
      </w:r>
      <w:r>
        <w:rPr>
          <w:rFonts w:hint="eastAsia" w:ascii="宋体" w:hAnsi="宋体" w:eastAsia="宋体" w:cs="宋体"/>
          <w:color w:val="auto"/>
          <w:kern w:val="0"/>
          <w:sz w:val="24"/>
          <w:szCs w:val="24"/>
          <w:highlight w:val="none"/>
        </w:rPr>
        <w:t>持至少三种尺寸体内除颤电极板，适用不同病人类型</w:t>
      </w:r>
    </w:p>
    <w:bookmarkEnd w:id="372"/>
    <w:p w14:paraId="1C00C6D5">
      <w:pPr>
        <w:widowControl/>
        <w:numPr>
          <w:ilvl w:val="0"/>
          <w:numId w:val="9"/>
        </w:numPr>
        <w:spacing w:line="480" w:lineRule="exact"/>
        <w:jc w:val="left"/>
        <w:rPr>
          <w:rFonts w:hint="eastAsia" w:ascii="宋体" w:hAnsi="宋体" w:eastAsia="宋体" w:cs="宋体"/>
          <w:color w:val="auto"/>
          <w:kern w:val="0"/>
          <w:sz w:val="24"/>
          <w:szCs w:val="24"/>
          <w:highlight w:val="none"/>
        </w:rPr>
      </w:pPr>
      <w:bookmarkStart w:id="373" w:name="_Hlk172228969"/>
      <w:r>
        <w:rPr>
          <w:rFonts w:hint="eastAsia" w:ascii="宋体" w:hAnsi="宋体" w:eastAsia="宋体" w:cs="宋体"/>
          <w:color w:val="auto"/>
          <w:kern w:val="0"/>
          <w:sz w:val="24"/>
          <w:szCs w:val="24"/>
          <w:highlight w:val="none"/>
        </w:rPr>
        <w:t>体外除颤电极板同时支持成人和小儿，一体化设计，支持快速切换。</w:t>
      </w:r>
    </w:p>
    <w:p w14:paraId="7C4FE8CC">
      <w:pPr>
        <w:widowControl/>
        <w:numPr>
          <w:ilvl w:val="0"/>
          <w:numId w:val="9"/>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▲AED除颤功能提供中文语音和中文提醒功能，对于抢救过程支持自动录音功能，记录时长≥</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小时。</w:t>
      </w:r>
    </w:p>
    <w:p w14:paraId="33AC1323">
      <w:pPr>
        <w:widowControl/>
        <w:numPr>
          <w:ilvl w:val="0"/>
          <w:numId w:val="9"/>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开机到可正常使用时间≤</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s。</w:t>
      </w:r>
    </w:p>
    <w:p w14:paraId="650B20F4">
      <w:pPr>
        <w:widowControl/>
        <w:numPr>
          <w:ilvl w:val="0"/>
          <w:numId w:val="9"/>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▲除颤后心电基线恢复时间≤</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s。</w:t>
      </w:r>
    </w:p>
    <w:p w14:paraId="0185A554">
      <w:pPr>
        <w:widowControl/>
        <w:numPr>
          <w:ilvl w:val="0"/>
          <w:numId w:val="9"/>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从开始AED分析到放电准备就绪≤10s。</w:t>
      </w:r>
    </w:p>
    <w:p w14:paraId="593816C7">
      <w:pPr>
        <w:widowControl/>
        <w:numPr>
          <w:ilvl w:val="0"/>
          <w:numId w:val="9"/>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体外电极板支持病人接触状态显示。</w:t>
      </w:r>
    </w:p>
    <w:bookmarkEnd w:id="373"/>
    <w:p w14:paraId="6D6475AD">
      <w:pPr>
        <w:widowControl/>
        <w:numPr>
          <w:ilvl w:val="0"/>
          <w:numId w:val="9"/>
        </w:numPr>
        <w:spacing w:line="480" w:lineRule="exact"/>
        <w:jc w:val="left"/>
        <w:rPr>
          <w:rFonts w:hint="eastAsia" w:ascii="宋体" w:hAnsi="宋体" w:eastAsia="宋体" w:cs="宋体"/>
          <w:color w:val="auto"/>
          <w:kern w:val="0"/>
          <w:sz w:val="24"/>
          <w:szCs w:val="24"/>
          <w:highlight w:val="none"/>
        </w:rPr>
      </w:pPr>
      <w:bookmarkStart w:id="374" w:name="_Hlk172229010"/>
      <w:r>
        <w:rPr>
          <w:rFonts w:hint="eastAsia" w:ascii="宋体" w:hAnsi="宋体" w:eastAsia="宋体" w:cs="宋体"/>
          <w:color w:val="auto"/>
          <w:kern w:val="0"/>
          <w:sz w:val="24"/>
          <w:szCs w:val="24"/>
          <w:highlight w:val="none"/>
          <w:lang w:val="en-US" w:eastAsia="zh-CN"/>
        </w:rPr>
        <w:t>提</w:t>
      </w:r>
      <w:r>
        <w:rPr>
          <w:rFonts w:hint="eastAsia" w:ascii="宋体" w:hAnsi="宋体" w:eastAsia="宋体" w:cs="宋体"/>
          <w:color w:val="auto"/>
          <w:kern w:val="0"/>
          <w:sz w:val="24"/>
          <w:szCs w:val="24"/>
          <w:highlight w:val="none"/>
        </w:rPr>
        <w:t>供CPR按压干扰滤过功能，通过除颤电极片或CPR传感器自动检测按压干扰并实时滤波，减少按压中断。</w:t>
      </w:r>
    </w:p>
    <w:p w14:paraId="5A2D237F">
      <w:pPr>
        <w:widowControl/>
        <w:numPr>
          <w:ilvl w:val="0"/>
          <w:numId w:val="9"/>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抢救结束后</w:t>
      </w:r>
      <w:r>
        <w:rPr>
          <w:rFonts w:hint="eastAsia" w:ascii="宋体" w:hAnsi="宋体" w:eastAsia="宋体" w:cs="宋体"/>
          <w:color w:val="auto"/>
          <w:kern w:val="0"/>
          <w:sz w:val="24"/>
          <w:szCs w:val="24"/>
          <w:highlight w:val="none"/>
          <w:lang w:val="en-US" w:eastAsia="zh-CN"/>
        </w:rPr>
        <w:t>可以</w:t>
      </w:r>
      <w:r>
        <w:rPr>
          <w:rFonts w:hint="eastAsia" w:ascii="宋体" w:hAnsi="宋体" w:eastAsia="宋体" w:cs="宋体"/>
          <w:color w:val="auto"/>
          <w:kern w:val="0"/>
          <w:sz w:val="24"/>
          <w:szCs w:val="24"/>
          <w:highlight w:val="none"/>
        </w:rPr>
        <w:t>自动生成报告。</w:t>
      </w:r>
    </w:p>
    <w:p w14:paraId="10B8B383">
      <w:pPr>
        <w:widowControl/>
        <w:numPr>
          <w:ilvl w:val="0"/>
          <w:numId w:val="9"/>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通过心电电极片可监测心律失常分析种类不少于2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种。</w:t>
      </w:r>
    </w:p>
    <w:p w14:paraId="56650D2E">
      <w:pPr>
        <w:widowControl/>
        <w:numPr>
          <w:ilvl w:val="0"/>
          <w:numId w:val="9"/>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支持ST和QT实时分析。</w:t>
      </w:r>
    </w:p>
    <w:bookmarkEnd w:id="374"/>
    <w:p w14:paraId="7AC1FB9B">
      <w:pPr>
        <w:widowControl/>
        <w:numPr>
          <w:ilvl w:val="0"/>
          <w:numId w:val="9"/>
        </w:numPr>
        <w:spacing w:line="480" w:lineRule="exact"/>
        <w:jc w:val="left"/>
        <w:rPr>
          <w:rFonts w:hint="eastAsia" w:ascii="宋体" w:hAnsi="宋体" w:eastAsia="宋体" w:cs="宋体"/>
          <w:color w:val="auto"/>
          <w:kern w:val="0"/>
          <w:sz w:val="24"/>
          <w:szCs w:val="24"/>
          <w:highlight w:val="none"/>
        </w:rPr>
      </w:pPr>
      <w:bookmarkStart w:id="375" w:name="_Hlk172229043"/>
      <w:r>
        <w:rPr>
          <w:rFonts w:hint="eastAsia" w:ascii="宋体" w:hAnsi="宋体" w:eastAsia="宋体" w:cs="宋体"/>
          <w:color w:val="auto"/>
          <w:kern w:val="0"/>
          <w:sz w:val="24"/>
          <w:szCs w:val="24"/>
          <w:highlight w:val="none"/>
        </w:rPr>
        <w:t>阻抗呼吸率范围：0-200rpm。</w:t>
      </w:r>
    </w:p>
    <w:bookmarkEnd w:id="375"/>
    <w:p w14:paraId="3B34C1A5">
      <w:pPr>
        <w:widowControl/>
        <w:numPr>
          <w:ilvl w:val="0"/>
          <w:numId w:val="9"/>
        </w:numPr>
        <w:spacing w:line="480" w:lineRule="exact"/>
        <w:jc w:val="left"/>
        <w:rPr>
          <w:rFonts w:hint="eastAsia" w:ascii="宋体" w:hAnsi="宋体" w:eastAsia="宋体" w:cs="宋体"/>
          <w:color w:val="auto"/>
          <w:kern w:val="0"/>
          <w:sz w:val="24"/>
          <w:szCs w:val="24"/>
          <w:highlight w:val="none"/>
        </w:rPr>
      </w:pPr>
      <w:bookmarkStart w:id="376" w:name="_Hlk172229079"/>
      <w:r>
        <w:rPr>
          <w:rFonts w:hint="eastAsia" w:ascii="宋体" w:hAnsi="宋体" w:eastAsia="宋体" w:cs="宋体"/>
          <w:color w:val="auto"/>
          <w:kern w:val="0"/>
          <w:sz w:val="24"/>
          <w:szCs w:val="24"/>
          <w:highlight w:val="none"/>
        </w:rPr>
        <w:t>提供的监护参数适用于成人，小儿和新生儿，并通过国家三类注册。</w:t>
      </w:r>
    </w:p>
    <w:bookmarkEnd w:id="376"/>
    <w:p w14:paraId="5631F377">
      <w:pPr>
        <w:widowControl/>
        <w:numPr>
          <w:ilvl w:val="0"/>
          <w:numId w:val="9"/>
        </w:numPr>
        <w:spacing w:line="480" w:lineRule="exact"/>
        <w:jc w:val="left"/>
        <w:rPr>
          <w:rFonts w:hint="eastAsia" w:ascii="宋体" w:hAnsi="宋体" w:eastAsia="宋体" w:cs="宋体"/>
          <w:color w:val="auto"/>
          <w:kern w:val="0"/>
          <w:sz w:val="24"/>
          <w:szCs w:val="24"/>
          <w:highlight w:val="none"/>
        </w:rPr>
      </w:pPr>
      <w:bookmarkStart w:id="377" w:name="OLE_LINK26"/>
      <w:bookmarkStart w:id="378" w:name="OLE_LINK27"/>
      <w:r>
        <w:rPr>
          <w:rFonts w:hint="eastAsia" w:ascii="宋体" w:hAnsi="宋体" w:eastAsia="宋体" w:cs="宋体"/>
          <w:color w:val="auto"/>
          <w:kern w:val="0"/>
          <w:sz w:val="24"/>
          <w:szCs w:val="24"/>
          <w:highlight w:val="none"/>
        </w:rPr>
        <w:t>脉率范围：20-300bpm。</w:t>
      </w:r>
    </w:p>
    <w:p w14:paraId="1DE68FEA">
      <w:pPr>
        <w:widowControl/>
        <w:numPr>
          <w:ilvl w:val="0"/>
          <w:numId w:val="9"/>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可根据病人类型自动切换除颤默认能量、CPR提示和参数报警限。</w:t>
      </w:r>
    </w:p>
    <w:bookmarkEnd w:id="377"/>
    <w:bookmarkEnd w:id="378"/>
    <w:p w14:paraId="54520C78">
      <w:pPr>
        <w:widowControl/>
        <w:numPr>
          <w:ilvl w:val="0"/>
          <w:numId w:val="9"/>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支持连接中央站，与科室床旁监护仪共用监护网络。</w:t>
      </w:r>
    </w:p>
    <w:p w14:paraId="31454B3B">
      <w:pPr>
        <w:widowControl/>
        <w:numPr>
          <w:ilvl w:val="0"/>
          <w:numId w:val="9"/>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支持提供IHE HL7协议，满足院前院内急救系统的联网通信。</w:t>
      </w:r>
    </w:p>
    <w:p w14:paraId="2FBA40F5">
      <w:pPr>
        <w:widowControl/>
        <w:numPr>
          <w:ilvl w:val="0"/>
          <w:numId w:val="9"/>
        </w:numPr>
        <w:spacing w:line="480" w:lineRule="exact"/>
        <w:jc w:val="left"/>
        <w:rPr>
          <w:rFonts w:hint="eastAsia" w:ascii="宋体" w:hAnsi="宋体" w:eastAsia="宋体" w:cs="宋体"/>
          <w:color w:val="auto"/>
          <w:kern w:val="0"/>
          <w:sz w:val="24"/>
          <w:szCs w:val="24"/>
          <w:highlight w:val="none"/>
        </w:rPr>
      </w:pPr>
      <w:bookmarkStart w:id="379" w:name="_Hlk172233994"/>
      <w:r>
        <w:rPr>
          <w:rFonts w:hint="eastAsia" w:ascii="宋体" w:hAnsi="宋体" w:eastAsia="宋体" w:cs="宋体"/>
          <w:color w:val="auto"/>
          <w:kern w:val="0"/>
          <w:sz w:val="24"/>
          <w:szCs w:val="24"/>
          <w:highlight w:val="none"/>
        </w:rPr>
        <w:t>▲配</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块外置智能锂电池，可支持200J除颤≥300次，</w:t>
      </w:r>
      <w:bookmarkStart w:id="380" w:name="_Hlk172227943"/>
    </w:p>
    <w:bookmarkEnd w:id="379"/>
    <w:p w14:paraId="0834B08B">
      <w:pPr>
        <w:widowControl/>
        <w:numPr>
          <w:ilvl w:val="0"/>
          <w:numId w:val="9"/>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无需开机或拆机即可查看电池电量；电池可徒手拆卸</w:t>
      </w:r>
      <w:bookmarkEnd w:id="380"/>
      <w:r>
        <w:rPr>
          <w:rFonts w:hint="eastAsia" w:ascii="宋体" w:hAnsi="宋体" w:eastAsia="宋体" w:cs="宋体"/>
          <w:color w:val="auto"/>
          <w:kern w:val="0"/>
          <w:sz w:val="24"/>
          <w:szCs w:val="24"/>
          <w:highlight w:val="none"/>
        </w:rPr>
        <w:t>。</w:t>
      </w:r>
    </w:p>
    <w:p w14:paraId="4F38A7E6">
      <w:pPr>
        <w:widowControl/>
        <w:numPr>
          <w:ilvl w:val="0"/>
          <w:numId w:val="9"/>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具备生理报警和技术报警功能，通过声音、文字和灯光3种方式进行报警。</w:t>
      </w:r>
    </w:p>
    <w:p w14:paraId="3DC84074">
      <w:pPr>
        <w:widowControl/>
        <w:numPr>
          <w:ilvl w:val="0"/>
          <w:numId w:val="9"/>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配置50mm记录纸记录仪，可同时打印</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3通道波形；自动打印除颤记录，单次波形记录时间</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30s；支持连续波形记录。</w:t>
      </w:r>
    </w:p>
    <w:p w14:paraId="4909A973">
      <w:pPr>
        <w:widowControl/>
        <w:numPr>
          <w:ilvl w:val="0"/>
          <w:numId w:val="9"/>
        </w:numPr>
        <w:spacing w:line="480" w:lineRule="exact"/>
        <w:jc w:val="left"/>
        <w:rPr>
          <w:rFonts w:hint="eastAsia" w:ascii="宋体" w:hAnsi="宋体" w:eastAsia="宋体" w:cs="宋体"/>
          <w:color w:val="auto"/>
          <w:kern w:val="0"/>
          <w:sz w:val="24"/>
          <w:szCs w:val="24"/>
          <w:highlight w:val="none"/>
        </w:rPr>
      </w:pPr>
      <w:bookmarkStart w:id="381" w:name="_Hlk172229227"/>
      <w:r>
        <w:rPr>
          <w:rFonts w:hint="eastAsia" w:ascii="宋体" w:hAnsi="宋体" w:eastAsia="宋体" w:cs="宋体"/>
          <w:color w:val="auto"/>
          <w:kern w:val="0"/>
          <w:sz w:val="24"/>
          <w:szCs w:val="24"/>
          <w:highlight w:val="none"/>
        </w:rPr>
        <w:t>可存储120小时连续ECG波形数据可导出至电脑查看。</w:t>
      </w:r>
    </w:p>
    <w:bookmarkEnd w:id="381"/>
    <w:p w14:paraId="72139456">
      <w:pPr>
        <w:widowControl/>
        <w:numPr>
          <w:ilvl w:val="0"/>
          <w:numId w:val="9"/>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关机状态下设备支持每天定时自动运行自检，支持定期自动大能量自检（最大放电能量）。</w:t>
      </w:r>
    </w:p>
    <w:p w14:paraId="15D18E64">
      <w:pPr>
        <w:widowControl/>
        <w:numPr>
          <w:ilvl w:val="0"/>
          <w:numId w:val="9"/>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支持设备状态指示灯用户检测。</w:t>
      </w:r>
    </w:p>
    <w:p w14:paraId="6497A790">
      <w:pPr>
        <w:widowControl/>
        <w:numPr>
          <w:ilvl w:val="0"/>
          <w:numId w:val="9"/>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设备自检后支持对自检报告进行自动打印或按需打印。</w:t>
      </w:r>
    </w:p>
    <w:p w14:paraId="1032C229">
      <w:pPr>
        <w:widowControl/>
        <w:numPr>
          <w:ilvl w:val="0"/>
          <w:numId w:val="9"/>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支持自检放电能量显示和打印。</w:t>
      </w:r>
    </w:p>
    <w:p w14:paraId="6FC30D9B">
      <w:pPr>
        <w:widowControl/>
        <w:numPr>
          <w:ilvl w:val="0"/>
          <w:numId w:val="9"/>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具备良好的防尘防水性能，防尘防水级别</w:t>
      </w:r>
      <w:r>
        <w:rPr>
          <w:rFonts w:hint="eastAsia" w:ascii="宋体" w:hAnsi="宋体" w:eastAsia="宋体" w:cs="宋体"/>
          <w:color w:val="auto"/>
          <w:kern w:val="0"/>
          <w:sz w:val="24"/>
          <w:szCs w:val="24"/>
          <w:highlight w:val="none"/>
          <w:lang w:val="en-US" w:eastAsia="zh-CN"/>
        </w:rPr>
        <w:t>不低于</w:t>
      </w:r>
      <w:r>
        <w:rPr>
          <w:rFonts w:hint="eastAsia" w:ascii="宋体" w:hAnsi="宋体" w:eastAsia="宋体" w:cs="宋体"/>
          <w:color w:val="auto"/>
          <w:kern w:val="0"/>
          <w:sz w:val="24"/>
          <w:szCs w:val="24"/>
          <w:highlight w:val="none"/>
        </w:rPr>
        <w:t>IP5</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p>
    <w:p w14:paraId="70063E38">
      <w:pPr>
        <w:pStyle w:val="9"/>
        <w:numPr>
          <w:ilvl w:val="0"/>
          <w:numId w:val="0"/>
        </w:numPr>
        <w:ind w:left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满足救护车标准EN1789 中6.3.4.3 关于跌落试验的要求，可承受0.75米跌落冲击</w:t>
      </w:r>
    </w:p>
    <w:p w14:paraId="2496F823">
      <w:pPr>
        <w:pStyle w:val="9"/>
        <w:numPr>
          <w:ilvl w:val="0"/>
          <w:numId w:val="9"/>
        </w:numPr>
        <w:tabs>
          <w:tab w:val="clear" w:pos="703"/>
        </w:tabs>
        <w:ind w:left="703" w:leftChars="0" w:hanging="420" w:firstLineChars="0"/>
        <w:jc w:val="both"/>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▲体外除颤（AED）</w:t>
      </w:r>
      <w:r>
        <w:rPr>
          <w:rFonts w:hint="eastAsia" w:ascii="宋体" w:hAnsi="宋体" w:eastAsia="宋体" w:cs="宋体"/>
          <w:color w:val="auto"/>
          <w:kern w:val="0"/>
          <w:sz w:val="24"/>
          <w:szCs w:val="24"/>
          <w:highlight w:val="none"/>
          <w:lang w:eastAsia="zh-CN"/>
        </w:rPr>
        <w:t>：配备一套</w:t>
      </w:r>
      <w:r>
        <w:rPr>
          <w:rFonts w:hint="eastAsia" w:ascii="宋体" w:hAnsi="宋体" w:eastAsia="宋体" w:cs="宋体"/>
          <w:color w:val="auto"/>
          <w:kern w:val="0"/>
          <w:sz w:val="24"/>
          <w:szCs w:val="24"/>
          <w:highlight w:val="none"/>
        </w:rPr>
        <w:t>AED</w:t>
      </w:r>
      <w:r>
        <w:rPr>
          <w:rFonts w:hint="eastAsia" w:ascii="宋体" w:hAnsi="宋体" w:eastAsia="宋体" w:cs="宋体"/>
          <w:color w:val="auto"/>
          <w:kern w:val="0"/>
          <w:sz w:val="24"/>
          <w:szCs w:val="24"/>
          <w:highlight w:val="none"/>
          <w:lang w:eastAsia="zh-CN"/>
        </w:rPr>
        <w:t>电极片电缆线（配装测试负载模块），</w:t>
      </w:r>
      <w:r>
        <w:rPr>
          <w:rFonts w:hint="eastAsia" w:ascii="宋体" w:hAnsi="宋体" w:eastAsia="宋体" w:cs="宋体"/>
          <w:color w:val="auto"/>
          <w:kern w:val="0"/>
          <w:sz w:val="24"/>
          <w:szCs w:val="24"/>
          <w:highlight w:val="none"/>
          <w:lang w:val="en-US" w:eastAsia="zh-CN"/>
        </w:rPr>
        <w:t>2套</w:t>
      </w:r>
      <w:r>
        <w:rPr>
          <w:rFonts w:hint="eastAsia" w:ascii="宋体" w:hAnsi="宋体" w:eastAsia="宋体" w:cs="宋体"/>
          <w:color w:val="auto"/>
          <w:kern w:val="0"/>
          <w:sz w:val="24"/>
          <w:szCs w:val="24"/>
          <w:highlight w:val="none"/>
          <w:lang w:eastAsia="zh-CN"/>
        </w:rPr>
        <w:t>电极片（效期≥三年）。</w:t>
      </w:r>
    </w:p>
    <w:p w14:paraId="6B3AC262">
      <w:pPr>
        <w:pStyle w:val="9"/>
        <w:numPr>
          <w:ilvl w:val="0"/>
          <w:numId w:val="9"/>
        </w:numPr>
        <w:tabs>
          <w:tab w:val="clear" w:pos="703"/>
        </w:tabs>
        <w:ind w:left="703" w:leftChars="0" w:hanging="420" w:firstLineChars="0"/>
        <w:jc w:val="both"/>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★整机</w:t>
      </w:r>
      <w:r>
        <w:rPr>
          <w:rFonts w:hint="eastAsia" w:ascii="宋体" w:hAnsi="宋体" w:eastAsia="宋体" w:cs="宋体"/>
          <w:color w:val="auto"/>
          <w:kern w:val="0"/>
          <w:sz w:val="24"/>
          <w:szCs w:val="24"/>
          <w:highlight w:val="none"/>
          <w:lang w:eastAsia="zh-CN"/>
        </w:rPr>
        <w:t>质保3年，制造商提供承诺，加盖公章，</w:t>
      </w:r>
      <w:r>
        <w:rPr>
          <w:rFonts w:hint="eastAsia" w:ascii="宋体" w:hAnsi="宋体" w:eastAsia="宋体" w:cs="宋体"/>
          <w:b/>
          <w:bCs/>
          <w:sz w:val="24"/>
          <w:szCs w:val="24"/>
          <w:lang w:val="en-US" w:eastAsia="zh-CN"/>
        </w:rPr>
        <w:t>设备首检费用由中标人承担。</w:t>
      </w:r>
    </w:p>
    <w:p w14:paraId="11D67B86">
      <w:pPr>
        <w:ind w:right="210"/>
        <w:jc w:val="center"/>
        <w:rPr>
          <w:rFonts w:hint="eastAsia" w:ascii="方正仿宋_GB2312" w:hAnsi="方正仿宋_GB2312" w:eastAsia="方正仿宋_GB2312" w:cs="方正仿宋_GB2312"/>
          <w:b/>
          <w:i w:val="0"/>
          <w:caps w:val="0"/>
          <w:color w:val="000000"/>
          <w:spacing w:val="0"/>
          <w:sz w:val="30"/>
          <w:szCs w:val="30"/>
          <w:u w:val="none"/>
        </w:rPr>
      </w:pPr>
      <w:r>
        <w:rPr>
          <w:rFonts w:hint="eastAsia" w:ascii="宋体" w:hAnsi="宋体" w:eastAsia="宋体" w:cs="宋体"/>
          <w:color w:val="auto"/>
          <w:kern w:val="0"/>
          <w:sz w:val="24"/>
          <w:szCs w:val="24"/>
          <w:highlight w:val="none"/>
          <w:lang w:eastAsia="zh-CN"/>
        </w:rPr>
        <w:t xml:space="preserve"> </w:t>
      </w:r>
      <w:r>
        <w:rPr>
          <w:rFonts w:hint="eastAsia" w:ascii="方正仿宋_GB2312" w:hAnsi="方正仿宋_GB2312" w:eastAsia="方正仿宋_GB2312" w:cs="方正仿宋_GB2312"/>
          <w:b/>
          <w:i w:val="0"/>
          <w:caps w:val="0"/>
          <w:color w:val="000000"/>
          <w:spacing w:val="0"/>
          <w:sz w:val="30"/>
          <w:szCs w:val="30"/>
          <w:u w:val="none"/>
        </w:rPr>
        <w:t>呼吸机参数</w:t>
      </w:r>
    </w:p>
    <w:p w14:paraId="66D71C6A">
      <w:pPr>
        <w:widowControl/>
        <w:numPr>
          <w:ilvl w:val="0"/>
          <w:numId w:val="10"/>
        </w:numPr>
        <w:spacing w:beforeAutospacing="0" w:after="0" w:afterAutospacing="0" w:line="27" w:lineRule="atLeast"/>
        <w:ind w:left="270" w:right="0" w:firstLine="0"/>
        <w:jc w:val="both"/>
        <w:rPr>
          <w:rFonts w:hint="eastAsia" w:ascii="宋体" w:hAnsi="宋体" w:eastAsia="宋体" w:cs="宋体"/>
          <w:i w:val="0"/>
          <w:caps w:val="0"/>
          <w:color w:val="000000"/>
          <w:spacing w:val="0"/>
          <w:kern w:val="0"/>
          <w:sz w:val="24"/>
          <w:szCs w:val="24"/>
          <w:u w:val="none"/>
          <w:lang w:val="en-US" w:eastAsia="zh-CN" w:bidi="ar"/>
        </w:rPr>
      </w:pPr>
      <w:r>
        <w:rPr>
          <w:rFonts w:hint="eastAsia" w:ascii="宋体" w:hAnsi="宋体" w:eastAsia="宋体" w:cs="宋体"/>
          <w:i w:val="0"/>
          <w:caps w:val="0"/>
          <w:color w:val="000000"/>
          <w:spacing w:val="0"/>
          <w:kern w:val="0"/>
          <w:sz w:val="24"/>
          <w:szCs w:val="24"/>
          <w:u w:val="none"/>
          <w:lang w:val="en-US" w:eastAsia="zh-CN" w:bidi="ar"/>
        </w:rPr>
        <w:t> 基本要求</w:t>
      </w:r>
    </w:p>
    <w:p w14:paraId="3C51269C">
      <w:pPr>
        <w:widowControl/>
        <w:numPr>
          <w:ilvl w:val="0"/>
          <w:numId w:val="0"/>
        </w:numPr>
        <w:spacing w:beforeAutospacing="0" w:after="0" w:afterAutospacing="0" w:line="27" w:lineRule="atLeast"/>
        <w:ind w:left="270" w:leftChars="0" w:right="0" w:rightChars="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1. </w:t>
      </w:r>
      <w:bookmarkStart w:id="382" w:name="OLE_LINK7"/>
      <w:bookmarkEnd w:id="382"/>
      <w:bookmarkStart w:id="383" w:name="OLE_LINK8"/>
      <w:bookmarkEnd w:id="383"/>
      <w:r>
        <w:rPr>
          <w:rFonts w:hint="eastAsia" w:ascii="宋体" w:hAnsi="宋体" w:eastAsia="宋体" w:cs="宋体"/>
          <w:i w:val="0"/>
          <w:caps w:val="0"/>
          <w:color w:val="000000"/>
          <w:spacing w:val="0"/>
          <w:kern w:val="0"/>
          <w:sz w:val="24"/>
          <w:szCs w:val="24"/>
          <w:u w:val="none"/>
          <w:lang w:val="en-US" w:eastAsia="zh-CN" w:bidi="ar"/>
        </w:rPr>
        <w:t>适用于成人、小儿和婴幼儿进行通气辅助及呼吸支持的呼吸机，机型新颖。</w:t>
      </w:r>
    </w:p>
    <w:p w14:paraId="75A12974">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 电动电控呼吸机，涡轮驱动产生空气气源。</w:t>
      </w:r>
    </w:p>
    <w:p w14:paraId="2DE94ECB">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4. </w:t>
      </w:r>
      <w:bookmarkStart w:id="384" w:name="OLE_LINK6"/>
      <w:bookmarkEnd w:id="384"/>
      <w:r>
        <w:rPr>
          <w:rFonts w:hint="eastAsia" w:ascii="宋体" w:hAnsi="宋体" w:eastAsia="宋体" w:cs="宋体"/>
          <w:i w:val="0"/>
          <w:caps w:val="0"/>
          <w:color w:val="000000"/>
          <w:spacing w:val="0"/>
          <w:kern w:val="0"/>
          <w:sz w:val="24"/>
          <w:szCs w:val="24"/>
          <w:u w:val="none"/>
          <w:lang w:val="en-US" w:eastAsia="zh-CN" w:bidi="ar"/>
        </w:rPr>
        <w:t>采用≥12英寸彩色触摸控制屏，分辨率≥1280*800。</w:t>
      </w:r>
    </w:p>
    <w:p w14:paraId="356E7543">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5. </w:t>
      </w:r>
      <w:bookmarkStart w:id="385" w:name="OLE_LINK9"/>
      <w:bookmarkEnd w:id="385"/>
      <w:bookmarkStart w:id="386" w:name="OLE_LINK10"/>
      <w:bookmarkEnd w:id="386"/>
      <w:bookmarkStart w:id="387" w:name="OLE_LINK12"/>
      <w:bookmarkEnd w:id="387"/>
      <w:bookmarkStart w:id="388" w:name="OLE_LINK13"/>
      <w:bookmarkEnd w:id="388"/>
      <w:bookmarkStart w:id="389" w:name="OLE_LINK11"/>
      <w:bookmarkEnd w:id="389"/>
      <w:r>
        <w:rPr>
          <w:rFonts w:hint="eastAsia" w:ascii="宋体" w:hAnsi="宋体" w:eastAsia="宋体" w:cs="宋体"/>
          <w:i w:val="0"/>
          <w:caps w:val="0"/>
          <w:color w:val="000000"/>
          <w:spacing w:val="0"/>
          <w:kern w:val="0"/>
          <w:sz w:val="24"/>
          <w:szCs w:val="24"/>
          <w:u w:val="none"/>
          <w:lang w:val="en-US" w:eastAsia="zh-CN" w:bidi="ar"/>
        </w:rPr>
        <w:t>中文操作界面、中文报警、操作提示信息、参数调节防错确认。具备锁屏功能。</w:t>
      </w:r>
    </w:p>
    <w:p w14:paraId="70ACB866">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 内置后备可充电电池，≥240分钟。电池总剩余电量能显示在屏幕上。</w:t>
      </w:r>
    </w:p>
    <w:p w14:paraId="215C69FB">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7. </w:t>
      </w:r>
      <w:r>
        <w:rPr>
          <w:rFonts w:hint="eastAsia" w:ascii="宋体" w:hAnsi="宋体" w:eastAsia="宋体" w:cs="宋体"/>
          <w:b w:val="0"/>
          <w:bCs/>
          <w:i w:val="0"/>
          <w:caps w:val="0"/>
          <w:color w:val="000000"/>
          <w:spacing w:val="0"/>
          <w:kern w:val="0"/>
          <w:sz w:val="24"/>
          <w:szCs w:val="24"/>
          <w:u w:val="none"/>
          <w:lang w:val="en-US" w:eastAsia="zh-CN" w:bidi="ar"/>
        </w:rPr>
        <w:t>吸气安全阀组件可拆卸</w:t>
      </w:r>
      <w:r>
        <w:rPr>
          <w:rFonts w:hint="eastAsia" w:ascii="宋体" w:hAnsi="宋体" w:eastAsia="宋体" w:cs="宋体"/>
          <w:i w:val="0"/>
          <w:caps w:val="0"/>
          <w:color w:val="000000"/>
          <w:spacing w:val="0"/>
          <w:kern w:val="0"/>
          <w:sz w:val="24"/>
          <w:szCs w:val="24"/>
          <w:u w:val="none"/>
          <w:lang w:val="en-US" w:eastAsia="zh-CN" w:bidi="ar"/>
        </w:rPr>
        <w:t>，并能高温高压蒸汽消毒（134℃）。</w:t>
      </w:r>
    </w:p>
    <w:p w14:paraId="6E79BFC9">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 呼气阀组件一体化设计可拆卸，内置金属膜片压差流量传感器，并能高温高压蒸汽消毒（134℃）。</w:t>
      </w:r>
    </w:p>
    <w:p w14:paraId="1886C636">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 具备开机自检，可进行系统顺应性补偿并检测系统泄漏量，检查系统管道阻力，测试流量传感器、呼气阀和安全阀等部件，具有图形化和文字提示功能。</w:t>
      </w:r>
    </w:p>
    <w:p w14:paraId="037CD450">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 病人数据、屏幕截图、机器设置等数据可通过USB接口导出。</w:t>
      </w:r>
    </w:p>
    <w:p w14:paraId="2FAD1668">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 配主流</w:t>
      </w:r>
      <w:r>
        <w:rPr>
          <w:rFonts w:hint="eastAsia" w:ascii="宋体" w:hAnsi="宋体" w:eastAsia="宋体" w:cs="宋体"/>
          <w:i w:val="0"/>
          <w:caps w:val="0"/>
          <w:color w:val="000000"/>
          <w:spacing w:val="0"/>
          <w:sz w:val="24"/>
          <w:szCs w:val="24"/>
          <w:u w:val="none"/>
        </w:rPr>
        <w:t>CO</w:t>
      </w:r>
      <w:r>
        <w:rPr>
          <w:rFonts w:hint="eastAsia" w:ascii="宋体" w:hAnsi="宋体" w:eastAsia="宋体" w:cs="宋体"/>
          <w:i w:val="0"/>
          <w:caps w:val="0"/>
          <w:color w:val="000000"/>
          <w:spacing w:val="0"/>
          <w:sz w:val="24"/>
          <w:szCs w:val="24"/>
          <w:u w:val="none"/>
          <w:vertAlign w:val="subscript"/>
        </w:rPr>
        <w:t>2</w:t>
      </w:r>
      <w:r>
        <w:rPr>
          <w:rFonts w:hint="eastAsia" w:ascii="宋体" w:hAnsi="宋体" w:eastAsia="宋体" w:cs="宋体"/>
          <w:i w:val="0"/>
          <w:caps w:val="0"/>
          <w:color w:val="000000"/>
          <w:spacing w:val="0"/>
          <w:kern w:val="0"/>
          <w:sz w:val="24"/>
          <w:szCs w:val="24"/>
          <w:u w:val="none"/>
          <w:lang w:val="en-US" w:eastAsia="zh-CN" w:bidi="ar"/>
        </w:rPr>
        <w:t>监测，同时监测容积-</w:t>
      </w:r>
      <w:r>
        <w:rPr>
          <w:rFonts w:hint="eastAsia" w:ascii="宋体" w:hAnsi="宋体" w:eastAsia="宋体" w:cs="宋体"/>
          <w:i w:val="0"/>
          <w:caps w:val="0"/>
          <w:color w:val="000000"/>
          <w:spacing w:val="0"/>
          <w:sz w:val="24"/>
          <w:szCs w:val="24"/>
          <w:u w:val="none"/>
        </w:rPr>
        <w:t>CO</w:t>
      </w:r>
      <w:r>
        <w:rPr>
          <w:rFonts w:hint="eastAsia" w:ascii="宋体" w:hAnsi="宋体" w:eastAsia="宋体" w:cs="宋体"/>
          <w:i w:val="0"/>
          <w:caps w:val="0"/>
          <w:color w:val="000000"/>
          <w:spacing w:val="0"/>
          <w:sz w:val="24"/>
          <w:szCs w:val="24"/>
          <w:u w:val="none"/>
          <w:vertAlign w:val="subscript"/>
        </w:rPr>
        <w:t>2</w:t>
      </w:r>
      <w:r>
        <w:rPr>
          <w:rFonts w:hint="eastAsia" w:ascii="宋体" w:hAnsi="宋体" w:eastAsia="宋体" w:cs="宋体"/>
          <w:i w:val="0"/>
          <w:caps w:val="0"/>
          <w:color w:val="000000"/>
          <w:spacing w:val="0"/>
          <w:kern w:val="0"/>
          <w:sz w:val="24"/>
          <w:szCs w:val="24"/>
          <w:u w:val="none"/>
          <w:lang w:val="en-US" w:eastAsia="zh-CN" w:bidi="ar"/>
        </w:rPr>
        <w:t>环图、气道死腔VDaw 和肺泡通气量Vtalv 等参数。 </w:t>
      </w:r>
    </w:p>
    <w:p w14:paraId="5ADFA252">
      <w:pPr>
        <w:widowControl/>
        <w:spacing w:beforeAutospacing="0" w:after="0" w:afterAutospacing="0" w:line="27" w:lineRule="atLeast"/>
        <w:ind w:left="270" w:right="0" w:firstLine="0"/>
        <w:jc w:val="both"/>
        <w:rPr>
          <w:rFonts w:hint="eastAsia" w:ascii="宋体" w:hAnsi="宋体" w:eastAsia="宋体" w:cs="宋体"/>
          <w:i w:val="0"/>
          <w:caps w:val="0"/>
          <w:color w:val="auto"/>
          <w:spacing w:val="0"/>
          <w:sz w:val="24"/>
          <w:szCs w:val="24"/>
          <w:u w:val="none"/>
        </w:rPr>
      </w:pPr>
      <w:r>
        <w:rPr>
          <w:rFonts w:hint="eastAsia" w:ascii="宋体" w:hAnsi="宋体" w:eastAsia="宋体" w:cs="宋体"/>
          <w:i w:val="0"/>
          <w:caps w:val="0"/>
          <w:color w:val="auto"/>
          <w:spacing w:val="0"/>
          <w:kern w:val="0"/>
          <w:sz w:val="24"/>
          <w:szCs w:val="24"/>
          <w:u w:val="none"/>
          <w:lang w:val="en-US" w:eastAsia="zh-CN" w:bidi="ar"/>
        </w:rPr>
        <w:t>12. 具备智能吸痰功能，吸痰前后能自动增氧，自动识别吸痰并具备计时功能。</w:t>
      </w:r>
    </w:p>
    <w:p w14:paraId="25246D8A">
      <w:pPr>
        <w:widowControl/>
        <w:spacing w:beforeAutospacing="0" w:after="0" w:afterAutospacing="0" w:line="27" w:lineRule="atLeast"/>
        <w:ind w:left="360" w:right="0" w:firstLine="0"/>
        <w:jc w:val="both"/>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kern w:val="0"/>
          <w:sz w:val="24"/>
          <w:szCs w:val="24"/>
          <w:u w:val="none"/>
          <w:lang w:val="en-US" w:eastAsia="zh-CN" w:bidi="ar"/>
        </w:rPr>
        <w:t>二． 呼吸模式及功能</w:t>
      </w:r>
    </w:p>
    <w:p w14:paraId="079D6A61">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 常规模式：容量控制通气下的辅助控制通气A/C和同步间歇指令通气SIMV（容量模式流速波形可调方波、50%或100%递减波）、压力控制通气下的辅助控制通气A/C和同步间歇指令通气SIMV、持续气道正压通气和压力支持CPAP/PSV、窒息通气模式及SIGH叹息模式。</w:t>
      </w:r>
    </w:p>
    <w:p w14:paraId="6D0089DE">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 高级模式：双相气道正压通气，压力调节容量控制通气及其压力调节容量控制同步间歇指令通气SIMV（例如SIMV-PRVC）、压力释放通气APRV，配智能通气模式（如自适应分钟通气AMV，自适应支持通气ASV等），心肺复苏通气模式（如CPRV，CPRmode等）。</w:t>
      </w:r>
    </w:p>
    <w:p w14:paraId="4BD6CA45">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 无创通气模式，包含P-A/C、P-SIMV、CPAP/PSV、 PSV-S/T等模式。</w:t>
      </w:r>
    </w:p>
    <w:p w14:paraId="7206594A">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 具备通气模式自定义显示功能，方便用户个性化配置常用通气模式。</w:t>
      </w:r>
    </w:p>
    <w:p w14:paraId="0CBE9DBD">
      <w:pPr>
        <w:widowControl/>
        <w:spacing w:beforeAutospacing="0" w:after="0" w:afterAutospacing="0" w:line="27" w:lineRule="atLeast"/>
        <w:ind w:left="270" w:right="0" w:firstLine="0"/>
        <w:jc w:val="both"/>
        <w:rPr>
          <w:rFonts w:hint="eastAsia" w:ascii="宋体" w:hAnsi="宋体" w:eastAsia="宋体" w:cs="宋体"/>
          <w:b w:val="0"/>
          <w:bCs/>
          <w:i w:val="0"/>
          <w:caps w:val="0"/>
          <w:color w:val="000000"/>
          <w:spacing w:val="0"/>
          <w:sz w:val="24"/>
          <w:szCs w:val="24"/>
          <w:u w:val="none"/>
        </w:rPr>
      </w:pPr>
      <w:r>
        <w:rPr>
          <w:rFonts w:hint="eastAsia" w:ascii="宋体" w:hAnsi="宋体" w:eastAsia="宋体" w:cs="宋体"/>
          <w:b/>
          <w:i w:val="0"/>
          <w:caps w:val="0"/>
          <w:color w:val="000000"/>
          <w:spacing w:val="0"/>
          <w:kern w:val="0"/>
          <w:sz w:val="24"/>
          <w:szCs w:val="24"/>
          <w:u w:val="none"/>
          <w:lang w:val="en-US" w:eastAsia="zh-CN" w:bidi="ar"/>
        </w:rPr>
        <w:t>5. </w:t>
      </w:r>
      <w:r>
        <w:rPr>
          <w:rFonts w:hint="eastAsia" w:ascii="宋体" w:hAnsi="宋体" w:eastAsia="宋体" w:cs="宋体"/>
          <w:b w:val="0"/>
          <w:bCs/>
          <w:i w:val="0"/>
          <w:caps w:val="0"/>
          <w:color w:val="000000"/>
          <w:spacing w:val="0"/>
          <w:kern w:val="0"/>
          <w:sz w:val="24"/>
          <w:szCs w:val="24"/>
          <w:u w:val="none"/>
          <w:lang w:val="en-US" w:eastAsia="zh-CN" w:bidi="ar"/>
        </w:rPr>
        <w:t>高流速氧疗功能，氧疗流速≥80L/min，并具有氧疗计时功能。</w:t>
      </w:r>
    </w:p>
    <w:p w14:paraId="61C2AF5F">
      <w:pPr>
        <w:widowControl/>
        <w:spacing w:beforeAutospacing="0" w:after="0" w:afterAutospacing="0" w:line="27" w:lineRule="atLeast"/>
        <w:ind w:left="270" w:right="0" w:firstLine="0"/>
        <w:jc w:val="both"/>
        <w:rPr>
          <w:rFonts w:hint="eastAsia" w:ascii="宋体" w:hAnsi="宋体" w:eastAsia="宋体" w:cs="宋体"/>
          <w:b w:val="0"/>
          <w:bCs/>
          <w:i w:val="0"/>
          <w:caps w:val="0"/>
          <w:color w:val="000000"/>
          <w:spacing w:val="0"/>
          <w:sz w:val="24"/>
          <w:szCs w:val="24"/>
          <w:u w:val="none"/>
        </w:rPr>
      </w:pPr>
      <w:r>
        <w:rPr>
          <w:rFonts w:hint="eastAsia" w:ascii="宋体" w:hAnsi="宋体" w:eastAsia="宋体" w:cs="宋体"/>
          <w:b w:val="0"/>
          <w:bCs/>
          <w:i w:val="0"/>
          <w:caps w:val="0"/>
          <w:color w:val="000000"/>
          <w:spacing w:val="0"/>
          <w:kern w:val="0"/>
          <w:sz w:val="24"/>
          <w:szCs w:val="24"/>
          <w:u w:val="none"/>
          <w:lang w:val="en-US" w:eastAsia="zh-CN" w:bidi="ar"/>
        </w:rPr>
        <w:t>6. 具有智能同步技术提高病人自主呼吸时的舒适度和人机同步性，具备吸气触发、压力上升时间、呼气触发自动调节功能。</w:t>
      </w:r>
    </w:p>
    <w:p w14:paraId="7EA6B9CF">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 其他功能：具备手动呼吸、吸气保持、呼气保持、同步雾化、纯氧灌注、智能吸痰、内源性PEEP、口腔闭合压P0.1和最大吸气负压NIF的测定。</w:t>
      </w:r>
    </w:p>
    <w:p w14:paraId="08F7351B">
      <w:pPr>
        <w:widowControl/>
        <w:spacing w:beforeAutospacing="0" w:after="0" w:afterAutospacing="0" w:line="27" w:lineRule="atLeast"/>
        <w:ind w:left="270" w:right="0" w:firstLine="0"/>
        <w:jc w:val="both"/>
        <w:rPr>
          <w:rFonts w:hint="eastAsia" w:ascii="宋体" w:hAnsi="宋体" w:eastAsia="宋体" w:cs="宋体"/>
          <w:b/>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 具备自动气管插管阻力补偿功能（例如TRC或ATRC或ATC），插管孔径和补偿百分比可设，使插管末端的压力与呼吸机压力设置值一致。</w:t>
      </w:r>
    </w:p>
    <w:p w14:paraId="2D8E9C6A">
      <w:pPr>
        <w:pStyle w:val="31"/>
        <w:widowControl/>
        <w:spacing w:beforeAutospacing="0" w:after="0" w:afterAutospacing="0" w:line="27" w:lineRule="atLeast"/>
        <w:ind w:left="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 </w:t>
      </w:r>
    </w:p>
    <w:p w14:paraId="421E77FE">
      <w:pPr>
        <w:widowControl/>
        <w:spacing w:beforeAutospacing="0" w:after="0" w:afterAutospacing="0" w:line="27" w:lineRule="atLeast"/>
        <w:ind w:left="360" w:right="0" w:firstLine="0"/>
        <w:jc w:val="both"/>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kern w:val="0"/>
          <w:sz w:val="24"/>
          <w:szCs w:val="24"/>
          <w:u w:val="none"/>
          <w:lang w:val="en-US" w:eastAsia="zh-CN" w:bidi="ar"/>
        </w:rPr>
        <w:t>三． 设置参数要求</w:t>
      </w:r>
    </w:p>
    <w:p w14:paraId="6D866168">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 潮气量：20ml-2000ml</w:t>
      </w:r>
    </w:p>
    <w:p w14:paraId="311DF75B">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 呼吸频率：1-100次/min</w:t>
      </w:r>
    </w:p>
    <w:p w14:paraId="2060DBC9">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 SIMV频率：1-60次/min</w:t>
      </w:r>
    </w:p>
    <w:p w14:paraId="5D3DDFAF">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 吸/呼比：1:10-4:1 </w:t>
      </w:r>
    </w:p>
    <w:p w14:paraId="73F285A9">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 峰值流速：≥210L/min</w:t>
      </w:r>
    </w:p>
    <w:p w14:paraId="2472E3C8">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 吸气压力： 5-80 cmH2O</w:t>
      </w:r>
    </w:p>
    <w:p w14:paraId="0CD0E5C7">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 压力支持：0-80cmH2O</w:t>
      </w:r>
    </w:p>
    <w:p w14:paraId="6269CB81">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 呼气末正压PEEP：0-50 cmH2O</w:t>
      </w:r>
    </w:p>
    <w:p w14:paraId="28D525B6">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 压力触发灵敏度： -20 - 0.5cmH2O</w:t>
      </w:r>
    </w:p>
    <w:p w14:paraId="3B110721">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 流量触发灵敏度： 0.5-20L/ min</w:t>
      </w:r>
    </w:p>
    <w:p w14:paraId="3AB4D6B4">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 呼气触发灵敏度：Auto, 1-85%</w:t>
      </w:r>
    </w:p>
    <w:p w14:paraId="49FA3408">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12. 氧浓度：21-100%</w:t>
      </w:r>
    </w:p>
    <w:p w14:paraId="73C31690">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13. 压力上升时间：0-2s</w:t>
      </w:r>
    </w:p>
    <w:p w14:paraId="208C6622">
      <w:pPr>
        <w:widowControl/>
        <w:spacing w:beforeAutospacing="0" w:after="0" w:afterAutospacing="0" w:line="27" w:lineRule="atLeast"/>
        <w:ind w:left="270" w:right="0" w:firstLine="0"/>
        <w:jc w:val="both"/>
        <w:rPr>
          <w:rFonts w:hint="eastAsia" w:ascii="宋体" w:hAnsi="宋体" w:eastAsia="宋体" w:cs="宋体"/>
          <w:i w:val="0"/>
          <w:caps w:val="0"/>
          <w:color w:val="FF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14. 吸气时间：0.1-10s  </w:t>
      </w:r>
    </w:p>
    <w:p w14:paraId="5F2F42F0">
      <w:pPr>
        <w:widowControl/>
        <w:spacing w:beforeAutospacing="0" w:after="0" w:afterAutospacing="0" w:line="27" w:lineRule="atLeast"/>
        <w:ind w:left="360" w:right="0" w:firstLine="0"/>
        <w:jc w:val="both"/>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kern w:val="0"/>
          <w:sz w:val="24"/>
          <w:szCs w:val="24"/>
          <w:u w:val="none"/>
          <w:lang w:val="en-US" w:eastAsia="zh-CN" w:bidi="ar"/>
        </w:rPr>
        <w:t>四． 监测参数要求</w:t>
      </w:r>
    </w:p>
    <w:p w14:paraId="221B0368">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 气道压力参数：呼气末正压PEEP、气道峰压、平台压、平均压。</w:t>
      </w:r>
    </w:p>
    <w:p w14:paraId="7FBB2C58">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 分钟通气量参数：总的分钟呼出通气量、自主呼吸分钟呼出通气量、泄漏的分钟通气量、气体泄漏百分比。</w:t>
      </w:r>
    </w:p>
    <w:p w14:paraId="69DA7DFF">
      <w:pPr>
        <w:widowControl/>
        <w:spacing w:beforeAutospacing="0" w:after="0" w:afterAutospacing="0" w:line="27" w:lineRule="atLeast"/>
        <w:ind w:left="270" w:right="0" w:firstLine="0"/>
        <w:jc w:val="both"/>
        <w:rPr>
          <w:rFonts w:hint="eastAsia" w:ascii="宋体" w:hAnsi="宋体" w:eastAsia="宋体" w:cs="宋体"/>
          <w:b w:val="0"/>
          <w:bCs/>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 潮气量参数：吸入潮气量、呼出潮气量、</w:t>
      </w:r>
      <w:r>
        <w:rPr>
          <w:rFonts w:hint="eastAsia" w:ascii="宋体" w:hAnsi="宋体" w:eastAsia="宋体" w:cs="宋体"/>
          <w:b w:val="0"/>
          <w:bCs/>
          <w:i w:val="0"/>
          <w:caps w:val="0"/>
          <w:color w:val="000000"/>
          <w:spacing w:val="0"/>
          <w:kern w:val="0"/>
          <w:sz w:val="24"/>
          <w:szCs w:val="24"/>
          <w:u w:val="none"/>
          <w:lang w:val="en-US" w:eastAsia="zh-CN" w:bidi="ar"/>
        </w:rPr>
        <w:t>单位理想体重输送的潮气量（例如TVe/IBW或VT/PBW）。</w:t>
      </w:r>
    </w:p>
    <w:p w14:paraId="1BB81D2A">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 呼吸频率参数：总呼吸频率、自主呼吸频率、机控呼吸频率。</w:t>
      </w:r>
    </w:p>
    <w:p w14:paraId="0D13E865">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 氧浓度参数：吸入氧浓度。</w:t>
      </w:r>
    </w:p>
    <w:p w14:paraId="72340167">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 肺力学参数：吸气阻力、呼气阻力、静态顺应性、动态顺应性、呼气时间常数。</w:t>
      </w:r>
    </w:p>
    <w:p w14:paraId="17264D0D">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 其他参数：具备浅快呼吸指数、呼吸功监测。</w:t>
      </w:r>
    </w:p>
    <w:p w14:paraId="0D0ABD43">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 屏幕显示：≥4道波形可同屏显示，波形的颜色可调，支持波形、动态肺视图、监测值同屏显示。</w:t>
      </w:r>
    </w:p>
    <w:p w14:paraId="4A92A87A">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 具备压力/容量、容量/流速、流速/压力环3种呼吸环监测，最多可同屏显示2种环图。</w:t>
      </w:r>
    </w:p>
    <w:p w14:paraId="56A0AE6F">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 呼吸波形及呼吸环可冻结，呼吸环可存储、对比。支持波形、环图、监测值同屏显示。</w:t>
      </w:r>
    </w:p>
    <w:p w14:paraId="13B0EE63">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 趋势记录：提供72小时的全部监测参数的趋势图、表分析。</w:t>
      </w:r>
    </w:p>
    <w:p w14:paraId="01D378DD">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12. 日志记录：提供≥5000条历史事件信息的记录。​</w:t>
      </w:r>
    </w:p>
    <w:p w14:paraId="47F392DC">
      <w:pPr>
        <w:widowControl/>
        <w:spacing w:beforeAutospacing="0" w:after="0" w:afterAutospacing="0" w:line="27" w:lineRule="atLeast"/>
        <w:ind w:left="360" w:right="0" w:firstLine="0"/>
        <w:jc w:val="both"/>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kern w:val="0"/>
          <w:sz w:val="24"/>
          <w:szCs w:val="24"/>
          <w:u w:val="none"/>
          <w:lang w:val="en-US" w:eastAsia="zh-CN" w:bidi="ar"/>
        </w:rPr>
        <w:t>五． 报警要求</w:t>
      </w:r>
    </w:p>
    <w:p w14:paraId="2A97DD7C">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 智能化分级报警、声光报警</w:t>
      </w:r>
    </w:p>
    <w:p w14:paraId="037CCEC3">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 气道压力：过高报警</w:t>
      </w:r>
    </w:p>
    <w:p w14:paraId="72AFA2EB">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 呼出每分钟通气量：过高/过低报警</w:t>
      </w:r>
    </w:p>
    <w:p w14:paraId="61335D35">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 自主呼吸频率：过高报警</w:t>
      </w:r>
    </w:p>
    <w:p w14:paraId="0309A7A0">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 呼出潮气量：过高/过低报警</w:t>
      </w:r>
    </w:p>
    <w:p w14:paraId="6FA50E3E">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 呼气末正压：过高/过低报警</w:t>
      </w:r>
    </w:p>
    <w:p w14:paraId="265CB799">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 吸入氧浓度：过高/过低报警</w:t>
      </w:r>
    </w:p>
    <w:p w14:paraId="1BA08C4C">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 Et</w:t>
      </w:r>
      <w:r>
        <w:rPr>
          <w:rFonts w:hint="eastAsia" w:ascii="宋体" w:hAnsi="宋体" w:eastAsia="宋体" w:cs="宋体"/>
          <w:i w:val="0"/>
          <w:caps w:val="0"/>
          <w:color w:val="000000"/>
          <w:spacing w:val="0"/>
          <w:sz w:val="24"/>
          <w:szCs w:val="24"/>
          <w:u w:val="none"/>
        </w:rPr>
        <w:t>CO</w:t>
      </w:r>
      <w:r>
        <w:rPr>
          <w:rFonts w:hint="eastAsia" w:ascii="宋体" w:hAnsi="宋体" w:eastAsia="宋体" w:cs="宋体"/>
          <w:i w:val="0"/>
          <w:caps w:val="0"/>
          <w:color w:val="000000"/>
          <w:spacing w:val="0"/>
          <w:sz w:val="24"/>
          <w:szCs w:val="24"/>
          <w:u w:val="none"/>
          <w:vertAlign w:val="subscript"/>
        </w:rPr>
        <w:t>2</w:t>
      </w:r>
      <w:r>
        <w:rPr>
          <w:rFonts w:hint="eastAsia" w:ascii="宋体" w:hAnsi="宋体" w:eastAsia="宋体" w:cs="宋体"/>
          <w:i w:val="0"/>
          <w:caps w:val="0"/>
          <w:color w:val="000000"/>
          <w:spacing w:val="0"/>
          <w:kern w:val="0"/>
          <w:sz w:val="24"/>
          <w:szCs w:val="24"/>
          <w:u w:val="none"/>
          <w:lang w:val="en-US" w:eastAsia="zh-CN" w:bidi="ar"/>
        </w:rPr>
        <w:t>：过高/过低报警 </w:t>
      </w:r>
    </w:p>
    <w:p w14:paraId="480B98C0">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 窒息报警，时间可设置（5-60s）</w:t>
      </w:r>
    </w:p>
    <w:p w14:paraId="7A6E65EE">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 智能识别呼吸管路脱落、泄露、阻塞，关键器件故障</w:t>
      </w:r>
    </w:p>
    <w:p w14:paraId="68B5A89F">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 电源、气源中断报警</w:t>
      </w:r>
    </w:p>
    <w:p w14:paraId="03FD7435">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12. 电池低压报警</w:t>
      </w:r>
    </w:p>
    <w:p w14:paraId="13EDFF28">
      <w:pPr>
        <w:pStyle w:val="31"/>
        <w:widowControl/>
        <w:spacing w:beforeAutospacing="0" w:after="0" w:afterAutospacing="0" w:line="27" w:lineRule="atLeast"/>
        <w:ind w:left="0" w:right="0" w:firstLine="0"/>
        <w:jc w:val="both"/>
        <w:rPr>
          <w:rFonts w:hint="eastAsia" w:ascii="宋体" w:hAnsi="宋体" w:eastAsia="宋体" w:cs="宋体"/>
          <w:b/>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 </w:t>
      </w:r>
      <w:r>
        <w:rPr>
          <w:rFonts w:hint="eastAsia" w:ascii="宋体" w:hAnsi="宋体" w:eastAsia="宋体" w:cs="宋体"/>
          <w:i w:val="0"/>
          <w:caps w:val="0"/>
          <w:color w:val="000000"/>
          <w:spacing w:val="0"/>
          <w:sz w:val="24"/>
          <w:szCs w:val="24"/>
          <w:u w:val="none"/>
          <w:lang w:val="en-US" w:eastAsia="zh-CN"/>
        </w:rPr>
        <w:t xml:space="preserve">  </w:t>
      </w:r>
      <w:r>
        <w:rPr>
          <w:rFonts w:hint="eastAsia" w:ascii="宋体" w:hAnsi="宋体" w:eastAsia="宋体" w:cs="宋体"/>
          <w:b/>
          <w:i w:val="0"/>
          <w:caps w:val="0"/>
          <w:color w:val="000000"/>
          <w:spacing w:val="0"/>
          <w:kern w:val="0"/>
          <w:sz w:val="24"/>
          <w:szCs w:val="24"/>
          <w:u w:val="none"/>
          <w:lang w:val="en-US" w:eastAsia="zh-CN" w:bidi="ar"/>
        </w:rPr>
        <w:t>六． 其他功能要求</w:t>
      </w:r>
    </w:p>
    <w:p w14:paraId="6F9177C0">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 自动漏气补偿功能。漏气补偿流速：≥65 L/min（成人） , ≥45 L/min （儿童）。</w:t>
      </w:r>
    </w:p>
    <w:p w14:paraId="65F1722C">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 提供交流和直流（12V）两种供电方式。</w:t>
      </w:r>
    </w:p>
    <w:p w14:paraId="0D1751F2">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 提供高压氧气气源和低压氧气气源两种方式。</w:t>
      </w:r>
    </w:p>
    <w:p w14:paraId="4D7C7540">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 信息互连：能够和监护仪互联，支持同一品牌监护仪，把呼吸机的监测参数和波形实时显示到监护上，继而连接中央站和CIS系统，满足科室信息化的需求。支持HL7协议。</w:t>
      </w:r>
    </w:p>
    <w:p w14:paraId="5B706BFB">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5. </w:t>
      </w:r>
      <w:bookmarkStart w:id="390" w:name="_Hlk71626698"/>
      <w:bookmarkEnd w:id="390"/>
      <w:r>
        <w:rPr>
          <w:rFonts w:hint="eastAsia" w:ascii="宋体" w:hAnsi="宋体" w:eastAsia="宋体" w:cs="宋体"/>
          <w:i w:val="0"/>
          <w:caps w:val="0"/>
          <w:color w:val="000000"/>
          <w:spacing w:val="0"/>
          <w:kern w:val="0"/>
          <w:sz w:val="24"/>
          <w:szCs w:val="24"/>
          <w:u w:val="none"/>
          <w:lang w:val="en-US" w:eastAsia="zh-CN" w:bidi="ar"/>
        </w:rPr>
        <w:t>具备VGA扩展显示、RS232接口、网络接口、USB接口、护士呼叫。</w:t>
      </w:r>
    </w:p>
    <w:p w14:paraId="01987453">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kern w:val="0"/>
          <w:sz w:val="24"/>
          <w:szCs w:val="24"/>
          <w:u w:val="none"/>
          <w:lang w:val="en-US" w:eastAsia="zh-CN" w:bidi="ar"/>
        </w:rPr>
      </w:pPr>
      <w:r>
        <w:rPr>
          <w:rFonts w:hint="eastAsia" w:ascii="宋体" w:hAnsi="宋体" w:eastAsia="宋体" w:cs="宋体"/>
          <w:i w:val="0"/>
          <w:caps w:val="0"/>
          <w:color w:val="000000"/>
          <w:spacing w:val="0"/>
          <w:kern w:val="0"/>
          <w:sz w:val="24"/>
          <w:szCs w:val="24"/>
          <w:u w:val="none"/>
          <w:lang w:val="en-US" w:eastAsia="zh-CN" w:bidi="ar"/>
        </w:rPr>
        <w:t>6. 配附件：台车、硅胶呼吸管路2套、呼吸面罩10个、防尘罩、</w:t>
      </w:r>
    </w:p>
    <w:p w14:paraId="2D71745C">
      <w:pPr>
        <w:widowControl/>
        <w:spacing w:beforeAutospacing="0" w:after="0" w:afterAutospacing="0" w:line="27" w:lineRule="atLeast"/>
        <w:ind w:left="270" w:right="0" w:firstLine="0"/>
        <w:jc w:val="both"/>
        <w:rPr>
          <w:rFonts w:hint="eastAsia" w:ascii="宋体" w:hAnsi="宋体" w:eastAsia="宋体" w:cs="宋体"/>
          <w:i w:val="0"/>
          <w:caps w:val="0"/>
          <w:color w:val="000000"/>
          <w:spacing w:val="0"/>
          <w:kern w:val="0"/>
          <w:sz w:val="24"/>
          <w:szCs w:val="24"/>
          <w:u w:val="none"/>
          <w:lang w:val="en-US" w:eastAsia="zh-CN" w:bidi="ar"/>
        </w:rPr>
      </w:pPr>
      <w:r>
        <w:rPr>
          <w:rFonts w:hint="eastAsia" w:ascii="宋体" w:hAnsi="宋体" w:eastAsia="宋体" w:cs="宋体"/>
          <w:i w:val="0"/>
          <w:caps w:val="0"/>
          <w:color w:val="000000"/>
          <w:spacing w:val="0"/>
          <w:kern w:val="0"/>
          <w:sz w:val="24"/>
          <w:szCs w:val="24"/>
          <w:u w:val="none"/>
          <w:lang w:val="en-US" w:eastAsia="zh-CN" w:bidi="ar"/>
        </w:rPr>
        <w:t>7.</w:t>
      </w:r>
      <w:r>
        <w:rPr>
          <w:rFonts w:hint="eastAsia" w:ascii="宋体" w:hAnsi="宋体" w:eastAsia="宋体" w:cs="宋体"/>
          <w:sz w:val="24"/>
          <w:szCs w:val="24"/>
        </w:rPr>
        <w:t>★</w:t>
      </w:r>
      <w:r>
        <w:rPr>
          <w:rFonts w:hint="eastAsia" w:ascii="宋体" w:hAnsi="宋体" w:eastAsia="宋体" w:cs="宋体"/>
          <w:b/>
          <w:bCs/>
          <w:sz w:val="24"/>
          <w:szCs w:val="24"/>
          <w:lang w:val="en-US" w:eastAsia="zh-CN"/>
        </w:rPr>
        <w:t>整机质保3年，制造商提供承诺，加盖公章</w:t>
      </w:r>
      <w:r>
        <w:rPr>
          <w:rFonts w:hint="eastAsia" w:ascii="宋体" w:hAnsi="宋体" w:eastAsia="宋体" w:cs="宋体"/>
          <w:i w:val="0"/>
          <w:caps w:val="0"/>
          <w:color w:val="000000"/>
          <w:spacing w:val="0"/>
          <w:kern w:val="0"/>
          <w:sz w:val="24"/>
          <w:szCs w:val="24"/>
          <w:u w:val="none"/>
          <w:lang w:val="en-US" w:eastAsia="zh-CN" w:bidi="ar"/>
        </w:rPr>
        <w:t>。</w:t>
      </w:r>
    </w:p>
    <w:p w14:paraId="5A1F970A">
      <w:pPr>
        <w:pStyle w:val="9"/>
        <w:numPr>
          <w:ilvl w:val="0"/>
          <w:numId w:val="0"/>
        </w:numPr>
        <w:jc w:val="both"/>
        <w:rPr>
          <w:rFonts w:hint="eastAsia" w:ascii="宋体" w:hAnsi="宋体" w:eastAsia="宋体" w:cs="宋体"/>
          <w:color w:val="auto"/>
          <w:kern w:val="0"/>
          <w:sz w:val="24"/>
          <w:szCs w:val="24"/>
          <w:highlight w:val="none"/>
          <w:lang w:eastAsia="zh-CN"/>
        </w:rPr>
      </w:pPr>
    </w:p>
    <w:p w14:paraId="1FB8DE4C">
      <w:pPr>
        <w:pStyle w:val="31"/>
        <w:widowControl/>
        <w:spacing w:beforeAutospacing="0" w:after="120" w:afterAutospacing="0" w:line="27" w:lineRule="atLeast"/>
        <w:ind w:left="0" w:right="0" w:firstLine="0"/>
        <w:jc w:val="center"/>
        <w:rPr>
          <w:rFonts w:hint="eastAsia" w:ascii="方正仿宋_GB2312" w:hAnsi="方正仿宋_GB2312" w:eastAsia="方正仿宋_GB2312" w:cs="方正仿宋_GB2312"/>
          <w:b/>
          <w:i w:val="0"/>
          <w:caps w:val="0"/>
          <w:color w:val="000000"/>
          <w:spacing w:val="0"/>
          <w:sz w:val="30"/>
          <w:szCs w:val="30"/>
          <w:u w:val="none"/>
          <w:lang w:eastAsia="zh-CN"/>
        </w:rPr>
      </w:pPr>
      <w:r>
        <w:rPr>
          <w:rFonts w:hint="eastAsia" w:ascii="方正仿宋_GB2312" w:hAnsi="方正仿宋_GB2312" w:eastAsia="方正仿宋_GB2312" w:cs="方正仿宋_GB2312"/>
          <w:b/>
          <w:i w:val="0"/>
          <w:caps w:val="0"/>
          <w:color w:val="000000"/>
          <w:spacing w:val="0"/>
          <w:sz w:val="30"/>
          <w:szCs w:val="30"/>
          <w:u w:val="none"/>
        </w:rPr>
        <w:t>麻醉机技术</w:t>
      </w:r>
      <w:r>
        <w:rPr>
          <w:rFonts w:hint="eastAsia" w:ascii="方正仿宋_GB2312" w:hAnsi="方正仿宋_GB2312" w:eastAsia="方正仿宋_GB2312" w:cs="方正仿宋_GB2312"/>
          <w:b/>
          <w:i w:val="0"/>
          <w:caps w:val="0"/>
          <w:color w:val="000000"/>
          <w:spacing w:val="0"/>
          <w:sz w:val="30"/>
          <w:szCs w:val="30"/>
          <w:u w:val="none"/>
          <w:lang w:val="en-US" w:eastAsia="zh-CN"/>
        </w:rPr>
        <w:t>参数</w:t>
      </w:r>
    </w:p>
    <w:p w14:paraId="4B3E51E1">
      <w:pPr>
        <w:pStyle w:val="31"/>
        <w:widowControl/>
        <w:spacing w:beforeAutospacing="0" w:after="120" w:afterAutospacing="0" w:line="27" w:lineRule="atLeast"/>
        <w:ind w:left="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b/>
          <w:i w:val="0"/>
          <w:caps w:val="0"/>
          <w:color w:val="000000"/>
          <w:spacing w:val="0"/>
          <w:sz w:val="24"/>
          <w:szCs w:val="24"/>
          <w:u w:val="none"/>
        </w:rPr>
        <w:t>1配置需求：全能麻醉工作站：1台</w:t>
      </w:r>
      <w:r>
        <w:rPr>
          <w:rFonts w:hint="eastAsia" w:ascii="宋体" w:hAnsi="宋体" w:eastAsia="宋体" w:cs="宋体"/>
          <w:i w:val="0"/>
          <w:caps w:val="0"/>
          <w:color w:val="000000"/>
          <w:spacing w:val="0"/>
          <w:sz w:val="24"/>
          <w:szCs w:val="24"/>
          <w:u w:val="none"/>
        </w:rPr>
        <w:t>（包含监护仪1台，麻醉机1台）</w:t>
      </w:r>
    </w:p>
    <w:p w14:paraId="7C810E83">
      <w:pPr>
        <w:pStyle w:val="31"/>
        <w:widowControl/>
        <w:spacing w:beforeAutospacing="0" w:after="120" w:afterAutospacing="0" w:line="27" w:lineRule="atLeast"/>
        <w:ind w:left="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2技术规格：</w:t>
      </w:r>
    </w:p>
    <w:p w14:paraId="666750E4">
      <w:pPr>
        <w:pStyle w:val="31"/>
        <w:widowControl/>
        <w:spacing w:beforeAutospacing="0" w:after="120" w:afterAutospacing="0" w:line="27" w:lineRule="atLeast"/>
        <w:ind w:left="0" w:right="0" w:firstLine="0"/>
        <w:jc w:val="both"/>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sz w:val="24"/>
          <w:szCs w:val="24"/>
          <w:u w:val="none"/>
        </w:rPr>
        <w:t>2.1工作条件及基本配件</w:t>
      </w:r>
    </w:p>
    <w:p w14:paraId="44A180E3">
      <w:pPr>
        <w:pStyle w:val="31"/>
        <w:widowControl/>
        <w:spacing w:beforeAutospacing="0" w:after="120" w:afterAutospacing="0" w:line="27" w:lineRule="atLeast"/>
        <w:ind w:left="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2.1.</w:t>
      </w:r>
      <w:r>
        <w:rPr>
          <w:rFonts w:hint="eastAsia" w:ascii="宋体" w:hAnsi="宋体" w:eastAsia="宋体" w:cs="宋体"/>
          <w:i w:val="0"/>
          <w:caps w:val="0"/>
          <w:color w:val="000000"/>
          <w:spacing w:val="0"/>
          <w:sz w:val="24"/>
          <w:szCs w:val="24"/>
          <w:u w:val="none"/>
          <w:lang w:val="en-US" w:eastAsia="zh-CN"/>
        </w:rPr>
        <w:t>1</w:t>
      </w:r>
      <w:r>
        <w:rPr>
          <w:rFonts w:hint="eastAsia" w:ascii="宋体" w:hAnsi="宋体" w:eastAsia="宋体" w:cs="宋体"/>
          <w:i w:val="0"/>
          <w:caps w:val="0"/>
          <w:color w:val="000000"/>
          <w:spacing w:val="0"/>
          <w:sz w:val="24"/>
          <w:szCs w:val="24"/>
          <w:u w:val="none"/>
        </w:rPr>
        <w:t>配两节锂电子(非铅酸)后备电池，后备电池使用时间≥90分钟（新电池，环境温度25℃）</w:t>
      </w:r>
    </w:p>
    <w:p w14:paraId="758AC88D">
      <w:pPr>
        <w:pStyle w:val="31"/>
        <w:widowControl/>
        <w:spacing w:beforeAutospacing="0" w:after="120" w:afterAutospacing="0" w:line="27" w:lineRule="atLeast"/>
        <w:ind w:left="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2.1.</w:t>
      </w:r>
      <w:r>
        <w:rPr>
          <w:rFonts w:hint="eastAsia" w:ascii="宋体" w:hAnsi="宋体" w:eastAsia="宋体" w:cs="宋体"/>
          <w:i w:val="0"/>
          <w:caps w:val="0"/>
          <w:color w:val="000000"/>
          <w:spacing w:val="0"/>
          <w:sz w:val="24"/>
          <w:szCs w:val="24"/>
          <w:u w:val="none"/>
          <w:lang w:val="en-US" w:eastAsia="zh-CN"/>
        </w:rPr>
        <w:t>2</w:t>
      </w:r>
      <w:r>
        <w:rPr>
          <w:rFonts w:hint="eastAsia" w:ascii="宋体" w:hAnsi="宋体" w:eastAsia="宋体" w:cs="宋体"/>
          <w:i w:val="0"/>
          <w:caps w:val="0"/>
          <w:color w:val="000000"/>
          <w:spacing w:val="0"/>
          <w:sz w:val="24"/>
          <w:szCs w:val="24"/>
          <w:u w:val="none"/>
        </w:rPr>
        <w:t> 接口：1 个多功能复用接口、支持网络和软件在线升级功能, 1 个 RS-232C 串行通讯接口，1 个 VGA 接口，2个SB接口等</w:t>
      </w:r>
    </w:p>
    <w:p w14:paraId="0014901B">
      <w:pPr>
        <w:pStyle w:val="31"/>
        <w:widowControl/>
        <w:spacing w:beforeAutospacing="0" w:after="120" w:afterAutospacing="0" w:line="27" w:lineRule="atLeast"/>
        <w:ind w:left="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2.1.</w:t>
      </w:r>
      <w:r>
        <w:rPr>
          <w:rFonts w:hint="eastAsia" w:ascii="宋体" w:hAnsi="宋体" w:eastAsia="宋体" w:cs="宋体"/>
          <w:i w:val="0"/>
          <w:caps w:val="0"/>
          <w:color w:val="000000"/>
          <w:spacing w:val="0"/>
          <w:sz w:val="24"/>
          <w:szCs w:val="24"/>
          <w:u w:val="none"/>
          <w:lang w:val="en-US" w:eastAsia="zh-CN"/>
        </w:rPr>
        <w:t>3</w:t>
      </w:r>
      <w:r>
        <w:rPr>
          <w:rFonts w:hint="eastAsia" w:ascii="宋体" w:hAnsi="宋体" w:eastAsia="宋体" w:cs="宋体"/>
          <w:i w:val="0"/>
          <w:caps w:val="0"/>
          <w:color w:val="000000"/>
          <w:spacing w:val="0"/>
          <w:sz w:val="24"/>
          <w:szCs w:val="24"/>
          <w:u w:val="none"/>
        </w:rPr>
        <w:t>机架：带大工作台侧栏杆推车，三个抽屉，标配脚轮刹车</w:t>
      </w:r>
    </w:p>
    <w:p w14:paraId="42F4F53E">
      <w:pPr>
        <w:pStyle w:val="31"/>
        <w:widowControl/>
        <w:spacing w:beforeAutospacing="0" w:after="120" w:afterAutospacing="0" w:line="27" w:lineRule="atLeast"/>
        <w:ind w:left="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2.1.</w:t>
      </w:r>
      <w:r>
        <w:rPr>
          <w:rFonts w:hint="eastAsia" w:ascii="宋体" w:hAnsi="宋体" w:eastAsia="宋体" w:cs="宋体"/>
          <w:i w:val="0"/>
          <w:caps w:val="0"/>
          <w:color w:val="000000"/>
          <w:spacing w:val="0"/>
          <w:sz w:val="24"/>
          <w:szCs w:val="24"/>
          <w:u w:val="none"/>
          <w:lang w:val="en-US" w:eastAsia="zh-CN"/>
        </w:rPr>
        <w:t>4</w:t>
      </w:r>
      <w:r>
        <w:rPr>
          <w:rFonts w:hint="eastAsia" w:ascii="宋体" w:hAnsi="宋体" w:eastAsia="宋体" w:cs="宋体"/>
          <w:i w:val="0"/>
          <w:caps w:val="0"/>
          <w:color w:val="000000"/>
          <w:spacing w:val="0"/>
          <w:sz w:val="24"/>
          <w:szCs w:val="24"/>
          <w:u w:val="none"/>
        </w:rPr>
        <w:t>适合内窥镜手术模式：具备三级照明顶光灯，能够在黑暗环境中提供麻醉机工作台面照明。</w:t>
      </w:r>
    </w:p>
    <w:p w14:paraId="51F7BAF5">
      <w:pPr>
        <w:pStyle w:val="31"/>
        <w:widowControl/>
        <w:spacing w:beforeAutospacing="0" w:after="120" w:afterAutospacing="0" w:line="27" w:lineRule="atLeast"/>
        <w:ind w:left="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2.1.</w:t>
      </w:r>
      <w:r>
        <w:rPr>
          <w:rFonts w:hint="eastAsia" w:ascii="宋体" w:hAnsi="宋体" w:eastAsia="宋体" w:cs="宋体"/>
          <w:i w:val="0"/>
          <w:caps w:val="0"/>
          <w:color w:val="000000"/>
          <w:spacing w:val="0"/>
          <w:sz w:val="24"/>
          <w:szCs w:val="24"/>
          <w:u w:val="none"/>
          <w:lang w:val="en-US" w:eastAsia="zh-CN"/>
        </w:rPr>
        <w:t>5</w:t>
      </w:r>
      <w:r>
        <w:rPr>
          <w:rFonts w:hint="eastAsia" w:ascii="宋体" w:hAnsi="宋体" w:eastAsia="宋体" w:cs="宋体"/>
          <w:i w:val="0"/>
          <w:caps w:val="0"/>
          <w:color w:val="000000"/>
          <w:spacing w:val="0"/>
          <w:sz w:val="24"/>
          <w:szCs w:val="24"/>
          <w:u w:val="none"/>
        </w:rPr>
        <w:t>标配4个附属输出电源接口。</w:t>
      </w:r>
    </w:p>
    <w:p w14:paraId="4D802F2E">
      <w:pPr>
        <w:pStyle w:val="31"/>
        <w:widowControl/>
        <w:spacing w:beforeAutospacing="0" w:after="120" w:afterAutospacing="0" w:line="27" w:lineRule="atLeast"/>
        <w:ind w:left="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2.1.</w:t>
      </w:r>
      <w:r>
        <w:rPr>
          <w:rFonts w:hint="eastAsia" w:ascii="宋体" w:hAnsi="宋体" w:eastAsia="宋体" w:cs="宋体"/>
          <w:i w:val="0"/>
          <w:caps w:val="0"/>
          <w:color w:val="000000"/>
          <w:spacing w:val="0"/>
          <w:sz w:val="24"/>
          <w:szCs w:val="24"/>
          <w:u w:val="none"/>
          <w:lang w:val="en-US" w:eastAsia="zh-CN"/>
        </w:rPr>
        <w:t>6</w:t>
      </w:r>
      <w:r>
        <w:rPr>
          <w:rFonts w:hint="eastAsia" w:ascii="宋体" w:hAnsi="宋体" w:eastAsia="宋体" w:cs="宋体"/>
          <w:i w:val="0"/>
          <w:caps w:val="0"/>
          <w:color w:val="000000"/>
          <w:spacing w:val="0"/>
          <w:sz w:val="24"/>
          <w:szCs w:val="24"/>
          <w:u w:val="none"/>
        </w:rPr>
        <w:t>具有独立的LED报警指示灯。</w:t>
      </w:r>
    </w:p>
    <w:p w14:paraId="15AA7A83">
      <w:pPr>
        <w:pStyle w:val="31"/>
        <w:widowControl/>
        <w:spacing w:beforeAutospacing="0" w:after="120" w:afterAutospacing="0" w:line="27" w:lineRule="atLeast"/>
        <w:ind w:left="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2.1.</w:t>
      </w:r>
      <w:r>
        <w:rPr>
          <w:rFonts w:hint="eastAsia" w:ascii="宋体" w:hAnsi="宋体" w:eastAsia="宋体" w:cs="宋体"/>
          <w:i w:val="0"/>
          <w:caps w:val="0"/>
          <w:color w:val="000000"/>
          <w:spacing w:val="0"/>
          <w:sz w:val="24"/>
          <w:szCs w:val="24"/>
          <w:u w:val="none"/>
          <w:lang w:val="en-US" w:eastAsia="zh-CN"/>
        </w:rPr>
        <w:t>7</w:t>
      </w:r>
      <w:r>
        <w:rPr>
          <w:rFonts w:hint="eastAsia" w:ascii="宋体" w:hAnsi="宋体" w:eastAsia="宋体" w:cs="宋体"/>
          <w:i w:val="0"/>
          <w:caps w:val="0"/>
          <w:color w:val="000000"/>
          <w:spacing w:val="0"/>
          <w:sz w:val="24"/>
          <w:szCs w:val="24"/>
          <w:u w:val="none"/>
        </w:rPr>
        <w:t>非待机状态转动关机旋钮，主机具备10秒延迟关机功能，以避免误操作保证病人安全</w:t>
      </w:r>
    </w:p>
    <w:p w14:paraId="01DA3EDC">
      <w:pPr>
        <w:pStyle w:val="31"/>
        <w:widowControl/>
        <w:spacing w:beforeAutospacing="0" w:after="120" w:afterAutospacing="0" w:line="27" w:lineRule="atLeast"/>
        <w:ind w:left="0" w:right="0" w:firstLine="0"/>
        <w:jc w:val="both"/>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sz w:val="24"/>
          <w:szCs w:val="24"/>
          <w:u w:val="none"/>
        </w:rPr>
        <w:t>2.2气源</w:t>
      </w:r>
    </w:p>
    <w:p w14:paraId="32B4EB16">
      <w:pPr>
        <w:pStyle w:val="31"/>
        <w:widowControl/>
        <w:spacing w:beforeAutospacing="0" w:after="120" w:afterAutospacing="0" w:line="27" w:lineRule="atLeast"/>
        <w:ind w:left="0" w:right="0" w:firstLine="0"/>
        <w:jc w:val="both"/>
        <w:rPr>
          <w:rFonts w:hint="eastAsia" w:ascii="宋体" w:hAnsi="宋体" w:eastAsia="宋体" w:cs="宋体"/>
          <w:i w:val="0"/>
          <w:caps w:val="0"/>
          <w:color w:val="000000"/>
          <w:spacing w:val="0"/>
          <w:sz w:val="24"/>
          <w:szCs w:val="24"/>
          <w:u w:val="none"/>
          <w:lang w:eastAsia="zh-CN"/>
        </w:rPr>
      </w:pPr>
      <w:r>
        <w:rPr>
          <w:rFonts w:hint="eastAsia" w:ascii="宋体" w:hAnsi="宋体" w:eastAsia="宋体" w:cs="宋体"/>
          <w:i w:val="0"/>
          <w:caps w:val="0"/>
          <w:color w:val="000000"/>
          <w:spacing w:val="0"/>
          <w:sz w:val="24"/>
          <w:szCs w:val="24"/>
          <w:u w:val="none"/>
        </w:rPr>
        <w:t>2.2.1标配氧气、空气两气源，</w:t>
      </w:r>
    </w:p>
    <w:p w14:paraId="486851D0">
      <w:pPr>
        <w:pStyle w:val="31"/>
        <w:widowControl/>
        <w:spacing w:beforeAutospacing="0" w:after="120" w:afterAutospacing="0" w:line="27" w:lineRule="atLeast"/>
        <w:ind w:right="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2.2.3具备氧笑联动系统，保证接入氧气和笑气时氧浓度</w:t>
      </w:r>
      <w:r>
        <w:rPr>
          <w:rFonts w:hint="eastAsia" w:ascii="宋体" w:hAnsi="宋体" w:eastAsia="宋体" w:cs="宋体"/>
          <w:i w:val="0"/>
          <w:caps w:val="0"/>
          <w:color w:val="000000"/>
          <w:spacing w:val="0"/>
          <w:sz w:val="24"/>
          <w:szCs w:val="24"/>
          <w:u w:val="none"/>
          <w:lang w:val="en-US" w:eastAsia="zh-CN"/>
        </w:rPr>
        <w:t>≥</w:t>
      </w:r>
      <w:r>
        <w:rPr>
          <w:rFonts w:hint="eastAsia" w:ascii="宋体" w:hAnsi="宋体" w:eastAsia="宋体" w:cs="宋体"/>
          <w:i w:val="0"/>
          <w:caps w:val="0"/>
          <w:color w:val="000000"/>
          <w:spacing w:val="0"/>
          <w:sz w:val="24"/>
          <w:szCs w:val="24"/>
          <w:u w:val="none"/>
        </w:rPr>
        <w:t>25%</w:t>
      </w:r>
    </w:p>
    <w:p w14:paraId="6D7F7BB4">
      <w:pPr>
        <w:pStyle w:val="31"/>
        <w:widowControl/>
        <w:spacing w:beforeAutospacing="0" w:after="120" w:afterAutospacing="0" w:line="27" w:lineRule="atLeast"/>
        <w:ind w:left="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2.2.4快速充氧范围25 - 75 l/min。</w:t>
      </w:r>
    </w:p>
    <w:p w14:paraId="24E813E4">
      <w:pPr>
        <w:widowControl/>
        <w:spacing w:beforeAutospacing="0" w:after="120" w:afterAutospacing="0" w:line="27" w:lineRule="atLeast"/>
        <w:ind w:right="0"/>
        <w:jc w:val="both"/>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kern w:val="0"/>
          <w:sz w:val="24"/>
          <w:szCs w:val="24"/>
          <w:u w:val="none"/>
          <w:lang w:val="en-US" w:eastAsia="zh-CN" w:bidi="ar"/>
        </w:rPr>
        <w:t>2.3 流量计</w:t>
      </w:r>
    </w:p>
    <w:p w14:paraId="1086F2CA">
      <w:pPr>
        <w:pStyle w:val="31"/>
        <w:widowControl/>
        <w:spacing w:beforeAutospacing="0" w:after="120" w:afterAutospacing="0" w:line="27" w:lineRule="atLeast"/>
        <w:ind w:left="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2.3.1电子显示流量计，空气范围： 0L/min～15L/min，氧气范围： 0L/min～15L/min，笑气范围： 0L/min～10L/min</w:t>
      </w:r>
    </w:p>
    <w:p w14:paraId="56EF9F0C">
      <w:pPr>
        <w:pStyle w:val="31"/>
        <w:widowControl/>
        <w:spacing w:beforeAutospacing="0" w:after="120" w:afterAutospacing="0" w:line="27" w:lineRule="atLeast"/>
        <w:ind w:left="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2.3.2具备备用流量计（总流量计）</w:t>
      </w:r>
    </w:p>
    <w:p w14:paraId="72D1CCD9">
      <w:pPr>
        <w:pStyle w:val="31"/>
        <w:widowControl/>
        <w:spacing w:beforeAutospacing="0" w:after="120" w:afterAutospacing="0" w:line="27" w:lineRule="atLeast"/>
        <w:ind w:left="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2.3.3具有辅助流量计，用于辅助吸氧</w:t>
      </w:r>
    </w:p>
    <w:p w14:paraId="72860C9A">
      <w:pPr>
        <w:pStyle w:val="31"/>
        <w:widowControl/>
        <w:spacing w:beforeAutospacing="0" w:after="120" w:afterAutospacing="0" w:line="27" w:lineRule="atLeast"/>
        <w:ind w:left="135" w:right="0" w:firstLine="0"/>
        <w:jc w:val="both"/>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sz w:val="24"/>
          <w:szCs w:val="24"/>
          <w:u w:val="none"/>
        </w:rPr>
        <w:t>2.4挥发罐</w:t>
      </w:r>
    </w:p>
    <w:p w14:paraId="4AAB9A46">
      <w:pPr>
        <w:pStyle w:val="31"/>
        <w:widowControl/>
        <w:spacing w:beforeAutospacing="0" w:after="120" w:afterAutospacing="0" w:line="27" w:lineRule="atLeast"/>
        <w:ind w:left="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2.4.1标配双罐位</w:t>
      </w:r>
    </w:p>
    <w:p w14:paraId="426F75BC">
      <w:pPr>
        <w:pStyle w:val="31"/>
        <w:widowControl/>
        <w:spacing w:beforeAutospacing="0" w:after="120" w:afterAutospacing="0" w:line="27" w:lineRule="atLeast"/>
        <w:ind w:left="54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2.4.</w:t>
      </w:r>
      <w:r>
        <w:rPr>
          <w:rFonts w:hint="eastAsia" w:ascii="宋体" w:hAnsi="宋体" w:eastAsia="宋体" w:cs="宋体"/>
          <w:i w:val="0"/>
          <w:caps w:val="0"/>
          <w:color w:val="000000"/>
          <w:spacing w:val="0"/>
          <w:sz w:val="24"/>
          <w:szCs w:val="24"/>
          <w:u w:val="none"/>
          <w:lang w:val="en-US" w:eastAsia="zh-CN"/>
        </w:rPr>
        <w:t>2</w:t>
      </w:r>
      <w:r>
        <w:rPr>
          <w:rFonts w:hint="eastAsia" w:ascii="宋体" w:hAnsi="宋体" w:eastAsia="宋体" w:cs="宋体"/>
          <w:i w:val="0"/>
          <w:caps w:val="0"/>
          <w:color w:val="000000"/>
          <w:spacing w:val="0"/>
          <w:sz w:val="24"/>
          <w:szCs w:val="24"/>
          <w:u w:val="none"/>
        </w:rPr>
        <w:t>标配一个高品质挥发罐</w:t>
      </w:r>
      <w:r>
        <w:rPr>
          <w:rFonts w:hint="eastAsia" w:ascii="宋体" w:hAnsi="宋体" w:eastAsia="宋体" w:cs="宋体"/>
          <w:i w:val="0"/>
          <w:caps w:val="0"/>
          <w:color w:val="000000"/>
          <w:spacing w:val="0"/>
          <w:sz w:val="24"/>
          <w:szCs w:val="24"/>
          <w:u w:val="none"/>
          <w:lang w:eastAsia="zh-CN"/>
        </w:rPr>
        <w:t>（七氟烷）</w:t>
      </w:r>
      <w:r>
        <w:rPr>
          <w:rFonts w:hint="eastAsia" w:ascii="宋体" w:hAnsi="宋体" w:eastAsia="宋体" w:cs="宋体"/>
          <w:i w:val="0"/>
          <w:caps w:val="0"/>
          <w:color w:val="000000"/>
          <w:spacing w:val="0"/>
          <w:sz w:val="24"/>
          <w:szCs w:val="24"/>
          <w:u w:val="none"/>
        </w:rPr>
        <w:t>，挥发罐和主机同品牌，具备压力、流速和温度补偿。</w:t>
      </w:r>
    </w:p>
    <w:p w14:paraId="7322626F">
      <w:pPr>
        <w:pStyle w:val="31"/>
        <w:widowControl/>
        <w:spacing w:beforeAutospacing="0" w:after="120" w:afterAutospacing="0" w:line="27" w:lineRule="atLeast"/>
        <w:ind w:left="54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2.4.</w:t>
      </w:r>
      <w:r>
        <w:rPr>
          <w:rFonts w:hint="eastAsia" w:ascii="宋体" w:hAnsi="宋体" w:eastAsia="宋体" w:cs="宋体"/>
          <w:i w:val="0"/>
          <w:caps w:val="0"/>
          <w:color w:val="000000"/>
          <w:spacing w:val="0"/>
          <w:sz w:val="24"/>
          <w:szCs w:val="24"/>
          <w:u w:val="none"/>
          <w:lang w:val="en-US" w:eastAsia="zh-CN"/>
        </w:rPr>
        <w:t>3</w:t>
      </w:r>
      <w:r>
        <w:rPr>
          <w:rFonts w:hint="eastAsia" w:ascii="宋体" w:hAnsi="宋体" w:eastAsia="宋体" w:cs="宋体"/>
          <w:i w:val="0"/>
          <w:caps w:val="0"/>
          <w:color w:val="000000"/>
          <w:spacing w:val="0"/>
          <w:sz w:val="24"/>
          <w:szCs w:val="24"/>
          <w:u w:val="none"/>
        </w:rPr>
        <w:t>首次加药量（干药芯）≥350ml，再次加药量≥300ml</w:t>
      </w:r>
    </w:p>
    <w:p w14:paraId="101D7FBA">
      <w:pPr>
        <w:pStyle w:val="31"/>
        <w:widowControl/>
        <w:spacing w:beforeAutospacing="0" w:after="120" w:afterAutospacing="0" w:line="27" w:lineRule="atLeast"/>
        <w:ind w:left="0" w:right="0" w:firstLine="0"/>
        <w:jc w:val="both"/>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sz w:val="24"/>
          <w:szCs w:val="24"/>
          <w:u w:val="none"/>
        </w:rPr>
        <w:t>2.5呼吸回路</w:t>
      </w:r>
    </w:p>
    <w:p w14:paraId="0031D5EC">
      <w:pPr>
        <w:pStyle w:val="31"/>
        <w:widowControl/>
        <w:spacing w:beforeAutospacing="0" w:after="120" w:afterAutospacing="0" w:line="27" w:lineRule="atLeast"/>
        <w:ind w:left="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2.5.1回路整体可徒手拆卸，一体化回路，无裸露连接管线</w:t>
      </w:r>
    </w:p>
    <w:p w14:paraId="5613E16F">
      <w:pPr>
        <w:pStyle w:val="31"/>
        <w:widowControl/>
        <w:spacing w:beforeAutospacing="0" w:after="120" w:afterAutospacing="0" w:line="27" w:lineRule="atLeast"/>
        <w:ind w:left="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2.5.2回路整体可旋转≥30°，以满足不同手术无需移动麻醉机的要求</w:t>
      </w:r>
    </w:p>
    <w:p w14:paraId="632BF34C">
      <w:pPr>
        <w:pStyle w:val="31"/>
        <w:widowControl/>
        <w:spacing w:beforeAutospacing="0" w:after="120" w:afterAutospacing="0" w:line="27" w:lineRule="atLeast"/>
        <w:ind w:left="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2.5.3回路部件可以耐受134℃高温高压消毒</w:t>
      </w:r>
    </w:p>
    <w:p w14:paraId="79D264D6">
      <w:pPr>
        <w:pStyle w:val="31"/>
        <w:widowControl/>
        <w:spacing w:beforeAutospacing="0" w:after="120" w:afterAutospacing="0" w:line="27" w:lineRule="atLeast"/>
        <w:ind w:left="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2.5.4二氧化碳吸收罐，容积≥1500ml</w:t>
      </w:r>
    </w:p>
    <w:p w14:paraId="7E9C6301">
      <w:pPr>
        <w:pStyle w:val="31"/>
        <w:widowControl/>
        <w:spacing w:beforeAutospacing="0" w:after="120" w:afterAutospacing="0" w:line="27" w:lineRule="atLeast"/>
        <w:ind w:left="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2.5.5内置双流量传感器，分别在吸入端，呼出端</w:t>
      </w:r>
    </w:p>
    <w:p w14:paraId="3641DDCA">
      <w:pPr>
        <w:pStyle w:val="31"/>
        <w:widowControl/>
        <w:spacing w:beforeAutospacing="0" w:after="120" w:afterAutospacing="0" w:line="27" w:lineRule="atLeast"/>
        <w:ind w:left="0" w:right="0" w:firstLine="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2.5.6流量传感器监测频率为1000次/秒</w:t>
      </w:r>
    </w:p>
    <w:p w14:paraId="709C8A98">
      <w:pPr>
        <w:pStyle w:val="31"/>
        <w:widowControl/>
        <w:spacing w:beforeAutospacing="0" w:after="120" w:afterAutospacing="0" w:line="27" w:lineRule="atLeast"/>
        <w:ind w:right="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2.5.7低回路系统容积，在包括2L手动皮囊的情况下，机控模式回路容积</w:t>
      </w:r>
      <w:r>
        <w:rPr>
          <w:rFonts w:hint="eastAsia" w:ascii="宋体" w:hAnsi="宋体" w:eastAsia="宋体" w:cs="宋体"/>
          <w:i w:val="0"/>
          <w:caps w:val="0"/>
          <w:color w:val="000000"/>
          <w:spacing w:val="0"/>
          <w:sz w:val="24"/>
          <w:szCs w:val="24"/>
          <w:u w:val="none"/>
          <w:lang w:val="en-US" w:eastAsia="zh-CN"/>
        </w:rPr>
        <w:t>≤</w:t>
      </w:r>
      <w:r>
        <w:rPr>
          <w:rFonts w:hint="eastAsia" w:ascii="宋体" w:hAnsi="宋体" w:eastAsia="宋体" w:cs="宋体"/>
          <w:i w:val="0"/>
          <w:caps w:val="0"/>
          <w:color w:val="000000"/>
          <w:spacing w:val="0"/>
          <w:sz w:val="24"/>
          <w:szCs w:val="24"/>
          <w:u w:val="none"/>
        </w:rPr>
        <w:t>2850ml。为快速调节新鲜气体流量以及输出麻药浓度提供了保障</w:t>
      </w:r>
    </w:p>
    <w:p w14:paraId="522E8476">
      <w:pPr>
        <w:pStyle w:val="31"/>
        <w:widowControl/>
        <w:spacing w:beforeAutospacing="0" w:after="120" w:afterAutospacing="0" w:line="27" w:lineRule="atLeast"/>
        <w:ind w:right="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2.5.8配共同新鲜气体输出口（ACGO），输出口无需改装可直接连接特殊的开放式回路，如Bain回路、T管等。</w:t>
      </w:r>
    </w:p>
    <w:p w14:paraId="4B33A7BC">
      <w:pPr>
        <w:pStyle w:val="31"/>
        <w:widowControl/>
        <w:spacing w:beforeAutospacing="0" w:after="120" w:afterAutospacing="0" w:line="27" w:lineRule="atLeast"/>
        <w:ind w:right="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2.5.9具有回路整体加温功能</w:t>
      </w:r>
    </w:p>
    <w:p w14:paraId="043CD26C">
      <w:pPr>
        <w:pStyle w:val="31"/>
        <w:widowControl/>
        <w:spacing w:beforeAutospacing="0" w:after="120" w:afterAutospacing="0" w:line="27" w:lineRule="atLeast"/>
        <w:ind w:right="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2.5.10标配CO</w:t>
      </w:r>
      <w:r>
        <w:rPr>
          <w:rFonts w:hint="eastAsia" w:ascii="宋体" w:hAnsi="宋体" w:eastAsia="宋体" w:cs="宋体"/>
          <w:i w:val="0"/>
          <w:caps w:val="0"/>
          <w:color w:val="000000"/>
          <w:spacing w:val="0"/>
          <w:sz w:val="24"/>
          <w:szCs w:val="24"/>
          <w:u w:val="none"/>
          <w:vertAlign w:val="subscript"/>
        </w:rPr>
        <w:t>2</w:t>
      </w:r>
      <w:r>
        <w:rPr>
          <w:rFonts w:hint="eastAsia" w:ascii="宋体" w:hAnsi="宋体" w:eastAsia="宋体" w:cs="宋体"/>
          <w:i w:val="0"/>
          <w:caps w:val="0"/>
          <w:color w:val="000000"/>
          <w:spacing w:val="0"/>
          <w:sz w:val="24"/>
          <w:szCs w:val="24"/>
          <w:u w:val="none"/>
        </w:rPr>
        <w:t>旁路功能，在机械通气过程中，更换钠石灰罐无需选择确认，无需关停机械通气，可直接更换</w:t>
      </w:r>
    </w:p>
    <w:p w14:paraId="6FC62C37">
      <w:pPr>
        <w:pStyle w:val="31"/>
        <w:widowControl/>
        <w:spacing w:beforeAutospacing="0" w:after="120" w:afterAutospacing="0" w:line="27" w:lineRule="atLeast"/>
        <w:ind w:right="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2.5.11具备智能回路识别报警系统，当钠石灰罐未安装到位时，机器能智能识别，并报警提示。</w:t>
      </w:r>
    </w:p>
    <w:p w14:paraId="37398D31">
      <w:pPr>
        <w:pStyle w:val="31"/>
        <w:widowControl/>
        <w:spacing w:beforeAutospacing="0" w:after="120" w:afterAutospacing="0" w:line="27" w:lineRule="atLeast"/>
        <w:ind w:right="0"/>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2.5.12标配可调节回路皮囊支架，方便手动通气时操作</w:t>
      </w:r>
    </w:p>
    <w:p w14:paraId="7A7BE33F">
      <w:pPr>
        <w:pStyle w:val="31"/>
        <w:widowControl/>
        <w:spacing w:beforeAutospacing="0" w:after="120" w:afterAutospacing="0" w:line="27" w:lineRule="atLeast"/>
        <w:ind w:right="0"/>
        <w:jc w:val="both"/>
        <w:rPr>
          <w:rFonts w:hint="eastAsia" w:ascii="宋体" w:hAnsi="宋体" w:eastAsia="宋体" w:cs="宋体"/>
          <w:i w:val="0"/>
          <w:caps w:val="0"/>
          <w:color w:val="000000"/>
          <w:spacing w:val="0"/>
          <w:sz w:val="24"/>
          <w:szCs w:val="24"/>
          <w:u w:val="none"/>
          <w:lang w:val="en-US" w:eastAsia="zh-CN"/>
        </w:rPr>
      </w:pPr>
      <w:r>
        <w:rPr>
          <w:rFonts w:hint="eastAsia" w:ascii="宋体" w:hAnsi="宋体" w:eastAsia="宋体" w:cs="宋体"/>
          <w:i w:val="0"/>
          <w:caps w:val="0"/>
          <w:color w:val="000000"/>
          <w:spacing w:val="0"/>
          <w:sz w:val="24"/>
          <w:szCs w:val="24"/>
          <w:u w:val="none"/>
        </w:rPr>
        <w:t>2.</w:t>
      </w:r>
      <w:r>
        <w:rPr>
          <w:rFonts w:hint="eastAsia" w:ascii="宋体" w:hAnsi="宋体" w:eastAsia="宋体" w:cs="宋体"/>
          <w:i w:val="0"/>
          <w:caps w:val="0"/>
          <w:color w:val="000000"/>
          <w:spacing w:val="0"/>
          <w:sz w:val="24"/>
          <w:szCs w:val="24"/>
          <w:u w:val="none"/>
          <w:lang w:val="en-US" w:eastAsia="zh-CN"/>
        </w:rPr>
        <w:t>6</w:t>
      </w:r>
      <w:r>
        <w:rPr>
          <w:rFonts w:hint="eastAsia" w:ascii="宋体" w:hAnsi="宋体" w:eastAsia="宋体" w:cs="宋体"/>
          <w:i w:val="0"/>
          <w:caps w:val="0"/>
          <w:color w:val="000000"/>
          <w:spacing w:val="0"/>
          <w:sz w:val="24"/>
          <w:szCs w:val="24"/>
          <w:u w:val="none"/>
        </w:rPr>
        <w:t>.1标配CO</w:t>
      </w:r>
      <w:r>
        <w:rPr>
          <w:rFonts w:hint="eastAsia" w:ascii="宋体" w:hAnsi="宋体" w:eastAsia="宋体" w:cs="宋体"/>
          <w:i w:val="0"/>
          <w:caps w:val="0"/>
          <w:color w:val="000000"/>
          <w:spacing w:val="0"/>
          <w:sz w:val="24"/>
          <w:szCs w:val="24"/>
          <w:u w:val="none"/>
          <w:vertAlign w:val="subscript"/>
        </w:rPr>
        <w:t>2</w:t>
      </w:r>
      <w:r>
        <w:rPr>
          <w:rFonts w:hint="eastAsia" w:ascii="宋体" w:hAnsi="宋体" w:eastAsia="宋体" w:cs="宋体"/>
          <w:i w:val="0"/>
          <w:caps w:val="0"/>
          <w:color w:val="000000"/>
          <w:spacing w:val="0"/>
          <w:sz w:val="24"/>
          <w:szCs w:val="24"/>
          <w:u w:val="none"/>
        </w:rPr>
        <w:t>模块</w:t>
      </w:r>
      <w:r>
        <w:rPr>
          <w:rFonts w:hint="eastAsia" w:ascii="宋体" w:hAnsi="宋体" w:eastAsia="宋体" w:cs="宋体"/>
          <w:i w:val="0"/>
          <w:caps w:val="0"/>
          <w:color w:val="000000"/>
          <w:spacing w:val="0"/>
          <w:sz w:val="24"/>
          <w:szCs w:val="24"/>
          <w:u w:val="none"/>
          <w:lang w:eastAsia="zh-CN"/>
        </w:rPr>
        <w:t>，配置</w:t>
      </w:r>
      <w:r>
        <w:rPr>
          <w:rFonts w:hint="eastAsia" w:ascii="宋体" w:hAnsi="宋体" w:eastAsia="宋体" w:cs="宋体"/>
          <w:i w:val="0"/>
          <w:caps w:val="0"/>
          <w:color w:val="000000"/>
          <w:spacing w:val="0"/>
          <w:sz w:val="24"/>
          <w:szCs w:val="24"/>
          <w:u w:val="none"/>
          <w:lang w:val="en-US" w:eastAsia="zh-CN"/>
        </w:rPr>
        <w:t>10套积水杯</w:t>
      </w:r>
    </w:p>
    <w:p w14:paraId="5AC11066">
      <w:pPr>
        <w:pStyle w:val="31"/>
        <w:widowControl/>
        <w:spacing w:beforeAutospacing="0" w:after="120" w:afterAutospacing="0" w:line="27" w:lineRule="atLeast"/>
        <w:ind w:right="0"/>
        <w:jc w:val="both"/>
        <w:rPr>
          <w:rFonts w:hint="eastAsia" w:ascii="宋体" w:hAnsi="宋体" w:eastAsia="宋体" w:cs="宋体"/>
          <w:i w:val="0"/>
          <w:caps w:val="0"/>
          <w:color w:val="auto"/>
          <w:spacing w:val="0"/>
          <w:sz w:val="24"/>
          <w:szCs w:val="24"/>
          <w:u w:val="none"/>
        </w:rPr>
      </w:pPr>
      <w:r>
        <w:rPr>
          <w:rFonts w:hint="eastAsia" w:ascii="宋体" w:hAnsi="宋体" w:eastAsia="宋体" w:cs="宋体"/>
          <w:i w:val="0"/>
          <w:caps w:val="0"/>
          <w:color w:val="auto"/>
          <w:spacing w:val="0"/>
          <w:sz w:val="24"/>
          <w:szCs w:val="24"/>
          <w:u w:val="none"/>
        </w:rPr>
        <w:t>2.7</w:t>
      </w:r>
      <w:r>
        <w:rPr>
          <w:rFonts w:hint="eastAsia" w:ascii="宋体" w:hAnsi="宋体" w:eastAsia="宋体" w:cs="宋体"/>
          <w:i w:val="0"/>
          <w:caps w:val="0"/>
          <w:color w:val="auto"/>
          <w:spacing w:val="0"/>
          <w:sz w:val="24"/>
          <w:szCs w:val="24"/>
          <w:u w:val="none"/>
          <w:lang w:val="en-US" w:eastAsia="zh-CN"/>
        </w:rPr>
        <w:t>.1★</w:t>
      </w:r>
      <w:r>
        <w:rPr>
          <w:rFonts w:hint="eastAsia" w:ascii="宋体" w:hAnsi="宋体" w:eastAsia="宋体" w:cs="宋体"/>
          <w:i w:val="0"/>
          <w:caps w:val="0"/>
          <w:color w:val="auto"/>
          <w:spacing w:val="0"/>
          <w:sz w:val="24"/>
          <w:szCs w:val="24"/>
          <w:u w:val="none"/>
        </w:rPr>
        <w:t>配置麻醉深度监测模块、配置</w:t>
      </w:r>
      <w:r>
        <w:rPr>
          <w:rFonts w:hint="eastAsia" w:ascii="宋体" w:hAnsi="宋体" w:eastAsia="宋体" w:cs="宋体"/>
          <w:i w:val="0"/>
          <w:caps w:val="0"/>
          <w:color w:val="auto"/>
          <w:spacing w:val="0"/>
          <w:sz w:val="24"/>
          <w:szCs w:val="24"/>
          <w:u w:val="none"/>
          <w:lang w:eastAsia="zh-CN"/>
        </w:rPr>
        <w:t>500</w:t>
      </w:r>
      <w:r>
        <w:rPr>
          <w:rFonts w:hint="eastAsia" w:ascii="宋体" w:hAnsi="宋体" w:eastAsia="宋体" w:cs="宋体"/>
          <w:i w:val="0"/>
          <w:caps w:val="0"/>
          <w:color w:val="auto"/>
          <w:spacing w:val="0"/>
          <w:sz w:val="24"/>
          <w:szCs w:val="24"/>
          <w:u w:val="none"/>
        </w:rPr>
        <w:t>人份电极片</w:t>
      </w:r>
    </w:p>
    <w:p w14:paraId="066C5164">
      <w:pPr>
        <w:pStyle w:val="31"/>
        <w:widowControl/>
        <w:spacing w:beforeAutospacing="0" w:after="120" w:afterAutospacing="0" w:line="27" w:lineRule="atLeast"/>
        <w:ind w:right="0"/>
        <w:jc w:val="both"/>
        <w:rPr>
          <w:rFonts w:hint="eastAsia" w:ascii="宋体" w:hAnsi="宋体" w:eastAsia="宋体" w:cs="宋体"/>
          <w:i w:val="0"/>
          <w:caps w:val="0"/>
          <w:color w:val="auto"/>
          <w:spacing w:val="0"/>
          <w:sz w:val="24"/>
          <w:szCs w:val="24"/>
          <w:u w:val="none"/>
          <w:lang w:val="en-US" w:eastAsia="zh-CN"/>
        </w:rPr>
      </w:pPr>
      <w:r>
        <w:rPr>
          <w:rFonts w:hint="eastAsia" w:ascii="宋体" w:hAnsi="宋体" w:eastAsia="宋体" w:cs="宋体"/>
          <w:i w:val="0"/>
          <w:caps w:val="0"/>
          <w:color w:val="auto"/>
          <w:spacing w:val="0"/>
          <w:sz w:val="24"/>
          <w:szCs w:val="24"/>
          <w:u w:val="none"/>
          <w:lang w:val="en-US" w:eastAsia="zh-CN"/>
        </w:rPr>
        <w:t>2.8.1标配主动式麻醉废气排放装置（AGSS）.</w:t>
      </w:r>
    </w:p>
    <w:p w14:paraId="22DE797D">
      <w:pPr>
        <w:pStyle w:val="31"/>
        <w:widowControl/>
        <w:spacing w:beforeAutospacing="0" w:after="120" w:afterAutospacing="0" w:line="27" w:lineRule="atLeast"/>
        <w:ind w:right="0"/>
        <w:jc w:val="both"/>
        <w:rPr>
          <w:rFonts w:hint="eastAsia" w:ascii="宋体" w:hAnsi="宋体" w:eastAsia="宋体" w:cs="宋体"/>
          <w:i w:val="0"/>
          <w:caps w:val="0"/>
          <w:color w:val="auto"/>
          <w:spacing w:val="0"/>
          <w:sz w:val="24"/>
          <w:szCs w:val="24"/>
          <w:u w:val="none"/>
          <w:lang w:val="en-US" w:eastAsia="zh-CN"/>
        </w:rPr>
      </w:pPr>
      <w:r>
        <w:rPr>
          <w:rFonts w:hint="eastAsia" w:ascii="宋体" w:hAnsi="宋体" w:eastAsia="宋体" w:cs="宋体"/>
          <w:i w:val="0"/>
          <w:caps w:val="0"/>
          <w:color w:val="auto"/>
          <w:spacing w:val="0"/>
          <w:sz w:val="24"/>
          <w:szCs w:val="24"/>
          <w:u w:val="none"/>
          <w:lang w:val="en-US" w:eastAsia="zh-CN"/>
        </w:rPr>
        <w:t>2.9.1通气模式：标配手动/自主、容量控制模式、压力控制模式，同步间歇指令模式SIMV,SIMV-PVC/AG,待机。</w:t>
      </w:r>
    </w:p>
    <w:p w14:paraId="6C060F37">
      <w:pPr>
        <w:pStyle w:val="31"/>
        <w:widowControl/>
        <w:spacing w:beforeAutospacing="0" w:after="120" w:afterAutospacing="0" w:line="21" w:lineRule="atLeast"/>
        <w:ind w:left="0" w:right="0" w:firstLine="0"/>
        <w:jc w:val="both"/>
        <w:rPr>
          <w:rFonts w:hint="eastAsia" w:ascii="宋体" w:hAnsi="宋体" w:eastAsia="宋体" w:cs="宋体"/>
          <w:b/>
          <w:i w:val="0"/>
          <w:caps w:val="0"/>
          <w:color w:val="auto"/>
          <w:spacing w:val="0"/>
          <w:sz w:val="24"/>
          <w:szCs w:val="24"/>
          <w:u w:val="none"/>
        </w:rPr>
      </w:pPr>
      <w:r>
        <w:rPr>
          <w:rFonts w:hint="eastAsia" w:ascii="宋体" w:hAnsi="宋体" w:eastAsia="宋体" w:cs="宋体"/>
          <w:i w:val="0"/>
          <w:caps w:val="0"/>
          <w:color w:val="auto"/>
          <w:spacing w:val="0"/>
          <w:sz w:val="24"/>
          <w:szCs w:val="24"/>
          <w:u w:val="none"/>
        </w:rPr>
        <w:t>监护仪技术要求</w:t>
      </w:r>
      <w:r>
        <w:rPr>
          <w:rFonts w:hint="eastAsia" w:ascii="宋体" w:hAnsi="宋体" w:eastAsia="宋体" w:cs="宋体"/>
          <w:i w:val="0"/>
          <w:caps w:val="0"/>
          <w:color w:val="auto"/>
          <w:spacing w:val="0"/>
          <w:sz w:val="24"/>
          <w:szCs w:val="24"/>
          <w:u w:val="none"/>
          <w:lang w:eastAsia="zh-CN"/>
        </w:rPr>
        <w:t>，</w:t>
      </w:r>
      <w:r>
        <w:rPr>
          <w:rFonts w:hint="eastAsia" w:ascii="宋体" w:hAnsi="宋体" w:eastAsia="宋体" w:cs="宋体"/>
          <w:b/>
          <w:i w:val="0"/>
          <w:caps w:val="0"/>
          <w:color w:val="auto"/>
          <w:spacing w:val="0"/>
          <w:sz w:val="24"/>
          <w:szCs w:val="24"/>
          <w:u w:val="none"/>
        </w:rPr>
        <w:t>监护仪结构：</w:t>
      </w:r>
    </w:p>
    <w:p w14:paraId="085B8CEA">
      <w:pPr>
        <w:widowControl/>
        <w:spacing w:beforeAutospacing="0" w:after="0" w:afterAutospacing="0" w:line="27" w:lineRule="atLeast"/>
        <w:ind w:left="525" w:right="0" w:firstLine="0"/>
        <w:jc w:val="both"/>
        <w:rPr>
          <w:rFonts w:hint="eastAsia" w:ascii="宋体" w:hAnsi="宋体" w:eastAsia="宋体" w:cs="宋体"/>
          <w:i w:val="0"/>
          <w:caps w:val="0"/>
          <w:color w:val="auto"/>
          <w:spacing w:val="0"/>
          <w:kern w:val="2"/>
          <w:sz w:val="24"/>
          <w:szCs w:val="24"/>
          <w:u w:val="none"/>
          <w:lang w:val="en-US" w:eastAsia="zh-CN" w:bidi="ar-SA"/>
        </w:rPr>
      </w:pPr>
      <w:r>
        <w:rPr>
          <w:rFonts w:hint="eastAsia" w:ascii="宋体" w:hAnsi="宋体" w:eastAsia="宋体" w:cs="宋体"/>
          <w:i w:val="0"/>
          <w:caps w:val="0"/>
          <w:color w:val="auto"/>
          <w:spacing w:val="0"/>
          <w:kern w:val="2"/>
          <w:sz w:val="24"/>
          <w:szCs w:val="24"/>
          <w:u w:val="none"/>
          <w:lang w:val="en-US" w:eastAsia="zh-CN" w:bidi="ar-SA"/>
        </w:rPr>
        <w:t>1. 模块化插件式监护仪，主机、显示屏和插件槽一体化设计，主机插槽数≥6个</w:t>
      </w:r>
    </w:p>
    <w:p w14:paraId="5B8CEC76">
      <w:pPr>
        <w:widowControl/>
        <w:spacing w:beforeAutospacing="0" w:after="0" w:afterAutospacing="0" w:line="27" w:lineRule="atLeast"/>
        <w:ind w:left="525" w:right="0" w:firstLine="0"/>
        <w:jc w:val="both"/>
        <w:rPr>
          <w:rFonts w:hint="eastAsia" w:ascii="宋体" w:hAnsi="宋体" w:eastAsia="宋体" w:cs="宋体"/>
          <w:i w:val="0"/>
          <w:caps w:val="0"/>
          <w:color w:val="auto"/>
          <w:spacing w:val="0"/>
          <w:kern w:val="2"/>
          <w:sz w:val="24"/>
          <w:szCs w:val="24"/>
          <w:u w:val="none"/>
          <w:lang w:val="en-US" w:eastAsia="zh-CN" w:bidi="ar-SA"/>
        </w:rPr>
      </w:pPr>
      <w:r>
        <w:rPr>
          <w:rFonts w:hint="eastAsia" w:ascii="宋体" w:hAnsi="宋体" w:eastAsia="宋体" w:cs="宋体"/>
          <w:i w:val="0"/>
          <w:caps w:val="0"/>
          <w:color w:val="auto"/>
          <w:spacing w:val="0"/>
          <w:kern w:val="2"/>
          <w:sz w:val="24"/>
          <w:szCs w:val="24"/>
          <w:u w:val="none"/>
          <w:lang w:val="en-US" w:eastAsia="zh-CN" w:bidi="ar-SA"/>
        </w:rPr>
        <w:t>2. 监护仪主机（非辅助插件箱）每个槽位均具备插件模块红外通讯接口以及金属硬件通讯接口（非供电接口），保证模块通讯速率及稳定性，提供监护仪主机插槽图片证明</w:t>
      </w:r>
    </w:p>
    <w:p w14:paraId="6C7D2836">
      <w:pPr>
        <w:widowControl/>
        <w:spacing w:beforeAutospacing="0" w:after="0" w:afterAutospacing="0" w:line="27" w:lineRule="atLeast"/>
        <w:ind w:left="525" w:right="0" w:firstLine="0"/>
        <w:jc w:val="both"/>
        <w:rPr>
          <w:rFonts w:hint="eastAsia" w:ascii="宋体" w:hAnsi="宋体" w:eastAsia="宋体" w:cs="宋体"/>
          <w:i w:val="0"/>
          <w:caps w:val="0"/>
          <w:color w:val="auto"/>
          <w:spacing w:val="0"/>
          <w:kern w:val="2"/>
          <w:sz w:val="24"/>
          <w:szCs w:val="24"/>
          <w:u w:val="none"/>
          <w:lang w:val="en-US" w:eastAsia="zh-CN" w:bidi="ar-SA"/>
        </w:rPr>
      </w:pPr>
      <w:r>
        <w:rPr>
          <w:rFonts w:hint="eastAsia" w:ascii="宋体" w:hAnsi="宋体" w:eastAsia="宋体" w:cs="宋体"/>
          <w:i w:val="0"/>
          <w:caps w:val="0"/>
          <w:color w:val="auto"/>
          <w:spacing w:val="0"/>
          <w:kern w:val="2"/>
          <w:sz w:val="24"/>
          <w:szCs w:val="24"/>
          <w:u w:val="none"/>
          <w:lang w:val="en-US" w:eastAsia="zh-CN" w:bidi="ar-SA"/>
        </w:rPr>
        <w:t>3、≥15寸彩色触摸屏，分辨率≥1920×1080像素，≥10通道显示，显示屏亮度自动调节，屏幕支持手势滑动操作，支持穿戴医用防护手套操作</w:t>
      </w:r>
    </w:p>
    <w:p w14:paraId="52CEA551">
      <w:pPr>
        <w:widowControl/>
        <w:spacing w:beforeAutospacing="0" w:after="0" w:afterAutospacing="0" w:line="27" w:lineRule="atLeast"/>
        <w:ind w:left="525" w:right="0" w:firstLine="0"/>
        <w:jc w:val="both"/>
        <w:rPr>
          <w:rFonts w:hint="eastAsia" w:ascii="宋体" w:hAnsi="宋体" w:eastAsia="宋体" w:cs="宋体"/>
          <w:i w:val="0"/>
          <w:caps w:val="0"/>
          <w:color w:val="auto"/>
          <w:spacing w:val="0"/>
          <w:kern w:val="2"/>
          <w:sz w:val="24"/>
          <w:szCs w:val="24"/>
          <w:u w:val="none"/>
          <w:lang w:val="en-US" w:eastAsia="zh-CN" w:bidi="ar-SA"/>
        </w:rPr>
      </w:pPr>
      <w:r>
        <w:rPr>
          <w:rFonts w:hint="eastAsia" w:ascii="宋体" w:hAnsi="宋体" w:eastAsia="宋体" w:cs="宋体"/>
          <w:i w:val="0"/>
          <w:caps w:val="0"/>
          <w:color w:val="auto"/>
          <w:spacing w:val="0"/>
          <w:kern w:val="2"/>
          <w:sz w:val="24"/>
          <w:szCs w:val="24"/>
          <w:u w:val="none"/>
          <w:lang w:val="en-US" w:eastAsia="zh-CN" w:bidi="ar-SA"/>
        </w:rPr>
        <w:t>4. 采用无风扇设计</w:t>
      </w:r>
    </w:p>
    <w:p w14:paraId="5AFCB131">
      <w:pPr>
        <w:widowControl/>
        <w:spacing w:beforeAutospacing="0" w:after="0" w:afterAutospacing="0" w:line="27" w:lineRule="atLeast"/>
        <w:ind w:left="525" w:right="0" w:firstLine="0"/>
        <w:jc w:val="both"/>
        <w:rPr>
          <w:rFonts w:hint="eastAsia" w:ascii="宋体" w:hAnsi="宋体" w:eastAsia="宋体" w:cs="宋体"/>
          <w:i w:val="0"/>
          <w:caps w:val="0"/>
          <w:color w:val="auto"/>
          <w:spacing w:val="0"/>
          <w:kern w:val="2"/>
          <w:sz w:val="24"/>
          <w:szCs w:val="24"/>
          <w:u w:val="none"/>
          <w:lang w:val="en-US" w:eastAsia="zh-CN" w:bidi="ar-SA"/>
        </w:rPr>
      </w:pPr>
      <w:r>
        <w:rPr>
          <w:rFonts w:hint="eastAsia" w:ascii="宋体" w:hAnsi="宋体" w:eastAsia="宋体" w:cs="宋体"/>
          <w:i w:val="0"/>
          <w:caps w:val="0"/>
          <w:color w:val="auto"/>
          <w:spacing w:val="0"/>
          <w:kern w:val="2"/>
          <w:sz w:val="24"/>
          <w:szCs w:val="24"/>
          <w:u w:val="none"/>
          <w:lang w:val="en-US" w:eastAsia="zh-CN" w:bidi="ar-SA"/>
        </w:rPr>
        <w:t>5. 内置高能锂电池，供电时间≥1.5小时</w:t>
      </w:r>
    </w:p>
    <w:p w14:paraId="3F829299">
      <w:pPr>
        <w:widowControl/>
        <w:spacing w:beforeAutospacing="0" w:after="0" w:afterAutospacing="0" w:line="27" w:lineRule="atLeast"/>
        <w:ind w:left="525" w:right="0" w:firstLine="0"/>
        <w:jc w:val="both"/>
        <w:rPr>
          <w:rFonts w:hint="eastAsia" w:ascii="宋体" w:hAnsi="宋体" w:eastAsia="宋体" w:cs="宋体"/>
          <w:i w:val="0"/>
          <w:caps w:val="0"/>
          <w:color w:val="auto"/>
          <w:spacing w:val="0"/>
          <w:kern w:val="2"/>
          <w:sz w:val="24"/>
          <w:szCs w:val="24"/>
          <w:u w:val="none"/>
          <w:lang w:val="en-US" w:eastAsia="zh-CN" w:bidi="ar-SA"/>
        </w:rPr>
      </w:pPr>
      <w:r>
        <w:rPr>
          <w:rFonts w:hint="eastAsia" w:ascii="宋体" w:hAnsi="宋体" w:eastAsia="宋体" w:cs="宋体"/>
          <w:i w:val="0"/>
          <w:caps w:val="0"/>
          <w:color w:val="auto"/>
          <w:spacing w:val="0"/>
          <w:kern w:val="2"/>
          <w:sz w:val="24"/>
          <w:szCs w:val="24"/>
          <w:u w:val="none"/>
          <w:lang w:val="en-US" w:eastAsia="zh-CN" w:bidi="ar-SA"/>
        </w:rPr>
        <w:t>6.  配</w:t>
      </w:r>
      <w:r>
        <w:rPr>
          <w:rFonts w:hint="eastAsia" w:ascii="宋体" w:hAnsi="宋体" w:eastAsia="宋体" w:cs="宋体"/>
          <w:i w:val="0"/>
          <w:caps w:val="0"/>
          <w:color w:val="000000"/>
          <w:spacing w:val="0"/>
          <w:sz w:val="24"/>
          <w:szCs w:val="24"/>
          <w:u w:val="none"/>
        </w:rPr>
        <w:t>CO</w:t>
      </w:r>
      <w:r>
        <w:rPr>
          <w:rFonts w:hint="eastAsia" w:ascii="宋体" w:hAnsi="宋体" w:eastAsia="宋体" w:cs="宋体"/>
          <w:i w:val="0"/>
          <w:caps w:val="0"/>
          <w:color w:val="000000"/>
          <w:spacing w:val="0"/>
          <w:sz w:val="24"/>
          <w:szCs w:val="24"/>
          <w:u w:val="none"/>
          <w:vertAlign w:val="subscript"/>
        </w:rPr>
        <w:t>2</w:t>
      </w:r>
      <w:r>
        <w:rPr>
          <w:rFonts w:hint="eastAsia" w:ascii="宋体" w:hAnsi="宋体" w:eastAsia="宋体" w:cs="宋体"/>
          <w:i w:val="0"/>
          <w:caps w:val="0"/>
          <w:color w:val="auto"/>
          <w:spacing w:val="0"/>
          <w:kern w:val="2"/>
          <w:sz w:val="24"/>
          <w:szCs w:val="24"/>
          <w:u w:val="none"/>
          <w:lang w:val="en-US" w:eastAsia="zh-CN" w:bidi="ar-SA"/>
        </w:rPr>
        <w:t>模块，</w:t>
      </w:r>
      <w:r>
        <w:rPr>
          <w:rFonts w:hint="eastAsia" w:ascii="宋体" w:hAnsi="宋体" w:eastAsia="宋体" w:cs="宋体"/>
          <w:i w:val="0"/>
          <w:caps w:val="0"/>
          <w:color w:val="auto"/>
          <w:spacing w:val="0"/>
          <w:sz w:val="24"/>
          <w:szCs w:val="24"/>
          <w:u w:val="none"/>
          <w:lang w:eastAsia="zh-CN"/>
        </w:rPr>
        <w:t>配置</w:t>
      </w:r>
      <w:r>
        <w:rPr>
          <w:rFonts w:hint="eastAsia" w:ascii="宋体" w:hAnsi="宋体" w:eastAsia="宋体" w:cs="宋体"/>
          <w:i w:val="0"/>
          <w:caps w:val="0"/>
          <w:color w:val="auto"/>
          <w:spacing w:val="0"/>
          <w:sz w:val="24"/>
          <w:szCs w:val="24"/>
          <w:u w:val="none"/>
          <w:lang w:val="en-US" w:eastAsia="zh-CN"/>
        </w:rPr>
        <w:t>10套积水杯</w:t>
      </w:r>
    </w:p>
    <w:p w14:paraId="0E38CD2A">
      <w:pPr>
        <w:pStyle w:val="31"/>
        <w:widowControl/>
        <w:spacing w:beforeAutospacing="0" w:after="120" w:afterAutospacing="0" w:line="27" w:lineRule="atLeast"/>
        <w:ind w:left="0" w:right="0" w:firstLine="0"/>
        <w:jc w:val="both"/>
        <w:rPr>
          <w:rFonts w:hint="eastAsia" w:ascii="宋体" w:hAnsi="宋体" w:eastAsia="宋体" w:cs="宋体"/>
          <w:i w:val="0"/>
          <w:caps w:val="0"/>
          <w:color w:val="auto"/>
          <w:spacing w:val="0"/>
          <w:kern w:val="2"/>
          <w:sz w:val="24"/>
          <w:szCs w:val="24"/>
          <w:u w:val="none"/>
          <w:lang w:val="en-US" w:eastAsia="zh-CN" w:bidi="ar-SA"/>
        </w:rPr>
      </w:pPr>
      <w:r>
        <w:rPr>
          <w:rFonts w:hint="eastAsia" w:ascii="宋体" w:hAnsi="宋体" w:eastAsia="宋体" w:cs="宋体"/>
          <w:i w:val="0"/>
          <w:caps w:val="0"/>
          <w:color w:val="auto"/>
          <w:spacing w:val="0"/>
          <w:kern w:val="2"/>
          <w:sz w:val="24"/>
          <w:szCs w:val="24"/>
          <w:u w:val="none"/>
          <w:lang w:val="en-US" w:eastAsia="zh-CN" w:bidi="ar-SA"/>
        </w:rPr>
        <w:t>监测参数：</w:t>
      </w:r>
    </w:p>
    <w:p w14:paraId="5DC9562E">
      <w:pPr>
        <w:widowControl/>
        <w:numPr>
          <w:ilvl w:val="0"/>
          <w:numId w:val="11"/>
        </w:numPr>
        <w:spacing w:beforeAutospacing="0" w:after="0" w:afterAutospacing="0" w:line="27" w:lineRule="atLeast"/>
        <w:ind w:left="525" w:right="0" w:firstLine="0"/>
        <w:jc w:val="both"/>
        <w:rPr>
          <w:rFonts w:hint="eastAsia" w:ascii="宋体" w:hAnsi="宋体" w:eastAsia="宋体" w:cs="宋体"/>
          <w:i w:val="0"/>
          <w:caps w:val="0"/>
          <w:color w:val="auto"/>
          <w:spacing w:val="0"/>
          <w:kern w:val="2"/>
          <w:sz w:val="24"/>
          <w:szCs w:val="24"/>
          <w:u w:val="none"/>
          <w:lang w:val="en-US" w:eastAsia="zh-CN" w:bidi="ar-SA"/>
        </w:rPr>
      </w:pPr>
      <w:r>
        <w:rPr>
          <w:rFonts w:hint="eastAsia" w:ascii="宋体" w:hAnsi="宋体" w:eastAsia="宋体" w:cs="宋体"/>
          <w:i w:val="0"/>
          <w:caps w:val="0"/>
          <w:color w:val="auto"/>
          <w:spacing w:val="0"/>
          <w:kern w:val="2"/>
          <w:sz w:val="24"/>
          <w:szCs w:val="24"/>
          <w:u w:val="none"/>
          <w:lang w:val="en-US" w:eastAsia="zh-CN" w:bidi="ar-SA"/>
        </w:rPr>
        <w:t> 基本功能模块支持心电，呼吸，心率，无创血压，血氧饱和度，脉搏，双通道体温和双通道有创血压的同时监测.</w:t>
      </w:r>
    </w:p>
    <w:p w14:paraId="12011852">
      <w:pPr>
        <w:widowControl/>
        <w:numPr>
          <w:ilvl w:val="0"/>
          <w:numId w:val="11"/>
        </w:numPr>
        <w:spacing w:beforeAutospacing="0" w:after="0" w:afterAutospacing="0" w:line="27" w:lineRule="atLeast"/>
        <w:ind w:left="525" w:right="0" w:firstLine="0"/>
        <w:jc w:val="both"/>
        <w:rPr>
          <w:rFonts w:hint="eastAsia" w:ascii="宋体" w:hAnsi="宋体" w:eastAsia="宋体" w:cs="宋体"/>
          <w:i w:val="0"/>
          <w:caps w:val="0"/>
          <w:color w:val="auto"/>
          <w:spacing w:val="0"/>
          <w:kern w:val="2"/>
          <w:sz w:val="24"/>
          <w:szCs w:val="24"/>
          <w:u w:val="none"/>
          <w:lang w:val="en-US" w:eastAsia="zh-CN" w:bidi="ar-SA"/>
        </w:rPr>
      </w:pPr>
      <w:r>
        <w:rPr>
          <w:rFonts w:hint="eastAsia" w:ascii="宋体" w:hAnsi="宋体" w:eastAsia="宋体" w:cs="宋体"/>
          <w:i w:val="0"/>
          <w:caps w:val="0"/>
          <w:color w:val="auto"/>
          <w:spacing w:val="0"/>
          <w:sz w:val="24"/>
          <w:szCs w:val="24"/>
          <w:u w:val="none"/>
          <w:lang w:val="en-US" w:eastAsia="zh-CN"/>
        </w:rPr>
        <w:t>▲</w:t>
      </w:r>
      <w:r>
        <w:rPr>
          <w:rFonts w:hint="eastAsia" w:ascii="宋体" w:hAnsi="宋体" w:eastAsia="宋体" w:cs="宋体"/>
          <w:i w:val="0"/>
          <w:caps w:val="0"/>
          <w:color w:val="auto"/>
          <w:spacing w:val="0"/>
          <w:kern w:val="2"/>
          <w:sz w:val="24"/>
          <w:szCs w:val="24"/>
          <w:u w:val="none"/>
          <w:lang w:val="en-US" w:eastAsia="zh-CN" w:bidi="ar-SA"/>
        </w:rPr>
        <w:t>配套血氧、血压、体温、有创压、心电导联线2套。</w:t>
      </w:r>
    </w:p>
    <w:p w14:paraId="3B5E1994">
      <w:pPr>
        <w:ind w:firstLine="480" w:firstLineChars="200"/>
        <w:rPr>
          <w:rFonts w:hint="eastAsia" w:ascii="宋体" w:hAnsi="宋体" w:eastAsia="宋体" w:cs="宋体"/>
          <w:color w:val="auto"/>
          <w:sz w:val="24"/>
          <w:szCs w:val="24"/>
          <w:u w:val="none"/>
        </w:rPr>
      </w:pPr>
      <w:r>
        <w:rPr>
          <w:rFonts w:hint="eastAsia" w:ascii="宋体" w:hAnsi="宋体" w:eastAsia="宋体" w:cs="宋体"/>
          <w:i w:val="0"/>
          <w:caps w:val="0"/>
          <w:color w:val="auto"/>
          <w:spacing w:val="0"/>
          <w:kern w:val="2"/>
          <w:sz w:val="24"/>
          <w:szCs w:val="24"/>
          <w:u w:val="none"/>
          <w:lang w:val="en-US" w:eastAsia="zh-CN" w:bidi="ar-SA"/>
        </w:rPr>
        <w:t>9、★整机质保3年，制造商提供承诺，加盖公章。</w:t>
      </w:r>
      <w:r>
        <w:rPr>
          <w:rFonts w:hint="eastAsia" w:ascii="宋体" w:hAnsi="宋体" w:eastAsia="宋体" w:cs="宋体"/>
          <w:b w:val="0"/>
          <w:bCs w:val="0"/>
          <w:color w:val="auto"/>
          <w:sz w:val="24"/>
          <w:szCs w:val="24"/>
          <w:u w:val="none"/>
          <w:lang w:val="en-US" w:eastAsia="zh-CN"/>
        </w:rPr>
        <w:t>设备首检费用由中标人承担。</w:t>
      </w:r>
    </w:p>
    <w:p w14:paraId="40499F4C">
      <w:pPr>
        <w:rPr>
          <w:rFonts w:hint="default" w:ascii="宋体" w:hAnsi="宋体" w:eastAsia="宋体" w:cs="宋体"/>
          <w:color w:val="000000" w:themeColor="text1"/>
          <w:sz w:val="28"/>
          <w:szCs w:val="28"/>
          <w:lang w:val="en-US" w:eastAsia="zh-CN"/>
          <w14:textFill>
            <w14:solidFill>
              <w14:schemeClr w14:val="tx1"/>
            </w14:solidFill>
          </w14:textFill>
        </w:rPr>
      </w:pPr>
    </w:p>
    <w:p w14:paraId="7EC8AC92">
      <w:pPr>
        <w:ind w:right="210"/>
        <w:jc w:val="center"/>
        <w:rPr>
          <w:rFonts w:hint="eastAsia" w:ascii="方正仿宋_GB2312" w:hAnsi="方正仿宋_GB2312" w:eastAsia="方正仿宋_GB2312" w:cs="方正仿宋_GB2312"/>
          <w:b/>
          <w:color w:val="000000" w:themeColor="text1"/>
          <w:sz w:val="30"/>
          <w:szCs w:val="30"/>
          <w:highlight w:val="yellow"/>
          <w14:textFill>
            <w14:solidFill>
              <w14:schemeClr w14:val="tx1"/>
            </w14:solidFill>
          </w14:textFill>
        </w:rPr>
      </w:pPr>
      <w:r>
        <w:rPr>
          <w:rFonts w:hint="eastAsia" w:ascii="方正仿宋_GB2312" w:hAnsi="方正仿宋_GB2312" w:eastAsia="方正仿宋_GB2312" w:cs="方正仿宋_GB2312"/>
          <w:b/>
          <w:color w:val="000000" w:themeColor="text1"/>
          <w:sz w:val="30"/>
          <w:szCs w:val="30"/>
          <w14:textFill>
            <w14:solidFill>
              <w14:schemeClr w14:val="tx1"/>
            </w14:solidFill>
          </w14:textFill>
        </w:rPr>
        <w:t>转运呼吸机</w:t>
      </w:r>
    </w:p>
    <w:p w14:paraId="770AE1A9">
      <w:pP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一、整机与显示要求</w:t>
      </w:r>
    </w:p>
    <w:p w14:paraId="604E8177">
      <w:pPr>
        <w:pStyle w:val="69"/>
        <w:numPr>
          <w:ilvl w:val="0"/>
          <w:numId w:val="12"/>
        </w:numPr>
        <w:ind w:firstLineChars="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适用于成人、小儿和婴幼儿患者通气辅助及呼吸支持。</w:t>
      </w:r>
    </w:p>
    <w:p w14:paraId="58307DB3">
      <w:pPr>
        <w:pStyle w:val="69"/>
        <w:numPr>
          <w:ilvl w:val="0"/>
          <w:numId w:val="12"/>
        </w:numPr>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整机为电动电控设计，涡轮驱动产生空气气源。</w:t>
      </w:r>
    </w:p>
    <w:p w14:paraId="73D72D0E">
      <w:pPr>
        <w:pStyle w:val="69"/>
        <w:numPr>
          <w:ilvl w:val="0"/>
          <w:numId w:val="12"/>
        </w:numPr>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电池续航时间1块电池≥4.5小时</w:t>
      </w:r>
      <w:r>
        <w:rPr>
          <w:rFonts w:hint="eastAsia" w:ascii="宋体" w:hAnsi="宋体" w:eastAsia="宋体" w:cs="宋体"/>
          <w:color w:val="000000" w:themeColor="text1"/>
          <w:sz w:val="24"/>
          <w:szCs w:val="24"/>
          <w:lang w:eastAsia="zh-CN"/>
          <w14:textFill>
            <w14:solidFill>
              <w14:schemeClr w14:val="tx1"/>
            </w14:solidFill>
          </w14:textFill>
        </w:rPr>
        <w:t>，配置</w:t>
      </w:r>
      <w:r>
        <w:rPr>
          <w:rFonts w:hint="eastAsia" w:ascii="宋体" w:hAnsi="宋体" w:eastAsia="宋体" w:cs="宋体"/>
          <w:color w:val="000000" w:themeColor="text1"/>
          <w:sz w:val="24"/>
          <w:szCs w:val="24"/>
          <w:lang w:val="en-US" w:eastAsia="zh-CN"/>
          <w14:textFill>
            <w14:solidFill>
              <w14:schemeClr w14:val="tx1"/>
            </w14:solidFill>
          </w14:textFill>
        </w:rPr>
        <w:t>2块电池</w:t>
      </w:r>
      <w:r>
        <w:rPr>
          <w:rFonts w:hint="eastAsia" w:ascii="宋体" w:hAnsi="宋体" w:eastAsia="宋体" w:cs="宋体"/>
          <w:color w:val="000000" w:themeColor="text1"/>
          <w:sz w:val="24"/>
          <w:szCs w:val="24"/>
          <w14:textFill>
            <w14:solidFill>
              <w14:schemeClr w14:val="tx1"/>
            </w14:solidFill>
          </w14:textFill>
        </w:rPr>
        <w:t>。</w:t>
      </w:r>
    </w:p>
    <w:p w14:paraId="269A7941">
      <w:pPr>
        <w:pStyle w:val="69"/>
        <w:numPr>
          <w:ilvl w:val="0"/>
          <w:numId w:val="12"/>
        </w:numPr>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呼吸机主机重量≤5kg。</w:t>
      </w:r>
    </w:p>
    <w:p w14:paraId="24EF664C">
      <w:pPr>
        <w:pStyle w:val="69"/>
        <w:numPr>
          <w:ilvl w:val="0"/>
          <w:numId w:val="12"/>
        </w:numPr>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吸气峰值流速≥210L/min。</w:t>
      </w:r>
    </w:p>
    <w:p w14:paraId="2066C524">
      <w:pPr>
        <w:pStyle w:val="69"/>
        <w:numPr>
          <w:ilvl w:val="0"/>
          <w:numId w:val="12"/>
        </w:numPr>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配备提拿悬挂一体化多功能把手。</w:t>
      </w:r>
    </w:p>
    <w:p w14:paraId="516D693A">
      <w:pPr>
        <w:pStyle w:val="69"/>
        <w:numPr>
          <w:ilvl w:val="0"/>
          <w:numId w:val="12"/>
        </w:numPr>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配备无消耗氧传感器</w:t>
      </w:r>
      <w:r>
        <w:rPr>
          <w:rFonts w:hint="eastAsia" w:ascii="宋体" w:hAnsi="宋体" w:eastAsia="宋体" w:cs="宋体"/>
          <w:color w:val="000000" w:themeColor="text1"/>
          <w:sz w:val="24"/>
          <w:szCs w:val="24"/>
          <w:lang w:eastAsia="zh-CN"/>
          <w14:textFill>
            <w14:solidFill>
              <w14:schemeClr w14:val="tx1"/>
            </w14:solidFill>
          </w14:textFill>
        </w:rPr>
        <w:t>。</w:t>
      </w:r>
    </w:p>
    <w:p w14:paraId="722539DA">
      <w:pPr>
        <w:pStyle w:val="69"/>
        <w:numPr>
          <w:ilvl w:val="0"/>
          <w:numId w:val="12"/>
        </w:numPr>
        <w:ind w:firstLineChars="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lang w:eastAsia="zh-CN"/>
        </w:rPr>
        <w:t>配转运监护模块最少包含血压，血氧，心电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bCs/>
          <w:color w:val="auto"/>
          <w:sz w:val="24"/>
          <w:szCs w:val="24"/>
          <w:lang w:eastAsia="zh-CN"/>
        </w:rPr>
        <w:t>5寸彩色触摸屏</w:t>
      </w:r>
      <w:r>
        <w:rPr>
          <w:rFonts w:hint="eastAsia" w:ascii="宋体" w:hAnsi="宋体" w:eastAsia="宋体" w:cs="宋体"/>
          <w:b/>
          <w:bCs/>
          <w:color w:val="auto"/>
          <w:sz w:val="24"/>
          <w:szCs w:val="24"/>
        </w:rPr>
        <w:t>。</w:t>
      </w:r>
    </w:p>
    <w:p w14:paraId="59539D6F">
      <w:pPr>
        <w:pStyle w:val="69"/>
        <w:numPr>
          <w:ilvl w:val="0"/>
          <w:numId w:val="12"/>
        </w:numPr>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支持高压氧气气源和低压氧气气源两种方式。</w:t>
      </w:r>
    </w:p>
    <w:p w14:paraId="4518DB72">
      <w:pPr>
        <w:pStyle w:val="69"/>
        <w:numPr>
          <w:ilvl w:val="0"/>
          <w:numId w:val="12"/>
        </w:numPr>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采用≥7英寸彩色电容触摸控制屏，分辨率≥800*480像素，可同时显示波形和监测参数。</w:t>
      </w:r>
    </w:p>
    <w:p w14:paraId="3CC69261">
      <w:pPr>
        <w:pStyle w:val="69"/>
        <w:numPr>
          <w:ilvl w:val="0"/>
          <w:numId w:val="12"/>
        </w:numPr>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具有屏幕亮度自动调节功能，根据环境光线强度自动调节屏幕亮度。</w:t>
      </w:r>
    </w:p>
    <w:p w14:paraId="1A22F0E8">
      <w:pPr>
        <w:pStyle w:val="69"/>
        <w:numPr>
          <w:ilvl w:val="0"/>
          <w:numId w:val="12"/>
        </w:numPr>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具有关机状态下电量显示功能，更加高效掌握机器剩余电量。</w:t>
      </w:r>
    </w:p>
    <w:p w14:paraId="5697EEE9">
      <w:pPr>
        <w:pStyle w:val="69"/>
        <w:numPr>
          <w:ilvl w:val="0"/>
          <w:numId w:val="12"/>
        </w:numPr>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支持显示≥100小时的全部监测参数趋势图、表分析，≥8000条报警和操作日志记录。</w:t>
      </w:r>
    </w:p>
    <w:p w14:paraId="2883B8E1">
      <w:pPr>
        <w:pStyle w:val="69"/>
        <w:numPr>
          <w:ilvl w:val="0"/>
          <w:numId w:val="12"/>
        </w:numPr>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具备截屏U盘导出功能，可缓存≥50张屏幕文件。</w:t>
      </w:r>
    </w:p>
    <w:p w14:paraId="398828DB">
      <w:pPr>
        <w:rPr>
          <w:rFonts w:hint="eastAsia" w:ascii="宋体" w:hAnsi="宋体" w:eastAsia="宋体" w:cs="宋体"/>
          <w:color w:val="000000" w:themeColor="text1"/>
          <w:sz w:val="24"/>
          <w:szCs w:val="24"/>
          <w14:textFill>
            <w14:solidFill>
              <w14:schemeClr w14:val="tx1"/>
            </w14:solidFill>
          </w14:textFill>
        </w:rPr>
      </w:pPr>
    </w:p>
    <w:p w14:paraId="78044495">
      <w:pPr>
        <w:rPr>
          <w:rFonts w:hint="eastAsia" w:ascii="宋体" w:hAnsi="宋体" w:eastAsia="宋体" w:cs="宋体"/>
          <w:b/>
          <w:color w:val="000000" w:themeColor="text1"/>
          <w:sz w:val="24"/>
          <w:szCs w:val="24"/>
          <w14:textFill>
            <w14:solidFill>
              <w14:schemeClr w14:val="tx1"/>
            </w14:solidFill>
          </w14:textFill>
        </w:rPr>
      </w:pPr>
    </w:p>
    <w:p w14:paraId="0C44692B">
      <w:pPr>
        <w:pStyle w:val="69"/>
        <w:numPr>
          <w:ilvl w:val="0"/>
          <w:numId w:val="0"/>
        </w:numPr>
        <w:ind w:leftChars="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二</w:t>
      </w:r>
      <w:r>
        <w:rPr>
          <w:rFonts w:hint="eastAsia" w:ascii="宋体" w:hAnsi="宋体" w:eastAsia="宋体" w:cs="宋体"/>
          <w:b/>
          <w:color w:val="000000" w:themeColor="text1"/>
          <w:sz w:val="24"/>
          <w:szCs w:val="24"/>
          <w14:textFill>
            <w14:solidFill>
              <w14:schemeClr w14:val="tx1"/>
            </w14:solidFill>
          </w14:textFill>
        </w:rPr>
        <w:t>、呼吸模式及功能</w:t>
      </w:r>
    </w:p>
    <w:p w14:paraId="1A9F70CB">
      <w:pPr>
        <w:pStyle w:val="69"/>
        <w:numPr>
          <w:ilvl w:val="0"/>
          <w:numId w:val="13"/>
        </w:numPr>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标配模式：控制/辅助通气模式A/C和同步间歇指令通气SIMV；持续气道正压通气模式/压力支持通气CPAP/PSV、压力调节容量控制-同步间歇指令通气模式（PRVC-SIMV）、心肺复苏通气模式（如CPRV，CPRmode等）。</w:t>
      </w:r>
    </w:p>
    <w:p w14:paraId="14E78761">
      <w:pPr>
        <w:pStyle w:val="69"/>
        <w:numPr>
          <w:ilvl w:val="0"/>
          <w:numId w:val="13"/>
        </w:numPr>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配备无创通气模式和氧疗模式。</w:t>
      </w:r>
    </w:p>
    <w:p w14:paraId="2994D646">
      <w:pPr>
        <w:pStyle w:val="69"/>
        <w:numPr>
          <w:ilvl w:val="0"/>
          <w:numId w:val="13"/>
        </w:numPr>
        <w:ind w:firstLineChars="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呼吸同步技术，自动调节吸气和呼气触发灵敏度、压力上升时间，提高人机同步性和舒适度，减少手动调节参数。</w:t>
      </w:r>
    </w:p>
    <w:p w14:paraId="3F20E9FF">
      <w:pPr>
        <w:pStyle w:val="69"/>
        <w:numPr>
          <w:ilvl w:val="0"/>
          <w:numId w:val="13"/>
        </w:numPr>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标配内源性PEEP、口腔闭合压P0.1和浅快呼吸指数RSBI的测定。</w:t>
      </w:r>
    </w:p>
    <w:p w14:paraId="4FFC82C2">
      <w:pP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三</w:t>
      </w:r>
      <w:r>
        <w:rPr>
          <w:rFonts w:hint="eastAsia" w:ascii="宋体" w:hAnsi="宋体" w:eastAsia="宋体" w:cs="宋体"/>
          <w:b/>
          <w:color w:val="000000" w:themeColor="text1"/>
          <w:sz w:val="24"/>
          <w:szCs w:val="24"/>
          <w14:textFill>
            <w14:solidFill>
              <w14:schemeClr w14:val="tx1"/>
            </w14:solidFill>
          </w14:textFill>
        </w:rPr>
        <w:t>、设置参数</w:t>
      </w:r>
    </w:p>
    <w:p w14:paraId="32307345">
      <w:pPr>
        <w:pStyle w:val="69"/>
        <w:numPr>
          <w:ilvl w:val="0"/>
          <w:numId w:val="14"/>
        </w:numPr>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潮气量：20ml—19</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0ml</w:t>
      </w:r>
    </w:p>
    <w:p w14:paraId="73609EEE">
      <w:pPr>
        <w:pStyle w:val="69"/>
        <w:numPr>
          <w:ilvl w:val="0"/>
          <w:numId w:val="14"/>
        </w:numPr>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吸气压力：1—60 cmH2O</w:t>
      </w:r>
    </w:p>
    <w:p w14:paraId="33805251">
      <w:pPr>
        <w:pStyle w:val="69"/>
        <w:numPr>
          <w:ilvl w:val="0"/>
          <w:numId w:val="14"/>
        </w:numPr>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呼气末正压：0—50 cmH2O</w:t>
      </w:r>
    </w:p>
    <w:p w14:paraId="198906A0">
      <w:pPr>
        <w:pStyle w:val="69"/>
        <w:numPr>
          <w:ilvl w:val="0"/>
          <w:numId w:val="14"/>
        </w:numPr>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吸入氧浓度：21—100%</w:t>
      </w:r>
    </w:p>
    <w:p w14:paraId="26F289A7">
      <w:pPr>
        <w:pStyle w:val="69"/>
        <w:numPr>
          <w:ilvl w:val="0"/>
          <w:numId w:val="14"/>
        </w:numPr>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吸气时间：0.1—10s  </w:t>
      </w:r>
    </w:p>
    <w:p w14:paraId="2F15C69D">
      <w:pPr>
        <w:pStyle w:val="69"/>
        <w:numPr>
          <w:ilvl w:val="0"/>
          <w:numId w:val="14"/>
        </w:numPr>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压力触发灵敏度：-20— - 0.5cmH2O，或 OFF  </w:t>
      </w:r>
    </w:p>
    <w:p w14:paraId="2CC394A8">
      <w:pPr>
        <w:pStyle w:val="69"/>
        <w:numPr>
          <w:ilvl w:val="0"/>
          <w:numId w:val="14"/>
        </w:numPr>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流速触发灵敏度：0.5—20L/ min，或 OFF  </w:t>
      </w:r>
    </w:p>
    <w:p w14:paraId="2214A69F">
      <w:pPr>
        <w:pStyle w:val="69"/>
        <w:numPr>
          <w:ilvl w:val="0"/>
          <w:numId w:val="14"/>
        </w:numPr>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呼气触发灵敏度：Auto, 1—85%  </w:t>
      </w:r>
    </w:p>
    <w:p w14:paraId="477B3A48">
      <w:pPr>
        <w:pStyle w:val="69"/>
        <w:numPr>
          <w:ilvl w:val="0"/>
          <w:numId w:val="14"/>
        </w:numPr>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氧疗流量：2—80L/min</w:t>
      </w:r>
    </w:p>
    <w:p w14:paraId="4447E0A2">
      <w:pP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四</w:t>
      </w:r>
      <w:r>
        <w:rPr>
          <w:rFonts w:hint="eastAsia" w:ascii="宋体" w:hAnsi="宋体" w:eastAsia="宋体" w:cs="宋体"/>
          <w:b/>
          <w:color w:val="000000" w:themeColor="text1"/>
          <w:sz w:val="24"/>
          <w:szCs w:val="24"/>
          <w14:textFill>
            <w14:solidFill>
              <w14:schemeClr w14:val="tx1"/>
            </w14:solidFill>
          </w14:textFill>
        </w:rPr>
        <w:t>、监测参数和报警</w:t>
      </w:r>
    </w:p>
    <w:p w14:paraId="7F1050CB">
      <w:pPr>
        <w:pStyle w:val="69"/>
        <w:numPr>
          <w:ilvl w:val="0"/>
          <w:numId w:val="15"/>
        </w:numPr>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监测参数：氧浓度、分钟通气量、潮气量、气道压力、呼吸频率等关键参数。</w:t>
      </w:r>
    </w:p>
    <w:p w14:paraId="7842B295">
      <w:pPr>
        <w:pStyle w:val="69"/>
        <w:numPr>
          <w:ilvl w:val="0"/>
          <w:numId w:val="15"/>
        </w:numPr>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波形监测：压力—时间、流速—时间、容量—时间和</w:t>
      </w:r>
      <w:r>
        <w:rPr>
          <w:rFonts w:hint="eastAsia" w:ascii="宋体" w:hAnsi="宋体" w:eastAsia="宋体" w:cs="宋体"/>
          <w:i w:val="0"/>
          <w:caps w:val="0"/>
          <w:color w:val="000000"/>
          <w:spacing w:val="0"/>
          <w:sz w:val="24"/>
          <w:szCs w:val="24"/>
          <w:u w:val="none"/>
        </w:rPr>
        <w:t>CO</w:t>
      </w:r>
      <w:r>
        <w:rPr>
          <w:rFonts w:hint="eastAsia" w:ascii="宋体" w:hAnsi="宋体" w:eastAsia="宋体" w:cs="宋体"/>
          <w:i w:val="0"/>
          <w:caps w:val="0"/>
          <w:color w:val="000000"/>
          <w:spacing w:val="0"/>
          <w:sz w:val="24"/>
          <w:szCs w:val="24"/>
          <w:u w:val="none"/>
          <w:vertAlign w:val="subscript"/>
        </w:rPr>
        <w:t>2</w:t>
      </w:r>
      <w:r>
        <w:rPr>
          <w:rFonts w:hint="eastAsia" w:ascii="宋体" w:hAnsi="宋体" w:eastAsia="宋体" w:cs="宋体"/>
          <w:color w:val="000000" w:themeColor="text1"/>
          <w:sz w:val="24"/>
          <w:szCs w:val="24"/>
          <w14:textFill>
            <w14:solidFill>
              <w14:schemeClr w14:val="tx1"/>
            </w14:solidFill>
          </w14:textFill>
        </w:rPr>
        <w:t>—时间波形。</w:t>
      </w:r>
    </w:p>
    <w:p w14:paraId="667A0608">
      <w:pPr>
        <w:pStyle w:val="69"/>
        <w:numPr>
          <w:ilvl w:val="0"/>
          <w:numId w:val="15"/>
        </w:numPr>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报警：潮气量、通气量、压力、呼吸频率、窒息、氧浓度、氧气不足、电量不足、管路脱落、机器故障等。</w:t>
      </w:r>
    </w:p>
    <w:p w14:paraId="34BF4DF8">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五</w:t>
      </w:r>
      <w:r>
        <w:rPr>
          <w:rFonts w:hint="eastAsia" w:ascii="宋体" w:hAnsi="宋体" w:eastAsia="宋体" w:cs="宋体"/>
          <w:b/>
          <w:color w:val="000000" w:themeColor="text1"/>
          <w:sz w:val="24"/>
          <w:szCs w:val="24"/>
          <w14:textFill>
            <w14:solidFill>
              <w14:schemeClr w14:val="tx1"/>
            </w14:solidFill>
          </w14:textFill>
        </w:rPr>
        <w:t>、信息化功能要求</w:t>
      </w:r>
    </w:p>
    <w:p w14:paraId="76C49A5B">
      <w:pPr>
        <w:pStyle w:val="69"/>
        <w:numPr>
          <w:ilvl w:val="0"/>
          <w:numId w:val="16"/>
        </w:numPr>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信息互连：支持多种无线方式灵活将呼吸机数据传输到远程终端，实现患者的远程实时监控，满足转运过程中的信息化的需求。</w:t>
      </w:r>
    </w:p>
    <w:p w14:paraId="16E04614">
      <w:pPr>
        <w:pStyle w:val="69"/>
        <w:numPr>
          <w:ilvl w:val="0"/>
          <w:numId w:val="0"/>
        </w:numPr>
        <w:ind w:left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六、配备硅胶呼吸管路2套，硅胶面罩（含头带）20个，配5L氧气钢瓶2个，快速转换接头4个。</w:t>
      </w:r>
    </w:p>
    <w:p w14:paraId="15AC3EFE">
      <w:pP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color w:val="auto"/>
          <w:sz w:val="24"/>
          <w:szCs w:val="24"/>
          <w:highlight w:val="none"/>
          <w:lang w:val="en-US" w:eastAsia="zh-CN"/>
        </w:rPr>
        <w:t>、</w:t>
      </w:r>
      <w:r>
        <w:rPr>
          <w:rFonts w:hint="eastAsia" w:ascii="宋体" w:hAnsi="宋体" w:eastAsia="宋体" w:cs="宋体"/>
          <w:b/>
          <w:bCs/>
          <w:sz w:val="24"/>
          <w:szCs w:val="24"/>
          <w:lang w:val="en-US" w:eastAsia="zh-CN"/>
        </w:rPr>
        <w:t>整机质保3年，制造商提供承诺，加盖公章</w:t>
      </w:r>
    </w:p>
    <w:p w14:paraId="171B966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eastAsia"/>
          <w:b/>
          <w:bCs/>
          <w:sz w:val="28"/>
          <w:szCs w:val="36"/>
          <w:lang w:val="en-US" w:eastAsia="zh-CN"/>
        </w:rPr>
      </w:pPr>
    </w:p>
    <w:p w14:paraId="3BFFE5A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eastAsia"/>
          <w:b/>
          <w:bCs/>
          <w:sz w:val="28"/>
          <w:szCs w:val="36"/>
          <w:lang w:val="en-US" w:eastAsia="zh-CN"/>
        </w:rPr>
      </w:pPr>
      <w:r>
        <w:rPr>
          <w:rFonts w:hint="eastAsia"/>
          <w:b/>
          <w:bCs/>
          <w:sz w:val="28"/>
          <w:szCs w:val="36"/>
          <w:lang w:val="en-US" w:eastAsia="zh-CN"/>
        </w:rPr>
        <w:t>第三包</w:t>
      </w:r>
    </w:p>
    <w:p w14:paraId="20F5679C">
      <w:pPr>
        <w:spacing w:line="440" w:lineRule="exact"/>
        <w:ind w:firstLine="562"/>
        <w:jc w:val="center"/>
        <w:rPr>
          <w:rFonts w:ascii="思源黑体 CN Bold" w:hAnsi="思源黑体 CN Bold" w:eastAsia="思源黑体 CN Bold" w:cs="思源黑体 CN Bold"/>
          <w:b/>
          <w:bCs/>
        </w:rPr>
      </w:pPr>
      <w:r>
        <w:rPr>
          <w:rFonts w:hint="eastAsia" w:ascii="思源黑体 CN Bold" w:hAnsi="思源黑体 CN Bold" w:eastAsia="思源黑体 CN Bold" w:cs="思源黑体 CN Bold"/>
          <w:b/>
          <w:bCs/>
          <w:sz w:val="28"/>
          <w:szCs w:val="28"/>
        </w:rPr>
        <w:t>电子</w:t>
      </w:r>
      <w:r>
        <w:rPr>
          <w:rFonts w:hint="eastAsia" w:ascii="思源黑体 CN Bold" w:hAnsi="思源黑体 CN Bold" w:eastAsia="思源黑体 CN Bold" w:cs="思源黑体 CN Bold"/>
          <w:b/>
          <w:bCs/>
          <w:sz w:val="28"/>
          <w:szCs w:val="28"/>
          <w:lang w:eastAsia="zh-CN"/>
        </w:rPr>
        <w:t>支气管镜</w:t>
      </w:r>
      <w:r>
        <w:rPr>
          <w:rFonts w:hint="eastAsia" w:ascii="思源黑体 CN Bold" w:hAnsi="思源黑体 CN Bold" w:eastAsia="思源黑体 CN Bold" w:cs="思源黑体 CN Bold"/>
          <w:b/>
          <w:bCs/>
          <w:sz w:val="28"/>
          <w:szCs w:val="28"/>
        </w:rPr>
        <w:t>系统</w:t>
      </w:r>
    </w:p>
    <w:p w14:paraId="1C7E2F94">
      <w:pPr>
        <w:numPr>
          <w:ilvl w:val="0"/>
          <w:numId w:val="17"/>
        </w:numPr>
        <w:spacing w:line="440" w:lineRule="exact"/>
        <w:ind w:firstLine="560" w:firstLineChars="0"/>
        <w:jc w:val="left"/>
        <w:rPr>
          <w:rFonts w:hint="eastAsia" w:ascii="宋体" w:hAnsi="宋体" w:eastAsia="宋体" w:cs="宋体"/>
          <w:b/>
          <w:bCs/>
          <w:sz w:val="24"/>
          <w:szCs w:val="24"/>
        </w:rPr>
      </w:pPr>
      <w:r>
        <w:rPr>
          <w:rFonts w:hint="eastAsia" w:ascii="宋体" w:hAnsi="宋体" w:eastAsia="宋体" w:cs="宋体"/>
          <w:b/>
          <w:bCs/>
          <w:sz w:val="24"/>
          <w:szCs w:val="24"/>
        </w:rPr>
        <w:t>技术参数</w:t>
      </w:r>
    </w:p>
    <w:tbl>
      <w:tblPr>
        <w:tblStyle w:val="36"/>
        <w:tblpPr w:leftFromText="180" w:rightFromText="180" w:vertAnchor="text" w:horzAnchor="page" w:tblpX="1878" w:tblpY="4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5"/>
      </w:tblGrid>
      <w:tr w14:paraId="0B9B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65532D2">
            <w:pPr>
              <w:adjustRightInd w:val="0"/>
              <w:spacing w:line="440" w:lineRule="exact"/>
              <w:ind w:firstLine="0" w:firstLineChars="0"/>
              <w:jc w:val="left"/>
              <w:textAlignment w:val="baseline"/>
              <w:rPr>
                <w:rFonts w:hint="eastAsia" w:ascii="宋体" w:hAnsi="宋体" w:eastAsia="宋体" w:cs="宋体"/>
                <w:b/>
                <w:bCs/>
                <w:kern w:val="0"/>
                <w:sz w:val="24"/>
                <w:szCs w:val="24"/>
              </w:rPr>
            </w:pPr>
            <w:r>
              <w:rPr>
                <w:rFonts w:hint="eastAsia" w:ascii="宋体" w:hAnsi="宋体" w:eastAsia="宋体" w:cs="宋体"/>
                <w:b/>
                <w:bCs/>
                <w:kern w:val="0"/>
                <w:sz w:val="24"/>
                <w:szCs w:val="24"/>
              </w:rPr>
              <w:t>总体要求：</w:t>
            </w:r>
          </w:p>
          <w:p w14:paraId="5E374740">
            <w:pPr>
              <w:numPr>
                <w:ilvl w:val="0"/>
                <w:numId w:val="18"/>
              </w:num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主机光源采用一体式高集成设计；</w:t>
            </w:r>
          </w:p>
          <w:p w14:paraId="581EECC2">
            <w:pPr>
              <w:numPr>
                <w:ilvl w:val="0"/>
                <w:numId w:val="18"/>
              </w:num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主机触控面板防泼溅；</w:t>
            </w:r>
          </w:p>
          <w:p w14:paraId="7AB97FEC">
            <w:pPr>
              <w:numPr>
                <w:ilvl w:val="0"/>
                <w:numId w:val="18"/>
              </w:num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镜体具备全防水一键带电热插拔功能。</w:t>
            </w:r>
          </w:p>
        </w:tc>
      </w:tr>
      <w:tr w14:paraId="73B1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D243886">
            <w:pPr>
              <w:adjustRightInd w:val="0"/>
              <w:spacing w:line="440" w:lineRule="exact"/>
              <w:ind w:firstLine="0" w:firstLineChars="0"/>
              <w:jc w:val="left"/>
              <w:textAlignment w:val="baseline"/>
              <w:rPr>
                <w:rFonts w:hint="eastAsia" w:ascii="宋体" w:hAnsi="宋体" w:eastAsia="宋体" w:cs="宋体"/>
                <w:b/>
                <w:bCs/>
                <w:kern w:val="0"/>
                <w:sz w:val="24"/>
                <w:szCs w:val="24"/>
              </w:rPr>
            </w:pPr>
            <w:r>
              <w:rPr>
                <w:rFonts w:hint="eastAsia" w:ascii="宋体" w:hAnsi="宋体" w:eastAsia="宋体" w:cs="宋体"/>
                <w:b/>
                <w:bCs/>
                <w:kern w:val="0"/>
                <w:sz w:val="24"/>
                <w:szCs w:val="24"/>
              </w:rPr>
              <w:t>具体参数</w:t>
            </w:r>
          </w:p>
          <w:p w14:paraId="14F3A179">
            <w:pPr>
              <w:adjustRightInd w:val="0"/>
              <w:spacing w:line="440" w:lineRule="exact"/>
              <w:ind w:firstLine="0" w:firstLineChars="0"/>
              <w:jc w:val="left"/>
              <w:textAlignment w:val="baseline"/>
              <w:rPr>
                <w:rFonts w:hint="eastAsia" w:ascii="宋体" w:hAnsi="宋体" w:eastAsia="宋体" w:cs="宋体"/>
                <w:b/>
                <w:bCs/>
                <w:kern w:val="0"/>
                <w:sz w:val="24"/>
                <w:szCs w:val="24"/>
              </w:rPr>
            </w:pPr>
            <w:r>
              <w:rPr>
                <w:rFonts w:hint="eastAsia" w:ascii="宋体" w:hAnsi="宋体" w:eastAsia="宋体" w:cs="宋体"/>
                <w:b/>
                <w:bCs/>
                <w:kern w:val="0"/>
                <w:sz w:val="24"/>
                <w:szCs w:val="24"/>
              </w:rPr>
              <w:t>医用内窥镜图像处理器</w:t>
            </w:r>
          </w:p>
          <w:p w14:paraId="564BF86F">
            <w:p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1.1080P高清视频图像输出，视频分辨率为1920*1080；</w:t>
            </w:r>
          </w:p>
          <w:p w14:paraId="25B2648A">
            <w:p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2.视频信号采用多路激光传输，信号无损传输，抗干扰；</w:t>
            </w:r>
          </w:p>
          <w:p w14:paraId="70457CFF">
            <w:p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3.机身操作面板采用</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8英寸液晶触控屏，操作界面功能按键可自定义设置；</w:t>
            </w:r>
          </w:p>
          <w:p w14:paraId="77402A5C">
            <w:p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4.具有触控屏防误触锁屏开关；</w:t>
            </w:r>
          </w:p>
          <w:p w14:paraId="1E723AAF">
            <w:p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5.拥有白平衡记忆功能；</w:t>
            </w:r>
          </w:p>
          <w:p w14:paraId="28F0F59E">
            <w:p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6.显色指数</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90；</w:t>
            </w:r>
          </w:p>
          <w:p w14:paraId="19B2E0DB">
            <w:p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7.拥有色调调节功能，红色、蓝色、饱和度均 -20至+20级可调；</w:t>
            </w:r>
          </w:p>
          <w:p w14:paraId="3ECB5F80">
            <w:pPr>
              <w:pStyle w:val="10"/>
              <w:spacing w:line="440" w:lineRule="exact"/>
              <w:ind w:firstLine="0" w:firstLineChars="0"/>
              <w:rPr>
                <w:rFonts w:hint="eastAsia" w:ascii="宋体" w:hAnsi="宋体" w:eastAsia="宋体" w:cs="宋体"/>
                <w:sz w:val="24"/>
                <w:szCs w:val="24"/>
              </w:rPr>
            </w:pPr>
            <w:r>
              <w:rPr>
                <w:rFonts w:hint="eastAsia" w:ascii="宋体" w:hAnsi="宋体" w:eastAsia="宋体" w:cs="宋体"/>
                <w:kern w:val="0"/>
                <w:sz w:val="24"/>
                <w:szCs w:val="24"/>
              </w:rPr>
              <w:t>8.具有色彩增强功能，共四档可调；</w:t>
            </w:r>
          </w:p>
          <w:p w14:paraId="159F9DF3">
            <w:pPr>
              <w:adjustRightInd w:val="0"/>
              <w:spacing w:line="440" w:lineRule="exact"/>
              <w:ind w:firstLine="0" w:firstLineChars="0"/>
              <w:jc w:val="left"/>
              <w:textAlignment w:val="baseline"/>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9.具有图像放大功能，</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4倍；0.2倍逐级放大可调</w:t>
            </w:r>
          </w:p>
          <w:p w14:paraId="2C99830E">
            <w:p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10.具有构造强调功能，0-16级调节；</w:t>
            </w:r>
          </w:p>
          <w:p w14:paraId="67C37564">
            <w:p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11.具有轮廓增强功能，0-16 级调节；</w:t>
            </w:r>
          </w:p>
          <w:p w14:paraId="2BF9124D">
            <w:p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12.对比度增强低、中、高三档可调；</w:t>
            </w:r>
          </w:p>
          <w:p w14:paraId="3BC03242">
            <w:p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sz w:val="24"/>
                <w:szCs w:val="24"/>
              </w:rPr>
              <w:t>13.</w:t>
            </w:r>
            <w:r>
              <w:rPr>
                <w:rFonts w:hint="eastAsia" w:ascii="宋体" w:hAnsi="宋体" w:eastAsia="宋体" w:cs="宋体"/>
                <w:kern w:val="0"/>
                <w:sz w:val="24"/>
                <w:szCs w:val="24"/>
              </w:rPr>
              <w:t>具有自动增益（AGC）功能，能自动增强图像亮度；</w:t>
            </w:r>
          </w:p>
          <w:p w14:paraId="0DE76C4C">
            <w:pPr>
              <w:adjustRightInd w:val="0"/>
              <w:spacing w:line="440" w:lineRule="exact"/>
              <w:ind w:firstLine="0" w:firstLineChars="0"/>
              <w:jc w:val="left"/>
              <w:textAlignment w:val="baseline"/>
              <w:rPr>
                <w:rFonts w:hint="eastAsia" w:ascii="宋体" w:hAnsi="宋体" w:eastAsia="宋体" w:cs="宋体"/>
                <w:sz w:val="24"/>
                <w:szCs w:val="24"/>
              </w:rPr>
            </w:pPr>
            <w:r>
              <w:rPr>
                <w:rFonts w:hint="eastAsia" w:ascii="宋体" w:hAnsi="宋体" w:eastAsia="宋体" w:cs="宋体"/>
                <w:kern w:val="0"/>
                <w:sz w:val="24"/>
                <w:szCs w:val="24"/>
              </w:rPr>
              <w:t>14.具有暗部提升功能，0-4级可调；提升图像暗区亮度，保证图像亮度均衡性</w:t>
            </w:r>
          </w:p>
          <w:p w14:paraId="78B54076">
            <w:pPr>
              <w:adjustRightInd w:val="0"/>
              <w:spacing w:line="440" w:lineRule="exact"/>
              <w:ind w:firstLine="0" w:firstLineChars="0"/>
              <w:jc w:val="left"/>
              <w:textAlignment w:val="baseline"/>
              <w:rPr>
                <w:rFonts w:hint="eastAsia" w:ascii="宋体" w:hAnsi="宋体" w:eastAsia="宋体" w:cs="宋体"/>
                <w:sz w:val="24"/>
                <w:szCs w:val="24"/>
              </w:rPr>
            </w:pPr>
            <w:r>
              <w:rPr>
                <w:rFonts w:hint="eastAsia" w:ascii="宋体" w:hAnsi="宋体" w:eastAsia="宋体" w:cs="宋体"/>
                <w:sz w:val="24"/>
                <w:szCs w:val="24"/>
              </w:rPr>
              <w:t>15.去噪功能，0-4级共5档可调；可减低图像的噪点</w:t>
            </w:r>
          </w:p>
          <w:p w14:paraId="176C2DF4">
            <w:p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16.具有自动测光、峰值测光、平均测光三种测光模式；</w:t>
            </w:r>
          </w:p>
          <w:p w14:paraId="25BEE707">
            <w:p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17.具有内置的图像保存和高清视频录制功能，存储容量1TB，支持图像查看、视频回放；</w:t>
            </w:r>
          </w:p>
          <w:p w14:paraId="7F180FFC">
            <w:p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18.主机具有USB2.0和USB3.0接口5个，可导出高清视频、病例图像；</w:t>
            </w:r>
          </w:p>
          <w:p w14:paraId="3D2E6283">
            <w:p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19.具有DVI、3G-SDI、VGA、S-VIDEO、VIDEO（CVBS）等信号输出方式；</w:t>
            </w:r>
          </w:p>
          <w:p w14:paraId="3FD9D2BB">
            <w:p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20.具有一触式启动功能，连接镜体后，自动启动照明；</w:t>
            </w:r>
          </w:p>
          <w:p w14:paraId="635E60F6">
            <w:p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21.具有画中画同屏显示功能；</w:t>
            </w:r>
          </w:p>
          <w:p w14:paraId="4BB19CCA">
            <w:pPr>
              <w:adjustRightInd w:val="0"/>
              <w:spacing w:line="440" w:lineRule="exact"/>
              <w:ind w:firstLine="0" w:firstLineChars="0"/>
              <w:jc w:val="left"/>
              <w:textAlignment w:val="baseline"/>
              <w:rPr>
                <w:rFonts w:hint="eastAsia" w:ascii="宋体" w:hAnsi="宋体" w:eastAsia="宋体" w:cs="宋体"/>
                <w:sz w:val="24"/>
                <w:szCs w:val="24"/>
              </w:rPr>
            </w:pPr>
            <w:r>
              <w:rPr>
                <w:rFonts w:hint="eastAsia" w:ascii="宋体" w:hAnsi="宋体" w:eastAsia="宋体" w:cs="宋体"/>
                <w:kern w:val="0"/>
                <w:sz w:val="24"/>
                <w:szCs w:val="24"/>
              </w:rPr>
              <w:t>22.具有画外画同屏显示功能，主机支持外部视频信号输入，可使外部图像和内镜图像在同一显示器上显示；</w:t>
            </w:r>
          </w:p>
          <w:p w14:paraId="167087E6">
            <w:p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23. 具有以太网接口，DICOM数据传输；</w:t>
            </w:r>
          </w:p>
          <w:p w14:paraId="3C435136">
            <w:pPr>
              <w:adjustRightInd w:val="0"/>
              <w:spacing w:line="440" w:lineRule="exact"/>
              <w:ind w:firstLine="0" w:firstLineChars="0"/>
              <w:jc w:val="left"/>
              <w:textAlignment w:val="baseline"/>
              <w:rPr>
                <w:rFonts w:hint="eastAsia" w:ascii="宋体" w:hAnsi="宋体" w:eastAsia="宋体" w:cs="宋体"/>
                <w:sz w:val="24"/>
                <w:szCs w:val="24"/>
              </w:rPr>
            </w:pPr>
            <w:r>
              <w:rPr>
                <w:rFonts w:hint="eastAsia" w:ascii="宋体" w:hAnsi="宋体" w:eastAsia="宋体" w:cs="宋体"/>
                <w:kern w:val="0"/>
                <w:sz w:val="24"/>
                <w:szCs w:val="24"/>
              </w:rPr>
              <w:t xml:space="preserve">24. </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路LED智能多光谱光源；</w:t>
            </w:r>
          </w:p>
          <w:p w14:paraId="0AB2A01C">
            <w:pPr>
              <w:adjustRightInd w:val="0"/>
              <w:spacing w:line="440" w:lineRule="exact"/>
              <w:ind w:firstLine="0" w:firstLineChars="0"/>
              <w:jc w:val="left"/>
              <w:textAlignment w:val="baseline"/>
              <w:rPr>
                <w:rFonts w:hint="eastAsia" w:ascii="宋体" w:hAnsi="宋体" w:eastAsia="宋体" w:cs="宋体"/>
                <w:sz w:val="24"/>
                <w:szCs w:val="24"/>
              </w:rPr>
            </w:pPr>
            <w:r>
              <w:rPr>
                <w:rFonts w:hint="eastAsia" w:ascii="宋体" w:hAnsi="宋体" w:eastAsia="宋体" w:cs="宋体"/>
                <w:sz w:val="24"/>
                <w:szCs w:val="24"/>
              </w:rPr>
              <w:t>25. 支持白光和3种特殊光电子染色成像模式(PSI、DSI、TEI)，多种光谱成像覆盖从筛查、诊断到治疗；</w:t>
            </w:r>
          </w:p>
          <w:p w14:paraId="2AEC7D12">
            <w:pPr>
              <w:adjustRightInd w:val="0"/>
              <w:spacing w:line="440" w:lineRule="exact"/>
              <w:ind w:firstLine="0" w:firstLineChars="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26. 具有双色光谱成像模式(DSI);使用紫光和绿光，凸显浅表血管、微结构的变化，提高血管与周围组织的对比</w:t>
            </w:r>
            <w:r>
              <w:rPr>
                <w:rFonts w:hint="eastAsia" w:ascii="宋体" w:hAnsi="宋体" w:eastAsia="宋体" w:cs="宋体"/>
                <w:sz w:val="24"/>
                <w:szCs w:val="24"/>
                <w:lang w:eastAsia="zh-CN"/>
              </w:rPr>
              <w:t>，</w:t>
            </w:r>
            <w:r>
              <w:rPr>
                <w:rFonts w:hint="eastAsia" w:ascii="宋体" w:hAnsi="宋体" w:eastAsia="宋体" w:cs="宋体"/>
                <w:sz w:val="24"/>
                <w:szCs w:val="24"/>
              </w:rPr>
              <w:t>三档可调</w:t>
            </w:r>
          </w:p>
          <w:p w14:paraId="50C212DC">
            <w:pPr>
              <w:adjustRightInd w:val="0"/>
              <w:spacing w:line="440" w:lineRule="exact"/>
              <w:ind w:firstLine="0" w:firstLineChars="0"/>
              <w:jc w:val="left"/>
              <w:textAlignment w:val="baseline"/>
              <w:rPr>
                <w:rFonts w:hint="eastAsia" w:ascii="宋体" w:hAnsi="宋体" w:eastAsia="宋体" w:cs="宋体"/>
                <w:sz w:val="24"/>
                <w:szCs w:val="24"/>
              </w:rPr>
            </w:pPr>
            <w:r>
              <w:rPr>
                <w:rFonts w:hint="eastAsia" w:ascii="宋体" w:hAnsi="宋体" w:eastAsia="宋体" w:cs="宋体"/>
                <w:sz w:val="24"/>
                <w:szCs w:val="24"/>
              </w:rPr>
              <w:t>27. 具有纹理与色彩增强模式(TEI)；对纹理、色彩和亮度进行增强算法，提升微小细节的辨识度，三档可调；</w:t>
            </w:r>
          </w:p>
          <w:p w14:paraId="49983D8C">
            <w:pPr>
              <w:adjustRightInd w:val="0"/>
              <w:spacing w:line="440" w:lineRule="exact"/>
              <w:ind w:firstLine="0" w:firstLineChars="0"/>
              <w:jc w:val="left"/>
              <w:textAlignment w:val="baseline"/>
              <w:rPr>
                <w:rFonts w:hint="eastAsia" w:ascii="宋体" w:hAnsi="宋体" w:eastAsia="宋体" w:cs="宋体"/>
                <w:sz w:val="24"/>
                <w:szCs w:val="24"/>
              </w:rPr>
            </w:pPr>
          </w:p>
          <w:p w14:paraId="2854C1C8">
            <w:pPr>
              <w:adjustRightInd w:val="0"/>
              <w:spacing w:line="440" w:lineRule="exact"/>
              <w:ind w:firstLine="0" w:firstLineChars="0"/>
              <w:jc w:val="left"/>
              <w:textAlignment w:val="baseline"/>
              <w:rPr>
                <w:rFonts w:hint="eastAsia" w:ascii="宋体" w:hAnsi="宋体" w:eastAsia="宋体" w:cs="宋体"/>
                <w:sz w:val="24"/>
                <w:szCs w:val="24"/>
              </w:rPr>
            </w:pPr>
            <w:r>
              <w:rPr>
                <w:rFonts w:hint="eastAsia" w:ascii="宋体" w:hAnsi="宋体" w:eastAsia="宋体" w:cs="宋体"/>
                <w:sz w:val="24"/>
                <w:szCs w:val="24"/>
              </w:rPr>
              <w:t>28. 具有炫彩光谱成像模式(PSI)；使用蓝紫光，凸显细微的颜色差异，以此提升病灶的辨识度；</w:t>
            </w:r>
          </w:p>
          <w:p w14:paraId="43B9C5CA">
            <w:pPr>
              <w:adjustRightInd w:val="0"/>
              <w:spacing w:line="440" w:lineRule="exact"/>
              <w:ind w:firstLine="0" w:firstLineChars="0"/>
              <w:jc w:val="left"/>
              <w:textAlignment w:val="baseline"/>
              <w:rPr>
                <w:rFonts w:hint="eastAsia" w:ascii="宋体" w:hAnsi="宋体" w:eastAsia="宋体" w:cs="宋体"/>
                <w:sz w:val="24"/>
                <w:szCs w:val="24"/>
              </w:rPr>
            </w:pPr>
          </w:p>
          <w:p w14:paraId="50B52613">
            <w:p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29. 光源灯泡平均连续使用寿命≥20000小时；</w:t>
            </w:r>
          </w:p>
          <w:p w14:paraId="0FF37AD4">
            <w:p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30. 具有手动和自动两种调光模式；调光级别：0-100级；</w:t>
            </w:r>
          </w:p>
          <w:p w14:paraId="2E48A23C">
            <w:p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31. 支持多用户个性化参数管理，可自定义界面及参数设置，预设账户≥500个；</w:t>
            </w:r>
          </w:p>
          <w:p w14:paraId="6561399C">
            <w:pPr>
              <w:pStyle w:val="10"/>
              <w:spacing w:line="440" w:lineRule="exact"/>
              <w:ind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32. 具有2种界面形状设置，矩形或者八角形。</w:t>
            </w:r>
          </w:p>
          <w:p w14:paraId="564010BE">
            <w:pPr>
              <w:pStyle w:val="10"/>
              <w:spacing w:line="440" w:lineRule="exact"/>
              <w:ind w:firstLine="0" w:firstLineChars="0"/>
              <w:rPr>
                <w:rFonts w:hint="eastAsia" w:ascii="宋体" w:hAnsi="宋体" w:eastAsia="宋体" w:cs="宋体"/>
                <w:sz w:val="24"/>
                <w:szCs w:val="24"/>
              </w:rPr>
            </w:pPr>
            <w:r>
              <w:rPr>
                <w:rFonts w:hint="eastAsia" w:ascii="宋体" w:hAnsi="宋体" w:eastAsia="宋体" w:cs="宋体"/>
                <w:kern w:val="0"/>
                <w:sz w:val="24"/>
                <w:szCs w:val="24"/>
              </w:rPr>
              <w:t>33. 系统可兼容同品牌的电子胃镜、电子肠镜、光学放大胃镜、光学放大肠镜、电子支气管镜、电子鼻咽喉镜。</w:t>
            </w:r>
          </w:p>
        </w:tc>
      </w:tr>
      <w:tr w14:paraId="3C50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379A4D1">
            <w:pPr>
              <w:adjustRightInd w:val="0"/>
              <w:spacing w:line="440" w:lineRule="exact"/>
              <w:ind w:firstLine="0" w:firstLineChars="0"/>
              <w:jc w:val="left"/>
              <w:textAlignment w:val="baseline"/>
              <w:rPr>
                <w:rFonts w:hint="eastAsia" w:ascii="宋体" w:hAnsi="宋体" w:eastAsia="宋体" w:cs="宋体"/>
                <w:b/>
                <w:bCs/>
                <w:kern w:val="0"/>
                <w:sz w:val="24"/>
                <w:szCs w:val="24"/>
              </w:rPr>
            </w:pPr>
            <w:r>
              <w:rPr>
                <w:rFonts w:hint="eastAsia" w:ascii="宋体" w:hAnsi="宋体" w:eastAsia="宋体" w:cs="宋体"/>
                <w:b/>
                <w:bCs/>
                <w:kern w:val="0"/>
                <w:sz w:val="24"/>
                <w:szCs w:val="24"/>
              </w:rPr>
              <w:t>电子支气管镜</w:t>
            </w:r>
          </w:p>
          <w:p w14:paraId="52CEEF02">
            <w:pPr>
              <w:numPr>
                <w:ilvl w:val="0"/>
                <w:numId w:val="19"/>
              </w:num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视场角：120°；</w:t>
            </w:r>
          </w:p>
          <w:p w14:paraId="4EB9EC5E">
            <w:pPr>
              <w:numPr>
                <w:ilvl w:val="0"/>
                <w:numId w:val="19"/>
              </w:num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视野方向：直视；</w:t>
            </w:r>
          </w:p>
          <w:p w14:paraId="1FA3D260">
            <w:pPr>
              <w:numPr>
                <w:ilvl w:val="0"/>
                <w:numId w:val="19"/>
              </w:num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景深：2-100mm；</w:t>
            </w:r>
          </w:p>
          <w:p w14:paraId="7B33FF0F">
            <w:pPr>
              <w:numPr>
                <w:ilvl w:val="0"/>
                <w:numId w:val="19"/>
              </w:num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头端部外径：</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3.8mm；</w:t>
            </w:r>
          </w:p>
          <w:p w14:paraId="31C2FA62">
            <w:pPr>
              <w:numPr>
                <w:ilvl w:val="0"/>
                <w:numId w:val="19"/>
              </w:num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插入部外径：</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4.1mmm；</w:t>
            </w:r>
          </w:p>
          <w:p w14:paraId="650EB08E">
            <w:pPr>
              <w:numPr>
                <w:ilvl w:val="0"/>
                <w:numId w:val="19"/>
              </w:num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器械通道内径：</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2.0mm；</w:t>
            </w:r>
          </w:p>
          <w:p w14:paraId="66E3B910">
            <w:pPr>
              <w:numPr>
                <w:ilvl w:val="0"/>
                <w:numId w:val="19"/>
              </w:num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主软管有效长度：</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600mm；</w:t>
            </w:r>
          </w:p>
          <w:p w14:paraId="0F2A22F4">
            <w:pPr>
              <w:numPr>
                <w:ilvl w:val="0"/>
                <w:numId w:val="19"/>
              </w:num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弯曲角度：上角度210°，下角度130°；</w:t>
            </w:r>
          </w:p>
          <w:p w14:paraId="38F3666A">
            <w:pPr>
              <w:numPr>
                <w:ilvl w:val="0"/>
                <w:numId w:val="19"/>
              </w:num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旋转功能：左120°，右120°；</w:t>
            </w:r>
          </w:p>
          <w:p w14:paraId="6E66577A">
            <w:pPr>
              <w:numPr>
                <w:ilvl w:val="0"/>
                <w:numId w:val="19"/>
              </w:num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镜体全长</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8</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0mm；</w:t>
            </w:r>
          </w:p>
          <w:p w14:paraId="515960A9">
            <w:pPr>
              <w:numPr>
                <w:ilvl w:val="0"/>
                <w:numId w:val="19"/>
              </w:num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镜体操作部具有4个遥控按钮，可按需要将处理器功能设置在任意按钮上；</w:t>
            </w:r>
          </w:p>
          <w:p w14:paraId="67BFCF05">
            <w:pPr>
              <w:numPr>
                <w:ilvl w:val="0"/>
                <w:numId w:val="19"/>
              </w:num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能够实现白光观察与3种以上特殊光观察；</w:t>
            </w:r>
          </w:p>
          <w:p w14:paraId="44246E39">
            <w:pPr>
              <w:numPr>
                <w:ilvl w:val="0"/>
                <w:numId w:val="19"/>
              </w:num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镜体导光部一触式插拔设计，具备带电热插拔功能，一体全密封设计，无需防水帽，可直接浸泡消毒。</w:t>
            </w:r>
          </w:p>
        </w:tc>
      </w:tr>
      <w:tr w14:paraId="5C216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47BBABD">
            <w:pPr>
              <w:adjustRightInd w:val="0"/>
              <w:spacing w:line="440" w:lineRule="exact"/>
              <w:ind w:firstLine="0" w:firstLineChars="0"/>
              <w:jc w:val="left"/>
              <w:textAlignment w:val="baseline"/>
              <w:rPr>
                <w:rFonts w:hint="eastAsia" w:ascii="宋体" w:hAnsi="宋体" w:eastAsia="宋体" w:cs="宋体"/>
                <w:b/>
                <w:bCs/>
                <w:kern w:val="0"/>
                <w:sz w:val="24"/>
                <w:szCs w:val="24"/>
              </w:rPr>
            </w:pPr>
            <w:r>
              <w:rPr>
                <w:rFonts w:hint="eastAsia" w:ascii="宋体" w:hAnsi="宋体" w:eastAsia="宋体" w:cs="宋体"/>
                <w:b/>
                <w:bCs/>
                <w:kern w:val="0"/>
                <w:sz w:val="24"/>
                <w:szCs w:val="24"/>
              </w:rPr>
              <w:t>医用内窥镜仪器车</w:t>
            </w:r>
          </w:p>
          <w:p w14:paraId="069A27A7">
            <w:pPr>
              <w:numPr>
                <w:ilvl w:val="0"/>
                <w:numId w:val="20"/>
              </w:num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一键电源开关，整体台车具有更好的绝缘性、防水性和耐腐蚀性；</w:t>
            </w:r>
          </w:p>
          <w:p w14:paraId="480E0B7F">
            <w:pPr>
              <w:numPr>
                <w:ilvl w:val="0"/>
                <w:numId w:val="20"/>
              </w:num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层板高度可根据实际需求调节；</w:t>
            </w:r>
          </w:p>
          <w:p w14:paraId="10EF10CE">
            <w:pPr>
              <w:numPr>
                <w:ilvl w:val="0"/>
                <w:numId w:val="20"/>
              </w:num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可同时支撑2个导光部插头；</w:t>
            </w:r>
          </w:p>
          <w:p w14:paraId="2DB4C0F3">
            <w:pPr>
              <w:numPr>
                <w:ilvl w:val="0"/>
                <w:numId w:val="20"/>
              </w:num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可同时悬挂两条内镜。</w:t>
            </w:r>
          </w:p>
        </w:tc>
      </w:tr>
      <w:tr w14:paraId="4874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5D05306">
            <w:pPr>
              <w:adjustRightInd w:val="0"/>
              <w:spacing w:line="440" w:lineRule="exact"/>
              <w:ind w:firstLine="0" w:firstLineChars="0"/>
              <w:jc w:val="left"/>
              <w:textAlignment w:val="baseline"/>
              <w:rPr>
                <w:rFonts w:hint="eastAsia" w:ascii="宋体" w:hAnsi="宋体" w:eastAsia="宋体" w:cs="宋体"/>
                <w:b/>
                <w:bCs/>
                <w:kern w:val="0"/>
                <w:sz w:val="24"/>
                <w:szCs w:val="24"/>
              </w:rPr>
            </w:pPr>
            <w:r>
              <w:rPr>
                <w:rFonts w:hint="eastAsia" w:ascii="宋体" w:hAnsi="宋体" w:eastAsia="宋体" w:cs="宋体"/>
                <w:b/>
                <w:bCs/>
                <w:kern w:val="0"/>
                <w:sz w:val="24"/>
                <w:szCs w:val="24"/>
              </w:rPr>
              <w:t>医用内窥镜仪器车</w:t>
            </w:r>
          </w:p>
          <w:p w14:paraId="1921609D">
            <w:pPr>
              <w:numPr>
                <w:ilvl w:val="0"/>
                <w:numId w:val="21"/>
              </w:num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一键电源开关，带隔离电源，整体台车具有更好的绝缘性、防水性和耐腐蚀性，安全方便可靠；</w:t>
            </w:r>
          </w:p>
          <w:p w14:paraId="2EFB505B">
            <w:pPr>
              <w:numPr>
                <w:ilvl w:val="0"/>
                <w:numId w:val="21"/>
              </w:num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层板高度可根据实际需求调节；</w:t>
            </w:r>
          </w:p>
          <w:p w14:paraId="788254E4">
            <w:pPr>
              <w:numPr>
                <w:ilvl w:val="0"/>
                <w:numId w:val="21"/>
              </w:num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可同时支撑2个导光部插头；</w:t>
            </w:r>
          </w:p>
          <w:p w14:paraId="67958F4A">
            <w:pPr>
              <w:numPr>
                <w:ilvl w:val="0"/>
                <w:numId w:val="21"/>
              </w:num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可同时悬挂两条内镜。</w:t>
            </w:r>
          </w:p>
        </w:tc>
      </w:tr>
      <w:tr w14:paraId="1A75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14:paraId="3453C5A1">
            <w:pPr>
              <w:adjustRightInd w:val="0"/>
              <w:spacing w:line="440" w:lineRule="exact"/>
              <w:ind w:firstLine="0" w:firstLineChars="0"/>
              <w:jc w:val="left"/>
              <w:textAlignment w:val="baseline"/>
              <w:rPr>
                <w:rFonts w:hint="eastAsia" w:ascii="宋体" w:hAnsi="宋体" w:eastAsia="宋体" w:cs="宋体"/>
                <w:b/>
                <w:bCs/>
                <w:kern w:val="0"/>
                <w:sz w:val="24"/>
                <w:szCs w:val="24"/>
              </w:rPr>
            </w:pPr>
            <w:r>
              <w:rPr>
                <w:rFonts w:hint="eastAsia" w:ascii="宋体" w:hAnsi="宋体" w:eastAsia="宋体" w:cs="宋体"/>
                <w:b/>
                <w:bCs/>
                <w:kern w:val="0"/>
                <w:sz w:val="24"/>
                <w:szCs w:val="24"/>
              </w:rPr>
              <w:t>高清医用监视器</w:t>
            </w:r>
          </w:p>
          <w:p w14:paraId="4D35019D">
            <w:pPr>
              <w:numPr>
                <w:ilvl w:val="0"/>
                <w:numId w:val="22"/>
              </w:num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采用</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27寸高清医用监视器，符合标准医疗显示器性能指标，具有16:9比例高亮度、高清液晶显示；</w:t>
            </w:r>
          </w:p>
          <w:p w14:paraId="4E40B79F">
            <w:pPr>
              <w:numPr>
                <w:ilvl w:val="0"/>
                <w:numId w:val="22"/>
              </w:num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分辨率为1920*1080；</w:t>
            </w:r>
          </w:p>
          <w:p w14:paraId="51001E9E">
            <w:pPr>
              <w:numPr>
                <w:ilvl w:val="0"/>
                <w:numId w:val="22"/>
              </w:num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视角：水平≥178°，垂直≥178°。</w:t>
            </w:r>
          </w:p>
        </w:tc>
      </w:tr>
      <w:tr w14:paraId="324D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14:paraId="627B4C9E">
            <w:pPr>
              <w:spacing w:line="440" w:lineRule="exact"/>
              <w:ind w:firstLine="0" w:firstLineChars="0"/>
              <w:textAlignment w:val="baseline"/>
              <w:rPr>
                <w:rFonts w:hint="eastAsia" w:ascii="宋体" w:hAnsi="宋体" w:eastAsia="宋体" w:cs="宋体"/>
                <w:b/>
                <w:bCs/>
                <w:sz w:val="24"/>
                <w:szCs w:val="24"/>
              </w:rPr>
            </w:pPr>
            <w:r>
              <w:rPr>
                <w:rFonts w:hint="eastAsia" w:ascii="宋体" w:hAnsi="宋体" w:eastAsia="宋体" w:cs="宋体"/>
                <w:b/>
                <w:bCs/>
                <w:sz w:val="24"/>
                <w:szCs w:val="24"/>
              </w:rPr>
              <w:t>4k医用显示器</w:t>
            </w:r>
          </w:p>
          <w:p w14:paraId="29B34941">
            <w:pPr>
              <w:numPr>
                <w:ilvl w:val="0"/>
                <w:numId w:val="23"/>
              </w:num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屏幕尺寸≥31.5英寸，符合标准医疗显示器性能指标；</w:t>
            </w:r>
          </w:p>
          <w:p w14:paraId="486964FA">
            <w:pPr>
              <w:numPr>
                <w:ilvl w:val="0"/>
                <w:numId w:val="23"/>
              </w:num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分辨率≥3840×2160；</w:t>
            </w:r>
          </w:p>
          <w:p w14:paraId="0E77C244">
            <w:pPr>
              <w:numPr>
                <w:ilvl w:val="0"/>
                <w:numId w:val="23"/>
              </w:num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亮度≥1000cd/m²；</w:t>
            </w:r>
          </w:p>
          <w:p w14:paraId="1257AF5F">
            <w:pPr>
              <w:numPr>
                <w:ilvl w:val="0"/>
                <w:numId w:val="23"/>
              </w:num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对比度≥1300：1；</w:t>
            </w:r>
          </w:p>
          <w:p w14:paraId="2BB5A302">
            <w:pPr>
              <w:numPr>
                <w:ilvl w:val="0"/>
                <w:numId w:val="23"/>
              </w:numPr>
              <w:adjustRightInd w:val="0"/>
              <w:spacing w:line="440" w:lineRule="exact"/>
              <w:ind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视角：水平≥178°，垂直≥178°。</w:t>
            </w:r>
          </w:p>
        </w:tc>
      </w:tr>
    </w:tbl>
    <w:p w14:paraId="6145F4D9">
      <w:pPr>
        <w:tabs>
          <w:tab w:val="left" w:pos="3555"/>
          <w:tab w:val="right" w:pos="9071"/>
        </w:tabs>
        <w:spacing w:after="160" w:line="240" w:lineRule="auto"/>
        <w:ind w:firstLine="0" w:firstLineChars="0"/>
        <w:rPr>
          <w:rFonts w:hint="eastAsia" w:ascii="宋体" w:hAnsi="宋体" w:eastAsia="宋体" w:cs="宋体"/>
          <w:sz w:val="24"/>
          <w:szCs w:val="24"/>
        </w:rPr>
      </w:pPr>
    </w:p>
    <w:p w14:paraId="7DC0351E">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其他特殊要求：配置主机、工作台及软件，电脑一台，激光打印机一台，桌椅一套。</w:t>
      </w:r>
    </w:p>
    <w:p w14:paraId="3C6F4BDC">
      <w:pPr>
        <w:pStyle w:val="26"/>
        <w:numPr>
          <w:ilvl w:val="-1"/>
          <w:numId w:val="0"/>
        </w:numPr>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配备3辆轮椅（承重≥150公斤）。</w:t>
      </w:r>
    </w:p>
    <w:p w14:paraId="43735883">
      <w:pPr>
        <w:pStyle w:val="9"/>
        <w:numPr>
          <w:ilvl w:val="-1"/>
          <w:numId w:val="0"/>
        </w:numPr>
        <w:ind w:left="0" w:leftChars="0" w:firstLine="0" w:firstLineChars="0"/>
        <w:jc w:val="both"/>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2"/>
          <w:sz w:val="24"/>
          <w:szCs w:val="24"/>
          <w:lang w:val="en-US" w:eastAsia="zh-CN" w:bidi="ar-SA"/>
        </w:rPr>
        <w:t>★整</w:t>
      </w:r>
      <w:r>
        <w:rPr>
          <w:rFonts w:hint="eastAsia" w:ascii="宋体" w:hAnsi="宋体" w:eastAsia="宋体" w:cs="宋体"/>
          <w:color w:val="auto"/>
          <w:kern w:val="2"/>
          <w:sz w:val="24"/>
          <w:szCs w:val="24"/>
          <w:highlight w:val="none"/>
          <w:lang w:val="en-US" w:eastAsia="zh-CN"/>
        </w:rPr>
        <w:t>机</w:t>
      </w:r>
      <w:r>
        <w:rPr>
          <w:rFonts w:hint="eastAsia" w:ascii="宋体" w:hAnsi="宋体" w:eastAsia="宋体" w:cs="宋体"/>
          <w:color w:val="auto"/>
          <w:kern w:val="2"/>
          <w:sz w:val="24"/>
          <w:szCs w:val="24"/>
          <w:highlight w:val="none"/>
          <w:lang w:eastAsia="zh-CN"/>
        </w:rPr>
        <w:t>质保</w:t>
      </w:r>
      <w:r>
        <w:rPr>
          <w:rFonts w:hint="eastAsia" w:ascii="宋体" w:hAnsi="宋体" w:eastAsia="宋体" w:cs="宋体"/>
          <w:color w:val="auto"/>
          <w:kern w:val="2"/>
          <w:sz w:val="24"/>
          <w:szCs w:val="24"/>
          <w:highlight w:val="none"/>
          <w:lang w:val="en-US" w:eastAsia="zh-CN"/>
        </w:rPr>
        <w:t>7</w:t>
      </w:r>
      <w:r>
        <w:rPr>
          <w:rFonts w:hint="eastAsia" w:ascii="宋体" w:hAnsi="宋体" w:eastAsia="宋体" w:cs="宋体"/>
          <w:color w:val="auto"/>
          <w:kern w:val="2"/>
          <w:sz w:val="24"/>
          <w:szCs w:val="24"/>
          <w:highlight w:val="none"/>
          <w:lang w:eastAsia="zh-CN"/>
        </w:rPr>
        <w:t>年，镜子</w:t>
      </w:r>
      <w:r>
        <w:rPr>
          <w:rFonts w:hint="eastAsia" w:ascii="宋体" w:hAnsi="宋体" w:eastAsia="宋体" w:cs="宋体"/>
          <w:color w:val="auto"/>
          <w:kern w:val="2"/>
          <w:sz w:val="24"/>
          <w:szCs w:val="24"/>
          <w:highlight w:val="none"/>
          <w:lang w:val="en-US" w:eastAsia="zh-CN"/>
        </w:rPr>
        <w:t xml:space="preserve">10年  </w:t>
      </w:r>
      <w:r>
        <w:rPr>
          <w:rFonts w:hint="eastAsia" w:ascii="宋体" w:hAnsi="宋体" w:eastAsia="宋体" w:cs="宋体"/>
          <w:color w:val="auto"/>
          <w:kern w:val="2"/>
          <w:sz w:val="24"/>
          <w:szCs w:val="24"/>
          <w:highlight w:val="none"/>
          <w:lang w:eastAsia="zh-CN"/>
        </w:rPr>
        <w:t>制造商提供承诺，加盖公章。</w:t>
      </w:r>
    </w:p>
    <w:p w14:paraId="42DB971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eastAsia"/>
          <w:b/>
          <w:bCs/>
          <w:sz w:val="28"/>
          <w:szCs w:val="36"/>
          <w:lang w:val="en-US" w:eastAsia="zh-CN"/>
        </w:rPr>
      </w:pPr>
    </w:p>
    <w:p w14:paraId="77534C69">
      <w:pPr>
        <w:jc w:val="cente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血管显象仪</w:t>
      </w:r>
      <w:r>
        <w:rPr>
          <w:rFonts w:hint="eastAsia" w:ascii="宋体" w:hAnsi="宋体" w:cs="宋体"/>
          <w:b/>
          <w:bCs/>
          <w:sz w:val="28"/>
          <w:szCs w:val="28"/>
          <w:lang w:val="en-US" w:eastAsia="zh-CN"/>
        </w:rPr>
        <w:t>（</w:t>
      </w:r>
      <w:r>
        <w:rPr>
          <w:rFonts w:hint="eastAsia" w:ascii="宋体" w:hAnsi="宋体" w:eastAsia="宋体" w:cs="宋体"/>
          <w:b/>
          <w:bCs/>
          <w:sz w:val="28"/>
          <w:szCs w:val="28"/>
          <w:lang w:val="en-US" w:eastAsia="zh-CN"/>
        </w:rPr>
        <w:t>血管显像仪</w:t>
      </w:r>
      <w:r>
        <w:rPr>
          <w:rFonts w:hint="eastAsia" w:ascii="宋体" w:hAnsi="宋体" w:cs="宋体"/>
          <w:b/>
          <w:bCs/>
          <w:sz w:val="28"/>
          <w:szCs w:val="28"/>
          <w:lang w:val="en-US" w:eastAsia="zh-CN"/>
        </w:rPr>
        <w:t>）</w:t>
      </w:r>
      <w:r>
        <w:rPr>
          <w:rFonts w:hint="eastAsia" w:ascii="宋体" w:hAnsi="宋体" w:eastAsia="宋体" w:cs="宋体"/>
          <w:b/>
          <w:bCs/>
          <w:sz w:val="28"/>
          <w:szCs w:val="28"/>
          <w:lang w:val="en-US" w:eastAsia="zh-CN"/>
        </w:rPr>
        <w:t>技术参数</w:t>
      </w:r>
    </w:p>
    <w:p w14:paraId="41C6ECCD">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一、技术参数</w:t>
      </w:r>
    </w:p>
    <w:p w14:paraId="75C4DDE3">
      <w:pPr>
        <w:rPr>
          <w:rFonts w:hint="eastAsia" w:ascii="宋体" w:hAnsi="宋体" w:eastAsia="宋体" w:cs="宋体"/>
          <w:sz w:val="24"/>
          <w:szCs w:val="24"/>
        </w:rPr>
      </w:pPr>
      <w:r>
        <w:rPr>
          <w:rFonts w:hint="eastAsia" w:ascii="宋体" w:hAnsi="宋体" w:eastAsia="宋体" w:cs="宋体"/>
          <w:sz w:val="24"/>
          <w:szCs w:val="24"/>
        </w:rPr>
        <w:t>1.外形尺寸(长x宽x高)</w:t>
      </w:r>
      <w:r>
        <w:rPr>
          <w:rFonts w:hint="eastAsia" w:ascii="宋体" w:hAnsi="宋体" w:eastAsia="宋体" w:cs="宋体"/>
          <w:sz w:val="24"/>
          <w:szCs w:val="24"/>
          <w:lang w:val="en-US" w:eastAsia="zh-CN"/>
        </w:rPr>
        <w:t>约</w:t>
      </w:r>
      <w:r>
        <w:rPr>
          <w:rFonts w:hint="eastAsia" w:ascii="宋体" w:hAnsi="宋体" w:eastAsia="宋体" w:cs="宋体"/>
          <w:sz w:val="24"/>
          <w:szCs w:val="24"/>
        </w:rPr>
        <w:t>：210×60×60mm；</w:t>
      </w:r>
    </w:p>
    <w:p w14:paraId="1B85C26A">
      <w:pPr>
        <w:rPr>
          <w:rFonts w:hint="eastAsia" w:ascii="宋体" w:hAnsi="宋体" w:eastAsia="宋体" w:cs="宋体"/>
          <w:sz w:val="24"/>
          <w:szCs w:val="24"/>
        </w:rPr>
      </w:pPr>
      <w:r>
        <w:rPr>
          <w:rFonts w:hint="eastAsia" w:ascii="宋体" w:hAnsi="宋体" w:eastAsia="宋体" w:cs="宋体"/>
          <w:sz w:val="24"/>
          <w:szCs w:val="24"/>
        </w:rPr>
        <w:t>2.主机重量：</w:t>
      </w:r>
      <w:r>
        <w:rPr>
          <w:rFonts w:hint="eastAsia" w:ascii="宋体" w:hAnsi="宋体" w:eastAsia="宋体" w:cs="宋体"/>
          <w:sz w:val="24"/>
          <w:szCs w:val="24"/>
          <w:lang w:val="en-US" w:eastAsia="zh-CN"/>
        </w:rPr>
        <w:t>≤500</w:t>
      </w:r>
      <w:r>
        <w:rPr>
          <w:rFonts w:hint="eastAsia" w:ascii="宋体" w:hAnsi="宋体" w:eastAsia="宋体" w:cs="宋体"/>
          <w:sz w:val="24"/>
          <w:szCs w:val="24"/>
        </w:rPr>
        <w:t>g；</w:t>
      </w:r>
    </w:p>
    <w:p w14:paraId="3C823C52">
      <w:pPr>
        <w:rPr>
          <w:rFonts w:hint="eastAsia" w:ascii="宋体" w:hAnsi="宋体" w:eastAsia="宋体" w:cs="宋体"/>
          <w:sz w:val="24"/>
          <w:szCs w:val="24"/>
        </w:rPr>
      </w:pPr>
      <w:r>
        <w:rPr>
          <w:rFonts w:hint="eastAsia" w:ascii="宋体" w:hAnsi="宋体" w:eastAsia="宋体" w:cs="宋体"/>
          <w:sz w:val="24"/>
          <w:szCs w:val="24"/>
        </w:rPr>
        <w:t>3.操作方式：</w:t>
      </w:r>
      <w:r>
        <w:rPr>
          <w:rFonts w:hint="eastAsia" w:ascii="宋体" w:hAnsi="宋体" w:eastAsia="宋体" w:cs="宋体"/>
          <w:sz w:val="24"/>
          <w:szCs w:val="24"/>
          <w:lang w:val="en-US" w:eastAsia="zh-CN"/>
        </w:rPr>
        <w:t>支持</w:t>
      </w:r>
      <w:r>
        <w:rPr>
          <w:rFonts w:hint="eastAsia" w:ascii="宋体" w:hAnsi="宋体" w:eastAsia="宋体" w:cs="宋体"/>
          <w:sz w:val="24"/>
          <w:szCs w:val="24"/>
        </w:rPr>
        <w:t>手持或支架固定；</w:t>
      </w:r>
    </w:p>
    <w:p w14:paraId="7B101CE5">
      <w:pPr>
        <w:rPr>
          <w:rFonts w:hint="eastAsia" w:ascii="宋体" w:hAnsi="宋体" w:eastAsia="宋体" w:cs="宋体"/>
          <w:sz w:val="24"/>
          <w:szCs w:val="24"/>
        </w:rPr>
      </w:pPr>
      <w:r>
        <w:rPr>
          <w:rFonts w:hint="eastAsia" w:ascii="宋体" w:hAnsi="宋体" w:eastAsia="宋体" w:cs="宋体"/>
          <w:sz w:val="24"/>
          <w:szCs w:val="24"/>
        </w:rPr>
        <w:t>4.主机功耗：约3.5W；</w:t>
      </w:r>
    </w:p>
    <w:p w14:paraId="51D40490">
      <w:pPr>
        <w:rPr>
          <w:rFonts w:hint="eastAsia" w:ascii="宋体" w:hAnsi="宋体" w:eastAsia="宋体" w:cs="宋体"/>
          <w:sz w:val="24"/>
          <w:szCs w:val="24"/>
        </w:rPr>
      </w:pPr>
      <w:r>
        <w:rPr>
          <w:rFonts w:hint="eastAsia" w:ascii="宋体" w:hAnsi="宋体" w:eastAsia="宋体" w:cs="宋体"/>
          <w:sz w:val="24"/>
          <w:szCs w:val="24"/>
        </w:rPr>
        <w:t>5.电池续航能力:≥</w:t>
      </w:r>
      <w:r>
        <w:rPr>
          <w:rFonts w:hint="eastAsia" w:ascii="宋体" w:hAnsi="宋体" w:eastAsia="宋体" w:cs="宋体"/>
          <w:sz w:val="24"/>
          <w:szCs w:val="24"/>
          <w:lang w:val="en-US" w:eastAsia="zh-CN"/>
        </w:rPr>
        <w:t>5</w:t>
      </w:r>
      <w:r>
        <w:rPr>
          <w:rFonts w:hint="eastAsia" w:ascii="宋体" w:hAnsi="宋体" w:eastAsia="宋体" w:cs="宋体"/>
          <w:sz w:val="24"/>
          <w:szCs w:val="24"/>
        </w:rPr>
        <w:t>小时；</w:t>
      </w:r>
    </w:p>
    <w:p w14:paraId="3249B31B">
      <w:pPr>
        <w:rPr>
          <w:rFonts w:hint="eastAsia" w:ascii="宋体" w:hAnsi="宋体" w:eastAsia="宋体" w:cs="宋体"/>
          <w:sz w:val="24"/>
          <w:szCs w:val="24"/>
        </w:rPr>
      </w:pPr>
      <w:r>
        <w:rPr>
          <w:rFonts w:hint="eastAsia" w:ascii="宋体" w:hAnsi="宋体" w:eastAsia="宋体" w:cs="宋体"/>
          <w:sz w:val="24"/>
          <w:szCs w:val="24"/>
        </w:rPr>
        <w:t>6.电池充电时间≤3小时；</w:t>
      </w:r>
    </w:p>
    <w:p w14:paraId="5DB7F02F">
      <w:pPr>
        <w:rPr>
          <w:rFonts w:hint="eastAsia" w:ascii="宋体" w:hAnsi="宋体" w:eastAsia="宋体" w:cs="宋体"/>
          <w:sz w:val="24"/>
          <w:szCs w:val="24"/>
        </w:rPr>
      </w:pPr>
      <w:r>
        <w:rPr>
          <w:rFonts w:hint="eastAsia" w:ascii="宋体" w:hAnsi="宋体" w:eastAsia="宋体" w:cs="宋体"/>
          <w:sz w:val="24"/>
          <w:szCs w:val="24"/>
        </w:rPr>
        <w:t>7.电池容量:4300mAh；</w:t>
      </w:r>
    </w:p>
    <w:p w14:paraId="76A5C9EC">
      <w:pPr>
        <w:rPr>
          <w:rFonts w:hint="eastAsia" w:ascii="宋体" w:hAnsi="宋体" w:eastAsia="宋体" w:cs="宋体"/>
          <w:sz w:val="24"/>
          <w:szCs w:val="24"/>
        </w:rPr>
      </w:pPr>
      <w:r>
        <w:rPr>
          <w:rFonts w:hint="eastAsia" w:ascii="宋体" w:hAnsi="宋体" w:eastAsia="宋体" w:cs="宋体"/>
          <w:sz w:val="24"/>
          <w:szCs w:val="24"/>
        </w:rPr>
        <w:t>8.充电电压:5.0V DC；</w:t>
      </w:r>
    </w:p>
    <w:p w14:paraId="20B73F8C">
      <w:pPr>
        <w:rPr>
          <w:rFonts w:hint="eastAsia" w:ascii="宋体" w:hAnsi="宋体" w:eastAsia="宋体" w:cs="宋体"/>
          <w:sz w:val="24"/>
          <w:szCs w:val="24"/>
        </w:rPr>
      </w:pPr>
      <w:r>
        <w:rPr>
          <w:rFonts w:hint="eastAsia" w:ascii="宋体" w:hAnsi="宋体" w:eastAsia="宋体" w:cs="宋体"/>
          <w:sz w:val="24"/>
          <w:szCs w:val="24"/>
        </w:rPr>
        <w:t>9.供电方式:电池供电/支架外接电源供电；</w:t>
      </w:r>
    </w:p>
    <w:p w14:paraId="24E74667">
      <w:pPr>
        <w:rPr>
          <w:rFonts w:hint="eastAsia" w:ascii="宋体" w:hAnsi="宋体" w:eastAsia="宋体" w:cs="宋体"/>
          <w:sz w:val="24"/>
          <w:szCs w:val="24"/>
        </w:rPr>
      </w:pPr>
      <w:r>
        <w:rPr>
          <w:rFonts w:hint="eastAsia" w:ascii="宋体" w:hAnsi="宋体" w:eastAsia="宋体" w:cs="宋体"/>
          <w:sz w:val="24"/>
          <w:szCs w:val="24"/>
        </w:rPr>
        <w:t>10.光源类型:近红外光（无辐射）；</w:t>
      </w:r>
    </w:p>
    <w:p w14:paraId="2B75B7A6">
      <w:pPr>
        <w:rPr>
          <w:rFonts w:hint="eastAsia" w:ascii="宋体" w:hAnsi="宋体" w:eastAsia="宋体" w:cs="宋体"/>
          <w:sz w:val="24"/>
          <w:szCs w:val="24"/>
        </w:rPr>
      </w:pPr>
      <w:r>
        <w:rPr>
          <w:rFonts w:hint="eastAsia" w:ascii="宋体" w:hAnsi="宋体" w:eastAsia="宋体" w:cs="宋体"/>
          <w:sz w:val="24"/>
          <w:szCs w:val="24"/>
        </w:rPr>
        <w:t>11.投影仪分辨率≥854*480；</w:t>
      </w:r>
    </w:p>
    <w:p w14:paraId="77D4B101">
      <w:pPr>
        <w:rPr>
          <w:rFonts w:hint="eastAsia" w:ascii="宋体" w:hAnsi="宋体" w:eastAsia="宋体" w:cs="宋体"/>
          <w:sz w:val="24"/>
          <w:szCs w:val="24"/>
        </w:rPr>
      </w:pPr>
      <w:r>
        <w:rPr>
          <w:rFonts w:hint="eastAsia" w:ascii="宋体" w:hAnsi="宋体" w:eastAsia="宋体" w:cs="宋体"/>
          <w:sz w:val="24"/>
          <w:szCs w:val="24"/>
        </w:rPr>
        <w:t>12.图像对位精度:≤0.10mm；</w:t>
      </w:r>
    </w:p>
    <w:p w14:paraId="461A256F">
      <w:pPr>
        <w:rPr>
          <w:rFonts w:hint="eastAsia" w:ascii="宋体" w:hAnsi="宋体" w:eastAsia="宋体" w:cs="宋体"/>
          <w:sz w:val="24"/>
          <w:szCs w:val="24"/>
        </w:rPr>
      </w:pPr>
      <w:r>
        <w:rPr>
          <w:rFonts w:hint="eastAsia" w:ascii="宋体" w:hAnsi="宋体" w:eastAsia="宋体" w:cs="宋体"/>
          <w:sz w:val="24"/>
          <w:szCs w:val="24"/>
        </w:rPr>
        <w:t>13.最佳成像高度:200±20mm；</w:t>
      </w:r>
    </w:p>
    <w:p w14:paraId="501BD2E6">
      <w:pPr>
        <w:rPr>
          <w:rFonts w:hint="eastAsia" w:ascii="宋体" w:hAnsi="宋体" w:eastAsia="宋体" w:cs="宋体"/>
          <w:sz w:val="24"/>
          <w:szCs w:val="24"/>
        </w:rPr>
      </w:pPr>
      <w:r>
        <w:rPr>
          <w:rFonts w:hint="eastAsia" w:ascii="宋体" w:hAnsi="宋体" w:eastAsia="宋体" w:cs="宋体"/>
          <w:sz w:val="24"/>
          <w:szCs w:val="24"/>
        </w:rPr>
        <w:t>14.图像解析速度:≥30帧/秒；</w:t>
      </w:r>
    </w:p>
    <w:p w14:paraId="4490822F">
      <w:pPr>
        <w:rPr>
          <w:rFonts w:hint="eastAsia" w:ascii="宋体" w:hAnsi="宋体" w:eastAsia="宋体" w:cs="宋体"/>
          <w:sz w:val="24"/>
          <w:szCs w:val="24"/>
        </w:rPr>
      </w:pPr>
      <w:r>
        <w:rPr>
          <w:rFonts w:hint="eastAsia" w:ascii="宋体" w:hAnsi="宋体" w:eastAsia="宋体" w:cs="宋体"/>
          <w:sz w:val="24"/>
          <w:szCs w:val="24"/>
        </w:rPr>
        <w:t>15.最小可识别血管:直径≥0.5mm；</w:t>
      </w:r>
    </w:p>
    <w:p w14:paraId="1DFC9295">
      <w:pPr>
        <w:rPr>
          <w:rFonts w:hint="eastAsia" w:ascii="宋体" w:hAnsi="宋体" w:eastAsia="宋体" w:cs="宋体"/>
          <w:sz w:val="24"/>
          <w:szCs w:val="24"/>
        </w:rPr>
      </w:pPr>
      <w:r>
        <w:rPr>
          <w:rFonts w:hint="eastAsia" w:ascii="宋体" w:hAnsi="宋体" w:eastAsia="宋体" w:cs="宋体"/>
          <w:sz w:val="24"/>
          <w:szCs w:val="24"/>
        </w:rPr>
        <w:t>16.可识别血管深度:皮下12mm以内；</w:t>
      </w:r>
    </w:p>
    <w:p w14:paraId="3C15EB51">
      <w:pPr>
        <w:rPr>
          <w:rFonts w:hint="eastAsia" w:ascii="宋体" w:hAnsi="宋体" w:eastAsia="宋体" w:cs="宋体"/>
          <w:sz w:val="24"/>
          <w:szCs w:val="24"/>
        </w:rPr>
      </w:pPr>
      <w:r>
        <w:rPr>
          <w:rFonts w:hint="eastAsia" w:ascii="宋体" w:hAnsi="宋体" w:eastAsia="宋体" w:cs="宋体"/>
          <w:sz w:val="24"/>
          <w:szCs w:val="24"/>
        </w:rPr>
        <w:t>17.投影尺寸:大、中、小三种尺寸；</w:t>
      </w:r>
    </w:p>
    <w:p w14:paraId="2E73F0D3">
      <w:pPr>
        <w:rPr>
          <w:rFonts w:hint="eastAsia" w:ascii="宋体" w:hAnsi="宋体" w:eastAsia="宋体" w:cs="宋体"/>
          <w:sz w:val="24"/>
          <w:szCs w:val="24"/>
        </w:rPr>
      </w:pPr>
      <w:r>
        <w:rPr>
          <w:rFonts w:hint="eastAsia" w:ascii="宋体" w:hAnsi="宋体" w:eastAsia="宋体" w:cs="宋体"/>
          <w:sz w:val="24"/>
          <w:szCs w:val="24"/>
        </w:rPr>
        <w:t>18.投影亮度:五档投影亮度；</w:t>
      </w:r>
    </w:p>
    <w:p w14:paraId="4727FDD3">
      <w:pPr>
        <w:rPr>
          <w:rFonts w:hint="eastAsia" w:ascii="宋体" w:hAnsi="宋体" w:eastAsia="宋体" w:cs="宋体"/>
          <w:sz w:val="24"/>
          <w:szCs w:val="24"/>
        </w:rPr>
      </w:pPr>
      <w:r>
        <w:rPr>
          <w:rFonts w:hint="eastAsia" w:ascii="宋体" w:hAnsi="宋体" w:eastAsia="宋体" w:cs="宋体"/>
          <w:sz w:val="24"/>
          <w:szCs w:val="24"/>
        </w:rPr>
        <w:t>19.投影图像颜色:五种投影颜色,每种颜色均可反色；</w:t>
      </w:r>
    </w:p>
    <w:p w14:paraId="12B637D8">
      <w:pPr>
        <w:rPr>
          <w:rFonts w:hint="eastAsia" w:ascii="宋体" w:hAnsi="宋体" w:eastAsia="宋体" w:cs="宋体"/>
          <w:sz w:val="24"/>
          <w:szCs w:val="24"/>
        </w:rPr>
      </w:pPr>
      <w:r>
        <w:rPr>
          <w:rFonts w:hint="eastAsia" w:ascii="宋体" w:hAnsi="宋体" w:eastAsia="宋体" w:cs="宋体"/>
          <w:sz w:val="24"/>
          <w:szCs w:val="24"/>
        </w:rPr>
        <w:t>20.血管显示模式：≥</w:t>
      </w:r>
      <w:r>
        <w:rPr>
          <w:rFonts w:hint="eastAsia" w:ascii="宋体" w:hAnsi="宋体" w:eastAsia="宋体" w:cs="宋体"/>
          <w:sz w:val="24"/>
          <w:szCs w:val="24"/>
          <w:lang w:val="en-US" w:eastAsia="zh-CN"/>
        </w:rPr>
        <w:t>3种模式：</w:t>
      </w:r>
      <w:r>
        <w:rPr>
          <w:rFonts w:hint="eastAsia" w:ascii="宋体" w:hAnsi="宋体" w:eastAsia="宋体" w:cs="宋体"/>
          <w:sz w:val="24"/>
          <w:szCs w:val="24"/>
        </w:rPr>
        <w:t>普通模式/增强模式/深度模式；</w:t>
      </w:r>
    </w:p>
    <w:p w14:paraId="7C798710">
      <w:pPr>
        <w:rPr>
          <w:rFonts w:hint="eastAsia" w:ascii="宋体" w:hAnsi="宋体" w:eastAsia="宋体" w:cs="宋体"/>
          <w:sz w:val="24"/>
          <w:szCs w:val="24"/>
        </w:rPr>
      </w:pPr>
      <w:r>
        <w:rPr>
          <w:rFonts w:hint="eastAsia" w:ascii="宋体" w:hAnsi="宋体" w:eastAsia="宋体" w:cs="宋体"/>
          <w:sz w:val="24"/>
          <w:szCs w:val="24"/>
        </w:rPr>
        <w:t>21.深度提示：≥四档深度提示；</w:t>
      </w:r>
    </w:p>
    <w:p w14:paraId="600ECB57">
      <w:pPr>
        <w:rPr>
          <w:rFonts w:hint="eastAsia" w:ascii="宋体" w:hAnsi="宋体" w:eastAsia="宋体" w:cs="宋体"/>
          <w:sz w:val="24"/>
          <w:szCs w:val="24"/>
        </w:rPr>
      </w:pPr>
      <w:r>
        <w:rPr>
          <w:rFonts w:hint="eastAsia" w:ascii="宋体" w:hAnsi="宋体" w:eastAsia="宋体" w:cs="宋体"/>
          <w:sz w:val="24"/>
          <w:szCs w:val="24"/>
        </w:rPr>
        <w:t>22.血管分布图像的存储：具备图像锁定、存储、回放功能，可导出血管分布图像至电脑；</w:t>
      </w:r>
    </w:p>
    <w:p w14:paraId="5C88229A">
      <w:pPr>
        <w:rPr>
          <w:rFonts w:hint="eastAsia" w:ascii="宋体" w:hAnsi="宋体" w:eastAsia="宋体" w:cs="宋体"/>
          <w:sz w:val="24"/>
          <w:szCs w:val="24"/>
        </w:rPr>
      </w:pPr>
      <w:r>
        <w:rPr>
          <w:rFonts w:hint="eastAsia" w:ascii="宋体" w:hAnsi="宋体" w:eastAsia="宋体" w:cs="宋体"/>
          <w:sz w:val="24"/>
          <w:szCs w:val="24"/>
        </w:rPr>
        <w:t>23.最佳投影距离指示：具备；</w:t>
      </w:r>
    </w:p>
    <w:p w14:paraId="06EE4B66">
      <w:pPr>
        <w:rPr>
          <w:rFonts w:hint="eastAsia" w:ascii="宋体" w:hAnsi="宋体" w:eastAsia="宋体" w:cs="宋体"/>
          <w:sz w:val="24"/>
          <w:szCs w:val="24"/>
        </w:rPr>
      </w:pPr>
      <w:r>
        <w:rPr>
          <w:rFonts w:hint="eastAsia" w:ascii="宋体" w:hAnsi="宋体" w:eastAsia="宋体" w:cs="宋体"/>
          <w:sz w:val="24"/>
          <w:szCs w:val="24"/>
        </w:rPr>
        <w:t>24.自动休眠/唤醒：具备；</w:t>
      </w:r>
    </w:p>
    <w:p w14:paraId="68FBAF49">
      <w:pPr>
        <w:rPr>
          <w:rFonts w:hint="eastAsia" w:ascii="宋体" w:hAnsi="宋体" w:eastAsia="宋体" w:cs="宋体"/>
          <w:sz w:val="24"/>
          <w:szCs w:val="24"/>
        </w:rPr>
      </w:pPr>
      <w:r>
        <w:rPr>
          <w:rFonts w:hint="eastAsia" w:ascii="宋体" w:hAnsi="宋体" w:eastAsia="宋体" w:cs="宋体"/>
          <w:sz w:val="24"/>
          <w:szCs w:val="24"/>
        </w:rPr>
        <w:t>25.最佳穿刺路径推荐及最佳血管灌注水平提示：具备；</w:t>
      </w:r>
    </w:p>
    <w:p w14:paraId="34FD20A1">
      <w:pPr>
        <w:rPr>
          <w:rFonts w:hint="eastAsia" w:ascii="宋体" w:hAnsi="宋体" w:eastAsia="宋体" w:cs="宋体"/>
          <w:sz w:val="24"/>
          <w:szCs w:val="24"/>
        </w:rPr>
      </w:pPr>
      <w:r>
        <w:rPr>
          <w:rFonts w:hint="eastAsia" w:ascii="宋体" w:hAnsi="宋体" w:eastAsia="宋体" w:cs="宋体"/>
          <w:sz w:val="24"/>
          <w:szCs w:val="24"/>
        </w:rPr>
        <w:t>26.外置式血管影像增强器：标配</w:t>
      </w:r>
    </w:p>
    <w:p w14:paraId="1884BF82">
      <w:pPr>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rPr>
        <w:t>二、配置：主机1台  充电底座1套、充电线1根 、</w:t>
      </w:r>
      <w:r>
        <w:rPr>
          <w:rFonts w:hint="eastAsia" w:ascii="宋体" w:hAnsi="宋体" w:eastAsia="宋体" w:cs="宋体"/>
          <w:color w:val="auto"/>
          <w:sz w:val="24"/>
          <w:szCs w:val="24"/>
          <w:highlight w:val="none"/>
          <w:lang w:val="en-US" w:eastAsia="zh-CN"/>
        </w:rPr>
        <w:t xml:space="preserve"> 支架3套(推车式支架1套，夹台式支架1套，桌面台式支架1套)、增强器1个，便携式箱包</w:t>
      </w:r>
    </w:p>
    <w:p w14:paraId="3C48B0C7">
      <w:pPr>
        <w:rPr>
          <w:rFonts w:hint="eastAsia" w:ascii="宋体" w:hAnsi="宋体" w:eastAsia="宋体" w:cs="宋体"/>
          <w:b/>
          <w:bCs/>
          <w:sz w:val="24"/>
          <w:szCs w:val="24"/>
          <w:lang w:val="en-US" w:eastAsia="zh-CN"/>
        </w:rPr>
      </w:pPr>
      <w:r>
        <w:rPr>
          <w:rFonts w:hint="eastAsia" w:ascii="宋体" w:hAnsi="宋体" w:eastAsia="宋体" w:cs="宋体"/>
          <w:sz w:val="24"/>
          <w:szCs w:val="24"/>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b/>
          <w:bCs/>
          <w:sz w:val="24"/>
          <w:szCs w:val="24"/>
          <w:lang w:val="en-US" w:eastAsia="zh-CN"/>
        </w:rPr>
        <w:t>整机质保3年，制造商提供承诺，加盖公章</w:t>
      </w:r>
    </w:p>
    <w:p w14:paraId="0F66D714">
      <w:pPr>
        <w:jc w:val="center"/>
        <w:rPr>
          <w:rFonts w:hint="eastAsia" w:ascii="宋体" w:hAnsi="宋体" w:eastAsia="宋体" w:cs="宋体"/>
          <w:b/>
          <w:bCs/>
          <w:color w:val="000000"/>
          <w:sz w:val="28"/>
          <w:szCs w:val="28"/>
          <w:lang w:val="en-US" w:eastAsia="zh-CN" w:bidi="ar"/>
        </w:rPr>
      </w:pPr>
      <w:r>
        <w:rPr>
          <w:rFonts w:hint="eastAsia" w:ascii="宋体" w:hAnsi="宋体" w:eastAsia="宋体" w:cs="宋体"/>
          <w:b/>
          <w:bCs/>
          <w:color w:val="000000"/>
          <w:sz w:val="28"/>
          <w:szCs w:val="28"/>
          <w:lang w:val="en-US" w:eastAsia="zh-CN" w:bidi="ar"/>
        </w:rPr>
        <w:t>主动脉内球囊反搏（IABP）</w:t>
      </w:r>
      <w:r>
        <w:rPr>
          <w:rFonts w:hint="eastAsia" w:ascii="宋体" w:hAnsi="宋体" w:cs="宋体"/>
          <w:b/>
          <w:bCs/>
          <w:color w:val="000000"/>
          <w:sz w:val="28"/>
          <w:szCs w:val="28"/>
          <w:lang w:val="en-US" w:eastAsia="zh-CN" w:bidi="ar"/>
        </w:rPr>
        <w:t>（</w:t>
      </w:r>
      <w:r>
        <w:rPr>
          <w:rFonts w:hint="eastAsia" w:ascii="宋体" w:hAnsi="宋体" w:eastAsia="宋体" w:cs="宋体"/>
          <w:b/>
          <w:bCs/>
          <w:color w:val="000000"/>
          <w:sz w:val="28"/>
          <w:szCs w:val="28"/>
          <w:lang w:bidi="ar"/>
        </w:rPr>
        <w:t>主动脉内球囊反搏泵</w:t>
      </w:r>
      <w:r>
        <w:rPr>
          <w:rFonts w:hint="eastAsia" w:ascii="宋体" w:hAnsi="宋体" w:cs="宋体"/>
          <w:b/>
          <w:bCs/>
          <w:color w:val="000000"/>
          <w:sz w:val="28"/>
          <w:szCs w:val="28"/>
          <w:lang w:eastAsia="zh-CN" w:bidi="ar"/>
        </w:rPr>
        <w:t>）</w:t>
      </w:r>
      <w:r>
        <w:rPr>
          <w:rFonts w:hint="eastAsia" w:ascii="宋体" w:hAnsi="宋体" w:eastAsia="宋体" w:cs="宋体"/>
          <w:b/>
          <w:bCs/>
          <w:color w:val="000000"/>
          <w:sz w:val="28"/>
          <w:szCs w:val="28"/>
          <w:lang w:val="en-US" w:eastAsia="zh-CN" w:bidi="ar"/>
        </w:rPr>
        <w:t>技术参数</w:t>
      </w:r>
      <w:r>
        <w:rPr>
          <w:rFonts w:hint="eastAsia" w:ascii="宋体" w:hAnsi="宋体" w:cs="宋体"/>
          <w:b/>
          <w:bCs/>
          <w:color w:val="000000"/>
          <w:sz w:val="28"/>
          <w:szCs w:val="28"/>
          <w:lang w:val="en-US" w:eastAsia="zh-CN" w:bidi="ar"/>
        </w:rPr>
        <w:t>（核心产品</w:t>
      </w:r>
      <w:bookmarkStart w:id="572" w:name="_GoBack"/>
      <w:bookmarkEnd w:id="572"/>
      <w:r>
        <w:rPr>
          <w:rFonts w:hint="eastAsia" w:ascii="宋体" w:hAnsi="宋体" w:cs="宋体"/>
          <w:b/>
          <w:bCs/>
          <w:color w:val="000000"/>
          <w:sz w:val="28"/>
          <w:szCs w:val="28"/>
          <w:lang w:val="en-US" w:eastAsia="zh-CN" w:bidi="ar"/>
        </w:rPr>
        <w:t>）</w:t>
      </w:r>
    </w:p>
    <w:p w14:paraId="05187259">
      <w:pPr>
        <w:jc w:val="left"/>
        <w:rPr>
          <w:rFonts w:hint="eastAsia" w:ascii="宋体" w:hAnsi="宋体" w:eastAsia="宋体" w:cs="宋体"/>
          <w:b/>
          <w:bCs/>
          <w:color w:val="000000"/>
          <w:sz w:val="24"/>
          <w:szCs w:val="24"/>
          <w:lang w:eastAsia="zh-CN" w:bidi="ar"/>
        </w:rPr>
      </w:pPr>
      <w:r>
        <w:rPr>
          <w:rFonts w:hint="eastAsia" w:ascii="宋体" w:hAnsi="宋体" w:eastAsia="宋体" w:cs="宋体"/>
          <w:b/>
          <w:bCs/>
          <w:color w:val="000000"/>
          <w:sz w:val="24"/>
          <w:szCs w:val="24"/>
          <w:lang w:eastAsia="zh-CN" w:bidi="ar"/>
        </w:rPr>
        <w:t>一、</w:t>
      </w:r>
    </w:p>
    <w:p w14:paraId="34125F81">
      <w:pP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1</w:t>
      </w:r>
      <w:r>
        <w:rPr>
          <w:rFonts w:hint="eastAsia" w:ascii="宋体" w:hAnsi="宋体" w:eastAsia="宋体" w:cs="宋体"/>
          <w:b/>
          <w:bCs/>
          <w:color w:val="000000"/>
          <w:sz w:val="24"/>
          <w:szCs w:val="24"/>
          <w:lang w:eastAsia="zh" w:bidi="ar"/>
        </w:rPr>
        <w:t>.</w:t>
      </w:r>
      <w:r>
        <w:rPr>
          <w:rFonts w:hint="eastAsia" w:ascii="宋体" w:hAnsi="宋体" w:eastAsia="宋体" w:cs="宋体"/>
          <w:b/>
          <w:bCs/>
          <w:color w:val="000000"/>
          <w:sz w:val="24"/>
          <w:szCs w:val="24"/>
          <w:lang w:bidi="ar"/>
        </w:rPr>
        <w:t xml:space="preserve"> 气路系统</w:t>
      </w:r>
    </w:p>
    <w:p w14:paraId="21DFACE0">
      <w:pPr>
        <w:pStyle w:val="34"/>
        <w:ind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1.1 反搏泵内部压力</w:t>
      </w:r>
      <w:r>
        <w:rPr>
          <w:rFonts w:hint="eastAsia" w:ascii="宋体" w:hAnsi="宋体" w:eastAsia="宋体" w:cs="宋体"/>
          <w:color w:val="000000"/>
          <w:sz w:val="24"/>
          <w:szCs w:val="24"/>
          <w:lang w:val="en-US" w:eastAsia="zh-CN"/>
        </w:rPr>
        <w:t>范围</w:t>
      </w:r>
      <w:r>
        <w:rPr>
          <w:rFonts w:hint="eastAsia" w:ascii="宋体" w:hAnsi="宋体" w:eastAsia="宋体" w:cs="宋体"/>
          <w:color w:val="000000"/>
          <w:sz w:val="24"/>
          <w:szCs w:val="24"/>
        </w:rPr>
        <w:t>：0mmHg～250mmHg</w:t>
      </w:r>
      <w:r>
        <w:rPr>
          <w:rFonts w:hint="eastAsia" w:ascii="宋体" w:hAnsi="宋体" w:eastAsia="宋体" w:cs="宋体"/>
          <w:color w:val="000000"/>
          <w:sz w:val="24"/>
          <w:szCs w:val="24"/>
          <w:lang w:eastAsia="zh-CN"/>
        </w:rPr>
        <w:t>。</w:t>
      </w:r>
    </w:p>
    <w:p w14:paraId="45E83A46">
      <w:pPr>
        <w:pStyle w:val="34"/>
        <w:ind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1.2 球囊充气容积测量范围：</w:t>
      </w:r>
    </w:p>
    <w:p w14:paraId="5D37983A">
      <w:pPr>
        <w:pStyle w:val="34"/>
        <w:ind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1.2.1 </w:t>
      </w:r>
      <w:r>
        <w:rPr>
          <w:rFonts w:hint="eastAsia" w:ascii="宋体" w:hAnsi="宋体" w:eastAsia="宋体" w:cs="宋体"/>
          <w:color w:val="000000"/>
          <w:sz w:val="24"/>
          <w:szCs w:val="24"/>
        </w:rPr>
        <w:t>30mL球囊充气容积可调范围21mL～30mL</w:t>
      </w:r>
    </w:p>
    <w:p w14:paraId="719226E1">
      <w:pPr>
        <w:pStyle w:val="34"/>
        <w:ind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1.2.2 </w:t>
      </w:r>
      <w:r>
        <w:rPr>
          <w:rFonts w:hint="eastAsia" w:ascii="宋体" w:hAnsi="宋体" w:eastAsia="宋体" w:cs="宋体"/>
          <w:color w:val="000000"/>
          <w:sz w:val="24"/>
          <w:szCs w:val="24"/>
        </w:rPr>
        <w:t>40mL球囊充气容积可调范围28mL～40mL。</w:t>
      </w:r>
    </w:p>
    <w:p w14:paraId="3ADC8A18">
      <w:pPr>
        <w:pStyle w:val="34"/>
        <w:ind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1.3最小充放气周期时间</w:t>
      </w:r>
    </w:p>
    <w:p w14:paraId="66439DE6">
      <w:pPr>
        <w:pStyle w:val="34"/>
        <w:ind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1.3.1 </w:t>
      </w:r>
      <w:r>
        <w:rPr>
          <w:rFonts w:hint="eastAsia" w:ascii="宋体" w:hAnsi="宋体" w:eastAsia="宋体" w:cs="宋体"/>
          <w:color w:val="000000"/>
          <w:sz w:val="24"/>
          <w:szCs w:val="24"/>
        </w:rPr>
        <w:t>30mL球囊充气到其规定体积时间≤2</w:t>
      </w:r>
      <w:r>
        <w:rPr>
          <w:rFonts w:hint="eastAsia" w:ascii="宋体" w:hAnsi="宋体" w:eastAsia="宋体" w:cs="宋体"/>
          <w:color w:val="000000"/>
          <w:sz w:val="24"/>
          <w:szCs w:val="24"/>
          <w:lang w:val="en-US" w:eastAsia="zh-CN"/>
        </w:rPr>
        <w:t>50</w:t>
      </w:r>
      <w:r>
        <w:rPr>
          <w:rFonts w:hint="eastAsia" w:ascii="宋体" w:hAnsi="宋体" w:eastAsia="宋体" w:cs="宋体"/>
          <w:color w:val="000000"/>
          <w:sz w:val="24"/>
          <w:szCs w:val="24"/>
        </w:rPr>
        <w:t>ms。</w:t>
      </w:r>
    </w:p>
    <w:p w14:paraId="17551D4C">
      <w:pPr>
        <w:pStyle w:val="34"/>
        <w:ind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1.3.2 </w:t>
      </w:r>
      <w:r>
        <w:rPr>
          <w:rFonts w:hint="eastAsia" w:ascii="宋体" w:hAnsi="宋体" w:eastAsia="宋体" w:cs="宋体"/>
          <w:color w:val="000000"/>
          <w:sz w:val="24"/>
          <w:szCs w:val="24"/>
        </w:rPr>
        <w:t>40mL球囊充气到其规定体积时间≤2</w:t>
      </w:r>
      <w:r>
        <w:rPr>
          <w:rFonts w:hint="eastAsia" w:ascii="宋体" w:hAnsi="宋体" w:eastAsia="宋体" w:cs="宋体"/>
          <w:color w:val="000000"/>
          <w:sz w:val="24"/>
          <w:szCs w:val="24"/>
          <w:lang w:val="en-US" w:eastAsia="zh-CN"/>
        </w:rPr>
        <w:t>70</w:t>
      </w:r>
      <w:r>
        <w:rPr>
          <w:rFonts w:hint="eastAsia" w:ascii="宋体" w:hAnsi="宋体" w:eastAsia="宋体" w:cs="宋体"/>
          <w:color w:val="000000"/>
          <w:sz w:val="24"/>
          <w:szCs w:val="24"/>
        </w:rPr>
        <w:t>ms。</w:t>
      </w:r>
    </w:p>
    <w:p w14:paraId="56C8C52B">
      <w:pPr>
        <w:pStyle w:val="34"/>
        <w:ind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1.4 最大充放气时间</w:t>
      </w:r>
    </w:p>
    <w:p w14:paraId="461B714D">
      <w:pPr>
        <w:pStyle w:val="34"/>
        <w:ind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1.4.1 </w:t>
      </w:r>
      <w:r>
        <w:rPr>
          <w:rFonts w:hint="eastAsia" w:ascii="宋体" w:hAnsi="宋体" w:eastAsia="宋体" w:cs="宋体"/>
          <w:color w:val="000000"/>
          <w:sz w:val="24"/>
          <w:szCs w:val="24"/>
        </w:rPr>
        <w:t>充气时间≤</w:t>
      </w:r>
      <w:r>
        <w:rPr>
          <w:rFonts w:hint="eastAsia" w:ascii="宋体" w:hAnsi="宋体" w:eastAsia="宋体" w:cs="宋体"/>
          <w:color w:val="000000"/>
          <w:sz w:val="24"/>
          <w:szCs w:val="24"/>
          <w:lang w:val="en-US" w:eastAsia="zh-CN"/>
        </w:rPr>
        <w:t>110</w:t>
      </w:r>
      <w:r>
        <w:rPr>
          <w:rFonts w:hint="eastAsia" w:ascii="宋体" w:hAnsi="宋体" w:eastAsia="宋体" w:cs="宋体"/>
          <w:color w:val="000000"/>
          <w:sz w:val="24"/>
          <w:szCs w:val="24"/>
        </w:rPr>
        <w:t>ms。</w:t>
      </w:r>
    </w:p>
    <w:p w14:paraId="387CA065">
      <w:pPr>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 xml:space="preserve">1.4.2 </w:t>
      </w:r>
      <w:r>
        <w:rPr>
          <w:rFonts w:hint="eastAsia" w:ascii="宋体" w:hAnsi="宋体" w:eastAsia="宋体" w:cs="宋体"/>
          <w:color w:val="000000"/>
          <w:kern w:val="0"/>
          <w:sz w:val="24"/>
          <w:szCs w:val="24"/>
          <w:lang w:bidi="ar"/>
        </w:rPr>
        <w:t>放气时间(收缩反应时间)≤110ms。</w:t>
      </w:r>
    </w:p>
    <w:p w14:paraId="14685A1C">
      <w:pPr>
        <w:pStyle w:val="34"/>
        <w:ind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1.5 安全气阀泄气压力</w:t>
      </w:r>
    </w:p>
    <w:p w14:paraId="4E4AF961">
      <w:pPr>
        <w:pStyle w:val="34"/>
        <w:ind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安全阀压力</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1.0psi时完全打开。</w:t>
      </w:r>
    </w:p>
    <w:p w14:paraId="3EDF4B2D">
      <w:pPr>
        <w:pStyle w:val="34"/>
        <w:ind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1.6 反搏要求</w:t>
      </w:r>
    </w:p>
    <w:p w14:paraId="203FEC6C">
      <w:pPr>
        <w:pStyle w:val="34"/>
        <w:ind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1.6.1反搏频率：40bpm～200bpm。</w:t>
      </w:r>
    </w:p>
    <w:p w14:paraId="3D53E009">
      <w:pPr>
        <w:pStyle w:val="34"/>
        <w:ind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1.6.2反搏速率与心率同步，辅助比率有：1:1、1:2、1:3。</w:t>
      </w:r>
    </w:p>
    <w:p w14:paraId="7E07ECA0">
      <w:pPr>
        <w:pStyle w:val="34"/>
        <w:ind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1.7 球囊连接器接口可以识别球囊的型号。</w:t>
      </w:r>
    </w:p>
    <w:p w14:paraId="59E79B75">
      <w:pPr>
        <w:pStyle w:val="34"/>
        <w:ind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1.8 水蒸气去除，反搏泵气路系统可冷凝水蒸气，将冷凝水排到收集瓶中。</w:t>
      </w:r>
    </w:p>
    <w:p w14:paraId="28F2A791">
      <w:pPr>
        <w:pStyle w:val="34"/>
        <w:ind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14:paraId="113BF4DC">
      <w:pPr>
        <w:pStyle w:val="34"/>
        <w:ind w:firstLine="0" w:firstLineChars="0"/>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
        </w:rPr>
        <w:t>.</w:t>
      </w:r>
      <w:r>
        <w:rPr>
          <w:rFonts w:hint="eastAsia" w:ascii="宋体" w:hAnsi="宋体" w:eastAsia="宋体" w:cs="宋体"/>
          <w:b/>
          <w:bCs/>
          <w:sz w:val="24"/>
          <w:szCs w:val="24"/>
        </w:rPr>
        <w:t>心电信息</w:t>
      </w:r>
    </w:p>
    <w:p w14:paraId="5B153D41">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2.1 ECG心率测量范围：40bpm～200bpm。</w:t>
      </w:r>
    </w:p>
    <w:p w14:paraId="31E5E95A">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2.2 起搏器信号检测具有ECG心室起搏和心房起搏模式。</w:t>
      </w:r>
    </w:p>
    <w:p w14:paraId="15407AEA">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2.3 反搏装置对高大T波具有抑制能力。</w:t>
      </w:r>
    </w:p>
    <w:p w14:paraId="02D40634">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p>
    <w:p w14:paraId="3C57A303">
      <w:pPr>
        <w:pStyle w:val="34"/>
        <w:ind w:firstLine="0" w:firstLineChars="0"/>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eastAsia="zh"/>
        </w:rPr>
        <w:t>.</w:t>
      </w:r>
      <w:r>
        <w:rPr>
          <w:rFonts w:hint="eastAsia" w:ascii="宋体" w:hAnsi="宋体" w:eastAsia="宋体" w:cs="宋体"/>
          <w:b/>
          <w:bCs/>
          <w:sz w:val="24"/>
          <w:szCs w:val="24"/>
        </w:rPr>
        <w:t>整机噪声</w:t>
      </w:r>
    </w:p>
    <w:p w14:paraId="359D05AC">
      <w:pPr>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噪声</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 xml:space="preserve"> 58dB(听觉报警信号除外)。</w:t>
      </w:r>
    </w:p>
    <w:p w14:paraId="6DD45765">
      <w:pPr>
        <w:jc w:val="left"/>
        <w:rPr>
          <w:rFonts w:hint="eastAsia" w:ascii="宋体" w:hAnsi="宋体" w:eastAsia="宋体" w:cs="宋体"/>
          <w:color w:val="000000"/>
          <w:kern w:val="0"/>
          <w:sz w:val="24"/>
          <w:szCs w:val="24"/>
          <w:lang w:bidi="ar"/>
        </w:rPr>
      </w:pPr>
    </w:p>
    <w:p w14:paraId="7A458116">
      <w:pPr>
        <w:pStyle w:val="34"/>
        <w:numPr>
          <w:ilvl w:val="0"/>
          <w:numId w:val="24"/>
        </w:numPr>
        <w:tabs>
          <w:tab w:val="clear" w:pos="567"/>
        </w:tabs>
        <w:ind w:firstLine="0" w:firstLineChars="0"/>
        <w:rPr>
          <w:rFonts w:hint="eastAsia" w:ascii="宋体" w:hAnsi="宋体" w:eastAsia="宋体" w:cs="宋体"/>
          <w:b/>
          <w:bCs/>
          <w:sz w:val="24"/>
          <w:szCs w:val="24"/>
        </w:rPr>
      </w:pPr>
      <w:r>
        <w:rPr>
          <w:rFonts w:hint="eastAsia" w:ascii="宋体" w:hAnsi="宋体" w:eastAsia="宋体" w:cs="宋体"/>
          <w:b/>
          <w:bCs/>
          <w:sz w:val="24"/>
          <w:szCs w:val="24"/>
        </w:rPr>
        <w:t>屏幕显示水平扫描速度</w:t>
      </w:r>
    </w:p>
    <w:p w14:paraId="21E5FB66">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具有25mm/s、50mm/s二档。</w:t>
      </w:r>
    </w:p>
    <w:p w14:paraId="09A5D7DB">
      <w:pPr>
        <w:pStyle w:val="34"/>
        <w:ind w:firstLine="0" w:firstLineChars="0"/>
        <w:rPr>
          <w:rFonts w:hint="eastAsia" w:ascii="宋体" w:hAnsi="宋体" w:eastAsia="宋体" w:cs="宋体"/>
          <w:sz w:val="24"/>
          <w:szCs w:val="24"/>
        </w:rPr>
      </w:pPr>
    </w:p>
    <w:p w14:paraId="577A1010">
      <w:pPr>
        <w:pStyle w:val="34"/>
        <w:ind w:firstLine="0" w:firstLineChars="0"/>
        <w:rPr>
          <w:rFonts w:hint="eastAsia" w:ascii="宋体" w:hAnsi="宋体" w:eastAsia="宋体" w:cs="宋体"/>
          <w:b/>
          <w:bCs/>
          <w:sz w:val="24"/>
          <w:szCs w:val="24"/>
        </w:rPr>
      </w:pPr>
      <w:r>
        <w:rPr>
          <w:rFonts w:hint="eastAsia" w:ascii="宋体" w:hAnsi="宋体" w:eastAsia="宋体" w:cs="宋体"/>
          <w:b/>
          <w:bCs/>
          <w:sz w:val="24"/>
          <w:szCs w:val="24"/>
        </w:rPr>
        <w:t>5软件功能</w:t>
      </w:r>
    </w:p>
    <w:p w14:paraId="6DF4B365">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5.1创建及选择患者记录</w:t>
      </w:r>
    </w:p>
    <w:p w14:paraId="70952849">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仪器在开机时必须创建或选择患者信息记录，进入操作界面后可重新选择和创建患者记录。</w:t>
      </w:r>
    </w:p>
    <w:p w14:paraId="46C542C6">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5.2报警</w:t>
      </w:r>
    </w:p>
    <w:p w14:paraId="3FCCCFAF">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仪器会检测当前的运行状态，出现异常时会在屏幕上显示报警信息及报警指示并发出报警音。</w:t>
      </w:r>
    </w:p>
    <w:p w14:paraId="134D7BD2">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5.3报警静音</w:t>
      </w:r>
    </w:p>
    <w:p w14:paraId="4C5C976B">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仪器可通过报警声音暂停按键来暂停报警声音，暂停的时间为120s，等新的报警出现或者再次按下报警声音暂停按键才会重新发出报警声音。</w:t>
      </w:r>
    </w:p>
    <w:p w14:paraId="2FBB6356">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5.4报警等级</w:t>
      </w:r>
    </w:p>
    <w:p w14:paraId="0207280F">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报警信息分为高中低三个不同级别。</w:t>
      </w:r>
    </w:p>
    <w:p w14:paraId="18718275">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高级报警触发后泵会停止并将氦气从系统中排出，屏幕顶部显示红色的报警条，高级音频报警将响起，警报将记录在报警日志中。</w:t>
      </w:r>
    </w:p>
    <w:p w14:paraId="5B6A1271">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中级报警触发后泵会停止并将氦气从系统中推入球囊，屏幕顶部显示黄色的报警条，中级音频报警将响起，警报将记录在报警日志中。</w:t>
      </w:r>
    </w:p>
    <w:p w14:paraId="619EF630">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低级报警触发后屏幕顶部显示黄色的报警条，初级音频报警将响起，警报将记录在报警日志中。</w:t>
      </w:r>
    </w:p>
    <w:p w14:paraId="7E067FA0">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p>
    <w:p w14:paraId="28947537">
      <w:pPr>
        <w:pStyle w:val="34"/>
        <w:ind w:firstLine="0" w:firstLineChars="0"/>
        <w:rPr>
          <w:rFonts w:hint="eastAsia" w:ascii="宋体" w:hAnsi="宋体" w:eastAsia="宋体" w:cs="宋体"/>
          <w:b/>
          <w:bCs/>
          <w:sz w:val="24"/>
          <w:szCs w:val="24"/>
        </w:rPr>
      </w:pPr>
      <w:r>
        <w:rPr>
          <w:rFonts w:hint="eastAsia" w:ascii="宋体" w:hAnsi="宋体" w:eastAsia="宋体" w:cs="宋体"/>
          <w:b/>
          <w:bCs/>
          <w:sz w:val="24"/>
          <w:szCs w:val="24"/>
        </w:rPr>
        <w:t>6</w:t>
      </w:r>
      <w:r>
        <w:rPr>
          <w:rFonts w:hint="eastAsia" w:ascii="宋体" w:hAnsi="宋体" w:eastAsia="宋体" w:cs="宋体"/>
          <w:b/>
          <w:bCs/>
          <w:sz w:val="24"/>
          <w:szCs w:val="24"/>
          <w:lang w:eastAsia="zh"/>
        </w:rPr>
        <w:t>.</w:t>
      </w:r>
      <w:r>
        <w:rPr>
          <w:rFonts w:hint="eastAsia" w:ascii="宋体" w:hAnsi="宋体" w:eastAsia="宋体" w:cs="宋体"/>
          <w:b/>
          <w:bCs/>
          <w:sz w:val="24"/>
          <w:szCs w:val="24"/>
        </w:rPr>
        <w:t>系统控制功能</w:t>
      </w:r>
    </w:p>
    <w:p w14:paraId="125651F0">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6.1按钮控制</w:t>
      </w:r>
    </w:p>
    <w:p w14:paraId="37B24F21">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按钮控制包括：操作模式(导航/手动)、设备状态(开始/停止)、触发模式(标准心电/峰值触发/动脉血压/固定触发/房颤模式/心房起搏/心室起搏)、心电来源、血压来源、辅助比率、充气时刻、放气时刻、球囊气量、波形冻结、参考线、警报设置、调零、脱机、帮助、菜单、返回、确定及光标操作按钮。</w:t>
      </w:r>
    </w:p>
    <w:p w14:paraId="1FC05A4C">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6.2触摸屏控制</w:t>
      </w:r>
    </w:p>
    <w:p w14:paraId="28608B42">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触摸屏控制包括：心电、动脉压、固定触发、脱机、血流动力学、打印、系统。</w:t>
      </w:r>
    </w:p>
    <w:p w14:paraId="4DA93431">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6.3信号来源</w:t>
      </w:r>
    </w:p>
    <w:p w14:paraId="2D5D5CE7">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能够提供反搏依据的信号来源：人体ECG信号、监护仪输出的ECG信号、人体动脉血压和监护仪输出的动脉血压信号。</w:t>
      </w:r>
    </w:p>
    <w:p w14:paraId="40C8D4D7">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6.4触发模式</w:t>
      </w:r>
    </w:p>
    <w:p w14:paraId="1B6A87C0">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可选触发模式为：标准心电、峰值触发、动脉血压、固定触发、房颤模式、心房起搏、心室起搏。</w:t>
      </w:r>
    </w:p>
    <w:p w14:paraId="7649843F">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触发模式选择：在手动模式下用户可选择全部的触发模式，在导航模式下根据信号选择标准心电、峰值触发、动脉血压、房颤模式。</w:t>
      </w:r>
    </w:p>
    <w:p w14:paraId="5939B580">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6.5日志</w:t>
      </w:r>
    </w:p>
    <w:p w14:paraId="37BA8577">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有报警日志、操作日志、生理数据、导出窗口数据选项。</w:t>
      </w:r>
    </w:p>
    <w:p w14:paraId="58DE0315">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6.6系统</w:t>
      </w:r>
    </w:p>
    <w:p w14:paraId="422FCCCA">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有时间、音频、日志、用户管理、关于、维护选项。</w:t>
      </w:r>
    </w:p>
    <w:p w14:paraId="7E107415">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p>
    <w:p w14:paraId="4114D347">
      <w:pPr>
        <w:pStyle w:val="34"/>
        <w:ind w:firstLine="0" w:firstLineChars="0"/>
        <w:rPr>
          <w:rFonts w:hint="eastAsia" w:ascii="宋体" w:hAnsi="宋体" w:eastAsia="宋体" w:cs="宋体"/>
          <w:b/>
          <w:bCs/>
          <w:sz w:val="24"/>
          <w:szCs w:val="24"/>
        </w:rPr>
      </w:pPr>
      <w:r>
        <w:rPr>
          <w:rFonts w:hint="eastAsia" w:ascii="宋体" w:hAnsi="宋体" w:eastAsia="宋体" w:cs="宋体"/>
          <w:b/>
          <w:bCs/>
          <w:sz w:val="24"/>
          <w:szCs w:val="24"/>
        </w:rPr>
        <w:t>7</w:t>
      </w:r>
      <w:r>
        <w:rPr>
          <w:rFonts w:hint="eastAsia" w:ascii="宋体" w:hAnsi="宋体" w:eastAsia="宋体" w:cs="宋体"/>
          <w:b/>
          <w:bCs/>
          <w:sz w:val="24"/>
          <w:szCs w:val="24"/>
          <w:lang w:eastAsia="zh"/>
        </w:rPr>
        <w:t>.</w:t>
      </w:r>
      <w:r>
        <w:rPr>
          <w:rFonts w:hint="eastAsia" w:ascii="宋体" w:hAnsi="宋体" w:eastAsia="宋体" w:cs="宋体"/>
          <w:b/>
          <w:bCs/>
          <w:sz w:val="24"/>
          <w:szCs w:val="24"/>
        </w:rPr>
        <w:t>打印功能</w:t>
      </w:r>
    </w:p>
    <w:p w14:paraId="780125C3">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7.1打印内容</w:t>
      </w:r>
    </w:p>
    <w:p w14:paraId="71E1E97E">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7.1.1两通道波形数据，可选ECG、动脉血压、球囊压力波形；</w:t>
      </w:r>
    </w:p>
    <w:p w14:paraId="173328F2">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7.1.2病人部分信息（姓名，身份ID）、操作模式、触发模式、ECG数据来源、动脉压数据来源、辅助比、球囊型号、充放气时机、时间日期、心率、反搏压、收缩压、舒张压。</w:t>
      </w:r>
    </w:p>
    <w:p w14:paraId="6C2B9457">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7.2自动打印</w:t>
      </w:r>
    </w:p>
    <w:p w14:paraId="394CCD88">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7.2.1可设置定时间隔2分钟、15分钟、20分钟、60分钟、2小时、4小时自动打印，打印波形为ECG和动脉压，其他信息与正常打印一致。</w:t>
      </w:r>
    </w:p>
    <w:p w14:paraId="39F9327B">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7.2.2反搏时出现高级和中级报警信息时自动打印，打印波形内容为：动脉压和球囊压力波形，报警信息、平均压阈值、反搏压阈值。</w:t>
      </w:r>
    </w:p>
    <w:p w14:paraId="249A25C1">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p>
    <w:p w14:paraId="083E75CE">
      <w:pPr>
        <w:pStyle w:val="34"/>
        <w:ind w:firstLine="0" w:firstLineChars="0"/>
        <w:rPr>
          <w:rFonts w:hint="eastAsia" w:ascii="宋体" w:hAnsi="宋体" w:eastAsia="宋体" w:cs="宋体"/>
          <w:b/>
          <w:bCs/>
          <w:sz w:val="24"/>
          <w:szCs w:val="24"/>
        </w:rPr>
      </w:pPr>
      <w:r>
        <w:rPr>
          <w:rFonts w:hint="eastAsia" w:ascii="宋体" w:hAnsi="宋体" w:eastAsia="宋体" w:cs="宋体"/>
          <w:b/>
          <w:bCs/>
          <w:sz w:val="24"/>
          <w:szCs w:val="24"/>
        </w:rPr>
        <w:t>8</w:t>
      </w:r>
      <w:r>
        <w:rPr>
          <w:rFonts w:hint="eastAsia" w:ascii="宋体" w:hAnsi="宋体" w:eastAsia="宋体" w:cs="宋体"/>
          <w:b/>
          <w:bCs/>
          <w:sz w:val="24"/>
          <w:szCs w:val="24"/>
          <w:lang w:eastAsia="zh"/>
        </w:rPr>
        <w:t>.</w:t>
      </w:r>
      <w:r>
        <w:rPr>
          <w:rFonts w:hint="eastAsia" w:ascii="宋体" w:hAnsi="宋体" w:eastAsia="宋体" w:cs="宋体"/>
          <w:b/>
          <w:bCs/>
          <w:sz w:val="24"/>
          <w:szCs w:val="24"/>
        </w:rPr>
        <w:t>显示功能</w:t>
      </w:r>
    </w:p>
    <w:p w14:paraId="350CBE56">
      <w:pPr>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8.1波形及状态信息显示</w:t>
      </w:r>
    </w:p>
    <w:p w14:paraId="44E96193">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屏幕上可以显示ECG，动脉血压，球囊压力波形，并可以读出当前光标位置数值。</w:t>
      </w:r>
    </w:p>
    <w:p w14:paraId="647B5A3D">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8.2充放气时刻指示</w:t>
      </w:r>
    </w:p>
    <w:p w14:paraId="29742697">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在动脉压力波形下方以长条形显示充放气时刻信息，并用数字标注当前充放气时刻。</w:t>
      </w:r>
    </w:p>
    <w:p w14:paraId="3428EC0E">
      <w:pPr>
        <w:pStyle w:val="34"/>
        <w:ind w:firstLine="0" w:firstLineChars="0"/>
        <w:jc w:val="left"/>
        <w:rPr>
          <w:rFonts w:hint="eastAsia" w:ascii="宋体" w:hAnsi="宋体" w:eastAsia="宋体" w:cs="宋体"/>
          <w:sz w:val="24"/>
          <w:szCs w:val="24"/>
        </w:rPr>
      </w:pPr>
      <w:r>
        <w:rPr>
          <w:rFonts w:hint="eastAsia" w:ascii="宋体" w:hAnsi="宋体" w:eastAsia="宋体" w:cs="宋体"/>
          <w:sz w:val="24"/>
          <w:szCs w:val="24"/>
        </w:rPr>
        <w:t>8.3波形冻结</w:t>
      </w:r>
    </w:p>
    <w:p w14:paraId="7C88A46C">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按下冻结按钮后显示的图像暂停刷新，10秒后自动解除，也可再次按下冻结按钮解除冻结。</w:t>
      </w:r>
    </w:p>
    <w:p w14:paraId="0F1F79DE">
      <w:pPr>
        <w:pStyle w:val="34"/>
        <w:ind w:firstLine="0" w:firstLineChars="0"/>
        <w:rPr>
          <w:rFonts w:hint="eastAsia" w:ascii="宋体" w:hAnsi="宋体" w:eastAsia="宋体" w:cs="宋体"/>
          <w:b/>
          <w:bCs/>
          <w:sz w:val="24"/>
          <w:szCs w:val="24"/>
        </w:rPr>
      </w:pPr>
    </w:p>
    <w:p w14:paraId="304BD85D">
      <w:pPr>
        <w:pStyle w:val="34"/>
        <w:ind w:firstLine="0" w:firstLineChars="0"/>
        <w:rPr>
          <w:rFonts w:hint="eastAsia" w:ascii="宋体" w:hAnsi="宋体" w:eastAsia="宋体" w:cs="宋体"/>
          <w:b/>
          <w:bCs/>
          <w:sz w:val="24"/>
          <w:szCs w:val="24"/>
        </w:rPr>
      </w:pPr>
      <w:r>
        <w:rPr>
          <w:rFonts w:hint="eastAsia" w:ascii="宋体" w:hAnsi="宋体" w:eastAsia="宋体" w:cs="宋体"/>
          <w:b/>
          <w:bCs/>
          <w:sz w:val="24"/>
          <w:szCs w:val="24"/>
          <w:lang w:eastAsia="zh"/>
        </w:rPr>
        <w:t>9.</w:t>
      </w:r>
      <w:r>
        <w:rPr>
          <w:rFonts w:hint="eastAsia" w:ascii="宋体" w:hAnsi="宋体" w:eastAsia="宋体" w:cs="宋体"/>
          <w:b/>
          <w:bCs/>
          <w:sz w:val="24"/>
          <w:szCs w:val="24"/>
        </w:rPr>
        <w:t>内部电源</w:t>
      </w:r>
    </w:p>
    <w:p w14:paraId="352DD0D1">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内部电源能够支持使用约120分钟（完全充电下，40</w:t>
      </w:r>
      <w:r>
        <w:rPr>
          <w:rFonts w:hint="eastAsia" w:ascii="宋体" w:hAnsi="宋体" w:eastAsia="宋体" w:cs="宋体"/>
          <w:sz w:val="24"/>
          <w:szCs w:val="24"/>
          <w:lang w:val="en-US" w:eastAsia="zh-CN"/>
        </w:rPr>
        <w:t>ml</w:t>
      </w:r>
      <w:r>
        <w:rPr>
          <w:rFonts w:hint="eastAsia" w:ascii="宋体" w:hAnsi="宋体" w:eastAsia="宋体" w:cs="宋体"/>
          <w:sz w:val="24"/>
          <w:szCs w:val="24"/>
        </w:rPr>
        <w:t>，80bpm，辅助比率1:1）。</w:t>
      </w:r>
    </w:p>
    <w:p w14:paraId="0D276131">
      <w:pPr>
        <w:pStyle w:val="34"/>
        <w:ind w:firstLine="0" w:firstLineChars="0"/>
        <w:rPr>
          <w:rFonts w:hint="eastAsia" w:ascii="宋体" w:hAnsi="宋体" w:eastAsia="宋体" w:cs="宋体"/>
          <w:sz w:val="24"/>
          <w:szCs w:val="24"/>
        </w:rPr>
      </w:pPr>
    </w:p>
    <w:p w14:paraId="14A378FF">
      <w:pPr>
        <w:pStyle w:val="34"/>
        <w:ind w:firstLine="0" w:firstLineChars="0"/>
        <w:rPr>
          <w:rFonts w:hint="eastAsia" w:ascii="宋体" w:hAnsi="宋体" w:eastAsia="宋体" w:cs="宋体"/>
          <w:b/>
          <w:bCs/>
          <w:sz w:val="24"/>
          <w:szCs w:val="24"/>
        </w:rPr>
      </w:pPr>
      <w:r>
        <w:rPr>
          <w:rFonts w:hint="eastAsia" w:ascii="宋体" w:hAnsi="宋体" w:eastAsia="宋体" w:cs="宋体"/>
          <w:b/>
          <w:bCs/>
          <w:sz w:val="24"/>
          <w:szCs w:val="24"/>
        </w:rPr>
        <w:t>10</w:t>
      </w:r>
      <w:r>
        <w:rPr>
          <w:rFonts w:hint="eastAsia" w:ascii="宋体" w:hAnsi="宋体" w:eastAsia="宋体" w:cs="宋体"/>
          <w:b/>
          <w:bCs/>
          <w:sz w:val="24"/>
          <w:szCs w:val="24"/>
          <w:lang w:eastAsia="zh"/>
        </w:rPr>
        <w:t>.</w:t>
      </w:r>
      <w:r>
        <w:rPr>
          <w:rFonts w:hint="eastAsia" w:ascii="宋体" w:hAnsi="宋体" w:eastAsia="宋体" w:cs="宋体"/>
          <w:b/>
          <w:bCs/>
          <w:sz w:val="24"/>
          <w:szCs w:val="24"/>
        </w:rPr>
        <w:t>网络安全</w:t>
      </w:r>
    </w:p>
    <w:p w14:paraId="60311AEF">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10.1数据接口USB</w:t>
      </w:r>
    </w:p>
    <w:p w14:paraId="37F350F7">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通讯协议：USB 2.0，升级设备程序以及读取数据。</w:t>
      </w:r>
    </w:p>
    <w:p w14:paraId="7D6C4557">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10.2用户访问控制</w:t>
      </w:r>
    </w:p>
    <w:p w14:paraId="4438C27F">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设备有导出数据操作，用户数据和后台数据导出需输入密码才可执行。</w:t>
      </w:r>
    </w:p>
    <w:p w14:paraId="2022978C">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p>
    <w:p w14:paraId="26E7C43C">
      <w:pPr>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bidi="ar"/>
        </w:rPr>
        <w:t>11</w:t>
      </w:r>
      <w:r>
        <w:rPr>
          <w:rFonts w:hint="eastAsia" w:ascii="宋体" w:hAnsi="宋体" w:eastAsia="宋体" w:cs="宋体"/>
          <w:b/>
          <w:bCs/>
          <w:color w:val="000000"/>
          <w:kern w:val="0"/>
          <w:sz w:val="24"/>
          <w:szCs w:val="24"/>
          <w:lang w:eastAsia="zh" w:bidi="ar"/>
        </w:rPr>
        <w:t>.</w:t>
      </w:r>
      <w:r>
        <w:rPr>
          <w:rFonts w:hint="eastAsia" w:ascii="宋体" w:hAnsi="宋体" w:eastAsia="宋体" w:cs="宋体"/>
          <w:b/>
          <w:bCs/>
          <w:color w:val="000000"/>
          <w:kern w:val="0"/>
          <w:sz w:val="24"/>
          <w:szCs w:val="24"/>
          <w:lang w:bidi="ar"/>
        </w:rPr>
        <w:t>电气安全</w:t>
      </w:r>
    </w:p>
    <w:p w14:paraId="7C10FD23">
      <w:pPr>
        <w:jc w:val="left"/>
        <w:rPr>
          <w:rFonts w:hint="eastAsia" w:ascii="宋体" w:hAnsi="宋体" w:eastAsia="宋体" w:cs="宋体"/>
          <w:sz w:val="24"/>
          <w:szCs w:val="24"/>
        </w:rPr>
      </w:pPr>
      <w:r>
        <w:rPr>
          <w:rFonts w:hint="eastAsia" w:ascii="宋体" w:hAnsi="宋体" w:eastAsia="宋体" w:cs="宋体"/>
          <w:sz w:val="24"/>
          <w:szCs w:val="24"/>
          <w:lang w:bidi="ar"/>
        </w:rPr>
        <w:t xml:space="preserve">11.1电磁兼容符合 YY 9706.102-2021、GB 9706.227-2021 条款 202 及 YY 9706.234-2021 条款 202 的相关要求。 </w:t>
      </w:r>
    </w:p>
    <w:p w14:paraId="6451F908">
      <w:pPr>
        <w:jc w:val="left"/>
        <w:rPr>
          <w:rFonts w:hint="eastAsia" w:ascii="宋体" w:hAnsi="宋体" w:eastAsia="宋体" w:cs="宋体"/>
          <w:sz w:val="24"/>
          <w:szCs w:val="24"/>
        </w:rPr>
      </w:pPr>
      <w:r>
        <w:rPr>
          <w:rFonts w:hint="eastAsia" w:ascii="宋体" w:hAnsi="宋体" w:eastAsia="宋体" w:cs="宋体"/>
          <w:sz w:val="24"/>
          <w:szCs w:val="24"/>
          <w:lang w:bidi="ar"/>
        </w:rPr>
        <w:t xml:space="preserve">11.2 主动脉内球囊反搏泵的安全性能应符合 GB 9706.1-2020 的要求。 </w:t>
      </w:r>
    </w:p>
    <w:p w14:paraId="03C80DED">
      <w:pPr>
        <w:jc w:val="left"/>
        <w:rPr>
          <w:rFonts w:hint="eastAsia" w:ascii="宋体" w:hAnsi="宋体" w:eastAsia="宋体" w:cs="宋体"/>
          <w:sz w:val="24"/>
          <w:szCs w:val="24"/>
        </w:rPr>
      </w:pPr>
      <w:r>
        <w:rPr>
          <w:rFonts w:hint="eastAsia" w:ascii="宋体" w:hAnsi="宋体" w:eastAsia="宋体" w:cs="宋体"/>
          <w:sz w:val="24"/>
          <w:szCs w:val="24"/>
          <w:lang w:bidi="ar"/>
        </w:rPr>
        <w:t xml:space="preserve">11.3 报警安全和性能应符合 YY 9706.108-2021 的要求。 </w:t>
      </w:r>
    </w:p>
    <w:p w14:paraId="52476241">
      <w:pPr>
        <w:jc w:val="left"/>
        <w:rPr>
          <w:rFonts w:hint="eastAsia" w:ascii="宋体" w:hAnsi="宋体" w:eastAsia="宋体" w:cs="宋体"/>
          <w:sz w:val="24"/>
          <w:szCs w:val="24"/>
        </w:rPr>
      </w:pPr>
      <w:r>
        <w:rPr>
          <w:rFonts w:hint="eastAsia" w:ascii="宋体" w:hAnsi="宋体" w:eastAsia="宋体" w:cs="宋体"/>
          <w:sz w:val="24"/>
          <w:szCs w:val="24"/>
          <w:lang w:bidi="ar"/>
        </w:rPr>
        <w:t xml:space="preserve">11.4 心电安全和性能符合 GB 9706.227-2021 的适用条款要求。 </w:t>
      </w:r>
    </w:p>
    <w:p w14:paraId="5152EDEC">
      <w:pPr>
        <w:jc w:val="left"/>
        <w:rPr>
          <w:rFonts w:hint="eastAsia" w:ascii="宋体" w:hAnsi="宋体" w:eastAsia="宋体" w:cs="宋体"/>
          <w:sz w:val="24"/>
          <w:szCs w:val="24"/>
          <w:lang w:bidi="ar"/>
        </w:rPr>
      </w:pPr>
      <w:r>
        <w:rPr>
          <w:rFonts w:hint="eastAsia" w:ascii="宋体" w:hAnsi="宋体" w:eastAsia="宋体" w:cs="宋体"/>
          <w:sz w:val="24"/>
          <w:szCs w:val="24"/>
          <w:lang w:bidi="ar"/>
        </w:rPr>
        <w:t>11.5 动脉压力安全和性能符合 YY 9706.234-2021 的要求。</w:t>
      </w:r>
    </w:p>
    <w:p w14:paraId="0372B604">
      <w:pPr>
        <w:jc w:val="left"/>
        <w:rPr>
          <w:rFonts w:hint="eastAsia" w:ascii="宋体" w:hAnsi="宋体" w:eastAsia="宋体" w:cs="宋体"/>
          <w:sz w:val="24"/>
          <w:szCs w:val="24"/>
          <w:lang w:bidi="ar"/>
        </w:rPr>
      </w:pPr>
    </w:p>
    <w:p w14:paraId="2305C160">
      <w:pPr>
        <w:jc w:val="left"/>
        <w:rPr>
          <w:rFonts w:hint="eastAsia" w:ascii="宋体" w:hAnsi="宋体" w:eastAsia="宋体" w:cs="宋体"/>
          <w:sz w:val="24"/>
          <w:szCs w:val="24"/>
          <w:lang w:val="en-US" w:eastAsia="zh-CN" w:bidi="ar"/>
        </w:rPr>
      </w:pPr>
      <w:r>
        <w:rPr>
          <w:rFonts w:hint="eastAsia" w:ascii="宋体" w:hAnsi="宋体" w:eastAsia="宋体" w:cs="宋体"/>
          <w:sz w:val="24"/>
          <w:szCs w:val="24"/>
          <w:lang w:eastAsia="zh-CN" w:bidi="ar"/>
        </w:rPr>
        <w:t>二、配置</w:t>
      </w:r>
      <w:r>
        <w:rPr>
          <w:rFonts w:hint="eastAsia" w:ascii="宋体" w:hAnsi="宋体" w:eastAsia="宋体" w:cs="宋体"/>
          <w:sz w:val="24"/>
          <w:szCs w:val="24"/>
          <w:lang w:bidi="ar"/>
        </w:rPr>
        <w:t>临时起搏器</w:t>
      </w:r>
      <w:r>
        <w:rPr>
          <w:rFonts w:hint="eastAsia" w:ascii="宋体" w:hAnsi="宋体" w:eastAsia="宋体" w:cs="宋体"/>
          <w:sz w:val="24"/>
          <w:szCs w:val="24"/>
          <w:lang w:val="en-US" w:eastAsia="zh-CN" w:bidi="ar"/>
        </w:rPr>
        <w:t>1台</w:t>
      </w:r>
    </w:p>
    <w:p w14:paraId="203BA69B">
      <w:pPr>
        <w:jc w:val="left"/>
        <w:rPr>
          <w:rFonts w:hint="eastAsia" w:ascii="宋体" w:hAnsi="宋体" w:eastAsia="宋体" w:cs="宋体"/>
          <w:sz w:val="24"/>
          <w:szCs w:val="24"/>
          <w:lang w:eastAsia="zh-CN" w:bidi="ar"/>
        </w:rPr>
      </w:pPr>
      <w:r>
        <w:rPr>
          <w:rFonts w:hint="eastAsia" w:ascii="宋体" w:hAnsi="宋体" w:eastAsia="宋体" w:cs="宋体"/>
          <w:sz w:val="24"/>
          <w:szCs w:val="24"/>
          <w:lang w:bidi="ar"/>
        </w:rPr>
        <w:t>参数</w:t>
      </w:r>
      <w:r>
        <w:rPr>
          <w:rFonts w:hint="eastAsia" w:ascii="宋体" w:hAnsi="宋体" w:eastAsia="宋体" w:cs="宋体"/>
          <w:sz w:val="24"/>
          <w:szCs w:val="24"/>
          <w:lang w:eastAsia="zh-CN" w:bidi="ar"/>
        </w:rPr>
        <w:t>：</w:t>
      </w:r>
    </w:p>
    <w:p w14:paraId="46C0E03C">
      <w:pPr>
        <w:jc w:val="left"/>
        <w:rPr>
          <w:rFonts w:hint="eastAsia" w:ascii="宋体" w:hAnsi="宋体" w:eastAsia="宋体" w:cs="宋体"/>
          <w:sz w:val="24"/>
          <w:szCs w:val="24"/>
          <w:lang w:bidi="ar"/>
        </w:rPr>
      </w:pPr>
      <w:r>
        <w:rPr>
          <w:rFonts w:hint="eastAsia" w:ascii="宋体" w:hAnsi="宋体" w:eastAsia="宋体" w:cs="宋体"/>
          <w:sz w:val="24"/>
          <w:szCs w:val="24"/>
          <w:lang w:bidi="ar"/>
        </w:rPr>
        <w:t>1. 工作模式：支持VVI、VOO、SSI、SOO等临床常用起搏模式，具备固定起搏与按需起搏功能。</w:t>
      </w:r>
    </w:p>
    <w:p w14:paraId="3A5A24F7">
      <w:pPr>
        <w:jc w:val="left"/>
        <w:rPr>
          <w:rFonts w:hint="eastAsia" w:ascii="宋体" w:hAnsi="宋体" w:eastAsia="宋体" w:cs="宋体"/>
          <w:sz w:val="24"/>
          <w:szCs w:val="24"/>
          <w:lang w:bidi="ar"/>
        </w:rPr>
      </w:pPr>
      <w:r>
        <w:rPr>
          <w:rFonts w:hint="eastAsia" w:ascii="宋体" w:hAnsi="宋体" w:eastAsia="宋体" w:cs="宋体"/>
          <w:sz w:val="24"/>
          <w:szCs w:val="24"/>
          <w:lang w:bidi="ar"/>
        </w:rPr>
        <w:t>2. 起搏频率：30～200次/分，连续可调，调节精度≤1ppm。</w:t>
      </w:r>
    </w:p>
    <w:p w14:paraId="1DDEA424">
      <w:pPr>
        <w:jc w:val="left"/>
        <w:rPr>
          <w:rFonts w:hint="eastAsia" w:ascii="宋体" w:hAnsi="宋体" w:eastAsia="宋体" w:cs="宋体"/>
          <w:sz w:val="24"/>
          <w:szCs w:val="24"/>
          <w:lang w:bidi="ar"/>
        </w:rPr>
      </w:pPr>
      <w:r>
        <w:rPr>
          <w:rFonts w:hint="eastAsia" w:ascii="宋体" w:hAnsi="宋体" w:eastAsia="宋体" w:cs="宋体"/>
          <w:sz w:val="24"/>
          <w:szCs w:val="24"/>
          <w:lang w:bidi="ar"/>
        </w:rPr>
        <w:t>3. 输出电压：0.1～10.0V连续可调，脉宽0.06～2.0ms可调，恒定电压输出。</w:t>
      </w:r>
    </w:p>
    <w:p w14:paraId="0AB90208">
      <w:pPr>
        <w:jc w:val="left"/>
        <w:rPr>
          <w:rFonts w:hint="eastAsia" w:ascii="宋体" w:hAnsi="宋体" w:eastAsia="宋体" w:cs="宋体"/>
          <w:sz w:val="24"/>
          <w:szCs w:val="24"/>
          <w:lang w:bidi="ar"/>
        </w:rPr>
      </w:pPr>
      <w:r>
        <w:rPr>
          <w:rFonts w:hint="eastAsia" w:ascii="宋体" w:hAnsi="宋体" w:eastAsia="宋体" w:cs="宋体"/>
          <w:sz w:val="24"/>
          <w:szCs w:val="24"/>
          <w:lang w:bidi="ar"/>
        </w:rPr>
        <w:t>4. 感知灵敏度：0.5～20mV可调，具备可靠R波感知功能，具备噪音自动识别与抑制功能。</w:t>
      </w:r>
    </w:p>
    <w:p w14:paraId="78D91164">
      <w:pPr>
        <w:jc w:val="left"/>
        <w:rPr>
          <w:rFonts w:hint="eastAsia" w:ascii="宋体" w:hAnsi="宋体" w:eastAsia="宋体" w:cs="宋体"/>
          <w:sz w:val="24"/>
          <w:szCs w:val="24"/>
          <w:lang w:bidi="ar"/>
        </w:rPr>
      </w:pPr>
      <w:r>
        <w:rPr>
          <w:rFonts w:hint="eastAsia" w:ascii="宋体" w:hAnsi="宋体" w:eastAsia="宋体" w:cs="宋体"/>
          <w:sz w:val="24"/>
          <w:szCs w:val="24"/>
          <w:lang w:bidi="ar"/>
        </w:rPr>
        <w:t>5. 安全功能：具备电极脱落报警、电池低电量报警、起搏/感知异常报警、奔放保护、起搏不应期保护等核心安全功能。</w:t>
      </w:r>
    </w:p>
    <w:p w14:paraId="110694FA">
      <w:pPr>
        <w:jc w:val="left"/>
        <w:rPr>
          <w:rFonts w:hint="eastAsia" w:ascii="宋体" w:hAnsi="宋体" w:eastAsia="宋体" w:cs="宋体"/>
          <w:sz w:val="24"/>
          <w:szCs w:val="24"/>
          <w:lang w:bidi="ar"/>
        </w:rPr>
      </w:pPr>
      <w:r>
        <w:rPr>
          <w:rFonts w:hint="eastAsia" w:ascii="宋体" w:hAnsi="宋体" w:eastAsia="宋体" w:cs="宋体"/>
          <w:sz w:val="24"/>
          <w:szCs w:val="24"/>
          <w:lang w:bidi="ar"/>
        </w:rPr>
        <w:t>6. 不应期：120～500ms可调</w:t>
      </w:r>
    </w:p>
    <w:p w14:paraId="335B13E7">
      <w:pPr>
        <w:jc w:val="left"/>
        <w:rPr>
          <w:rFonts w:hint="eastAsia" w:ascii="宋体" w:hAnsi="宋体" w:eastAsia="宋体" w:cs="宋体"/>
          <w:sz w:val="24"/>
          <w:szCs w:val="24"/>
          <w:lang w:bidi="ar"/>
        </w:rPr>
      </w:pPr>
      <w:r>
        <w:rPr>
          <w:rFonts w:hint="eastAsia" w:ascii="宋体" w:hAnsi="宋体" w:eastAsia="宋体" w:cs="宋体"/>
          <w:sz w:val="24"/>
          <w:szCs w:val="24"/>
          <w:lang w:bidi="ar"/>
        </w:rPr>
        <w:t>7. 供电方式：采用便携式电池供电，续航时间≥200小时</w:t>
      </w:r>
    </w:p>
    <w:p w14:paraId="12F91938">
      <w:pPr>
        <w:jc w:val="left"/>
        <w:rPr>
          <w:rFonts w:hint="eastAsia" w:ascii="宋体" w:hAnsi="宋体" w:eastAsia="宋体" w:cs="宋体"/>
          <w:sz w:val="24"/>
          <w:szCs w:val="24"/>
          <w:lang w:bidi="ar"/>
        </w:rPr>
      </w:pPr>
      <w:r>
        <w:rPr>
          <w:rFonts w:hint="eastAsia" w:ascii="宋体" w:hAnsi="宋体" w:eastAsia="宋体" w:cs="宋体"/>
          <w:sz w:val="24"/>
          <w:szCs w:val="24"/>
          <w:lang w:bidi="ar"/>
        </w:rPr>
        <w:t>8. 接口标准：兼容临床通用双极临时起搏电极导线，标准2.0mm起搏接口。</w:t>
      </w:r>
    </w:p>
    <w:p w14:paraId="76647282">
      <w:pPr>
        <w:jc w:val="left"/>
        <w:rPr>
          <w:rFonts w:hint="eastAsia" w:ascii="宋体" w:hAnsi="宋体" w:eastAsia="宋体" w:cs="宋体"/>
          <w:sz w:val="24"/>
          <w:szCs w:val="24"/>
          <w:lang w:bidi="ar"/>
        </w:rPr>
      </w:pPr>
      <w:r>
        <w:rPr>
          <w:rFonts w:hint="eastAsia" w:ascii="宋体" w:hAnsi="宋体" w:eastAsia="宋体" w:cs="宋体"/>
          <w:sz w:val="24"/>
          <w:szCs w:val="24"/>
          <w:lang w:bidi="ar"/>
        </w:rPr>
        <w:t>9. 操作显示：大屏幕LCD清晰显示，具备按键锁定功能，支持一键紧急起搏模式</w:t>
      </w:r>
    </w:p>
    <w:p w14:paraId="37E6B5C4">
      <w:pPr>
        <w:jc w:val="left"/>
        <w:rPr>
          <w:rFonts w:hint="eastAsia" w:ascii="宋体" w:hAnsi="宋体" w:eastAsia="宋体" w:cs="宋体"/>
          <w:sz w:val="24"/>
          <w:szCs w:val="24"/>
          <w:lang w:bidi="ar"/>
        </w:rPr>
      </w:pPr>
      <w:r>
        <w:rPr>
          <w:rFonts w:hint="eastAsia" w:ascii="宋体" w:hAnsi="宋体" w:eastAsia="宋体" w:cs="宋体"/>
          <w:sz w:val="24"/>
          <w:szCs w:val="24"/>
          <w:lang w:bidi="ar"/>
        </w:rPr>
        <w:t>10.具备合法有效的NMPA医疗器械注册证及相关资质文件。</w:t>
      </w:r>
    </w:p>
    <w:p w14:paraId="70338527">
      <w:pPr>
        <w:jc w:val="left"/>
        <w:rPr>
          <w:rFonts w:hint="eastAsia" w:ascii="宋体" w:hAnsi="宋体" w:eastAsia="宋体" w:cs="宋体"/>
          <w:sz w:val="24"/>
          <w:szCs w:val="24"/>
          <w:lang w:bidi="ar"/>
        </w:rPr>
      </w:pPr>
    </w:p>
    <w:p w14:paraId="0D63499C">
      <w:pPr>
        <w:numPr>
          <w:ilvl w:val="0"/>
          <w:numId w:val="0"/>
        </w:numPr>
        <w:jc w:val="left"/>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三、配备2辆≥150公斤承重的轮椅。</w:t>
      </w:r>
    </w:p>
    <w:p w14:paraId="4424942B">
      <w:pPr>
        <w:rPr>
          <w:rFonts w:hint="eastAsia" w:ascii="宋体" w:hAnsi="宋体" w:eastAsia="宋体" w:cs="宋体"/>
          <w:sz w:val="24"/>
          <w:szCs w:val="24"/>
        </w:rPr>
      </w:pPr>
      <w:r>
        <w:rPr>
          <w:rFonts w:hint="eastAsia" w:ascii="宋体" w:hAnsi="宋体" w:eastAsia="宋体" w:cs="宋体"/>
          <w:sz w:val="24"/>
          <w:szCs w:val="24"/>
          <w:lang w:val="en-US" w:eastAsia="zh-CN"/>
        </w:rPr>
        <w:t>四、配置ACT检测仪1台，</w:t>
      </w:r>
      <w:r>
        <w:rPr>
          <w:rFonts w:hint="eastAsia" w:ascii="宋体" w:hAnsi="宋体" w:eastAsia="宋体" w:cs="宋体"/>
          <w:sz w:val="24"/>
          <w:szCs w:val="24"/>
        </w:rPr>
        <w:t>用于临床床旁快速</w:t>
      </w:r>
      <w:r>
        <w:rPr>
          <w:rFonts w:hint="eastAsia" w:ascii="宋体" w:hAnsi="宋体" w:eastAsia="宋体" w:cs="宋体"/>
          <w:sz w:val="24"/>
          <w:szCs w:val="24"/>
          <w:lang w:val="en-US" w:eastAsia="zh-CN"/>
        </w:rPr>
        <w:t>ACT项目</w:t>
      </w:r>
      <w:r>
        <w:rPr>
          <w:rFonts w:hint="eastAsia" w:ascii="宋体" w:hAnsi="宋体" w:eastAsia="宋体" w:cs="宋体"/>
          <w:sz w:val="24"/>
          <w:szCs w:val="24"/>
        </w:rPr>
        <w:t>检测，适用于急诊、手术室、ICU、心内科、院前急救及抗凝治疗监测。要求便携式、操作简便、检测快速、结果准确。检测时间：≤10 分钟</w:t>
      </w:r>
      <w:r>
        <w:rPr>
          <w:rFonts w:hint="eastAsia" w:ascii="宋体" w:hAnsi="宋体" w:eastAsia="宋体" w:cs="宋体"/>
          <w:sz w:val="24"/>
          <w:szCs w:val="24"/>
          <w:lang w:eastAsia="zh-CN"/>
        </w:rPr>
        <w:t>，</w:t>
      </w:r>
      <w:r>
        <w:rPr>
          <w:rFonts w:hint="eastAsia" w:ascii="宋体" w:hAnsi="宋体" w:eastAsia="宋体" w:cs="宋体"/>
          <w:sz w:val="24"/>
          <w:szCs w:val="24"/>
        </w:rPr>
        <w:t>手持式/便携式</w:t>
      </w:r>
      <w:r>
        <w:rPr>
          <w:rFonts w:hint="eastAsia" w:ascii="宋体" w:hAnsi="宋体" w:eastAsia="宋体" w:cs="宋体"/>
          <w:sz w:val="24"/>
          <w:szCs w:val="24"/>
          <w:lang w:eastAsia="zh-CN"/>
        </w:rPr>
        <w:t>，</w:t>
      </w:r>
      <w:r>
        <w:rPr>
          <w:rFonts w:hint="eastAsia" w:ascii="宋体" w:hAnsi="宋体" w:eastAsia="宋体" w:cs="宋体"/>
          <w:sz w:val="24"/>
          <w:szCs w:val="24"/>
        </w:rPr>
        <w:t>-内置充电电池，续航≥4小时</w:t>
      </w:r>
      <w:r>
        <w:rPr>
          <w:rFonts w:hint="eastAsia" w:ascii="宋体" w:hAnsi="宋体" w:eastAsia="宋体" w:cs="宋体"/>
          <w:sz w:val="24"/>
          <w:szCs w:val="24"/>
          <w:lang w:eastAsia="zh-CN"/>
        </w:rPr>
        <w:t>，</w:t>
      </w:r>
      <w:r>
        <w:rPr>
          <w:rFonts w:hint="eastAsia" w:ascii="宋体" w:hAnsi="宋体" w:eastAsia="宋体" w:cs="宋体"/>
          <w:sz w:val="24"/>
          <w:szCs w:val="24"/>
        </w:rPr>
        <w:t>试剂与耗材</w:t>
      </w:r>
      <w:r>
        <w:rPr>
          <w:rFonts w:hint="eastAsia" w:ascii="宋体" w:hAnsi="宋体" w:eastAsia="宋体" w:cs="宋体"/>
          <w:sz w:val="24"/>
          <w:szCs w:val="24"/>
          <w:lang w:eastAsia="zh-CN"/>
        </w:rPr>
        <w:t>为阳采，</w:t>
      </w:r>
      <w:r>
        <w:rPr>
          <w:rFonts w:hint="eastAsia" w:ascii="宋体" w:hAnsi="宋体" w:eastAsia="宋体" w:cs="宋体"/>
          <w:sz w:val="24"/>
          <w:szCs w:val="24"/>
        </w:rPr>
        <w:t>可检测项目- 必做：</w:t>
      </w:r>
      <w:r>
        <w:rPr>
          <w:rFonts w:hint="eastAsia" w:ascii="宋体" w:hAnsi="宋体" w:eastAsia="宋体" w:cs="宋体"/>
          <w:sz w:val="24"/>
          <w:szCs w:val="24"/>
          <w:lang w:val="en-US" w:eastAsia="zh-CN"/>
        </w:rPr>
        <w:t>ACT</w:t>
      </w:r>
      <w:r>
        <w:rPr>
          <w:rFonts w:hint="eastAsia" w:ascii="宋体" w:hAnsi="宋体" w:eastAsia="宋体" w:cs="宋体"/>
          <w:sz w:val="24"/>
          <w:szCs w:val="24"/>
          <w:lang w:eastAsia="zh-CN"/>
        </w:rPr>
        <w:t>。</w:t>
      </w:r>
      <w:r>
        <w:rPr>
          <w:rFonts w:hint="eastAsia" w:ascii="宋体" w:hAnsi="宋体" w:eastAsia="宋体" w:cs="宋体"/>
          <w:sz w:val="24"/>
          <w:szCs w:val="24"/>
        </w:rPr>
        <w:t>原厂整机保修</w:t>
      </w:r>
      <w:r>
        <w:rPr>
          <w:rFonts w:hint="eastAsia" w:ascii="宋体" w:hAnsi="宋体" w:eastAsia="宋体" w:cs="宋体"/>
          <w:sz w:val="24"/>
          <w:szCs w:val="24"/>
          <w:lang w:val="en-US" w:eastAsia="zh-CN"/>
        </w:rPr>
        <w:t>3</w:t>
      </w:r>
      <w:r>
        <w:rPr>
          <w:rFonts w:hint="eastAsia" w:ascii="宋体" w:hAnsi="宋体" w:eastAsia="宋体" w:cs="宋体"/>
          <w:sz w:val="24"/>
          <w:szCs w:val="24"/>
        </w:rPr>
        <w:t>年。</w:t>
      </w:r>
    </w:p>
    <w:p w14:paraId="7EDFE005">
      <w:pPr>
        <w:numPr>
          <w:ilvl w:val="-1"/>
          <w:numId w:val="0"/>
        </w:numPr>
        <w:jc w:val="left"/>
        <w:rPr>
          <w:rFonts w:hint="eastAsia" w:ascii="宋体" w:hAnsi="宋体" w:eastAsia="宋体" w:cs="宋体"/>
          <w:sz w:val="24"/>
          <w:szCs w:val="24"/>
          <w:lang w:val="en-US" w:eastAsia="zh-CN" w:bidi="ar"/>
        </w:rPr>
      </w:pPr>
      <w:r>
        <w:rPr>
          <w:rFonts w:hint="eastAsia" w:ascii="宋体" w:hAnsi="宋体" w:eastAsia="宋体" w:cs="宋体"/>
          <w:sz w:val="24"/>
          <w:szCs w:val="24"/>
          <w:lang w:eastAsia="zh-CN"/>
        </w:rPr>
        <w:t>五、★</w:t>
      </w:r>
      <w:r>
        <w:rPr>
          <w:rFonts w:hint="eastAsia" w:ascii="宋体" w:hAnsi="宋体" w:eastAsia="宋体" w:cs="宋体"/>
          <w:sz w:val="24"/>
          <w:szCs w:val="24"/>
          <w:lang w:eastAsia="zh-CN" w:bidi="ar"/>
        </w:rPr>
        <w:t>所有机器</w:t>
      </w:r>
      <w:r>
        <w:rPr>
          <w:rFonts w:hint="eastAsia" w:ascii="宋体" w:hAnsi="宋体" w:eastAsia="宋体" w:cs="宋体"/>
          <w:i w:val="0"/>
          <w:caps w:val="0"/>
          <w:spacing w:val="0"/>
          <w:kern w:val="2"/>
          <w:sz w:val="24"/>
          <w:szCs w:val="24"/>
          <w:u w:val="none"/>
          <w:lang w:val="en-US" w:eastAsia="zh-CN" w:bidi="ar-SA"/>
        </w:rPr>
        <w:t>整机</w:t>
      </w:r>
      <w:r>
        <w:rPr>
          <w:rFonts w:hint="eastAsia" w:ascii="宋体" w:hAnsi="宋体" w:eastAsia="宋体" w:cs="宋体"/>
          <w:sz w:val="24"/>
          <w:szCs w:val="24"/>
          <w:lang w:val="en-US" w:eastAsia="zh-CN" w:bidi="ar"/>
        </w:rPr>
        <w:t>质保3年，制造商提供承诺，盖公章。</w:t>
      </w:r>
      <w:r>
        <w:rPr>
          <w:rFonts w:hint="eastAsia" w:ascii="宋体" w:hAnsi="宋体" w:eastAsia="宋体" w:cs="宋体"/>
          <w:b w:val="0"/>
          <w:bCs w:val="0"/>
          <w:sz w:val="24"/>
          <w:szCs w:val="24"/>
          <w:lang w:val="en-US" w:eastAsia="zh-CN"/>
        </w:rPr>
        <w:t>设备首检费用由中标人承担。</w:t>
      </w:r>
    </w:p>
    <w:p w14:paraId="2999E338">
      <w:pPr>
        <w:spacing w:line="360" w:lineRule="auto"/>
        <w:jc w:val="center"/>
        <w:rPr>
          <w:rFonts w:hint="eastAsia" w:ascii="宋体" w:hAnsi="宋体" w:eastAsia="宋体"/>
          <w:b/>
          <w:bCs/>
          <w:sz w:val="28"/>
          <w:szCs w:val="28"/>
          <w:lang w:eastAsia="zh-CN"/>
        </w:rPr>
      </w:pPr>
      <w:r>
        <w:rPr>
          <w:rFonts w:hint="eastAsia" w:ascii="宋体" w:hAnsi="宋体"/>
          <w:b/>
          <w:bCs/>
          <w:sz w:val="28"/>
          <w:szCs w:val="28"/>
          <w:lang w:val="en-US" w:eastAsia="zh-CN"/>
        </w:rPr>
        <w:t>心肺复苏</w:t>
      </w:r>
      <w:r>
        <w:rPr>
          <w:rFonts w:hint="eastAsia" w:ascii="宋体" w:hAnsi="宋体"/>
          <w:b/>
          <w:bCs/>
          <w:sz w:val="28"/>
          <w:szCs w:val="28"/>
        </w:rPr>
        <w:t>机</w:t>
      </w:r>
      <w:r>
        <w:rPr>
          <w:rFonts w:hint="eastAsia" w:ascii="宋体" w:hAnsi="宋体"/>
          <w:b/>
          <w:bCs/>
          <w:sz w:val="28"/>
          <w:szCs w:val="28"/>
          <w:lang w:val="en-US" w:eastAsia="zh-CN"/>
        </w:rPr>
        <w:t>技术</w:t>
      </w:r>
      <w:r>
        <w:rPr>
          <w:rFonts w:hint="eastAsia" w:ascii="宋体" w:hAnsi="宋体"/>
          <w:b/>
          <w:bCs/>
          <w:sz w:val="28"/>
          <w:szCs w:val="28"/>
          <w:lang w:eastAsia="zh-CN"/>
        </w:rPr>
        <w:t>参数</w:t>
      </w:r>
    </w:p>
    <w:p w14:paraId="00C37564">
      <w:pPr>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b/>
          <w:bCs/>
          <w:sz w:val="24"/>
          <w:szCs w:val="24"/>
          <w:lang w:val="en-US" w:eastAsia="zh-CN"/>
        </w:rPr>
        <w:t>1、适用范围</w:t>
      </w:r>
      <w:r>
        <w:rPr>
          <w:rFonts w:hint="eastAsia" w:ascii="宋体" w:hAnsi="宋体" w:eastAsia="宋体" w:cs="宋体"/>
          <w:b/>
          <w:bCs/>
          <w:sz w:val="24"/>
          <w:szCs w:val="24"/>
        </w:rPr>
        <w:t>：</w:t>
      </w:r>
    </w:p>
    <w:p w14:paraId="4D735B11">
      <w:pPr>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符合最新版ERC和</w:t>
      </w:r>
      <w:r>
        <w:rPr>
          <w:rFonts w:hint="eastAsia" w:ascii="宋体" w:hAnsi="宋体" w:eastAsia="宋体" w:cs="宋体"/>
          <w:sz w:val="24"/>
          <w:szCs w:val="24"/>
          <w:lang w:val="en-US" w:eastAsia="zh-CN"/>
        </w:rPr>
        <w:t>AHA</w:t>
      </w:r>
      <w:r>
        <w:rPr>
          <w:rFonts w:hint="eastAsia" w:ascii="宋体" w:hAnsi="宋体" w:eastAsia="宋体" w:cs="宋体"/>
          <w:sz w:val="24"/>
          <w:szCs w:val="24"/>
          <w:lang w:eastAsia="zh-CN"/>
        </w:rPr>
        <w:t>心肺复苏及心血管急救指南中关于心肺复苏替代技术和辅助装置的相关规范，适用于对心跳呼吸骤停的成年患者进行胸外按压等心肺复苏抢救。</w:t>
      </w:r>
    </w:p>
    <w:p w14:paraId="180B370E">
      <w:pPr>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按压技术：</w:t>
      </w:r>
      <w:r>
        <w:rPr>
          <w:rFonts w:hint="eastAsia" w:ascii="宋体" w:hAnsi="宋体" w:eastAsia="宋体" w:cs="宋体"/>
          <w:sz w:val="24"/>
          <w:szCs w:val="24"/>
          <w:lang w:val="en-US" w:eastAsia="zh-CN"/>
        </w:rPr>
        <w:t>采用单点按压结合胸廓束带方式，通过</w:t>
      </w:r>
      <w:r>
        <w:rPr>
          <w:rFonts w:hint="eastAsia" w:ascii="宋体" w:hAnsi="宋体" w:eastAsia="宋体" w:cs="宋体"/>
          <w:sz w:val="24"/>
          <w:szCs w:val="24"/>
        </w:rPr>
        <w:t>胸泵和心泵机制、模拟心脏搏动原理的智能心肺复苏技术，能比徒手CPR更高效率地改善血流动力学效应，减少复苏过程引起的损伤。</w:t>
      </w:r>
    </w:p>
    <w:p w14:paraId="14CA64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按压频率：按压频率范围 100 -120 次/分钟内，符合国际心肺复苏指南，误差值为：±1次/分钟。</w:t>
      </w:r>
    </w:p>
    <w:p w14:paraId="6CE04FB0">
      <w:pPr>
        <w:numPr>
          <w:ilvl w:val="0"/>
          <w:numId w:val="0"/>
        </w:numPr>
        <w:spacing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r>
        <w:rPr>
          <w:rFonts w:hint="eastAsia" w:ascii="宋体" w:hAnsi="宋体" w:eastAsia="宋体" w:cs="宋体"/>
          <w:sz w:val="24"/>
          <w:szCs w:val="24"/>
        </w:rPr>
        <w:t>按压深度精度：按压深度范围 30mm - 55mm范围内，误差值为：≤±2mm按</w:t>
      </w:r>
      <w:r>
        <w:rPr>
          <w:rFonts w:hint="eastAsia" w:ascii="宋体" w:hAnsi="宋体" w:eastAsia="宋体" w:cs="宋体"/>
          <w:sz w:val="24"/>
          <w:szCs w:val="24"/>
          <w:lang w:val="en-US" w:eastAsia="zh-CN"/>
        </w:rPr>
        <w:t>1.5按</w:t>
      </w:r>
      <w:r>
        <w:rPr>
          <w:rFonts w:hint="eastAsia" w:ascii="宋体" w:hAnsi="宋体" w:eastAsia="宋体" w:cs="宋体"/>
          <w:sz w:val="24"/>
          <w:szCs w:val="24"/>
        </w:rPr>
        <w:t>压释放比</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1</w:t>
      </w:r>
    </w:p>
    <w:p w14:paraId="582635B0">
      <w:pPr>
        <w:numPr>
          <w:ilvl w:val="0"/>
          <w:numId w:val="0"/>
        </w:numPr>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1.6 </w:t>
      </w:r>
      <w:r>
        <w:rPr>
          <w:rFonts w:hint="eastAsia" w:ascii="宋体" w:hAnsi="宋体" w:eastAsia="宋体" w:cs="宋体"/>
          <w:sz w:val="24"/>
          <w:szCs w:val="24"/>
        </w:rPr>
        <w:t>按压通气模式</w:t>
      </w:r>
      <w:r>
        <w:rPr>
          <w:rFonts w:hint="eastAsia" w:ascii="宋体" w:hAnsi="宋体" w:eastAsia="宋体" w:cs="宋体"/>
          <w:sz w:val="24"/>
          <w:szCs w:val="24"/>
          <w:lang w:val="en-US" w:eastAsia="zh-CN"/>
        </w:rPr>
        <w:t>包括</w:t>
      </w:r>
      <w:r>
        <w:rPr>
          <w:rFonts w:hint="eastAsia" w:ascii="宋体" w:hAnsi="宋体" w:eastAsia="宋体" w:cs="宋体"/>
          <w:sz w:val="24"/>
          <w:szCs w:val="24"/>
        </w:rPr>
        <w:t>：连续按压模式，30:2模式，CPR联动模式</w:t>
      </w:r>
    </w:p>
    <w:p w14:paraId="4417BAC3">
      <w:pPr>
        <w:numPr>
          <w:ilvl w:val="0"/>
          <w:numId w:val="0"/>
        </w:numPr>
        <w:spacing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1.7 </w:t>
      </w:r>
      <w:r>
        <w:rPr>
          <w:rFonts w:hint="eastAsia" w:ascii="宋体" w:hAnsi="宋体" w:eastAsia="宋体" w:cs="宋体"/>
          <w:sz w:val="24"/>
          <w:szCs w:val="24"/>
        </w:rPr>
        <w:t>30:2模式下，30次按压后，2次通气停顿时间≤</w:t>
      </w:r>
      <w:r>
        <w:rPr>
          <w:rFonts w:hint="eastAsia" w:ascii="宋体" w:hAnsi="宋体" w:eastAsia="宋体" w:cs="宋体"/>
          <w:sz w:val="24"/>
          <w:szCs w:val="24"/>
          <w:lang w:val="en-US" w:eastAsia="zh-CN"/>
        </w:rPr>
        <w:t>3秒</w:t>
      </w:r>
    </w:p>
    <w:p w14:paraId="33B40F17">
      <w:pPr>
        <w:numPr>
          <w:ilvl w:val="0"/>
          <w:numId w:val="0"/>
        </w:numPr>
        <w:spacing w:line="360" w:lineRule="auto"/>
        <w:ind w:left="0" w:leftChars="0"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1.8 </w:t>
      </w:r>
      <w:r>
        <w:rPr>
          <w:rFonts w:hint="eastAsia" w:ascii="宋体" w:hAnsi="宋体" w:eastAsia="宋体" w:cs="宋体"/>
          <w:sz w:val="24"/>
          <w:szCs w:val="24"/>
          <w:lang w:eastAsia="zh-CN"/>
        </w:rPr>
        <w:t>主机上具有按压深度窗口，可显示实际按压深度</w:t>
      </w:r>
    </w:p>
    <w:p w14:paraId="59E664BB">
      <w:pPr>
        <w:numPr>
          <w:ilvl w:val="0"/>
          <w:numId w:val="0"/>
        </w:numPr>
        <w:spacing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w:t>
      </w:r>
      <w:r>
        <w:rPr>
          <w:rFonts w:hint="eastAsia" w:ascii="宋体" w:hAnsi="宋体" w:eastAsia="宋体" w:cs="宋体"/>
          <w:sz w:val="24"/>
          <w:szCs w:val="24"/>
        </w:rPr>
        <w:t>最大工作倾斜度：≥</w:t>
      </w:r>
      <w:r>
        <w:rPr>
          <w:rFonts w:hint="eastAsia" w:ascii="宋体" w:hAnsi="宋体" w:eastAsia="宋体" w:cs="宋体"/>
          <w:sz w:val="24"/>
          <w:szCs w:val="24"/>
          <w:lang w:val="en-US" w:eastAsia="zh-CN"/>
        </w:rPr>
        <w:t>60</w:t>
      </w:r>
      <w:r>
        <w:rPr>
          <w:rFonts w:hint="eastAsia" w:ascii="宋体" w:hAnsi="宋体" w:eastAsia="宋体" w:cs="宋体"/>
          <w:sz w:val="24"/>
          <w:szCs w:val="24"/>
        </w:rPr>
        <w:t>°，在主机工作倾斜度范围内工作状态下，确保下楼梯、转运途中能维持持续稳定的胸腔按压。</w:t>
      </w:r>
    </w:p>
    <w:p w14:paraId="64ECF074">
      <w:pPr>
        <w:numPr>
          <w:ilvl w:val="0"/>
          <w:numId w:val="0"/>
        </w:numPr>
        <w:spacing w:line="360" w:lineRule="auto"/>
        <w:ind w:leftChars="0"/>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安全可靠性：</w:t>
      </w:r>
    </w:p>
    <w:p w14:paraId="4BB2B1B4">
      <w:pPr>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color w:val="000000"/>
          <w:sz w:val="24"/>
          <w:szCs w:val="24"/>
          <w:lang w:val="en-US" w:eastAsia="zh-CN"/>
        </w:rPr>
        <w:t>2.1</w:t>
      </w:r>
      <w:r>
        <w:rPr>
          <w:rFonts w:hint="eastAsia" w:ascii="宋体" w:hAnsi="宋体" w:eastAsia="宋体" w:cs="宋体"/>
          <w:color w:val="000000"/>
          <w:sz w:val="24"/>
          <w:szCs w:val="24"/>
          <w:lang w:eastAsia="zh-CN"/>
        </w:rPr>
        <w:t>★</w:t>
      </w:r>
      <w:r>
        <w:rPr>
          <w:rFonts w:hint="eastAsia" w:ascii="宋体" w:hAnsi="宋体" w:eastAsia="宋体" w:cs="宋体"/>
          <w:sz w:val="24"/>
          <w:szCs w:val="24"/>
        </w:rPr>
        <w:t>驱动方式：电动电控。</w:t>
      </w:r>
    </w:p>
    <w:p w14:paraId="313533E5">
      <w:pPr>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电池运行时间：新电池充满电情况下，单块电池最大运行时间</w:t>
      </w:r>
      <w:r>
        <w:rPr>
          <w:rFonts w:hint="eastAsia" w:ascii="宋体" w:hAnsi="宋体" w:eastAsia="宋体" w:cs="宋体"/>
          <w:sz w:val="24"/>
          <w:szCs w:val="24"/>
          <w:lang w:val="en-US" w:eastAsia="zh-CN"/>
        </w:rPr>
        <w:t>≥60</w:t>
      </w:r>
      <w:r>
        <w:rPr>
          <w:rFonts w:hint="eastAsia" w:ascii="宋体" w:hAnsi="宋体" w:eastAsia="宋体" w:cs="宋体"/>
          <w:sz w:val="24"/>
          <w:szCs w:val="24"/>
        </w:rPr>
        <w:t>分钟。</w:t>
      </w:r>
    </w:p>
    <w:p w14:paraId="41D80679">
      <w:pPr>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2.3</w:t>
      </w:r>
      <w:r>
        <w:rPr>
          <w:rFonts w:hint="eastAsia" w:ascii="宋体" w:hAnsi="宋体" w:eastAsia="宋体" w:cs="宋体"/>
          <w:sz w:val="24"/>
          <w:szCs w:val="24"/>
        </w:rPr>
        <w:t>电池最大充电时间：≤</w:t>
      </w:r>
      <w:r>
        <w:rPr>
          <w:rFonts w:hint="eastAsia" w:ascii="宋体" w:hAnsi="宋体" w:eastAsia="宋体" w:cs="宋体"/>
          <w:sz w:val="24"/>
          <w:szCs w:val="24"/>
          <w:lang w:val="en-US" w:eastAsia="zh-CN"/>
        </w:rPr>
        <w:t>2</w:t>
      </w:r>
      <w:r>
        <w:rPr>
          <w:rFonts w:hint="eastAsia" w:ascii="宋体" w:hAnsi="宋体" w:eastAsia="宋体" w:cs="宋体"/>
          <w:sz w:val="24"/>
          <w:szCs w:val="24"/>
        </w:rPr>
        <w:t>小时。</w:t>
      </w:r>
    </w:p>
    <w:p w14:paraId="290AE43A">
      <w:pPr>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外部交流电源：可接220V交流电，持续稳定实施长时间胸腔按压，并同时给予电池充电。</w:t>
      </w:r>
    </w:p>
    <w:p w14:paraId="2486BBC8">
      <w:pPr>
        <w:numPr>
          <w:ilvl w:val="0"/>
          <w:numId w:val="0"/>
        </w:numPr>
        <w:spacing w:line="360" w:lineRule="auto"/>
        <w:ind w:leftChars="0"/>
        <w:jc w:val="left"/>
        <w:rPr>
          <w:rFonts w:hint="eastAsia" w:ascii="宋体" w:hAnsi="宋体" w:eastAsia="宋体" w:cs="宋体"/>
          <w:color w:val="auto"/>
          <w:sz w:val="24"/>
          <w:szCs w:val="24"/>
        </w:rPr>
      </w:pPr>
      <w:r>
        <w:rPr>
          <w:rFonts w:hint="eastAsia" w:ascii="宋体" w:hAnsi="宋体" w:eastAsia="宋体" w:cs="宋体"/>
          <w:b w:val="0"/>
          <w:bCs w:val="0"/>
          <w:i w:val="0"/>
          <w:iCs w:val="0"/>
          <w:color w:val="auto"/>
          <w:kern w:val="2"/>
          <w:sz w:val="24"/>
          <w:szCs w:val="24"/>
          <w:highlight w:val="none"/>
          <w:vertAlign w:val="baseline"/>
          <w:lang w:val="en-US" w:eastAsia="zh-CN" w:bidi="ar-SA"/>
        </w:rPr>
        <w:t>2.5▲</w:t>
      </w:r>
      <w:r>
        <w:rPr>
          <w:rFonts w:hint="eastAsia" w:ascii="宋体" w:hAnsi="宋体" w:eastAsia="宋体" w:cs="宋体"/>
          <w:color w:val="auto"/>
          <w:sz w:val="24"/>
          <w:szCs w:val="24"/>
        </w:rPr>
        <w:t>具有电量指示，低电量指示灯闪烁警示后，仍可连续工作时间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分钟</w:t>
      </w:r>
    </w:p>
    <w:p w14:paraId="621DA6DF">
      <w:pPr>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2.6</w:t>
      </w:r>
      <w:r>
        <w:rPr>
          <w:rFonts w:hint="eastAsia" w:ascii="宋体" w:hAnsi="宋体" w:eastAsia="宋体" w:cs="宋体"/>
          <w:sz w:val="24"/>
          <w:szCs w:val="24"/>
        </w:rPr>
        <w:t>环境试验应符合GB/T 14710-2009中气候环境试验II组，机械环境试验II组</w:t>
      </w:r>
      <w:r>
        <w:rPr>
          <w:rFonts w:hint="eastAsia" w:ascii="宋体" w:hAnsi="宋体" w:eastAsia="宋体" w:cs="宋体"/>
          <w:sz w:val="24"/>
          <w:szCs w:val="24"/>
          <w:lang w:val="en-US" w:eastAsia="zh-CN"/>
        </w:rPr>
        <w:t>的</w:t>
      </w:r>
      <w:r>
        <w:rPr>
          <w:rFonts w:hint="eastAsia" w:ascii="宋体" w:hAnsi="宋体" w:eastAsia="宋体" w:cs="宋体"/>
          <w:sz w:val="24"/>
          <w:szCs w:val="24"/>
        </w:rPr>
        <w:t>规定</w:t>
      </w:r>
    </w:p>
    <w:p w14:paraId="69513441">
      <w:pPr>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2.7</w:t>
      </w:r>
      <w:r>
        <w:rPr>
          <w:rFonts w:hint="eastAsia" w:ascii="宋体" w:hAnsi="宋体" w:eastAsia="宋体" w:cs="宋体"/>
          <w:sz w:val="24"/>
          <w:szCs w:val="24"/>
        </w:rPr>
        <w:t>运输试验、电源电压适应能力试验应分别符合GB/T 14710-2009</w:t>
      </w:r>
      <w:r>
        <w:rPr>
          <w:rFonts w:hint="eastAsia" w:ascii="宋体" w:hAnsi="宋体" w:eastAsia="宋体" w:cs="宋体"/>
          <w:sz w:val="24"/>
          <w:szCs w:val="24"/>
          <w:lang w:val="en-US" w:eastAsia="zh-CN"/>
        </w:rPr>
        <w:t>的规定</w:t>
      </w:r>
    </w:p>
    <w:p w14:paraId="4B058464">
      <w:pPr>
        <w:numPr>
          <w:ilvl w:val="0"/>
          <w:numId w:val="0"/>
        </w:numPr>
        <w:spacing w:line="360" w:lineRule="auto"/>
        <w:ind w:left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2.8</w:t>
      </w:r>
      <w:r>
        <w:rPr>
          <w:rFonts w:hint="eastAsia" w:ascii="宋体" w:hAnsi="宋体" w:eastAsia="宋体" w:cs="宋体"/>
          <w:color w:val="auto"/>
          <w:sz w:val="24"/>
          <w:szCs w:val="24"/>
        </w:rPr>
        <w:t>车载运行性能：在三级公路、行驶速度40km／h，运行200km状态下，能持续稳定实施胸腔按压，以满足长距离转运期院外急救的使用需求。</w:t>
      </w:r>
    </w:p>
    <w:p w14:paraId="7C919CAA">
      <w:pPr>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b/>
          <w:bCs/>
          <w:sz w:val="24"/>
          <w:szCs w:val="24"/>
          <w:lang w:val="en-US" w:eastAsia="zh-CN"/>
        </w:rPr>
        <w:t>3、数据存储和传输</w:t>
      </w:r>
      <w:r>
        <w:rPr>
          <w:rFonts w:hint="eastAsia" w:ascii="宋体" w:hAnsi="宋体" w:eastAsia="宋体" w:cs="宋体"/>
          <w:b/>
          <w:bCs/>
          <w:sz w:val="24"/>
          <w:szCs w:val="24"/>
        </w:rPr>
        <w:t>：</w:t>
      </w:r>
    </w:p>
    <w:p w14:paraId="690CEADE">
      <w:pPr>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3.1具有USB接口,用于软件维护与升级</w:t>
      </w:r>
    </w:p>
    <w:p w14:paraId="7CE9285C">
      <w:pPr>
        <w:numPr>
          <w:ilvl w:val="0"/>
          <w:numId w:val="0"/>
        </w:numPr>
        <w:spacing w:line="360" w:lineRule="auto"/>
        <w:ind w:left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3.2具有≥16G内存</w:t>
      </w:r>
    </w:p>
    <w:p w14:paraId="6831BEDD">
      <w:pPr>
        <w:numPr>
          <w:ilvl w:val="0"/>
          <w:numId w:val="25"/>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心肺复苏机</w:t>
      </w:r>
      <w:r>
        <w:rPr>
          <w:rFonts w:hint="eastAsia" w:ascii="宋体" w:hAnsi="宋体" w:eastAsia="宋体" w:cs="宋体"/>
          <w:sz w:val="24"/>
          <w:szCs w:val="24"/>
          <w:lang w:eastAsia="zh-CN"/>
        </w:rPr>
        <w:t>可</w:t>
      </w:r>
      <w:r>
        <w:rPr>
          <w:rFonts w:hint="eastAsia" w:ascii="宋体" w:hAnsi="宋体" w:eastAsia="宋体" w:cs="宋体"/>
          <w:sz w:val="24"/>
          <w:szCs w:val="24"/>
        </w:rPr>
        <w:t>与</w:t>
      </w:r>
      <w:r>
        <w:rPr>
          <w:rFonts w:hint="eastAsia" w:ascii="宋体" w:hAnsi="宋体" w:eastAsia="宋体" w:cs="宋体"/>
          <w:sz w:val="24"/>
          <w:szCs w:val="24"/>
          <w:lang w:eastAsia="zh-CN"/>
        </w:rPr>
        <w:t>同品牌</w:t>
      </w:r>
      <w:r>
        <w:rPr>
          <w:rFonts w:hint="eastAsia" w:ascii="宋体" w:hAnsi="宋体" w:eastAsia="宋体" w:cs="宋体"/>
          <w:sz w:val="24"/>
          <w:szCs w:val="24"/>
        </w:rPr>
        <w:t>呼吸机</w:t>
      </w:r>
      <w:r>
        <w:rPr>
          <w:rFonts w:hint="eastAsia" w:ascii="宋体" w:hAnsi="宋体" w:eastAsia="宋体" w:cs="宋体"/>
          <w:sz w:val="24"/>
          <w:szCs w:val="24"/>
          <w:lang w:eastAsia="zh-CN"/>
        </w:rPr>
        <w:t>联动</w:t>
      </w:r>
      <w:r>
        <w:rPr>
          <w:rFonts w:hint="eastAsia" w:ascii="宋体" w:hAnsi="宋体" w:eastAsia="宋体" w:cs="宋体"/>
          <w:sz w:val="24"/>
          <w:szCs w:val="24"/>
        </w:rPr>
        <w:t>，实现按压通气</w:t>
      </w:r>
      <w:r>
        <w:rPr>
          <w:rFonts w:hint="eastAsia" w:ascii="宋体" w:hAnsi="宋体" w:eastAsia="宋体" w:cs="宋体"/>
          <w:sz w:val="24"/>
          <w:szCs w:val="24"/>
          <w:lang w:eastAsia="zh-CN"/>
        </w:rPr>
        <w:t>精准控制</w:t>
      </w:r>
    </w:p>
    <w:p w14:paraId="3C61F0EC">
      <w:pPr>
        <w:numPr>
          <w:ilvl w:val="0"/>
          <w:numId w:val="25"/>
        </w:numPr>
        <w:spacing w:line="360" w:lineRule="auto"/>
        <w:ind w:left="425" w:leftChars="0" w:hanging="425" w:firstLineChars="0"/>
        <w:rPr>
          <w:rFonts w:hint="eastAsia" w:ascii="宋体" w:hAnsi="宋体" w:eastAsia="宋体" w:cs="宋体"/>
          <w:color w:val="auto"/>
          <w:sz w:val="24"/>
          <w:szCs w:val="24"/>
        </w:rPr>
      </w:pPr>
      <w:r>
        <w:rPr>
          <w:rFonts w:hint="eastAsia" w:ascii="宋体" w:hAnsi="宋体" w:eastAsia="宋体" w:cs="宋体"/>
          <w:color w:val="auto"/>
          <w:sz w:val="24"/>
          <w:szCs w:val="24"/>
        </w:rPr>
        <w:t>通过EN1789《医用车辆和其设备道路救护车</w:t>
      </w:r>
      <w:r>
        <w:rPr>
          <w:rFonts w:hint="eastAsia" w:ascii="宋体" w:hAnsi="宋体" w:eastAsia="宋体" w:cs="宋体"/>
          <w:color w:val="auto"/>
          <w:sz w:val="24"/>
          <w:szCs w:val="24"/>
          <w:lang w:val="en-US" w:eastAsia="zh-CN"/>
        </w:rPr>
        <w:t>标准</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p>
    <w:p w14:paraId="5E0B3D7F">
      <w:pPr>
        <w:numPr>
          <w:ilvl w:val="0"/>
          <w:numId w:val="25"/>
        </w:numPr>
        <w:spacing w:line="360" w:lineRule="auto"/>
        <w:ind w:left="425" w:leftChars="0" w:hanging="425"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防水防尘等级：IP44</w:t>
      </w:r>
    </w:p>
    <w:p w14:paraId="4721AE67">
      <w:pPr>
        <w:numPr>
          <w:ilvl w:val="0"/>
          <w:numId w:val="25"/>
        </w:numPr>
        <w:spacing w:line="360" w:lineRule="auto"/>
        <w:ind w:left="425" w:leftChars="0" w:hanging="425" w:firstLineChars="0"/>
        <w:rPr>
          <w:rFonts w:hint="eastAsia" w:ascii="宋体" w:hAnsi="宋体" w:eastAsia="宋体" w:cs="宋体"/>
          <w:color w:val="auto"/>
          <w:sz w:val="24"/>
          <w:szCs w:val="24"/>
        </w:rPr>
      </w:pPr>
      <w:r>
        <w:rPr>
          <w:rFonts w:hint="eastAsia" w:ascii="宋体" w:hAnsi="宋体" w:eastAsia="宋体" w:cs="宋体"/>
          <w:color w:val="000000"/>
          <w:sz w:val="24"/>
          <w:szCs w:val="24"/>
          <w:lang w:val="en-US" w:eastAsia="zh-CN"/>
        </w:rPr>
        <w:t xml:space="preserve"> </w:t>
      </w:r>
      <w:r>
        <w:rPr>
          <w:rFonts w:hint="eastAsia" w:ascii="宋体" w:hAnsi="宋体" w:eastAsia="宋体" w:cs="宋体"/>
          <w:sz w:val="24"/>
          <w:szCs w:val="24"/>
          <w:lang w:eastAsia="zh-CN"/>
        </w:rPr>
        <w:t>通过跌落试验：跌落高度1.5米，6个面各跌落1次（提供第三方机构检验报告）</w:t>
      </w:r>
    </w:p>
    <w:p w14:paraId="33A1D3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8.使用年限：≥8 年。</w:t>
      </w:r>
    </w:p>
    <w:p w14:paraId="1C1E588F">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425" w:hanging="425"/>
        <w:textAlignment w:val="auto"/>
        <w:rPr>
          <w:rFonts w:hint="eastAsia" w:ascii="宋体" w:hAnsi="宋体" w:eastAsia="宋体" w:cs="宋体"/>
          <w:sz w:val="24"/>
          <w:szCs w:val="24"/>
        </w:rPr>
      </w:pPr>
      <w:r>
        <w:rPr>
          <w:rFonts w:hint="eastAsia" w:ascii="宋体" w:hAnsi="宋体" w:eastAsia="宋体" w:cs="宋体"/>
          <w:sz w:val="24"/>
          <w:szCs w:val="24"/>
        </w:rPr>
        <w:t>主机（含电池）重量：≤3.5Kg。</w:t>
      </w:r>
    </w:p>
    <w:p w14:paraId="00382A4F">
      <w:pPr>
        <w:numPr>
          <w:ilvl w:val="0"/>
          <w:numId w:val="25"/>
        </w:numPr>
        <w:spacing w:line="360" w:lineRule="auto"/>
        <w:ind w:left="425" w:leftChars="0" w:hanging="425"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配备2辆双层医用不锈钢治疗车，电池2个。</w:t>
      </w:r>
    </w:p>
    <w:p w14:paraId="03568B48">
      <w:pPr>
        <w:numPr>
          <w:ilvl w:val="0"/>
          <w:numId w:val="25"/>
        </w:numPr>
        <w:spacing w:line="360" w:lineRule="auto"/>
        <w:ind w:left="425" w:leftChars="0" w:hanging="425"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整机质保3年，制造商提供承诺，加盖公章。</w:t>
      </w:r>
    </w:p>
    <w:p w14:paraId="457518D0">
      <w:pPr>
        <w:numPr>
          <w:ilvl w:val="0"/>
          <w:numId w:val="0"/>
        </w:numPr>
        <w:jc w:val="center"/>
        <w:rPr>
          <w:rFonts w:hint="default"/>
          <w:b/>
          <w:bCs/>
          <w:sz w:val="32"/>
          <w:szCs w:val="40"/>
          <w:lang w:val="en-US" w:eastAsia="zh-CN"/>
        </w:rPr>
      </w:pPr>
      <w:r>
        <w:rPr>
          <w:rFonts w:hint="eastAsia"/>
          <w:b/>
          <w:bCs/>
          <w:sz w:val="32"/>
          <w:szCs w:val="40"/>
          <w:lang w:val="en-US" w:eastAsia="zh-CN"/>
        </w:rPr>
        <w:t>电动吸痰器技术参数</w:t>
      </w:r>
    </w:p>
    <w:p w14:paraId="24BF8B82">
      <w:pPr>
        <w:numPr>
          <w:ilvl w:val="0"/>
          <w:numId w:val="0"/>
        </w:numPr>
        <w:rPr>
          <w:rFonts w:hint="eastAsia"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lang w:val="en-US" w:eastAsia="zh-CN"/>
        </w:rPr>
        <w:t>.</w:t>
      </w:r>
      <w:r>
        <w:rPr>
          <w:rFonts w:hint="eastAsia" w:ascii="宋体" w:hAnsi="宋体" w:eastAsia="宋体" w:cs="宋体"/>
          <w:sz w:val="24"/>
          <w:szCs w:val="24"/>
        </w:rPr>
        <w:t>可移动式医用吸引装置。适合各医疗单位手术室、病房用于吸取病人体腔内的脓、血、痰等粘质液体。</w:t>
      </w:r>
    </w:p>
    <w:p w14:paraId="5B2BC134">
      <w:pPr>
        <w:numPr>
          <w:ilvl w:val="0"/>
          <w:numId w:val="0"/>
        </w:numPr>
        <w:rPr>
          <w:rFonts w:hint="eastAsia" w:ascii="宋体" w:hAnsi="宋体" w:eastAsia="宋体" w:cs="宋体"/>
          <w:sz w:val="24"/>
          <w:szCs w:val="24"/>
          <w:lang w:eastAsia="zh-CN"/>
        </w:rPr>
      </w:pPr>
      <w:r>
        <w:rPr>
          <w:rFonts w:hint="eastAsia" w:ascii="宋体" w:hAnsi="宋体" w:eastAsia="宋体" w:cs="宋体"/>
          <w:sz w:val="24"/>
          <w:szCs w:val="24"/>
          <w:lang w:eastAsia="zh-CN"/>
        </w:rPr>
        <w:t>二</w:t>
      </w:r>
      <w:r>
        <w:rPr>
          <w:rFonts w:hint="eastAsia" w:ascii="宋体" w:hAnsi="宋体" w:eastAsia="宋体" w:cs="宋体"/>
          <w:sz w:val="24"/>
          <w:szCs w:val="24"/>
          <w:lang w:val="en-US" w:eastAsia="zh-CN"/>
        </w:rPr>
        <w:t>.</w:t>
      </w:r>
      <w:r>
        <w:rPr>
          <w:rFonts w:hint="eastAsia" w:ascii="宋体" w:hAnsi="宋体" w:eastAsia="宋体" w:cs="宋体"/>
          <w:sz w:val="24"/>
          <w:szCs w:val="24"/>
        </w:rPr>
        <w:t>ABS一次成型全塑外壳；无油泵，免维护，使用寿命长，噪音低；溢流保护装置，防止液体进入泵内；手推式，备有手动开关和脚踏开关。箱式带移动脚轮</w:t>
      </w:r>
      <w:r>
        <w:rPr>
          <w:rFonts w:hint="eastAsia" w:ascii="宋体" w:hAnsi="宋体" w:eastAsia="宋体" w:cs="宋体"/>
          <w:sz w:val="24"/>
          <w:szCs w:val="24"/>
          <w:lang w:eastAsia="zh-CN"/>
        </w:rPr>
        <w:t>。</w:t>
      </w:r>
    </w:p>
    <w:p w14:paraId="42B6BCA7">
      <w:pPr>
        <w:numPr>
          <w:ilvl w:val="0"/>
          <w:numId w:val="0"/>
        </w:numPr>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工作制：间隙加载连续运行 </w:t>
      </w:r>
    </w:p>
    <w:p w14:paraId="15CCDAB4">
      <w:pPr>
        <w:numPr>
          <w:ilvl w:val="0"/>
          <w:numId w:val="0"/>
        </w:numPr>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lang w:val="en-US" w:eastAsia="zh-CN"/>
        </w:rPr>
        <w:t>.</w:t>
      </w:r>
      <w:r>
        <w:rPr>
          <w:rFonts w:hint="eastAsia" w:ascii="宋体" w:hAnsi="宋体" w:eastAsia="宋体" w:cs="宋体"/>
          <w:sz w:val="24"/>
          <w:szCs w:val="24"/>
        </w:rPr>
        <w:t>技术要求：</w:t>
      </w:r>
    </w:p>
    <w:p w14:paraId="756202A5">
      <w:pPr>
        <w:numPr>
          <w:ilvl w:val="0"/>
          <w:numId w:val="0"/>
        </w:numPr>
        <w:rPr>
          <w:rFonts w:hint="eastAsia" w:ascii="宋体" w:hAnsi="宋体" w:eastAsia="宋体" w:cs="宋体"/>
          <w:sz w:val="24"/>
          <w:szCs w:val="24"/>
        </w:rPr>
      </w:pPr>
      <w:r>
        <w:rPr>
          <w:rFonts w:hint="eastAsia" w:ascii="宋体" w:hAnsi="宋体" w:eastAsia="宋体" w:cs="宋体"/>
          <w:sz w:val="24"/>
          <w:szCs w:val="24"/>
        </w:rPr>
        <w:t>电源：AC220V±10% 50Hz</w:t>
      </w:r>
    </w:p>
    <w:p w14:paraId="0C196D0B">
      <w:pPr>
        <w:numPr>
          <w:ilvl w:val="0"/>
          <w:numId w:val="0"/>
        </w:numPr>
        <w:rPr>
          <w:rFonts w:hint="eastAsia" w:ascii="宋体" w:hAnsi="宋体" w:eastAsia="宋体" w:cs="宋体"/>
          <w:sz w:val="24"/>
          <w:szCs w:val="24"/>
        </w:rPr>
      </w:pPr>
      <w:r>
        <w:rPr>
          <w:rFonts w:hint="eastAsia" w:ascii="宋体" w:hAnsi="宋体" w:eastAsia="宋体" w:cs="宋体"/>
          <w:sz w:val="24"/>
          <w:szCs w:val="24"/>
        </w:rPr>
        <w:t xml:space="preserve">泵结构：无油泵抽气速率：≥35L/min           </w:t>
      </w:r>
    </w:p>
    <w:p w14:paraId="5B07C050">
      <w:pPr>
        <w:numPr>
          <w:ilvl w:val="0"/>
          <w:numId w:val="0"/>
        </w:numPr>
        <w:rPr>
          <w:rFonts w:hint="eastAsia" w:ascii="宋体" w:hAnsi="宋体" w:eastAsia="宋体" w:cs="宋体"/>
          <w:sz w:val="24"/>
          <w:szCs w:val="24"/>
        </w:rPr>
      </w:pPr>
      <w:r>
        <w:rPr>
          <w:rFonts w:hint="eastAsia" w:ascii="宋体" w:hAnsi="宋体" w:eastAsia="宋体" w:cs="宋体"/>
          <w:sz w:val="24"/>
          <w:szCs w:val="24"/>
        </w:rPr>
        <w:t xml:space="preserve">负压调节范围：0.013～0.090MPa  </w:t>
      </w:r>
    </w:p>
    <w:p w14:paraId="068452F7">
      <w:pPr>
        <w:numPr>
          <w:ilvl w:val="0"/>
          <w:numId w:val="0"/>
        </w:numPr>
        <w:rPr>
          <w:rFonts w:hint="eastAsia" w:ascii="宋体" w:hAnsi="宋体" w:eastAsia="宋体" w:cs="宋体"/>
          <w:sz w:val="24"/>
          <w:szCs w:val="24"/>
        </w:rPr>
      </w:pPr>
      <w:r>
        <w:rPr>
          <w:rFonts w:hint="eastAsia" w:ascii="宋体" w:hAnsi="宋体" w:eastAsia="宋体" w:cs="宋体"/>
          <w:sz w:val="24"/>
          <w:szCs w:val="24"/>
        </w:rPr>
        <w:t>吸液瓶：2500ml×2</w:t>
      </w:r>
    </w:p>
    <w:p w14:paraId="025C215C">
      <w:pPr>
        <w:numPr>
          <w:ilvl w:val="0"/>
          <w:numId w:val="0"/>
        </w:numPr>
        <w:rPr>
          <w:rFonts w:hint="eastAsia" w:ascii="宋体" w:hAnsi="宋体" w:eastAsia="宋体" w:cs="宋体"/>
          <w:sz w:val="24"/>
          <w:szCs w:val="24"/>
        </w:rPr>
      </w:pPr>
      <w:r>
        <w:rPr>
          <w:rFonts w:hint="eastAsia" w:ascii="宋体" w:hAnsi="宋体" w:eastAsia="宋体" w:cs="宋体"/>
          <w:sz w:val="24"/>
          <w:szCs w:val="24"/>
        </w:rPr>
        <w:t>输入功率：150VA</w:t>
      </w:r>
    </w:p>
    <w:p w14:paraId="6708B4B1">
      <w:pPr>
        <w:numPr>
          <w:ilvl w:val="0"/>
          <w:numId w:val="0"/>
        </w:numPr>
        <w:rPr>
          <w:rFonts w:hint="eastAsia" w:ascii="宋体" w:hAnsi="宋体" w:eastAsia="宋体" w:cs="宋体"/>
          <w:sz w:val="24"/>
          <w:szCs w:val="24"/>
        </w:rPr>
      </w:pPr>
      <w:r>
        <w:rPr>
          <w:rFonts w:hint="eastAsia" w:ascii="宋体" w:hAnsi="宋体" w:eastAsia="宋体" w:cs="宋体"/>
          <w:sz w:val="24"/>
          <w:szCs w:val="24"/>
        </w:rPr>
        <w:t xml:space="preserve">噪音：≤65dB  </w:t>
      </w:r>
    </w:p>
    <w:p w14:paraId="00F50743">
      <w:pPr>
        <w:numPr>
          <w:ilvl w:val="0"/>
          <w:numId w:val="0"/>
        </w:numPr>
        <w:rPr>
          <w:rFonts w:hint="eastAsia" w:ascii="宋体" w:hAnsi="宋体" w:eastAsia="宋体" w:cs="宋体"/>
          <w:sz w:val="24"/>
          <w:szCs w:val="24"/>
        </w:rPr>
      </w:pPr>
      <w:r>
        <w:rPr>
          <w:rFonts w:hint="eastAsia" w:ascii="宋体" w:hAnsi="宋体" w:eastAsia="宋体" w:cs="宋体"/>
          <w:sz w:val="24"/>
          <w:szCs w:val="24"/>
          <w:lang w:eastAsia="zh-CN"/>
        </w:rPr>
        <w:t>五：</w:t>
      </w:r>
      <w:r>
        <w:rPr>
          <w:rFonts w:hint="eastAsia" w:ascii="宋体" w:hAnsi="宋体" w:eastAsia="宋体" w:cs="宋体"/>
          <w:sz w:val="24"/>
          <w:szCs w:val="24"/>
        </w:rPr>
        <w:t>脚踏开关  1个</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熔丝管          2只</w:t>
      </w:r>
    </w:p>
    <w:p w14:paraId="21EBAB6B">
      <w:pPr>
        <w:numPr>
          <w:ilvl w:val="0"/>
          <w:numId w:val="0"/>
        </w:numPr>
        <w:rPr>
          <w:rFonts w:hint="eastAsia" w:ascii="宋体" w:hAnsi="宋体" w:eastAsia="宋体" w:cs="宋体"/>
          <w:sz w:val="24"/>
          <w:szCs w:val="24"/>
        </w:rPr>
      </w:pPr>
      <w:r>
        <w:rPr>
          <w:rFonts w:hint="eastAsia" w:ascii="宋体" w:hAnsi="宋体" w:eastAsia="宋体" w:cs="宋体"/>
          <w:sz w:val="24"/>
          <w:szCs w:val="24"/>
        </w:rPr>
        <w:t>吸引管      1根</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透明硅胶管    1根</w:t>
      </w:r>
    </w:p>
    <w:p w14:paraId="0D56CBDC">
      <w:pPr>
        <w:numPr>
          <w:ilvl w:val="0"/>
          <w:numId w:val="26"/>
        </w:numP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整机</w:t>
      </w:r>
      <w:r>
        <w:rPr>
          <w:rFonts w:hint="eastAsia" w:ascii="宋体" w:hAnsi="宋体" w:eastAsia="宋体" w:cs="宋体"/>
          <w:sz w:val="24"/>
          <w:szCs w:val="24"/>
          <w:lang w:eastAsia="zh-CN"/>
        </w:rPr>
        <w:t xml:space="preserve">质保3年，制造商提供承诺，加盖公章。 </w:t>
      </w:r>
    </w:p>
    <w:p w14:paraId="4CF34F2E">
      <w:pPr>
        <w:numPr>
          <w:ilvl w:val="0"/>
          <w:numId w:val="0"/>
        </w:numPr>
        <w:jc w:val="center"/>
        <w:rPr>
          <w:rFonts w:hint="default" w:asciiTheme="minorHAnsi" w:hAnsiTheme="minorHAnsi" w:eastAsiaTheme="minorEastAsia" w:cstheme="minorBidi"/>
          <w:kern w:val="2"/>
          <w:sz w:val="30"/>
          <w:szCs w:val="30"/>
          <w:lang w:val="en-US" w:eastAsia="zh-CN" w:bidi="ar-SA"/>
        </w:rPr>
      </w:pPr>
      <w:r>
        <w:rPr>
          <w:rFonts w:hint="eastAsia" w:cstheme="minorBidi"/>
          <w:b/>
          <w:bCs/>
          <w:kern w:val="2"/>
          <w:sz w:val="30"/>
          <w:szCs w:val="30"/>
          <w:lang w:val="en-US" w:eastAsia="zh-CN" w:bidi="ar-SA"/>
        </w:rPr>
        <w:t>输液泵技术参数</w:t>
      </w:r>
    </w:p>
    <w:p w14:paraId="48EB7EDA">
      <w:pPr>
        <w:numPr>
          <w:ilvl w:val="0"/>
          <w:numId w:val="0"/>
        </w:num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kern w:val="2"/>
          <w:sz w:val="24"/>
          <w:szCs w:val="24"/>
          <w:lang w:val="en-US" w:eastAsia="zh-CN" w:bidi="ar-SA"/>
        </w:rPr>
        <w:t>1.</w:t>
      </w:r>
      <w:r>
        <w:rPr>
          <w:rFonts w:hint="eastAsia" w:ascii="宋体" w:hAnsi="宋体" w:eastAsia="宋体" w:cs="宋体"/>
          <w:color w:val="000000" w:themeColor="text1"/>
          <w:sz w:val="24"/>
          <w:szCs w:val="24"/>
          <w14:textFill>
            <w14:solidFill>
              <w14:schemeClr w14:val="tx1"/>
            </w14:solidFill>
          </w14:textFill>
        </w:rPr>
        <w:t>显示：</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寸彩色液晶显示，数值显示有小数位防错设计。</w:t>
      </w:r>
    </w:p>
    <w:p w14:paraId="4FC58154">
      <w:pPr>
        <w:numPr>
          <w:ilvl w:val="0"/>
          <w:numId w:val="0"/>
        </w:num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2.屏幕显示内容：输液状态、无线图标、电源及静音指示图标、阻塞等级、实时压力显示、报警显示、输液速度、预置量、输液累计量、剩余时间等。</w:t>
      </w:r>
    </w:p>
    <w:p w14:paraId="0B5DE021">
      <w:pPr>
        <w:numPr>
          <w:ilvl w:val="0"/>
          <w:numId w:val="0"/>
        </w:num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3.输液器规格：输液器档位1-6档可选。</w:t>
      </w:r>
    </w:p>
    <w:p w14:paraId="171D7EC3">
      <w:pPr>
        <w:numPr>
          <w:ilvl w:val="0"/>
          <w:numId w:val="0"/>
        </w:num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4.输液速度：流速范围：1ml/h～1100ml/h，可按1ml/h递增或递减。</w:t>
      </w:r>
    </w:p>
    <w:p w14:paraId="07E3F176">
      <w:pPr>
        <w:numPr>
          <w:ilvl w:val="0"/>
          <w:numId w:val="0"/>
        </w:num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5.流速误差：±5%（普通输液器），泵内恒温装置，确保低温环境和使用弹性差的输液器的情况下，输液精度达到±3%。</w:t>
      </w:r>
    </w:p>
    <w:p w14:paraId="2ABF7FE3">
      <w:pPr>
        <w:numPr>
          <w:ilvl w:val="0"/>
          <w:numId w:val="0"/>
        </w:num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6.预置量范围：1ml~9999ml，以1ml递增或递减。</w:t>
      </w:r>
    </w:p>
    <w:p w14:paraId="702EE0B4">
      <w:pPr>
        <w:numPr>
          <w:ilvl w:val="0"/>
          <w:numId w:val="0"/>
        </w:num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7.输液量误差：±5%（普通输液器）。</w:t>
      </w:r>
    </w:p>
    <w:p w14:paraId="03144AB2">
      <w:pPr>
        <w:numPr>
          <w:ilvl w:val="0"/>
          <w:numId w:val="0"/>
        </w:num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8.快排快输速度：快排、快输操作过程中输液泵运行速度为700ml/h。</w:t>
      </w:r>
    </w:p>
    <w:p w14:paraId="07C22F1C">
      <w:pPr>
        <w:numPr>
          <w:ilvl w:val="0"/>
          <w:numId w:val="0"/>
        </w:num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9.保持静脉开放（KVO）速度：4ml/h，当输液速度大于KVO速度时，输液完成以KVO速度运行；当输液速度小于KVO速度时，输液完成只发出报警，输液速度不变。</w:t>
      </w:r>
    </w:p>
    <w:p w14:paraId="35244D0B">
      <w:pPr>
        <w:numPr>
          <w:ilvl w:val="0"/>
          <w:numId w:val="0"/>
        </w:num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10.气泡灵敏度：输液器中的气泡大于 40μL，用声音文字发光报警提示。</w:t>
      </w:r>
    </w:p>
    <w:p w14:paraId="522D6C46">
      <w:pPr>
        <w:numPr>
          <w:ilvl w:val="0"/>
          <w:numId w:val="0"/>
        </w:num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11.阻塞灵敏度三档可选：1档0.06MPa～0.1MPa，2档0.1MPa～0.14MPa，三档0.14MPa～0.18MPa。</w:t>
      </w:r>
    </w:p>
    <w:p w14:paraId="3D6B875B">
      <w:pPr>
        <w:numPr>
          <w:ilvl w:val="0"/>
          <w:numId w:val="0"/>
        </w:num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12.报警功能：气泡报警、阻塞报警、输完报警、开门报警、欠压报警、速度异常报警、遗忘操作报警。</w:t>
      </w:r>
    </w:p>
    <w:p w14:paraId="14A2B424">
      <w:pPr>
        <w:numPr>
          <w:ilvl w:val="0"/>
          <w:numId w:val="0"/>
        </w:num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13.报警优先级具有高、中、低三级，高优先级：阻塞报警、气泡报警、开门报警、速度异常报警、电池耗尽报警；中级报警：输液完成；低级报警：欠压报警、遗忘操作报警。</w:t>
      </w:r>
    </w:p>
    <w:p w14:paraId="15E59E5A">
      <w:pPr>
        <w:numPr>
          <w:ilvl w:val="0"/>
          <w:numId w:val="0"/>
        </w:num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其他功能：a)具有输液累计量显示和累计量清零功能；b)具有交流电停止自动切换机内电池，给电池充电功能；c)具有快排、快输功能：停止状态下双击快排键为快排功能，用于排除管路中的气泡；启动状态下双击快排键为快输功能，用于对患者的快速输液；d)具有“滴数/分”、“毫升/小时”与“时间-预置量”三种输液速度设置方式；e)具有报警声消除功能，即静音功能。部分报警音在消除2分钟内再次启动；f)具有开机自检功能：输液泵上电后，系统进行自检；g)具有记忆功能：输液泵可对关机前最后一次正确输液参数进行记录，并可保留8年以上；h)动态压力指示功能：在输液过程中可以动态实时显示当前压力值的变化。</w:t>
      </w:r>
    </w:p>
    <w:p w14:paraId="20B54109">
      <w:pPr>
        <w:numPr>
          <w:ilvl w:val="0"/>
          <w:numId w:val="0"/>
        </w:num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15.安全分类：Ⅱ类、带内部电源的BF型普通设备，防水等级：IPX3。</w:t>
      </w:r>
    </w:p>
    <w:p w14:paraId="4572E8E9">
      <w:pPr>
        <w:numPr>
          <w:ilvl w:val="0"/>
          <w:numId w:val="0"/>
        </w:num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16.工作条件：环境温度：5℃～40℃、相对湿度：10%～90%、大气压力：860hpa-1060hpa。17.贮运条件：储存温度：-20℃～+55℃、相对湿度：10%～90%、大气压力：500hPa～1060hPa。18.使用电源：交流输入：220V～ 50Hz，内部电池：11.1V 2000mAh。</w:t>
      </w:r>
    </w:p>
    <w:p w14:paraId="456A018A">
      <w:pPr>
        <w:numPr>
          <w:ilvl w:val="0"/>
          <w:numId w:val="0"/>
        </w:num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19.内部电池工作时间：充电完成后，在 25ml/h 流速下连续工作不小于 3 小时。20.外形尺寸(mm)</w:t>
      </w:r>
      <w:r>
        <w:rPr>
          <w:rFonts w:hint="eastAsia" w:ascii="宋体" w:hAnsi="宋体" w:eastAsia="宋体" w:cs="宋体"/>
          <w:color w:val="000000" w:themeColor="text1"/>
          <w:sz w:val="24"/>
          <w:szCs w:val="24"/>
          <w:lang w:eastAsia="zh-CN"/>
          <w14:textFill>
            <w14:solidFill>
              <w14:schemeClr w14:val="tx1"/>
            </w14:solidFill>
          </w14:textFill>
        </w:rPr>
        <w:t>约</w:t>
      </w:r>
      <w:r>
        <w:rPr>
          <w:rFonts w:hint="eastAsia" w:ascii="宋体" w:hAnsi="宋体" w:eastAsia="宋体" w:cs="宋体"/>
          <w:color w:val="000000" w:themeColor="text1"/>
          <w:sz w:val="24"/>
          <w:szCs w:val="24"/>
          <w14:textFill>
            <w14:solidFill>
              <w14:schemeClr w14:val="tx1"/>
            </w14:solidFill>
          </w14:textFill>
        </w:rPr>
        <w:t>：174(长)×126（宽）×215（高）。21.重量：净重约1.7kg。</w:t>
      </w:r>
    </w:p>
    <w:p w14:paraId="160611E8">
      <w:pPr>
        <w:numPr>
          <w:ilvl w:val="0"/>
          <w:numId w:val="0"/>
        </w:num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21、适配输液器开放。</w:t>
      </w:r>
    </w:p>
    <w:p w14:paraId="1E932A63">
      <w:pPr>
        <w:numPr>
          <w:ilvl w:val="0"/>
          <w:numId w:val="0"/>
        </w:num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w:t>
      </w:r>
      <w:r>
        <w:rPr>
          <w:rFonts w:hint="eastAsia" w:ascii="宋体" w:hAnsi="宋体" w:eastAsia="宋体" w:cs="宋体"/>
          <w:color w:val="000000" w:themeColor="text1"/>
          <w:kern w:val="2"/>
          <w:sz w:val="24"/>
          <w:szCs w:val="24"/>
          <w:lang w:val="en-US" w:eastAsia="zh-CN"/>
          <w14:textFill>
            <w14:solidFill>
              <w14:schemeClr w14:val="tx1"/>
            </w14:solidFill>
          </w14:textFill>
        </w:rPr>
        <w:t>★整机</w:t>
      </w:r>
      <w:r>
        <w:rPr>
          <w:rFonts w:hint="eastAsia" w:ascii="宋体" w:hAnsi="宋体" w:eastAsia="宋体" w:cs="宋体"/>
          <w:color w:val="000000" w:themeColor="text1"/>
          <w:kern w:val="2"/>
          <w:sz w:val="24"/>
          <w:szCs w:val="24"/>
          <w:lang w:eastAsia="zh-CN"/>
          <w14:textFill>
            <w14:solidFill>
              <w14:schemeClr w14:val="tx1"/>
            </w14:solidFill>
          </w14:textFill>
        </w:rPr>
        <w:t>质保3年，制造商提供承诺，加盖公章</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14:paraId="5ACAC764">
      <w:pPr>
        <w:ind w:firstLine="2249" w:firstLineChars="700"/>
        <w:jc w:val="both"/>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 xml:space="preserve">注射泵技术参数（ </w:t>
      </w:r>
      <w:r>
        <w:rPr>
          <w:rFonts w:hint="eastAsia" w:ascii="宋体" w:hAnsi="宋体" w:eastAsia="宋体" w:cs="宋体"/>
          <w:b/>
          <w:bCs/>
          <w:color w:val="000000" w:themeColor="text1"/>
          <w:sz w:val="32"/>
          <w:szCs w:val="32"/>
          <w14:textFill>
            <w14:solidFill>
              <w14:schemeClr w14:val="tx1"/>
            </w14:solidFill>
          </w14:textFill>
        </w:rPr>
        <w:t>两通道</w:t>
      </w:r>
      <w:r>
        <w:rPr>
          <w:rFonts w:hint="eastAsia" w:ascii="宋体" w:hAnsi="宋体" w:eastAsia="宋体" w:cs="宋体"/>
          <w:b/>
          <w:bCs/>
          <w:color w:val="000000" w:themeColor="text1"/>
          <w:sz w:val="32"/>
          <w:szCs w:val="32"/>
          <w:lang w:val="en-US" w:eastAsia="zh-CN"/>
          <w14:textFill>
            <w14:solidFill>
              <w14:schemeClr w14:val="tx1"/>
            </w14:solidFill>
          </w14:textFill>
        </w:rPr>
        <w:t>）</w:t>
      </w:r>
    </w:p>
    <w:p w14:paraId="7BDCB0F6">
      <w:pPr>
        <w:pStyle w:val="68"/>
        <w:numPr>
          <w:ilvl w:val="0"/>
          <w:numId w:val="0"/>
        </w:numPr>
        <w:spacing w:line="360" w:lineRule="auto"/>
        <w:ind w:left="420" w:leftChars="0" w:hanging="420" w:firstLineChars="0"/>
        <w:rPr>
          <w:rFonts w:hint="eastAsia" w:ascii="宋体" w:hAnsi="宋体" w:eastAsia="宋体" w:cs="宋体"/>
          <w:color w:val="000000" w:themeColor="text1"/>
          <w:sz w:val="32"/>
          <w:szCs w:val="32"/>
          <w:lang w:val="en-US" w:eastAsia="zh-CN"/>
          <w14:textFill>
            <w14:solidFill>
              <w14:schemeClr w14:val="tx1"/>
            </w14:solidFill>
          </w14:textFill>
        </w:rPr>
      </w:pPr>
    </w:p>
    <w:p w14:paraId="1EBAB012">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1.注射泵可自动识别各类市场主流品牌注射器规格，适用于国内外生产的5ml、10ml、20ml、30ml、50/60ml普通已注册注射器。</w:t>
      </w:r>
    </w:p>
    <w:p w14:paraId="4C29CBE6">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2.全彩双屏显示，两通道可同时运行，其中一通道修改操作，不影响另一通道的运行。</w:t>
      </w:r>
    </w:p>
    <w:p w14:paraId="44F56316">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3.流速范围</w:t>
      </w:r>
    </w:p>
    <w:p w14:paraId="464C0A18">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5mL注射器：0.1 mL/h～ 100mL/h；10mL注射器：0.1 mL/h ～400mL/h；20mL注射器：0.1 mL/h ～700mL/h；30mL 注射器：0.1 mL/h ～1000mL/h；50mL/60mL 注射器：0.1 mL/h ～2000mL/h </w:t>
      </w:r>
    </w:p>
    <w:p w14:paraId="5292CAE5">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流速范围最小可按 0.1mL/h 变化，A、B通道的参数可以单独设定。</w:t>
      </w:r>
    </w:p>
    <w:p w14:paraId="1C1BB8F5">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4.流速误差≤±2%。</w:t>
      </w:r>
    </w:p>
    <w:p w14:paraId="16A49AA5">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5.预置量范围：0.1mL～9999.9mL 使用键盘输入最小可按 0.1mL变化。</w:t>
      </w:r>
    </w:p>
    <w:p w14:paraId="159D6417">
      <w:pPr>
        <w:pStyle w:val="68"/>
        <w:numPr>
          <w:ilvl w:val="0"/>
          <w:numId w:val="0"/>
        </w:numPr>
        <w:spacing w:line="360" w:lineRule="auto"/>
        <w:ind w:left="420" w:leftChars="0" w:hanging="420" w:firstLineChars="0"/>
        <w:rPr>
          <w:rFonts w:hint="eastAsia" w:ascii="宋体" w:hAnsi="宋体" w:eastAsia="宋体" w:cs="宋体"/>
          <w:color w:val="auto"/>
          <w:sz w:val="24"/>
          <w:szCs w:val="24"/>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FF0000"/>
          <w:sz w:val="24"/>
          <w:szCs w:val="24"/>
        </w:rPr>
        <w:t>.</w:t>
      </w:r>
      <w:r>
        <w:rPr>
          <w:rFonts w:hint="eastAsia" w:ascii="宋体" w:hAnsi="宋体" w:eastAsia="宋体" w:cs="宋体"/>
          <w:color w:val="auto"/>
          <w:sz w:val="24"/>
          <w:szCs w:val="24"/>
        </w:rPr>
        <w:t>丸剂量注射速度：</w:t>
      </w:r>
    </w:p>
    <w:p w14:paraId="0B74A6D5">
      <w:pPr>
        <w:pStyle w:val="68"/>
        <w:numPr>
          <w:ilvl w:val="0"/>
          <w:numId w:val="0"/>
        </w:numPr>
        <w:spacing w:line="360" w:lineRule="auto"/>
        <w:ind w:left="420" w:leftChars="0" w:hanging="420" w:firstLineChars="0"/>
        <w:rPr>
          <w:rFonts w:hint="eastAsia" w:ascii="宋体" w:hAnsi="宋体" w:eastAsia="宋体" w:cs="宋体"/>
          <w:color w:val="auto"/>
          <w:sz w:val="24"/>
          <w:szCs w:val="24"/>
        </w:rPr>
      </w:pPr>
      <w:r>
        <w:rPr>
          <w:rFonts w:hint="eastAsia" w:ascii="宋体" w:hAnsi="宋体" w:eastAsia="宋体" w:cs="宋体"/>
          <w:color w:val="auto"/>
          <w:sz w:val="24"/>
          <w:szCs w:val="24"/>
        </w:rPr>
        <w:t xml:space="preserve">5mL注射器：100mL/h ；10mL注射器：100 mL/h ～400mL/h ；20ml注射器：100 mL/h ～700mL/h ；30mL注射器：100 mL/h ～1000mL/h ；50mL/60mL 注射器：100 mL/h ～2000mL/h </w:t>
      </w:r>
    </w:p>
    <w:p w14:paraId="361301B5">
      <w:pPr>
        <w:pStyle w:val="68"/>
        <w:numPr>
          <w:ilvl w:val="0"/>
          <w:numId w:val="0"/>
        </w:numPr>
        <w:spacing w:line="360" w:lineRule="auto"/>
        <w:ind w:left="420" w:leftChars="0" w:hanging="420" w:firstLineChars="0"/>
        <w:rPr>
          <w:rFonts w:hint="eastAsia" w:ascii="宋体" w:hAnsi="宋体" w:eastAsia="宋体" w:cs="宋体"/>
          <w:color w:val="auto"/>
          <w:sz w:val="24"/>
          <w:szCs w:val="24"/>
        </w:rPr>
      </w:pPr>
      <w:r>
        <w:rPr>
          <w:rFonts w:hint="eastAsia" w:ascii="宋体" w:hAnsi="宋体" w:eastAsia="宋体" w:cs="宋体"/>
          <w:color w:val="auto"/>
          <w:sz w:val="24"/>
          <w:szCs w:val="24"/>
        </w:rPr>
        <w:t>除 5ml 注射器不可变外，其他规格注射器丸剂量注射速度使用键盘输入最小可按 1mL/h变化。</w:t>
      </w:r>
    </w:p>
    <w:p w14:paraId="34579133">
      <w:pPr>
        <w:pStyle w:val="68"/>
        <w:numPr>
          <w:ilvl w:val="0"/>
          <w:numId w:val="0"/>
        </w:numPr>
        <w:spacing w:line="360" w:lineRule="auto"/>
        <w:ind w:left="420" w:leftChars="0" w:hanging="420" w:firstLineChars="0"/>
        <w:rPr>
          <w:rFonts w:hint="eastAsia" w:ascii="宋体" w:hAnsi="宋体" w:eastAsia="宋体" w:cs="宋体"/>
          <w:color w:val="auto"/>
          <w:sz w:val="24"/>
          <w:szCs w:val="24"/>
        </w:rPr>
      </w:pPr>
      <w:r>
        <w:rPr>
          <w:rFonts w:hint="eastAsia" w:ascii="宋体" w:hAnsi="宋体" w:eastAsia="宋体" w:cs="宋体"/>
          <w:color w:val="auto"/>
          <w:sz w:val="24"/>
          <w:szCs w:val="24"/>
        </w:rPr>
        <w:t>丸剂量范围：1mL～20mL最小可按 0.1mL 变化；丸剂量误差：≤±2%。</w:t>
      </w:r>
    </w:p>
    <w:p w14:paraId="46696E9C">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7.快排功能：</w:t>
      </w:r>
    </w:p>
    <w:p w14:paraId="5C431D4D">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5mL 注射器： 100mL/h；10mL 注射器：100 mL/h ～400mL/h ；20ml 注射器：100 mL/h ～700mL/h； 30mL 注射器：100 mL/h ～1000mL/h ；50mL/60mL 注射器：100 mL/h ～2000mL/h </w:t>
      </w:r>
    </w:p>
    <w:p w14:paraId="3BB3BAC1">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快排功能最小可按 1mL/h 变化。</w:t>
      </w:r>
    </w:p>
    <w:p w14:paraId="5838342E">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8.阻塞档位：阻塞档位有高、中、低三档可调整，对应的产生阻塞报警压力范围为：低：0.05MPa ± 0.02MPa； 中：0.09MPa ± 0.02MPa；高：0.13MPa ± 0.02MPa。</w:t>
      </w:r>
    </w:p>
    <w:p w14:paraId="7138DC95">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9.保持静脉开放（KVO）速度：速度范围：0.1mL/h～5.0mL/h，输入最小可按 0.1mL/h 变化;KVO 流速误差≤±2%;当注射速度大于 KVO 速度时，注射完成报警的同时转为 KVO 速度运行；当注射速度小于 KVO 速度时，注射完成只发出报警，注射速度不变。</w:t>
      </w:r>
    </w:p>
    <w:p w14:paraId="2FE27671">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10.声光报警：高亮报警灯柱，支持10类报警：阻塞报警、将近完成报警、操作遗忘报警、注射脱落报警、注射完成报警、欠压报警、电池电量耗尽报警、电机异常报警、安装错误报警、交流掉电报警。</w:t>
      </w:r>
    </w:p>
    <w:p w14:paraId="6965EF64">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11.操作设置：采用数字键盘功能，选中需要修改的参数，摁下相应数字，保存即可完成修改。</w:t>
      </w:r>
    </w:p>
    <w:p w14:paraId="31FE5A7F">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12.工作模式：速度模式、药量时间、体重模式、间歇模式、微量模式、 级联设置。</w:t>
      </w:r>
    </w:p>
    <w:p w14:paraId="700FBFE6">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13.在线滴定功能：安全不中断输液而更改速率。</w:t>
      </w:r>
    </w:p>
    <w:p w14:paraId="4D64F5FA">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14.注射器自动识别：注射泵对装载各适用品牌的注射器规格均可自动识别。</w:t>
      </w:r>
    </w:p>
    <w:p w14:paraId="6931306B">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15.交直流自动切换：交流连接可给电池充电，交流断电自动转换为机内电池。</w:t>
      </w:r>
    </w:p>
    <w:p w14:paraId="4570B4E4">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16.累计量显示：注射泵在不关机的情况下，可对所有注射的药液进行累计并显示。</w:t>
      </w:r>
    </w:p>
    <w:p w14:paraId="03C60108">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17.阻塞压力释放功能：注射泵发生阻塞报警时，注射泵可对阻塞压力进行部分释放。</w:t>
      </w:r>
    </w:p>
    <w:p w14:paraId="49A79B86">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18.静音功能：选择静音按键，可对报警声音进行消音或临时静音。</w:t>
      </w:r>
    </w:p>
    <w:p w14:paraId="56106A0A">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19.速度超范围控制：当所设定的速度大于使用注射器所允许的最大速度时，将自动以该注射器所允许的最大速度运行。</w:t>
      </w:r>
    </w:p>
    <w:p w14:paraId="5AB953A4">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20.动态压力显示：在使用中可用条形图实时示意注射管路内部压力变化。</w:t>
      </w:r>
    </w:p>
    <w:p w14:paraId="54AF0DAB">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21.残留提示：注射泵按设置参数注射完成后，如注射器内仍有药液残留，会对操作者提示“药液残留”。</w:t>
      </w:r>
    </w:p>
    <w:p w14:paraId="4B4E731E">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22.记忆功能：注射泵可以对最后一次运行的设定参数进行储存。</w:t>
      </w:r>
    </w:p>
    <w:p w14:paraId="6ECA1081">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23.通道休眠功能：未参与注射工作的通道会进入休眠模式，以便降低功耗。</w:t>
      </w:r>
    </w:p>
    <w:p w14:paraId="37E5BDCE">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24.历史记录功能：注射泵可对使用数据进行记录。</w:t>
      </w:r>
    </w:p>
    <w:p w14:paraId="2888710F">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25.报警音量多级可调：根据用户的使用环境可对报警音进行调整。</w:t>
      </w:r>
    </w:p>
    <w:p w14:paraId="6E1ED578">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26.夜间模式/省电模式：可切换到夜间模式，在此模式下报警音减小、显示屏亮度降低，可降低功耗。</w:t>
      </w:r>
    </w:p>
    <w:p w14:paraId="1A6740D5">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27.防虹吸功能：按下推头按钮，使推头卡爪卡到注射器手柄，松开推头按钮，推头组卡住，药液不会出现虹吸和回流现象。</w:t>
      </w:r>
    </w:p>
    <w:p w14:paraId="67B4775C">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28.开机自检功能：注射泵可以在开机时进行自检，项目为：指示灯、喇叭、电源、软件版本、系统时间和电机，其中电机检测到异常时无法正常开机使用。 </w:t>
      </w:r>
    </w:p>
    <w:p w14:paraId="3DB4C5F9">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29.键盘锁功能：注射泵在运行状态下具有按键锁功能，按键锁时间可设置，设置范围为 0～10 分钟（min），使用键盘最小可按 1min 变化（0表示关闭按键锁功能）。</w:t>
      </w:r>
    </w:p>
    <w:p w14:paraId="31893222">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30.内部电池充电完成后，注射泵以 5mL/h 的速度进行注射：单通道可连续工作不小于8小时，双通道可连续工作不小于5小时。</w:t>
      </w:r>
    </w:p>
    <w:p w14:paraId="4E799663">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31.安全分类：II类CF型，防进液等级IPX3</w:t>
      </w:r>
    </w:p>
    <w:p w14:paraId="53D25A72">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32.重量：≥2.9kg</w:t>
      </w:r>
    </w:p>
    <w:p w14:paraId="4A21F43D">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33.外观尺寸</w:t>
      </w:r>
      <w:r>
        <w:rPr>
          <w:rFonts w:hint="eastAsia" w:ascii="宋体" w:hAnsi="宋体" w:eastAsia="宋体" w:cs="宋体"/>
          <w:color w:val="000000" w:themeColor="text1"/>
          <w:sz w:val="24"/>
          <w:szCs w:val="24"/>
          <w:lang w:eastAsia="zh-CN"/>
          <w14:textFill>
            <w14:solidFill>
              <w14:schemeClr w14:val="tx1"/>
            </w14:solidFill>
          </w14:textFill>
        </w:rPr>
        <w:t>约</w:t>
      </w:r>
      <w:r>
        <w:rPr>
          <w:rFonts w:hint="eastAsia" w:ascii="宋体" w:hAnsi="宋体" w:eastAsia="宋体" w:cs="宋体"/>
          <w:color w:val="000000" w:themeColor="text1"/>
          <w:sz w:val="24"/>
          <w:szCs w:val="24"/>
          <w14:textFill>
            <w14:solidFill>
              <w14:schemeClr w14:val="tx1"/>
            </w14:solidFill>
          </w14:textFill>
        </w:rPr>
        <w:t>：248×144×196mm；.</w:t>
      </w:r>
    </w:p>
    <w:p w14:paraId="763C8391">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34.工作环境：环境温度：5℃～40℃；相对湿度：30%～80%（无结露）；</w:t>
      </w:r>
    </w:p>
    <w:p w14:paraId="369BF279">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35.使用电源：交流输入：AC100～240V； 50/60Hz。内部电池</w:t>
      </w:r>
      <w:r>
        <w:rPr>
          <w:rFonts w:hint="eastAsia" w:ascii="宋体" w:hAnsi="宋体" w:eastAsia="宋体" w:cs="宋体"/>
          <w:color w:val="000000" w:themeColor="text1"/>
          <w:sz w:val="24"/>
          <w:szCs w:val="24"/>
          <w:lang w:eastAsia="zh-CN"/>
          <w14:textFill>
            <w14:solidFill>
              <w14:schemeClr w14:val="tx1"/>
            </w14:solidFill>
          </w14:textFill>
        </w:rPr>
        <w:t>约</w:t>
      </w:r>
      <w:r>
        <w:rPr>
          <w:rFonts w:hint="eastAsia" w:ascii="宋体" w:hAnsi="宋体" w:eastAsia="宋体" w:cs="宋体"/>
          <w:color w:val="000000" w:themeColor="text1"/>
          <w:sz w:val="24"/>
          <w:szCs w:val="24"/>
          <w14:textFill>
            <w14:solidFill>
              <w14:schemeClr w14:val="tx1"/>
            </w14:solidFill>
          </w14:textFill>
        </w:rPr>
        <w:t>：DC10.8V。</w:t>
      </w:r>
    </w:p>
    <w:p w14:paraId="39CD741F">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36.输入功率: ≤40VA。</w:t>
      </w:r>
    </w:p>
    <w:p w14:paraId="0D051E2D">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37.射泵应在无强冲击振动，水和其它流体不能侵入装置内部，周围无腐蚀性气体的环境中工作。</w:t>
      </w:r>
    </w:p>
    <w:p w14:paraId="45535A48">
      <w:pPr>
        <w:pStyle w:val="68"/>
        <w:numPr>
          <w:ilvl w:val="0"/>
          <w:numId w:val="0"/>
        </w:numPr>
        <w:spacing w:line="360" w:lineRule="auto"/>
        <w:ind w:left="420" w:leftChars="0" w:hanging="42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38、</w:t>
      </w:r>
      <w:r>
        <w:rPr>
          <w:rFonts w:hint="eastAsia" w:ascii="宋体" w:hAnsi="宋体" w:eastAsia="宋体" w:cs="宋体"/>
          <w:color w:val="auto"/>
          <w:kern w:val="0"/>
          <w:sz w:val="24"/>
          <w:szCs w:val="24"/>
          <w:highlight w:val="none"/>
          <w:lang w:val="en-US" w:eastAsia="zh-CN"/>
        </w:rPr>
        <w:t>★整机</w:t>
      </w:r>
      <w:r>
        <w:rPr>
          <w:rFonts w:hint="eastAsia" w:ascii="宋体" w:hAnsi="宋体" w:eastAsia="宋体" w:cs="宋体"/>
          <w:color w:val="auto"/>
          <w:kern w:val="0"/>
          <w:sz w:val="24"/>
          <w:szCs w:val="24"/>
          <w:highlight w:val="none"/>
          <w:lang w:eastAsia="zh-CN"/>
        </w:rPr>
        <w:t>质保3年，制造商提供承诺，加盖公章</w:t>
      </w:r>
      <w:r>
        <w:rPr>
          <w:rFonts w:hint="eastAsia" w:ascii="宋体" w:hAnsi="宋体" w:eastAsia="宋体" w:cs="宋体"/>
          <w:color w:val="000000" w:themeColor="text1"/>
          <w:sz w:val="24"/>
          <w:szCs w:val="24"/>
          <w:lang w:val="en-US" w:eastAsia="zh-CN"/>
          <w14:textFill>
            <w14:solidFill>
              <w14:schemeClr w14:val="tx1"/>
            </w14:solidFill>
          </w14:textFill>
        </w:rPr>
        <w:t>。</w:t>
      </w:r>
    </w:p>
    <w:p w14:paraId="4991A1C7">
      <w:pPr>
        <w:numPr>
          <w:ilvl w:val="0"/>
          <w:numId w:val="0"/>
        </w:numPr>
        <w:rPr>
          <w:rFonts w:hint="eastAsia" w:ascii="宋体" w:hAnsi="宋体" w:eastAsia="宋体" w:cs="宋体"/>
          <w:sz w:val="24"/>
          <w:szCs w:val="24"/>
          <w:lang w:eastAsia="zh-CN"/>
        </w:rPr>
      </w:pPr>
    </w:p>
    <w:p w14:paraId="5796346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p>
    <w:p w14:paraId="4813060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default" w:ascii="仿宋" w:hAnsi="仿宋" w:eastAsia="仿宋" w:cs="仿宋"/>
          <w:bCs/>
          <w:color w:val="000000" w:themeColor="text1"/>
          <w:sz w:val="28"/>
          <w:szCs w:val="28"/>
          <w:lang w:val="en-US" w:eastAsia="zh-CN"/>
          <w14:textFill>
            <w14:solidFill>
              <w14:schemeClr w14:val="tx1"/>
            </w14:solidFill>
          </w14:textFill>
        </w:rPr>
      </w:pPr>
    </w:p>
    <w:p w14:paraId="51AD23A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default" w:ascii="仿宋" w:hAnsi="仿宋" w:eastAsia="仿宋" w:cs="仿宋"/>
          <w:bCs/>
          <w:color w:val="000000" w:themeColor="text1"/>
          <w:sz w:val="28"/>
          <w:szCs w:val="28"/>
          <w:lang w:val="en-US" w:eastAsia="zh-CN"/>
          <w14:textFill>
            <w14:solidFill>
              <w14:schemeClr w14:val="tx1"/>
            </w14:solidFill>
          </w14:textFill>
        </w:rPr>
      </w:pPr>
    </w:p>
    <w:p w14:paraId="193B88B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default" w:ascii="仿宋" w:hAnsi="仿宋" w:eastAsia="仿宋" w:cs="仿宋"/>
          <w:bCs/>
          <w:color w:val="000000" w:themeColor="text1"/>
          <w:sz w:val="28"/>
          <w:szCs w:val="28"/>
          <w:lang w:val="en-US" w:eastAsia="zh-CN"/>
          <w14:textFill>
            <w14:solidFill>
              <w14:schemeClr w14:val="tx1"/>
            </w14:solidFill>
          </w14:textFill>
        </w:rPr>
      </w:pPr>
    </w:p>
    <w:p w14:paraId="4507B7E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default" w:ascii="仿宋" w:hAnsi="仿宋" w:eastAsia="仿宋" w:cs="仿宋"/>
          <w:bCs/>
          <w:color w:val="000000" w:themeColor="text1"/>
          <w:sz w:val="28"/>
          <w:szCs w:val="28"/>
          <w:lang w:val="en-US" w:eastAsia="zh-CN"/>
          <w14:textFill>
            <w14:solidFill>
              <w14:schemeClr w14:val="tx1"/>
            </w14:solidFill>
          </w14:textFill>
        </w:rPr>
      </w:pPr>
    </w:p>
    <w:p w14:paraId="0672BAF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default" w:ascii="仿宋" w:hAnsi="仿宋" w:eastAsia="仿宋" w:cs="仿宋"/>
          <w:bCs/>
          <w:color w:val="000000" w:themeColor="text1"/>
          <w:sz w:val="28"/>
          <w:szCs w:val="28"/>
          <w:lang w:val="en-US" w:eastAsia="zh-CN"/>
          <w14:textFill>
            <w14:solidFill>
              <w14:schemeClr w14:val="tx1"/>
            </w14:solidFill>
          </w14:textFill>
        </w:rPr>
      </w:pPr>
    </w:p>
    <w:p w14:paraId="106ED85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default" w:ascii="仿宋" w:hAnsi="仿宋" w:eastAsia="仿宋" w:cs="仿宋"/>
          <w:bCs/>
          <w:color w:val="000000" w:themeColor="text1"/>
          <w:sz w:val="28"/>
          <w:szCs w:val="28"/>
          <w:lang w:val="en-US" w:eastAsia="zh-CN"/>
          <w14:textFill>
            <w14:solidFill>
              <w14:schemeClr w14:val="tx1"/>
            </w14:solidFill>
          </w14:textFill>
        </w:rPr>
      </w:pPr>
    </w:p>
    <w:p w14:paraId="61EEA821">
      <w:pPr>
        <w:pStyle w:val="3"/>
        <w:pageBreakBefore w:val="0"/>
        <w:kinsoku/>
        <w:wordWrap/>
        <w:overflowPunct/>
        <w:topLinePunct w:val="0"/>
        <w:bidi w:val="0"/>
        <w:spacing w:before="0" w:line="240" w:lineRule="auto"/>
        <w:jc w:val="left"/>
        <w:outlineLvl w:val="1"/>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 xml:space="preserve">项目要求： </w:t>
      </w:r>
    </w:p>
    <w:p w14:paraId="7CC8B590">
      <w:pPr>
        <w:keepNext/>
        <w:keepLines/>
        <w:pageBreakBefore w:val="0"/>
        <w:widowControl w:val="0"/>
        <w:numPr>
          <w:ilvl w:val="0"/>
          <w:numId w:val="0"/>
        </w:numPr>
        <w:kinsoku/>
        <w:wordWrap/>
        <w:overflowPunct/>
        <w:topLinePunct w:val="0"/>
        <w:autoSpaceDE w:val="0"/>
        <w:autoSpaceDN w:val="0"/>
        <w:bidi w:val="0"/>
        <w:adjustRightInd w:val="0"/>
        <w:spacing w:before="0" w:line="360" w:lineRule="exact"/>
        <w:jc w:val="left"/>
        <w:outlineLvl w:val="2"/>
        <w:rPr>
          <w:rFonts w:hint="eastAsia" w:ascii="宋体" w:hAnsi="宋体" w:eastAsia="宋体" w:cs="宋体"/>
          <w:b/>
          <w:color w:val="auto"/>
          <w:kern w:val="0"/>
          <w:sz w:val="28"/>
          <w:szCs w:val="28"/>
          <w:highlight w:val="none"/>
          <w:lang w:val="en-US" w:eastAsia="zh-CN" w:bidi="ar-SA"/>
        </w:rPr>
      </w:pPr>
      <w:bookmarkStart w:id="391" w:name="_Toc5382"/>
      <w:r>
        <w:rPr>
          <w:rFonts w:hint="eastAsia" w:ascii="宋体" w:hAnsi="宋体" w:eastAsia="宋体" w:cs="宋体"/>
          <w:b/>
          <w:color w:val="auto"/>
          <w:kern w:val="0"/>
          <w:sz w:val="28"/>
          <w:szCs w:val="28"/>
          <w:highlight w:val="none"/>
          <w:lang w:val="en-US" w:eastAsia="zh-CN" w:bidi="ar-SA"/>
        </w:rPr>
        <w:t>（一）所招产品的质量要求</w:t>
      </w:r>
      <w:bookmarkEnd w:id="391"/>
    </w:p>
    <w:p w14:paraId="086842D1">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w:t>
      </w:r>
      <w:r>
        <w:rPr>
          <w:rFonts w:hint="eastAsia" w:ascii="宋体" w:hAnsi="宋体" w:eastAsia="宋体" w:cs="宋体"/>
          <w:b/>
          <w:bCs/>
          <w:i w:val="0"/>
          <w:caps w:val="0"/>
          <w:color w:val="auto"/>
          <w:spacing w:val="0"/>
          <w:w w:val="100"/>
          <w:kern w:val="2"/>
          <w:sz w:val="24"/>
          <w:szCs w:val="24"/>
          <w:highlight w:val="none"/>
          <w:lang w:val="en-US" w:eastAsia="zh-CN" w:bidi="ar-SA"/>
        </w:rPr>
        <w:t>本项目技术参数均为公共参数，无指向性，投标供应商认为该产品指向某一品牌、某一型号，那么该参数均为参考参数，可以根据技术要求及商务要求自行去选择产品品牌和型号。</w:t>
      </w:r>
    </w:p>
    <w:p w14:paraId="4C151DF2">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凡技术参数指标执行的国家相关标准、行业标准、地方标准或者其他标准、规范。供应商需要提供投标产品技术支持资料（或证明材料），其中技术支持资料指生产厂家公开发布的印刷资料或检测机构出具的检验报告，若生产厂家公开发布的印刷资料或检测机构出具的检验报告不一致，以检测机构出具的检验报告为准。如供应商技术响应与技术支持资料（或证明材料）不一致，将以技术支持资料（或证明材料）为准。</w:t>
      </w:r>
    </w:p>
    <w:p w14:paraId="3585DD68">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对于技术规格中标注“★”号的</w:t>
      </w:r>
      <w:r>
        <w:rPr>
          <w:rFonts w:hint="eastAsia" w:ascii="宋体" w:hAnsi="宋体" w:cs="宋体"/>
          <w:b/>
          <w:bCs/>
          <w:i w:val="0"/>
          <w:caps w:val="0"/>
          <w:color w:val="auto"/>
          <w:spacing w:val="0"/>
          <w:w w:val="100"/>
          <w:kern w:val="2"/>
          <w:sz w:val="24"/>
          <w:szCs w:val="24"/>
          <w:highlight w:val="none"/>
          <w:lang w:val="en-US" w:eastAsia="zh-CN" w:bidi="ar-SA"/>
        </w:rPr>
        <w:t>实质性参数</w:t>
      </w:r>
      <w:r>
        <w:rPr>
          <w:rFonts w:hint="eastAsia" w:ascii="宋体" w:hAnsi="宋体" w:eastAsia="宋体" w:cs="宋体"/>
          <w:b/>
          <w:bCs/>
          <w:i w:val="0"/>
          <w:caps w:val="0"/>
          <w:color w:val="auto"/>
          <w:spacing w:val="0"/>
          <w:w w:val="100"/>
          <w:kern w:val="2"/>
          <w:sz w:val="24"/>
          <w:szCs w:val="24"/>
          <w:highlight w:val="none"/>
          <w:lang w:val="en-US" w:eastAsia="zh-CN" w:bidi="ar-SA"/>
        </w:rPr>
        <w:t>、标注“▲”号的重要参数，投标供应商须在投标文件中按照招标文件技术规格的要求提供技术应答的证明材料，如技术规格中无特殊要求则应提交本条款规定的技术支持资料。对于投标供应商提供的投标文件技术应答未按本条款要求提供投标产品技术支持资料或证明材料（检测报告或白皮书或产品彩页并有生产厂家盖公章）的，或提供的投标产品技术支持资料或证明材料（检测报告或白皮书或产品彩页并有生产厂家盖公章）“★”</w:t>
      </w:r>
      <w:r>
        <w:rPr>
          <w:rFonts w:hint="eastAsia" w:ascii="宋体" w:hAnsi="宋体" w:cs="宋体"/>
          <w:b/>
          <w:bCs/>
          <w:i w:val="0"/>
          <w:caps w:val="0"/>
          <w:color w:val="auto"/>
          <w:spacing w:val="0"/>
          <w:w w:val="100"/>
          <w:kern w:val="2"/>
          <w:sz w:val="24"/>
          <w:szCs w:val="24"/>
          <w:highlight w:val="none"/>
          <w:lang w:val="en-US" w:eastAsia="zh-CN" w:bidi="ar-SA"/>
        </w:rPr>
        <w:t>实质性参数</w:t>
      </w:r>
      <w:r>
        <w:rPr>
          <w:rFonts w:hint="eastAsia" w:ascii="宋体" w:hAnsi="宋体" w:eastAsia="宋体" w:cs="宋体"/>
          <w:b/>
          <w:bCs/>
          <w:i w:val="0"/>
          <w:caps w:val="0"/>
          <w:color w:val="auto"/>
          <w:spacing w:val="0"/>
          <w:w w:val="100"/>
          <w:kern w:val="2"/>
          <w:sz w:val="24"/>
          <w:szCs w:val="24"/>
          <w:highlight w:val="none"/>
          <w:lang w:val="en-US" w:eastAsia="zh-CN" w:bidi="ar-SA"/>
        </w:rPr>
        <w:t>出现负偏离的则作废标处理、“▲”重要参数出现负偏离的则以扣分处理。</w:t>
      </w:r>
    </w:p>
    <w:p w14:paraId="67F3DF36">
      <w:pPr>
        <w:keepNext/>
        <w:keepLines/>
        <w:pageBreakBefore w:val="0"/>
        <w:widowControl w:val="0"/>
        <w:numPr>
          <w:ilvl w:val="0"/>
          <w:numId w:val="0"/>
        </w:numPr>
        <w:kinsoku/>
        <w:wordWrap/>
        <w:overflowPunct/>
        <w:topLinePunct w:val="0"/>
        <w:autoSpaceDE w:val="0"/>
        <w:autoSpaceDN w:val="0"/>
        <w:bidi w:val="0"/>
        <w:adjustRightInd w:val="0"/>
        <w:spacing w:before="0" w:line="360" w:lineRule="exact"/>
        <w:jc w:val="left"/>
        <w:outlineLvl w:val="2"/>
        <w:rPr>
          <w:rFonts w:hint="eastAsia" w:ascii="宋体" w:hAnsi="宋体" w:eastAsia="宋体" w:cs="宋体"/>
          <w:b/>
          <w:color w:val="auto"/>
          <w:kern w:val="0"/>
          <w:sz w:val="28"/>
          <w:szCs w:val="28"/>
          <w:highlight w:val="none"/>
          <w:lang w:val="en-US" w:eastAsia="zh-CN" w:bidi="ar-SA"/>
        </w:rPr>
      </w:pPr>
      <w:bookmarkStart w:id="392" w:name="_Toc17580"/>
      <w:r>
        <w:rPr>
          <w:rFonts w:hint="eastAsia" w:ascii="宋体" w:hAnsi="宋体" w:eastAsia="宋体" w:cs="宋体"/>
          <w:b/>
          <w:color w:val="auto"/>
          <w:kern w:val="0"/>
          <w:sz w:val="28"/>
          <w:szCs w:val="28"/>
          <w:highlight w:val="none"/>
          <w:lang w:val="en-US" w:eastAsia="zh-CN" w:bidi="ar-SA"/>
        </w:rPr>
        <w:t>（二）项目的交货期和交货地点</w:t>
      </w:r>
      <w:bookmarkEnd w:id="392"/>
    </w:p>
    <w:p w14:paraId="2E90EE9B">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bCs/>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（1）交货期：签完合同</w:t>
      </w:r>
      <w:r>
        <w:rPr>
          <w:rFonts w:hint="eastAsia" w:ascii="宋体" w:hAnsi="宋体" w:cs="宋体"/>
          <w:b/>
          <w:bCs/>
          <w:i w:val="0"/>
          <w:caps w:val="0"/>
          <w:color w:val="auto"/>
          <w:spacing w:val="0"/>
          <w:w w:val="100"/>
          <w:kern w:val="2"/>
          <w:sz w:val="24"/>
          <w:szCs w:val="24"/>
          <w:highlight w:val="none"/>
          <w:lang w:val="en-US" w:eastAsia="zh-CN" w:bidi="ar-SA"/>
        </w:rPr>
        <w:t>30</w:t>
      </w:r>
      <w:r>
        <w:rPr>
          <w:rFonts w:hint="eastAsia" w:ascii="宋体" w:hAnsi="宋体" w:eastAsia="宋体" w:cs="宋体"/>
          <w:b/>
          <w:bCs/>
          <w:i w:val="0"/>
          <w:caps w:val="0"/>
          <w:color w:val="auto"/>
          <w:spacing w:val="0"/>
          <w:w w:val="100"/>
          <w:kern w:val="2"/>
          <w:sz w:val="24"/>
          <w:szCs w:val="24"/>
          <w:highlight w:val="none"/>
          <w:lang w:val="en-US" w:eastAsia="zh-CN" w:bidi="ar-SA"/>
        </w:rPr>
        <w:t>天内完成供货（具体以签订的合同为准）。</w:t>
      </w:r>
    </w:p>
    <w:p w14:paraId="52BC6F3C">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（2）交货地点：采购人指定地点。</w:t>
      </w:r>
    </w:p>
    <w:p w14:paraId="1A0F9AFD">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（3）包装和运输：保证设备完好运到指定地点。</w:t>
      </w:r>
    </w:p>
    <w:p w14:paraId="0B399338">
      <w:pPr>
        <w:keepNext/>
        <w:keepLines/>
        <w:pageBreakBefore w:val="0"/>
        <w:widowControl w:val="0"/>
        <w:numPr>
          <w:ilvl w:val="0"/>
          <w:numId w:val="0"/>
        </w:numPr>
        <w:kinsoku/>
        <w:wordWrap/>
        <w:overflowPunct/>
        <w:topLinePunct w:val="0"/>
        <w:autoSpaceDE w:val="0"/>
        <w:autoSpaceDN w:val="0"/>
        <w:bidi w:val="0"/>
        <w:adjustRightInd w:val="0"/>
        <w:spacing w:before="0" w:line="360" w:lineRule="exact"/>
        <w:jc w:val="left"/>
        <w:outlineLvl w:val="2"/>
        <w:rPr>
          <w:rFonts w:hint="eastAsia" w:ascii="宋体" w:hAnsi="宋体" w:eastAsia="宋体" w:cs="宋体"/>
          <w:b/>
          <w:color w:val="auto"/>
          <w:kern w:val="0"/>
          <w:sz w:val="28"/>
          <w:szCs w:val="28"/>
          <w:highlight w:val="none"/>
          <w:lang w:val="en-US" w:eastAsia="zh-CN" w:bidi="ar-SA"/>
        </w:rPr>
      </w:pPr>
      <w:bookmarkStart w:id="393" w:name="_Toc31112"/>
      <w:r>
        <w:rPr>
          <w:rFonts w:hint="eastAsia" w:ascii="宋体" w:hAnsi="宋体" w:eastAsia="宋体" w:cs="宋体"/>
          <w:b/>
          <w:color w:val="auto"/>
          <w:kern w:val="0"/>
          <w:sz w:val="28"/>
          <w:szCs w:val="28"/>
          <w:highlight w:val="none"/>
          <w:lang w:val="en-US" w:eastAsia="zh-CN" w:bidi="ar-SA"/>
        </w:rPr>
        <w:t>（三）付款方式和质保期</w:t>
      </w:r>
      <w:bookmarkEnd w:id="393"/>
    </w:p>
    <w:p w14:paraId="47856F23">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（1）付款方式：</w:t>
      </w:r>
      <w:r>
        <w:rPr>
          <w:rFonts w:hint="eastAsia" w:ascii="宋体" w:hAnsi="宋体" w:cs="宋体"/>
          <w:b w:val="0"/>
          <w:i w:val="0"/>
          <w:caps w:val="0"/>
          <w:color w:val="auto"/>
          <w:spacing w:val="0"/>
          <w:w w:val="100"/>
          <w:kern w:val="2"/>
          <w:sz w:val="24"/>
          <w:szCs w:val="24"/>
          <w:highlight w:val="none"/>
          <w:lang w:val="en-US" w:eastAsia="zh-CN" w:bidi="ar-SA"/>
        </w:rPr>
        <w:t>签订合同后支付合同总价的30%，验收完成并顺利运行后支付合同总价的60%，培训完成、竣工结算完成后支付合同总价的10%。</w:t>
      </w:r>
      <w:r>
        <w:rPr>
          <w:rFonts w:hint="eastAsia" w:ascii="宋体" w:hAnsi="宋体" w:eastAsia="宋体" w:cs="宋体"/>
          <w:b w:val="0"/>
          <w:i w:val="0"/>
          <w:caps w:val="0"/>
          <w:color w:val="auto"/>
          <w:spacing w:val="0"/>
          <w:w w:val="100"/>
          <w:kern w:val="2"/>
          <w:sz w:val="24"/>
          <w:szCs w:val="24"/>
          <w:highlight w:val="none"/>
          <w:lang w:val="en-US" w:eastAsia="zh-CN" w:bidi="ar-SA"/>
        </w:rPr>
        <w:t>（具体付款方式以甲乙双方合同约定为准）。</w:t>
      </w:r>
    </w:p>
    <w:p w14:paraId="0EEA6B13">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bCs/>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（2）质保期：</w:t>
      </w:r>
      <w:r>
        <w:rPr>
          <w:rFonts w:hint="eastAsia" w:ascii="宋体" w:hAnsi="宋体" w:cs="宋体"/>
          <w:b/>
          <w:bCs/>
          <w:i w:val="0"/>
          <w:caps w:val="0"/>
          <w:color w:val="auto"/>
          <w:spacing w:val="0"/>
          <w:w w:val="100"/>
          <w:kern w:val="2"/>
          <w:sz w:val="24"/>
          <w:szCs w:val="24"/>
          <w:highlight w:val="none"/>
          <w:lang w:val="en-US" w:eastAsia="zh-CN" w:bidi="ar-SA"/>
        </w:rPr>
        <w:t>以</w:t>
      </w:r>
      <w:r>
        <w:rPr>
          <w:rFonts w:hint="eastAsia" w:ascii="宋体" w:hAnsi="宋体" w:eastAsia="宋体" w:cs="宋体"/>
          <w:b/>
          <w:bCs/>
          <w:i w:val="0"/>
          <w:caps w:val="0"/>
          <w:color w:val="auto"/>
          <w:spacing w:val="0"/>
          <w:w w:val="100"/>
          <w:kern w:val="2"/>
          <w:sz w:val="24"/>
          <w:szCs w:val="24"/>
          <w:highlight w:val="none"/>
          <w:lang w:val="en-US" w:eastAsia="zh-CN" w:bidi="ar-SA"/>
        </w:rPr>
        <w:t>技术参数要求的质保期</w:t>
      </w:r>
      <w:r>
        <w:rPr>
          <w:rFonts w:hint="eastAsia" w:ascii="宋体" w:hAnsi="宋体" w:cs="宋体"/>
          <w:b/>
          <w:bCs/>
          <w:i w:val="0"/>
          <w:caps w:val="0"/>
          <w:color w:val="auto"/>
          <w:spacing w:val="0"/>
          <w:w w:val="100"/>
          <w:kern w:val="2"/>
          <w:sz w:val="24"/>
          <w:szCs w:val="24"/>
          <w:highlight w:val="none"/>
          <w:lang w:val="en-US" w:eastAsia="zh-CN" w:bidi="ar-SA"/>
        </w:rPr>
        <w:t>为准</w:t>
      </w:r>
      <w:r>
        <w:rPr>
          <w:rFonts w:hint="eastAsia" w:ascii="宋体" w:hAnsi="宋体" w:eastAsia="宋体" w:cs="宋体"/>
          <w:b/>
          <w:bCs/>
          <w:i w:val="0"/>
          <w:caps w:val="0"/>
          <w:color w:val="auto"/>
          <w:spacing w:val="0"/>
          <w:w w:val="100"/>
          <w:kern w:val="2"/>
          <w:sz w:val="24"/>
          <w:szCs w:val="24"/>
          <w:highlight w:val="none"/>
          <w:lang w:val="en-US" w:eastAsia="zh-CN" w:bidi="ar-SA"/>
        </w:rPr>
        <w:t>（具体以货物需求一览表为准）。</w:t>
      </w:r>
    </w:p>
    <w:p w14:paraId="4AE9070E">
      <w:pPr>
        <w:keepNext/>
        <w:keepLines/>
        <w:pageBreakBefore w:val="0"/>
        <w:widowControl w:val="0"/>
        <w:numPr>
          <w:ilvl w:val="0"/>
          <w:numId w:val="0"/>
        </w:numPr>
        <w:kinsoku/>
        <w:wordWrap/>
        <w:overflowPunct/>
        <w:topLinePunct w:val="0"/>
        <w:autoSpaceDE w:val="0"/>
        <w:autoSpaceDN w:val="0"/>
        <w:bidi w:val="0"/>
        <w:adjustRightInd w:val="0"/>
        <w:spacing w:before="0" w:line="360" w:lineRule="exact"/>
        <w:jc w:val="left"/>
        <w:outlineLvl w:val="2"/>
        <w:rPr>
          <w:rFonts w:hint="eastAsia" w:ascii="宋体" w:hAnsi="宋体" w:eastAsia="宋体" w:cs="宋体"/>
          <w:b/>
          <w:color w:val="auto"/>
          <w:kern w:val="0"/>
          <w:sz w:val="28"/>
          <w:szCs w:val="28"/>
          <w:highlight w:val="none"/>
          <w:lang w:val="en-US" w:eastAsia="zh-CN" w:bidi="ar-SA"/>
        </w:rPr>
      </w:pPr>
      <w:bookmarkStart w:id="394" w:name="_Toc10940"/>
      <w:r>
        <w:rPr>
          <w:rFonts w:hint="eastAsia" w:ascii="宋体" w:hAnsi="宋体" w:eastAsia="宋体" w:cs="宋体"/>
          <w:b/>
          <w:color w:val="auto"/>
          <w:kern w:val="0"/>
          <w:sz w:val="28"/>
          <w:szCs w:val="28"/>
          <w:highlight w:val="none"/>
          <w:lang w:val="en-US" w:eastAsia="zh-CN" w:bidi="ar-SA"/>
        </w:rPr>
        <w:t>（四）售后服务</w:t>
      </w:r>
      <w:bookmarkEnd w:id="394"/>
    </w:p>
    <w:p w14:paraId="767E2B52">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供应商须到采购人指定的现场免费安装、调试设备，进行操作试验，直至运行正常，为仪器操作人员终身免费提供技术服务、技术支持及咨询服务，在任何时候、任何地点均可享受到终生的免费咨询服务。按照项目采购需求中要求进行维修响应。在</w:t>
      </w:r>
      <w:r>
        <w:rPr>
          <w:rFonts w:hint="eastAsia" w:ascii="宋体" w:hAnsi="宋体" w:cs="宋体"/>
          <w:b w:val="0"/>
          <w:i w:val="0"/>
          <w:caps w:val="0"/>
          <w:color w:val="auto"/>
          <w:spacing w:val="0"/>
          <w:w w:val="100"/>
          <w:kern w:val="2"/>
          <w:sz w:val="24"/>
          <w:szCs w:val="24"/>
          <w:highlight w:val="none"/>
          <w:lang w:val="en-US" w:eastAsia="zh-CN" w:bidi="ar-SA"/>
        </w:rPr>
        <w:t>质保期</w:t>
      </w:r>
      <w:r>
        <w:rPr>
          <w:rFonts w:hint="eastAsia" w:ascii="宋体" w:hAnsi="宋体" w:eastAsia="宋体" w:cs="宋体"/>
          <w:b w:val="0"/>
          <w:i w:val="0"/>
          <w:caps w:val="0"/>
          <w:color w:val="auto"/>
          <w:spacing w:val="0"/>
          <w:w w:val="100"/>
          <w:kern w:val="2"/>
          <w:sz w:val="24"/>
          <w:szCs w:val="24"/>
          <w:highlight w:val="none"/>
          <w:lang w:val="en-US" w:eastAsia="zh-CN" w:bidi="ar-SA"/>
        </w:rPr>
        <w:t>内不定期免费进行状态检测。</w:t>
      </w:r>
    </w:p>
    <w:p w14:paraId="50DCE559">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（2）在质保期内，派遣维修或技术人员巡访设备使用单位，协助并指导运维人员进行日常维护保养工作，并与直接使用人交流设备使用相关事宜。</w:t>
      </w:r>
    </w:p>
    <w:p w14:paraId="2317B9B5">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（3）供应商必须积极配合采购人共同参与项目验收。主动向采购方有关技术人员在使用现场提供全套技术指导及培训。</w:t>
      </w:r>
    </w:p>
    <w:p w14:paraId="22219E8E">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 xml:space="preserve">（4）供应商应派相关技术人员到现场免费进行指导安装，解决安装过程中的相关问题。  </w:t>
      </w:r>
    </w:p>
    <w:p w14:paraId="79EF3605">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（5）售后服务承诺：供应商应对质保期内及其以后的服务做出承诺，并具有切实可行的措施,不能及时兑现服务承诺内容而影响使用方使用，供应商应当给予补偿。</w:t>
      </w:r>
    </w:p>
    <w:p w14:paraId="25A3E550">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（6）如收到服务需求不合要求情况，可双方协商决定，但决定权在购买方，购买方有权利退回所购买产品。</w:t>
      </w:r>
    </w:p>
    <w:p w14:paraId="3F6D820F">
      <w:pPr>
        <w:keepNext/>
        <w:keepLines/>
        <w:pageBreakBefore w:val="0"/>
        <w:widowControl w:val="0"/>
        <w:numPr>
          <w:ilvl w:val="0"/>
          <w:numId w:val="0"/>
        </w:numPr>
        <w:kinsoku/>
        <w:wordWrap/>
        <w:overflowPunct/>
        <w:topLinePunct w:val="0"/>
        <w:autoSpaceDE w:val="0"/>
        <w:autoSpaceDN w:val="0"/>
        <w:bidi w:val="0"/>
        <w:adjustRightInd w:val="0"/>
        <w:spacing w:before="0" w:line="360" w:lineRule="exact"/>
        <w:jc w:val="left"/>
        <w:outlineLvl w:val="2"/>
        <w:rPr>
          <w:rFonts w:hint="eastAsia" w:ascii="宋体" w:hAnsi="宋体" w:eastAsia="宋体" w:cs="宋体"/>
          <w:b/>
          <w:color w:val="auto"/>
          <w:kern w:val="0"/>
          <w:sz w:val="28"/>
          <w:szCs w:val="28"/>
          <w:highlight w:val="none"/>
          <w:lang w:val="en-US" w:eastAsia="zh-CN" w:bidi="ar-SA"/>
        </w:rPr>
      </w:pPr>
      <w:bookmarkStart w:id="395" w:name="_Toc5685"/>
      <w:r>
        <w:rPr>
          <w:rFonts w:hint="eastAsia" w:ascii="宋体" w:hAnsi="宋体" w:eastAsia="宋体" w:cs="宋体"/>
          <w:b/>
          <w:color w:val="auto"/>
          <w:kern w:val="0"/>
          <w:sz w:val="28"/>
          <w:szCs w:val="28"/>
          <w:highlight w:val="none"/>
          <w:lang w:val="en-US" w:eastAsia="zh-CN" w:bidi="ar-SA"/>
        </w:rPr>
        <w:t>（五）实施方案及培训方案</w:t>
      </w:r>
      <w:bookmarkEnd w:id="395"/>
    </w:p>
    <w:p w14:paraId="319A3EFF">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（1）仪器的安装、调试：由厂家专职工程师负责，到医院现场安装、调试达正常使用状态。</w:t>
      </w:r>
    </w:p>
    <w:p w14:paraId="35529DF5">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（2）供应商应保证供货设备在项目实施过程中</w:t>
      </w:r>
    </w:p>
    <w:p w14:paraId="75A36C0E">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241" w:firstLineChars="100"/>
        <w:jc w:val="left"/>
        <w:textAlignment w:val="baseline"/>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实施方案</w:t>
      </w:r>
      <w:r>
        <w:rPr>
          <w:rFonts w:hint="eastAsia" w:ascii="宋体" w:hAnsi="宋体" w:eastAsia="宋体" w:cs="宋体"/>
          <w:color w:val="auto"/>
          <w:kern w:val="2"/>
          <w:sz w:val="24"/>
          <w:szCs w:val="24"/>
          <w:highlight w:val="none"/>
          <w:lang w:val="en-US" w:eastAsia="zh-CN" w:bidi="ar-SA"/>
        </w:rPr>
        <w:t>：</w:t>
      </w:r>
    </w:p>
    <w:p w14:paraId="1F13D3BE">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（1）项目详细工作内容，说明项目的工作范围、具体内容和技术要求等，这一部分内容能量化的指标尽可能量化；</w:t>
      </w:r>
    </w:p>
    <w:p w14:paraId="6FB1491A">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（2）项目实施所采取的方法手段；</w:t>
      </w:r>
    </w:p>
    <w:p w14:paraId="2D5511D1">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（3）预期效果，说明项目完成时所达到的效果；说明承担单位、协作单位和各自分工的主要内容。</w:t>
      </w:r>
    </w:p>
    <w:p w14:paraId="463879B4">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241" w:firstLineChars="100"/>
        <w:jc w:val="left"/>
        <w:textAlignment w:val="baseline"/>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设备管理及维护</w:t>
      </w:r>
      <w:r>
        <w:rPr>
          <w:rFonts w:hint="eastAsia" w:ascii="宋体" w:hAnsi="宋体" w:eastAsia="宋体" w:cs="宋体"/>
          <w:color w:val="auto"/>
          <w:kern w:val="2"/>
          <w:sz w:val="24"/>
          <w:szCs w:val="24"/>
          <w:highlight w:val="none"/>
          <w:lang w:val="en-US" w:eastAsia="zh-CN" w:bidi="ar-SA"/>
        </w:rPr>
        <w:t>：</w:t>
      </w:r>
    </w:p>
    <w:p w14:paraId="7A44EEC5">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（1）设备管理方案；（2）设备维护及保养方案。</w:t>
      </w:r>
    </w:p>
    <w:p w14:paraId="17D38D8D">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239" w:leftChars="114" w:firstLine="0" w:firstLineChars="0"/>
        <w:jc w:val="left"/>
        <w:textAlignment w:val="baseline"/>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进度安排：</w:t>
      </w:r>
      <w:r>
        <w:rPr>
          <w:rFonts w:hint="eastAsia" w:ascii="宋体" w:hAnsi="宋体" w:eastAsia="宋体" w:cs="宋体"/>
          <w:b w:val="0"/>
          <w:bCs w:val="0"/>
          <w:i w:val="0"/>
          <w:caps w:val="0"/>
          <w:color w:val="auto"/>
          <w:spacing w:val="0"/>
          <w:w w:val="100"/>
          <w:kern w:val="2"/>
          <w:sz w:val="24"/>
          <w:szCs w:val="24"/>
          <w:highlight w:val="none"/>
          <w:lang w:val="en-US" w:eastAsia="zh-CN" w:bidi="ar-SA"/>
        </w:rPr>
        <w:t>项目工作进度安排，详细说明各阶段工作安排的时间和项目工作内容完成的时间，尽力让项目实施的时间进度与方案所计划的时间吻合；</w:t>
      </w:r>
    </w:p>
    <w:p w14:paraId="3E43AD1D">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239" w:leftChars="114" w:firstLine="0" w:firstLineChars="0"/>
        <w:jc w:val="left"/>
        <w:textAlignment w:val="baseline"/>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供货安装：</w:t>
      </w:r>
      <w:r>
        <w:rPr>
          <w:rFonts w:hint="eastAsia" w:ascii="宋体" w:hAnsi="宋体" w:eastAsia="宋体" w:cs="宋体"/>
          <w:b w:val="0"/>
          <w:bCs w:val="0"/>
          <w:i w:val="0"/>
          <w:caps w:val="0"/>
          <w:color w:val="auto"/>
          <w:spacing w:val="0"/>
          <w:w w:val="100"/>
          <w:kern w:val="2"/>
          <w:sz w:val="24"/>
          <w:szCs w:val="24"/>
          <w:highlight w:val="none"/>
          <w:lang w:val="en-US" w:eastAsia="zh-CN" w:bidi="ar-SA"/>
        </w:rPr>
        <w:t>供货的流程、安装流程应在方案中写明。（注：可提供流程图。）</w:t>
      </w:r>
    </w:p>
    <w:p w14:paraId="5131AFE5">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239" w:leftChars="114" w:firstLine="0" w:firstLineChars="0"/>
        <w:jc w:val="left"/>
        <w:textAlignment w:val="baseline"/>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项目安全措施：</w:t>
      </w:r>
    </w:p>
    <w:p w14:paraId="3DC71252">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（1）方针、目标；（2）安全管理机构；（3）安全措施；（4）安全教育等。</w:t>
      </w:r>
    </w:p>
    <w:p w14:paraId="474DF91B">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239" w:leftChars="114" w:firstLine="0" w:firstLineChars="0"/>
        <w:jc w:val="left"/>
        <w:textAlignment w:val="baseline"/>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应急处理：</w:t>
      </w:r>
      <w:r>
        <w:rPr>
          <w:rFonts w:hint="eastAsia" w:ascii="宋体" w:hAnsi="宋体" w:eastAsia="宋体" w:cs="宋体"/>
          <w:b w:val="0"/>
          <w:bCs w:val="0"/>
          <w:i w:val="0"/>
          <w:caps w:val="0"/>
          <w:color w:val="auto"/>
          <w:spacing w:val="0"/>
          <w:w w:val="100"/>
          <w:kern w:val="2"/>
          <w:sz w:val="24"/>
          <w:szCs w:val="24"/>
          <w:highlight w:val="none"/>
          <w:lang w:val="en-US" w:eastAsia="zh-CN" w:bidi="ar-SA"/>
        </w:rPr>
        <w:t>为保障设备的运行正常，加强对突发事件、紧急事件的控制，须供应商制定本项目的突发事件处置预案，写明面对突发事件的应急处理方法，包含：人员伤亡事故、发生火灾、突然停电等。建立完善的预防机制，指定专人负责，对潜在危险可能出现的紧急情况，制定相应的处理办法。</w:t>
      </w:r>
    </w:p>
    <w:p w14:paraId="50C21D71">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239" w:leftChars="114" w:firstLine="0" w:firstLineChars="0"/>
        <w:jc w:val="left"/>
        <w:textAlignment w:val="baseline"/>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培训方案：</w:t>
      </w:r>
      <w:r>
        <w:rPr>
          <w:rFonts w:hint="eastAsia" w:ascii="宋体" w:hAnsi="宋体" w:eastAsia="宋体" w:cs="宋体"/>
          <w:b w:val="0"/>
          <w:bCs w:val="0"/>
          <w:i w:val="0"/>
          <w:caps w:val="0"/>
          <w:color w:val="auto"/>
          <w:spacing w:val="0"/>
          <w:w w:val="100"/>
          <w:kern w:val="2"/>
          <w:sz w:val="24"/>
          <w:szCs w:val="24"/>
          <w:highlight w:val="none"/>
          <w:lang w:val="en-US" w:eastAsia="zh-CN" w:bidi="ar-SA"/>
        </w:rPr>
        <w:t>培训计划情况，应含详细合理的培训方案（包含：①培训时间；②培训地点；③培训产品基本原理、④操作使用和保养维修；⑤培训方式；培训方案中包含以上每项内容，且方案切实可行，满足采购方需求。针对本院实际情况指定培训计划，卖方应提供技术培训，保证使用人员正常操作设备的各种功能（厂家工程师驻场培训、网路在线培训）。在质保期内为采购人提供至少2人的培训服务，确保用户方至少2名操作人员可熟悉使用，供应商应保证在采购人指定交货地点对设备操作人员提供不少于 1 天的免费培训。培训配备受过专业培训的售后服务人员、技术支持人员及咨询服务、在任何时候、任何地点均可享受到终生的免费咨询服务。供应商投标时应提供详细的培训方案。培训教员的差旅费、食宿费、培训教材等费用，应计入投标报价， 随时排除所有设备故障进行明确的计划阐述，并对所有设备保修期过后维保进行阐述。</w:t>
      </w:r>
    </w:p>
    <w:p w14:paraId="5F22ACBD">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239" w:leftChars="114" w:firstLine="0" w:firstLineChars="0"/>
        <w:jc w:val="left"/>
        <w:textAlignment w:val="baseline"/>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供应商在制作实施方案及培训方案时可根据实际情况进行拓展（包括但不限于以上内容），本项目采购货物属于医疗设备，供应商能够在设备运输中保障设备的功能不被破坏，在发货前保证对货物的质量、规格、性能、数量和重量等进行准确而全面的检验，并出具一份产品检验合格证书。在项目供货安装时进行核对，本次购买设备如若发生设备不能正常运行，供应商必须在突发应急时给予响应，并在最快时间内快速高效的处理。</w:t>
      </w:r>
    </w:p>
    <w:p w14:paraId="3B59F3E9">
      <w:pPr>
        <w:keepNext/>
        <w:keepLines/>
        <w:pageBreakBefore w:val="0"/>
        <w:widowControl w:val="0"/>
        <w:numPr>
          <w:ilvl w:val="0"/>
          <w:numId w:val="0"/>
        </w:numPr>
        <w:kinsoku/>
        <w:wordWrap/>
        <w:overflowPunct/>
        <w:topLinePunct w:val="0"/>
        <w:autoSpaceDE w:val="0"/>
        <w:autoSpaceDN w:val="0"/>
        <w:bidi w:val="0"/>
        <w:adjustRightInd w:val="0"/>
        <w:spacing w:before="0" w:line="360" w:lineRule="exact"/>
        <w:jc w:val="left"/>
        <w:outlineLvl w:val="2"/>
        <w:rPr>
          <w:rFonts w:hint="eastAsia" w:ascii="宋体" w:hAnsi="宋体" w:eastAsia="宋体" w:cs="宋体"/>
          <w:b/>
          <w:color w:val="auto"/>
          <w:kern w:val="0"/>
          <w:sz w:val="28"/>
          <w:szCs w:val="28"/>
          <w:highlight w:val="none"/>
          <w:lang w:val="en-US" w:eastAsia="zh-CN" w:bidi="ar-SA"/>
        </w:rPr>
      </w:pPr>
      <w:bookmarkStart w:id="396" w:name="_Toc19257"/>
      <w:r>
        <w:rPr>
          <w:rFonts w:hint="eastAsia" w:ascii="宋体" w:hAnsi="宋体" w:eastAsia="宋体" w:cs="宋体"/>
          <w:b/>
          <w:color w:val="auto"/>
          <w:kern w:val="0"/>
          <w:sz w:val="28"/>
          <w:szCs w:val="28"/>
          <w:highlight w:val="none"/>
          <w:lang w:val="en-US" w:eastAsia="zh-CN" w:bidi="ar-SA"/>
        </w:rPr>
        <w:t>（六）验收</w:t>
      </w:r>
      <w:bookmarkEnd w:id="396"/>
    </w:p>
    <w:p w14:paraId="21600383">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（1）验收主体：</w:t>
      </w:r>
      <w:r>
        <w:rPr>
          <w:rFonts w:hint="eastAsia" w:ascii="宋体" w:hAnsi="宋体" w:cs="宋体"/>
          <w:b w:val="0"/>
          <w:i w:val="0"/>
          <w:caps w:val="0"/>
          <w:color w:val="auto"/>
          <w:spacing w:val="0"/>
          <w:w w:val="100"/>
          <w:kern w:val="2"/>
          <w:sz w:val="24"/>
          <w:szCs w:val="24"/>
          <w:highlight w:val="none"/>
          <w:lang w:val="en-US" w:eastAsia="zh-CN" w:bidi="ar-SA"/>
        </w:rPr>
        <w:t>泽普县人民医院</w:t>
      </w:r>
    </w:p>
    <w:p w14:paraId="6228330D">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（2）验收时间：送货安装调试完毕后。</w:t>
      </w:r>
    </w:p>
    <w:p w14:paraId="6817ADB3">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（3）验收方式：现场验收</w:t>
      </w:r>
    </w:p>
    <w:p w14:paraId="30F58F7E">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4）验收程序：货物包装应符合国家标准，以保证货物在运输过程中不受损伤。货物在运输或邮寄途中发生毁损或丢失，由乙方负责。在运输途中、交货前、卸货中发生人身伤害或货物受损的，由乙方负责承担。货物到达后，甲乙双方均须在场确认包装完好后，安装后由甲方验货，并对货物进行清点验收，共同签字确认。如验收不合格，一切损失由乙方自行承担。</w:t>
      </w:r>
    </w:p>
    <w:p w14:paraId="4A02BAB3">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（5）验收内容：采购清单内设备、装备数量进行验收。</w:t>
      </w:r>
    </w:p>
    <w:p w14:paraId="3EFA3039">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6）验收标准：严格按照采购合同开展履约验收。采购人或者采购代理机构应当成立验收小组，按照采购合同的约定对供应商履约情况进行验收。验收时，应当按照采购合同的约定对每一项技术、服务、安全标准的履约情况进行确认。验收结束后，应当出具验收书，列明各项标准的验收情况及项目总体评价，由验收双方共同签署。验收结果应当与采购合同约定的资金支付及履约保证金返还条件挂钩。履约验收的各项资料应当存档备查。</w:t>
      </w:r>
    </w:p>
    <w:p w14:paraId="45BB872E">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（7）强制检定、非强制检定设备验收之前，供应商负责找国家权威质量检测机构或第三方机构进行首次检定或校准，并提供检定或校准证书，费用由供应商承担。</w:t>
      </w:r>
    </w:p>
    <w:p w14:paraId="4FA2350E">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（8）设备验收时，采购单位可以委托招标代理机构邀请政采云专家库的相关专业正式专家参加验收工作，专家费用须由中标供应商承担。</w:t>
      </w:r>
    </w:p>
    <w:p w14:paraId="002C655F">
      <w:pPr>
        <w:keepNext/>
        <w:keepLines/>
        <w:pageBreakBefore w:val="0"/>
        <w:widowControl w:val="0"/>
        <w:numPr>
          <w:ilvl w:val="0"/>
          <w:numId w:val="0"/>
        </w:numPr>
        <w:kinsoku/>
        <w:wordWrap/>
        <w:overflowPunct/>
        <w:topLinePunct w:val="0"/>
        <w:autoSpaceDE w:val="0"/>
        <w:autoSpaceDN w:val="0"/>
        <w:bidi w:val="0"/>
        <w:adjustRightInd w:val="0"/>
        <w:spacing w:before="0" w:line="360" w:lineRule="exact"/>
        <w:jc w:val="left"/>
        <w:outlineLvl w:val="2"/>
        <w:rPr>
          <w:rFonts w:hint="eastAsia" w:ascii="宋体" w:hAnsi="宋体" w:eastAsia="宋体" w:cs="宋体"/>
          <w:b/>
          <w:color w:val="auto"/>
          <w:kern w:val="0"/>
          <w:sz w:val="28"/>
          <w:szCs w:val="28"/>
          <w:highlight w:val="none"/>
          <w:lang w:val="en-US" w:eastAsia="zh-CN" w:bidi="ar-SA"/>
        </w:rPr>
      </w:pPr>
      <w:bookmarkStart w:id="397" w:name="_Toc10190"/>
      <w:r>
        <w:rPr>
          <w:rFonts w:hint="eastAsia" w:ascii="宋体" w:hAnsi="宋体" w:eastAsia="宋体" w:cs="宋体"/>
          <w:b/>
          <w:color w:val="auto"/>
          <w:kern w:val="0"/>
          <w:sz w:val="28"/>
          <w:szCs w:val="28"/>
          <w:highlight w:val="none"/>
          <w:lang w:val="en-US" w:eastAsia="zh-CN" w:bidi="ar-SA"/>
        </w:rPr>
        <w:t>（七）其他要求</w:t>
      </w:r>
      <w:bookmarkEnd w:id="397"/>
    </w:p>
    <w:p w14:paraId="03DFE6E2">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（1）所有软件接口费由中标供应商承担（如有）。</w:t>
      </w:r>
    </w:p>
    <w:p w14:paraId="011109B9">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（2）为保证产品质量，投标文件内须提供产品彩页或使用说明书或原厂公开发表的证明文件或由国家权威质量检测机构或第三方机构出具的符合参数要求的完整的检测检验报告作为技术证明文件。</w:t>
      </w:r>
    </w:p>
    <w:p w14:paraId="6A9AA236">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（3）为了保障项目质量及售后服务要求，中标人不得再以任何方式转包和违法分包本项目，否则采购方有权终止合同,所有损失由该中标人承担。</w:t>
      </w:r>
    </w:p>
    <w:p w14:paraId="0BA65BE1">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（4）所有设备均应配备快速操作指南。</w:t>
      </w:r>
    </w:p>
    <w:p w14:paraId="1BEC9B54">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（5）其他未尽事宜由供需双方在采购合同中详细约定，最终解释权归泽普县人民医院所有。</w:t>
      </w:r>
    </w:p>
    <w:p w14:paraId="1E3714F0">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p>
    <w:p w14:paraId="33C78402">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p>
    <w:p w14:paraId="61A6746D">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p>
    <w:p w14:paraId="7CE53CAF">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p>
    <w:p w14:paraId="47DD69B3">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p>
    <w:p w14:paraId="16469669">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p>
    <w:p w14:paraId="290A1BC7">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p>
    <w:p w14:paraId="4F4367FD">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p>
    <w:p w14:paraId="127F09F9">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p>
    <w:p w14:paraId="625557B5">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p>
    <w:p w14:paraId="01887433">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p>
    <w:p w14:paraId="780278FE">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p>
    <w:p w14:paraId="1FFFF14E">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p>
    <w:p w14:paraId="64CD5054">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p>
    <w:p w14:paraId="17B9CAB4">
      <w:pPr>
        <w:pStyle w:val="2"/>
        <w:numPr>
          <w:ilvl w:val="0"/>
          <w:numId w:val="0"/>
        </w:numPr>
        <w:tabs>
          <w:tab w:val="left" w:pos="0"/>
        </w:tabs>
        <w:spacing w:before="0" w:after="0" w:line="240" w:lineRule="atLeast"/>
        <w:jc w:val="center"/>
        <w:rPr>
          <w:rFonts w:hint="eastAsia" w:ascii="宋体" w:hAnsi="宋体" w:eastAsia="宋体" w:cs="宋体"/>
          <w:color w:val="auto"/>
          <w:highlight w:val="none"/>
        </w:rPr>
      </w:pPr>
      <w:bookmarkStart w:id="398" w:name="_Toc32647"/>
      <w:bookmarkStart w:id="399" w:name="_Toc507399907"/>
      <w:bookmarkStart w:id="400" w:name="_Toc23331"/>
      <w:bookmarkStart w:id="401" w:name="_Toc515647832"/>
      <w:bookmarkStart w:id="402" w:name="_Toc7971"/>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第</w:t>
      </w:r>
      <w:r>
        <w:rPr>
          <w:rFonts w:hint="eastAsia" w:ascii="宋体" w:hAnsi="宋体" w:eastAsia="宋体" w:cs="宋体"/>
          <w:color w:val="auto"/>
          <w:highlight w:val="none"/>
          <w:lang w:val="en-US" w:eastAsia="zh-CN"/>
        </w:rPr>
        <w:t>6章</w:t>
      </w:r>
      <w:r>
        <w:rPr>
          <w:rFonts w:hint="eastAsia" w:ascii="宋体" w:hAnsi="宋体" w:eastAsia="宋体" w:cs="宋体"/>
          <w:color w:val="auto"/>
          <w:highlight w:val="none"/>
        </w:rPr>
        <w:t>评标方法和标准</w:t>
      </w:r>
      <w:bookmarkEnd w:id="398"/>
      <w:bookmarkEnd w:id="399"/>
      <w:bookmarkEnd w:id="400"/>
      <w:bookmarkEnd w:id="401"/>
      <w:bookmarkEnd w:id="402"/>
    </w:p>
    <w:p w14:paraId="7C5B63D5">
      <w:pPr>
        <w:pStyle w:val="10"/>
        <w:tabs>
          <w:tab w:val="clear" w:pos="567"/>
        </w:tabs>
        <w:spacing w:before="0" w:line="240" w:lineRule="atLeast"/>
        <w:ind w:firstLine="540" w:firstLineChars="225"/>
        <w:rPr>
          <w:rFonts w:hint="eastAsia" w:ascii="宋体" w:hAnsi="宋体" w:eastAsia="宋体" w:cs="宋体"/>
          <w:color w:val="auto"/>
          <w:highlight w:val="none"/>
        </w:rPr>
      </w:pPr>
    </w:p>
    <w:p w14:paraId="23F63D1B">
      <w:pPr>
        <w:pStyle w:val="10"/>
        <w:keepNext w:val="0"/>
        <w:keepLines w:val="0"/>
        <w:pageBreakBefore w:val="0"/>
        <w:numPr>
          <w:ilvl w:val="0"/>
          <w:numId w:val="0"/>
        </w:numPr>
        <w:tabs>
          <w:tab w:val="clear" w:pos="567"/>
        </w:tabs>
        <w:kinsoku/>
        <w:wordWrap/>
        <w:overflowPunct/>
        <w:topLinePunct w:val="0"/>
        <w:bidi w:val="0"/>
        <w:adjustRightInd/>
        <w:spacing w:before="0" w:line="400" w:lineRule="exact"/>
        <w:ind w:firstLine="480" w:firstLineChars="200"/>
        <w:jc w:val="lef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本项目将按照</w:t>
      </w:r>
      <w:r>
        <w:rPr>
          <w:rFonts w:hint="eastAsia" w:ascii="宋体" w:hAnsi="宋体" w:eastAsia="宋体" w:cs="宋体"/>
          <w:b w:val="0"/>
          <w:bCs w:val="0"/>
          <w:color w:val="auto"/>
          <w:highlight w:val="none"/>
          <w:lang w:eastAsia="zh-CN"/>
        </w:rPr>
        <w:t>招标文件</w:t>
      </w:r>
      <w:r>
        <w:rPr>
          <w:rFonts w:hint="eastAsia" w:ascii="宋体" w:hAnsi="宋体" w:eastAsia="宋体" w:cs="宋体"/>
          <w:b w:val="0"/>
          <w:bCs w:val="0"/>
          <w:color w:val="auto"/>
          <w:highlight w:val="none"/>
        </w:rPr>
        <w:t xml:space="preserve">第一章供应商须知中“五 </w:t>
      </w:r>
      <w:r>
        <w:rPr>
          <w:rFonts w:hint="eastAsia" w:ascii="宋体" w:hAnsi="宋体" w:eastAsia="宋体" w:cs="宋体"/>
          <w:b w:val="0"/>
          <w:bCs w:val="0"/>
          <w:color w:val="auto"/>
          <w:highlight w:val="none"/>
          <w:lang w:val="en-US" w:eastAsia="zh-CN"/>
        </w:rPr>
        <w:t>招标</w:t>
      </w:r>
      <w:r>
        <w:rPr>
          <w:rFonts w:hint="eastAsia" w:ascii="宋体" w:hAnsi="宋体" w:eastAsia="宋体" w:cs="宋体"/>
          <w:b w:val="0"/>
          <w:bCs w:val="0"/>
          <w:color w:val="auto"/>
          <w:highlight w:val="none"/>
        </w:rPr>
        <w:t>开启及评审”、“六 确定</w:t>
      </w:r>
      <w:r>
        <w:rPr>
          <w:rFonts w:hint="eastAsia" w:ascii="宋体" w:hAnsi="宋体" w:eastAsia="宋体" w:cs="宋体"/>
          <w:b w:val="0"/>
          <w:bCs w:val="0"/>
          <w:color w:val="auto"/>
          <w:highlight w:val="none"/>
          <w:lang w:eastAsia="zh-CN"/>
        </w:rPr>
        <w:t>中标</w:t>
      </w:r>
      <w:r>
        <w:rPr>
          <w:rFonts w:hint="eastAsia" w:ascii="宋体" w:hAnsi="宋体" w:eastAsia="宋体" w:cs="宋体"/>
          <w:b w:val="0"/>
          <w:bCs w:val="0"/>
          <w:color w:val="auto"/>
          <w:highlight w:val="none"/>
        </w:rPr>
        <w:t>”及本章的规定评标。</w:t>
      </w:r>
    </w:p>
    <w:p w14:paraId="3893F5A0">
      <w:pPr>
        <w:keepNext w:val="0"/>
        <w:keepLines w:val="0"/>
        <w:pageBreakBefore w:val="0"/>
        <w:numPr>
          <w:ilvl w:val="0"/>
          <w:numId w:val="0"/>
        </w:numPr>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i w:val="0"/>
          <w:caps w:val="0"/>
          <w:color w:val="auto"/>
          <w:spacing w:val="0"/>
          <w:kern w:val="0"/>
          <w:sz w:val="24"/>
          <w:szCs w:val="24"/>
          <w:highlight w:val="none"/>
          <w:lang w:val="en-US" w:eastAsia="zh-CN" w:bidi="ar"/>
        </w:rPr>
        <w:t>项目基本情况</w:t>
      </w:r>
    </w:p>
    <w:p w14:paraId="120DBEAC">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项目名称：</w:t>
      </w:r>
      <w:r>
        <w:rPr>
          <w:rFonts w:hint="eastAsia" w:ascii="宋体" w:hAnsi="宋体" w:cs="宋体"/>
          <w:color w:val="auto"/>
          <w:sz w:val="24"/>
          <w:highlight w:val="none"/>
          <w:lang w:val="en-US" w:eastAsia="zh-CN"/>
        </w:rPr>
        <w:t>喀什地区泽普县紧密型县域医共体资源共享中心、中心药房及次中心建设项目一标段</w:t>
      </w:r>
      <w:r>
        <w:rPr>
          <w:rFonts w:hint="eastAsia" w:ascii="宋体" w:hAnsi="宋体" w:eastAsia="宋体" w:cs="宋体"/>
          <w:color w:val="auto"/>
          <w:sz w:val="24"/>
          <w:highlight w:val="none"/>
          <w:lang w:val="en-US" w:eastAsia="zh-CN"/>
        </w:rPr>
        <w:t xml:space="preserve">        </w:t>
      </w:r>
    </w:p>
    <w:p w14:paraId="67A352BC">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地点：</w:t>
      </w:r>
      <w:r>
        <w:rPr>
          <w:rFonts w:hint="eastAsia" w:ascii="宋体" w:hAnsi="宋体" w:eastAsia="宋体" w:cs="宋体"/>
          <w:color w:val="auto"/>
          <w:sz w:val="24"/>
          <w:highlight w:val="none"/>
          <w:lang w:val="en-US" w:eastAsia="zh-CN"/>
        </w:rPr>
        <w:t>https://www.zcygov.cn在线投标</w:t>
      </w:r>
    </w:p>
    <w:p w14:paraId="4E15227C">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采购方式：公开招标</w:t>
      </w:r>
    </w:p>
    <w:p w14:paraId="77122C78">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评标办法：综合评分法</w:t>
      </w:r>
    </w:p>
    <w:p w14:paraId="5930BF9F">
      <w:pPr>
        <w:keepNext w:val="0"/>
        <w:keepLines w:val="0"/>
        <w:pageBreakBefore w:val="0"/>
        <w:numPr>
          <w:ilvl w:val="0"/>
          <w:numId w:val="0"/>
        </w:numPr>
        <w:kinsoku/>
        <w:wordWrap/>
        <w:overflowPunct/>
        <w:topLinePunct w:val="0"/>
        <w:bidi w:val="0"/>
        <w:adjustRightInd/>
        <w:spacing w:line="400" w:lineRule="exact"/>
        <w:ind w:leftChars="0"/>
        <w:textAlignment w:val="auto"/>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是指投标文件满足招标文件全部实质性要求且按评审因素的量化指标评审得分最高的供应商为中标候选单位的评审方法。</w:t>
      </w:r>
    </w:p>
    <w:p w14:paraId="6BB99395">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拒绝接收投标文件的情形</w:t>
      </w:r>
    </w:p>
    <w:p w14:paraId="52CB34F0">
      <w:pPr>
        <w:keepNext w:val="0"/>
        <w:keepLines w:val="0"/>
        <w:pageBreakBefore w:val="0"/>
        <w:kinsoku/>
        <w:wordWrap/>
        <w:overflowPunct/>
        <w:topLinePunct w:val="0"/>
        <w:bidi w:val="0"/>
        <w:adjustRightInd/>
        <w:spacing w:line="400" w:lineRule="exact"/>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在递交</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截止时间后</w:t>
      </w:r>
      <w:r>
        <w:rPr>
          <w:rFonts w:hint="eastAsia" w:ascii="宋体" w:hAnsi="宋体" w:eastAsia="宋体" w:cs="宋体"/>
          <w:b w:val="0"/>
          <w:bCs w:val="0"/>
          <w:color w:val="auto"/>
          <w:sz w:val="24"/>
          <w:szCs w:val="24"/>
          <w:highlight w:val="none"/>
          <w:lang w:val="en-US" w:eastAsia="zh-CN"/>
        </w:rPr>
        <w:t>上传</w:t>
      </w:r>
      <w:r>
        <w:rPr>
          <w:rFonts w:hint="eastAsia" w:ascii="宋体" w:hAnsi="宋体" w:eastAsia="宋体" w:cs="宋体"/>
          <w:b w:val="0"/>
          <w:bCs w:val="0"/>
          <w:color w:val="auto"/>
          <w:sz w:val="24"/>
          <w:szCs w:val="24"/>
          <w:highlight w:val="none"/>
        </w:rPr>
        <w:t>的</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的，采购人和采购代理机构将拒绝</w:t>
      </w:r>
      <w:r>
        <w:rPr>
          <w:rFonts w:hint="eastAsia" w:ascii="宋体" w:hAnsi="宋体" w:eastAsia="宋体" w:cs="宋体"/>
          <w:b w:val="0"/>
          <w:bCs w:val="0"/>
          <w:color w:val="auto"/>
          <w:sz w:val="24"/>
          <w:szCs w:val="24"/>
          <w:highlight w:val="none"/>
          <w:lang w:val="en-US" w:eastAsia="zh-CN"/>
        </w:rPr>
        <w:t>签</w:t>
      </w:r>
      <w:r>
        <w:rPr>
          <w:rFonts w:hint="eastAsia" w:ascii="宋体" w:hAnsi="宋体" w:eastAsia="宋体" w:cs="宋体"/>
          <w:b w:val="0"/>
          <w:bCs w:val="0"/>
          <w:color w:val="auto"/>
          <w:sz w:val="24"/>
          <w:szCs w:val="24"/>
          <w:highlight w:val="none"/>
        </w:rPr>
        <w:t>收。</w:t>
      </w:r>
    </w:p>
    <w:p w14:paraId="559A319D">
      <w:pPr>
        <w:keepNext w:val="0"/>
        <w:keepLines w:val="0"/>
        <w:pageBreakBefore w:val="0"/>
        <w:numPr>
          <w:ilvl w:val="0"/>
          <w:numId w:val="0"/>
        </w:numPr>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三、不得开启投标文件的情形</w:t>
      </w:r>
    </w:p>
    <w:p w14:paraId="59D869C2">
      <w:pPr>
        <w:keepNext w:val="0"/>
        <w:keepLines w:val="0"/>
        <w:pageBreakBefore w:val="0"/>
        <w:numPr>
          <w:ilvl w:val="0"/>
          <w:numId w:val="0"/>
        </w:numPr>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sz w:val="24"/>
          <w:szCs w:val="24"/>
          <w:highlight w:val="none"/>
        </w:rPr>
        <w:t>供应商不足3家的，不得开启</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w:t>
      </w:r>
    </w:p>
    <w:p w14:paraId="2CABFE8F">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四</w:t>
      </w:r>
      <w:r>
        <w:rPr>
          <w:rFonts w:hint="eastAsia" w:ascii="宋体" w:hAnsi="宋体" w:eastAsia="宋体" w:cs="宋体"/>
          <w:b/>
          <w:bCs/>
          <w:color w:val="auto"/>
          <w:highlight w:val="none"/>
        </w:rPr>
        <w:t>.</w:t>
      </w:r>
      <w:r>
        <w:rPr>
          <w:rFonts w:hint="eastAsia" w:ascii="宋体" w:hAnsi="宋体" w:eastAsia="宋体" w:cs="宋体"/>
          <w:b/>
          <w:bCs/>
          <w:color w:val="auto"/>
          <w:sz w:val="24"/>
          <w:szCs w:val="24"/>
          <w:highlight w:val="none"/>
          <w:lang w:val="en-US" w:eastAsia="zh-CN"/>
        </w:rPr>
        <w:t>投标文件</w:t>
      </w:r>
      <w:r>
        <w:rPr>
          <w:rFonts w:hint="eastAsia" w:ascii="宋体" w:hAnsi="宋体" w:eastAsia="宋体" w:cs="宋体"/>
          <w:b/>
          <w:bCs/>
          <w:color w:val="auto"/>
          <w:highlight w:val="none"/>
        </w:rPr>
        <w:t>无效的情形：</w:t>
      </w:r>
    </w:p>
    <w:p w14:paraId="7A8068FB">
      <w:pPr>
        <w:keepNext w:val="0"/>
        <w:keepLines w:val="0"/>
        <w:pageBreakBefore w:val="0"/>
        <w:widowControl w:val="0"/>
        <w:numPr>
          <w:ilvl w:val="0"/>
          <w:numId w:val="0"/>
        </w:numPr>
        <w:kinsoku/>
        <w:wordWrap/>
        <w:overflowPunct/>
        <w:topLinePunct w:val="0"/>
        <w:bidi w:val="0"/>
        <w:adjustRightInd/>
        <w:snapToGrid/>
        <w:spacing w:line="400" w:lineRule="exact"/>
        <w:ind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采购代理机构将递交</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截止</w:t>
      </w:r>
      <w:r>
        <w:rPr>
          <w:rFonts w:hint="eastAsia" w:ascii="宋体" w:hAnsi="宋体" w:eastAsia="宋体" w:cs="宋体"/>
          <w:b w:val="0"/>
          <w:bCs w:val="0"/>
          <w:color w:val="auto"/>
          <w:sz w:val="24"/>
          <w:szCs w:val="24"/>
          <w:highlight w:val="none"/>
          <w:lang w:eastAsia="zh-CN"/>
        </w:rPr>
        <w:t>前</w:t>
      </w:r>
      <w:r>
        <w:rPr>
          <w:rFonts w:hint="eastAsia" w:ascii="宋体" w:hAnsi="宋体" w:eastAsia="宋体" w:cs="宋体"/>
          <w:b w:val="0"/>
          <w:bCs w:val="0"/>
          <w:color w:val="auto"/>
          <w:sz w:val="24"/>
          <w:szCs w:val="24"/>
          <w:highlight w:val="none"/>
        </w:rPr>
        <w:t>查询</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的信用记录。</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存在不良信用记录的，其</w:t>
      </w: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rPr>
        <w:t>资格将被认定为无效。</w:t>
      </w:r>
    </w:p>
    <w:p w14:paraId="212ED4EB">
      <w:pPr>
        <w:pStyle w:val="42"/>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如采购人所采购产品为政府强制采购的节能产品，供应商所投产品的品牌及型号必须为清单中有效期内产品并提供证明文件，否则其</w:t>
      </w:r>
      <w:r>
        <w:rPr>
          <w:rFonts w:hint="eastAsia" w:ascii="宋体" w:hAnsi="宋体" w:eastAsia="宋体" w:cs="宋体"/>
          <w:b w:val="0"/>
          <w:bCs w:val="0"/>
          <w:color w:val="auto"/>
          <w:sz w:val="24"/>
          <w:szCs w:val="24"/>
          <w:highlight w:val="none"/>
          <w:lang w:eastAsia="zh-CN"/>
        </w:rPr>
        <w:t>投标资格</w:t>
      </w:r>
      <w:r>
        <w:rPr>
          <w:rFonts w:hint="eastAsia" w:ascii="宋体" w:hAnsi="宋体" w:eastAsia="宋体" w:cs="宋体"/>
          <w:b w:val="0"/>
          <w:bCs w:val="0"/>
          <w:color w:val="auto"/>
          <w:sz w:val="24"/>
          <w:szCs w:val="24"/>
          <w:highlight w:val="none"/>
        </w:rPr>
        <w:t>将被认定为无效。</w:t>
      </w:r>
    </w:p>
    <w:p w14:paraId="0911AA73">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在比较与评价之前，根据本须知的规定，</w:t>
      </w:r>
      <w:r>
        <w:rPr>
          <w:rFonts w:hint="eastAsia" w:ascii="宋体" w:hAnsi="宋体" w:eastAsia="宋体" w:cs="宋体"/>
          <w:b w:val="0"/>
          <w:bCs w:val="0"/>
          <w:color w:val="auto"/>
          <w:sz w:val="24"/>
          <w:szCs w:val="24"/>
          <w:highlight w:val="none"/>
          <w:lang w:eastAsia="zh-CN"/>
        </w:rPr>
        <w:t>评审委员会</w:t>
      </w:r>
      <w:r>
        <w:rPr>
          <w:rFonts w:hint="eastAsia" w:ascii="宋体" w:hAnsi="宋体" w:eastAsia="宋体" w:cs="宋体"/>
          <w:b w:val="0"/>
          <w:bCs w:val="0"/>
          <w:color w:val="auto"/>
          <w:sz w:val="24"/>
          <w:szCs w:val="24"/>
          <w:highlight w:val="none"/>
        </w:rPr>
        <w:t>要审查每份</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是否实质上响应了</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的要求。实质上响应的</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应该是与</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要求的全部条款、条件和规格相符，没有重大偏离的</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。对关键条款的偏离，将被认定为无效。供应商不得通过修正或撤销不符合要求的偏离，从而使其</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成为实质上响应的</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w:t>
      </w:r>
    </w:p>
    <w:p w14:paraId="5E88662A">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未按</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规定的形式和金额提交</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保证金的；</w:t>
      </w:r>
    </w:p>
    <w:p w14:paraId="1080CB1F">
      <w:pPr>
        <w:keepNext w:val="0"/>
        <w:keepLines w:val="0"/>
        <w:pageBreakBefore w:val="0"/>
        <w:tabs>
          <w:tab w:val="left" w:pos="817"/>
        </w:tabs>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未按照</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规定要求签署、盖章的；</w:t>
      </w:r>
    </w:p>
    <w:p w14:paraId="2F79CA21">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未满足</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中技术条款的实质性要求；</w:t>
      </w:r>
    </w:p>
    <w:p w14:paraId="7E01D6D6">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与其他供应商串通参加</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，或者与采购人串通参加</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w:t>
      </w:r>
    </w:p>
    <w:p w14:paraId="49D0C2EE">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属于</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规定的其他无效情形；</w:t>
      </w:r>
    </w:p>
    <w:p w14:paraId="5C5EB9B2">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eastAsia="zh-CN"/>
        </w:rPr>
        <w:t>评审委员会</w:t>
      </w:r>
      <w:r>
        <w:rPr>
          <w:rFonts w:hint="eastAsia" w:ascii="宋体" w:hAnsi="宋体" w:eastAsia="宋体" w:cs="宋体"/>
          <w:b w:val="0"/>
          <w:bCs w:val="0"/>
          <w:color w:val="auto"/>
          <w:sz w:val="24"/>
          <w:szCs w:val="24"/>
          <w:highlight w:val="none"/>
        </w:rPr>
        <w:t>认为供应商的报价明显低于其他通过符合性检查供应商的报价，有可能影响履约的，且供应商未按照规定证明其报价合理性的；</w:t>
      </w:r>
    </w:p>
    <w:p w14:paraId="1FDFC08D">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含有采购人不能接受的附加条件的；</w:t>
      </w:r>
    </w:p>
    <w:p w14:paraId="70E87297">
      <w:pPr>
        <w:keepNext w:val="0"/>
        <w:keepLines w:val="0"/>
        <w:pageBreakBefore w:val="0"/>
        <w:tabs>
          <w:tab w:val="left" w:pos="0"/>
        </w:tabs>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不符合法规和</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中规定的其他实质性要求的。</w:t>
      </w:r>
    </w:p>
    <w:p w14:paraId="381CC88C">
      <w:pPr>
        <w:pStyle w:val="42"/>
        <w:keepNext w:val="0"/>
        <w:keepLines w:val="0"/>
        <w:pageBreakBefore w:val="0"/>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五、投标文件的开启</w:t>
      </w:r>
    </w:p>
    <w:p w14:paraId="05345638">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开标</w:t>
      </w:r>
    </w:p>
    <w:p w14:paraId="06AEB439">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开标在招标文件确定的提交投标文件截止时间后进行。开标由采购代理主持,供应商采用电子投标的供应商应委派代表参加电子投标会议。</w:t>
      </w:r>
    </w:p>
    <w:p w14:paraId="6983C466">
      <w:pPr>
        <w:pStyle w:val="15"/>
        <w:keepNext w:val="0"/>
        <w:keepLines w:val="0"/>
        <w:pageBreakBefore w:val="0"/>
        <w:numPr>
          <w:ilvl w:val="0"/>
          <w:numId w:val="0"/>
        </w:numPr>
        <w:kinsoku/>
        <w:wordWrap/>
        <w:overflowPunct/>
        <w:topLinePunct w:val="0"/>
        <w:bidi w:val="0"/>
        <w:adjustRightInd/>
        <w:snapToGrid w:val="0"/>
        <w:spacing w:line="400" w:lineRule="exact"/>
        <w:ind w:firstLine="466" w:firstLineChars="200"/>
        <w:textAlignment w:val="auto"/>
        <w:rPr>
          <w:rFonts w:hint="eastAsia" w:ascii="宋体" w:hAnsi="宋体" w:eastAsia="宋体" w:cs="宋体"/>
          <w:b/>
          <w:bCs/>
          <w:color w:val="auto"/>
          <w:spacing w:val="-4"/>
          <w:sz w:val="24"/>
          <w:szCs w:val="24"/>
          <w:highlight w:val="none"/>
          <w:lang w:val="en-US" w:eastAsia="zh-CN"/>
        </w:rPr>
      </w:pPr>
      <w:r>
        <w:rPr>
          <w:rFonts w:hint="eastAsia" w:ascii="宋体" w:hAnsi="宋体" w:eastAsia="宋体" w:cs="宋体"/>
          <w:b/>
          <w:bCs/>
          <w:color w:val="auto"/>
          <w:spacing w:val="-4"/>
          <w:sz w:val="24"/>
          <w:szCs w:val="24"/>
          <w:highlight w:val="none"/>
          <w:lang w:val="en-US" w:eastAsia="zh-CN"/>
        </w:rPr>
        <w:t>六、项目评审专家：</w:t>
      </w:r>
    </w:p>
    <w:p w14:paraId="2488E7E0">
      <w:pPr>
        <w:pStyle w:val="15"/>
        <w:keepNext w:val="0"/>
        <w:keepLines w:val="0"/>
        <w:pageBreakBefore w:val="0"/>
        <w:numPr>
          <w:ilvl w:val="0"/>
          <w:numId w:val="0"/>
        </w:numPr>
        <w:kinsoku/>
        <w:wordWrap/>
        <w:overflowPunct/>
        <w:topLinePunct w:val="0"/>
        <w:bidi w:val="0"/>
        <w:adjustRightInd/>
        <w:snapToGrid w:val="0"/>
        <w:spacing w:line="400" w:lineRule="exact"/>
        <w:ind w:firstLine="464" w:firstLineChars="200"/>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按照《中华人民共和国政府采购法》、《中华人民共和国政府采购法实施条例》、</w:t>
      </w:r>
      <w:r>
        <w:rPr>
          <w:rFonts w:hint="eastAsia" w:ascii="宋体" w:hAnsi="宋体" w:eastAsia="宋体" w:cs="宋体"/>
          <w:color w:val="auto"/>
          <w:sz w:val="24"/>
          <w:highlight w:val="none"/>
          <w:lang w:eastAsia="zh-CN"/>
        </w:rPr>
        <w:t>《政府采购竞争性投标采购方式管理暂行办法》</w:t>
      </w:r>
      <w:r>
        <w:rPr>
          <w:rFonts w:hint="eastAsia" w:ascii="宋体" w:hAnsi="宋体" w:eastAsia="宋体" w:cs="宋体"/>
          <w:b w:val="0"/>
          <w:bCs w:val="0"/>
          <w:color w:val="auto"/>
          <w:spacing w:val="-4"/>
          <w:sz w:val="24"/>
          <w:szCs w:val="24"/>
          <w:highlight w:val="none"/>
          <w:lang w:val="en-US" w:eastAsia="zh-CN"/>
        </w:rPr>
        <w:t>及本项目本级和上级财政部门的有关规定依法</w:t>
      </w:r>
      <w:r>
        <w:rPr>
          <w:rFonts w:hint="eastAsia" w:ascii="宋体" w:hAnsi="宋体" w:eastAsia="宋体" w:cs="宋体"/>
          <w:color w:val="auto"/>
          <w:sz w:val="24"/>
          <w:highlight w:val="none"/>
          <w:lang w:val="en-US" w:eastAsia="zh-CN"/>
        </w:rPr>
        <w:t>组建的评审小组，负责评审工作；本项目评审专家由</w:t>
      </w:r>
      <w:r>
        <w:rPr>
          <w:rFonts w:hint="eastAsia" w:hAnsi="宋体" w:cs="宋体"/>
          <w:color w:val="auto"/>
          <w:sz w:val="24"/>
          <w:highlight w:val="none"/>
          <w:lang w:val="en-US" w:eastAsia="zh-CN"/>
        </w:rPr>
        <w:t>5</w:t>
      </w:r>
      <w:r>
        <w:rPr>
          <w:rFonts w:hint="eastAsia" w:ascii="宋体" w:hAnsi="宋体" w:eastAsia="宋体" w:cs="宋体"/>
          <w:color w:val="auto"/>
          <w:sz w:val="24"/>
          <w:highlight w:val="none"/>
          <w:lang w:val="en-US" w:eastAsia="zh-CN"/>
        </w:rPr>
        <w:t>人组成（</w:t>
      </w:r>
      <w:r>
        <w:rPr>
          <w:rFonts w:hint="eastAsia" w:hAnsi="宋体" w:cs="宋体"/>
          <w:color w:val="auto"/>
          <w:sz w:val="24"/>
          <w:highlight w:val="none"/>
          <w:lang w:val="en-US" w:eastAsia="zh-CN"/>
        </w:rPr>
        <w:t>其中业主代表一名，</w:t>
      </w:r>
      <w:r>
        <w:rPr>
          <w:rFonts w:hint="eastAsia" w:ascii="宋体" w:hAnsi="宋体" w:eastAsia="宋体" w:cs="宋体"/>
          <w:color w:val="auto"/>
          <w:sz w:val="24"/>
          <w:highlight w:val="none"/>
          <w:lang w:val="en-US" w:eastAsia="zh-CN"/>
        </w:rPr>
        <w:t>政采云随机抽取专家</w:t>
      </w:r>
      <w:r>
        <w:rPr>
          <w:rFonts w:hint="eastAsia" w:hAnsi="宋体" w:cs="宋体"/>
          <w:color w:val="auto"/>
          <w:sz w:val="24"/>
          <w:highlight w:val="none"/>
          <w:lang w:val="en-US" w:eastAsia="zh-CN"/>
        </w:rPr>
        <w:t>4</w:t>
      </w:r>
      <w:r>
        <w:rPr>
          <w:rFonts w:hint="eastAsia" w:ascii="宋体" w:hAnsi="宋体" w:eastAsia="宋体" w:cs="宋体"/>
          <w:color w:val="auto"/>
          <w:sz w:val="24"/>
          <w:highlight w:val="none"/>
          <w:lang w:val="en-US" w:eastAsia="zh-CN"/>
        </w:rPr>
        <w:t>名）。</w:t>
      </w:r>
    </w:p>
    <w:p w14:paraId="74407CAF">
      <w:pPr>
        <w:pStyle w:val="15"/>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评审专家要求：</w:t>
      </w:r>
    </w:p>
    <w:p w14:paraId="70FB9BC8">
      <w:pPr>
        <w:pStyle w:val="15"/>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1.组织评标委员会推选评标组长，采购人代表不得担任组长；</w:t>
      </w:r>
    </w:p>
    <w:p w14:paraId="01333771">
      <w:pPr>
        <w:pStyle w:val="15"/>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pacing w:val="-4"/>
          <w:sz w:val="24"/>
          <w:szCs w:val="24"/>
          <w:highlight w:val="none"/>
          <w:lang w:val="en-US" w:eastAsia="zh-CN"/>
        </w:rPr>
        <w:t>　　2.在评标期间采取必要的通讯管理措施，保证评标活动不受外界干扰，将手机关闭或调成静音交友现场项目监督人员统一保管；</w:t>
      </w:r>
    </w:p>
    <w:p w14:paraId="7F5E0C10">
      <w:pPr>
        <w:pStyle w:val="15"/>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3.审查、评价投标文件是否符合招标文件的商务、技术等实质性要求；</w:t>
      </w:r>
    </w:p>
    <w:p w14:paraId="0673E736">
      <w:pPr>
        <w:pStyle w:val="15"/>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4.要求投标人对投标文件有关事项作出澄清或者说明；</w:t>
      </w:r>
    </w:p>
    <w:p w14:paraId="36E17106">
      <w:pPr>
        <w:pStyle w:val="15"/>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5.对投标文件进行比较和评价；</w:t>
      </w:r>
    </w:p>
    <w:p w14:paraId="5E85B9E4">
      <w:pPr>
        <w:pStyle w:val="15"/>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6.确定中标候选人名单，以及根据采购人委托直接确定中标人；</w:t>
      </w:r>
    </w:p>
    <w:p w14:paraId="6F7F5A70">
      <w:pPr>
        <w:pStyle w:val="15"/>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7.向采购人、采购代理机构或者有关部门报告评标中发现的违法行为。</w:t>
      </w:r>
    </w:p>
    <w:p w14:paraId="62D925C7">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七、</w:t>
      </w:r>
      <w:r>
        <w:rPr>
          <w:rFonts w:hint="eastAsia" w:ascii="宋体" w:hAnsi="宋体" w:eastAsia="宋体" w:cs="宋体"/>
          <w:b/>
          <w:bCs/>
          <w:color w:val="auto"/>
          <w:highlight w:val="none"/>
        </w:rPr>
        <w:t>评标</w:t>
      </w:r>
    </w:p>
    <w:p w14:paraId="34C39EE8">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1、评标的依据为招标文件和投标文件；</w:t>
      </w:r>
    </w:p>
    <w:p w14:paraId="4DE5E3A3">
      <w:pPr>
        <w:pStyle w:val="15"/>
        <w:keepNext w:val="0"/>
        <w:keepLines w:val="0"/>
        <w:pageBreakBefore w:val="0"/>
        <w:numPr>
          <w:ilvl w:val="0"/>
          <w:numId w:val="0"/>
        </w:numPr>
        <w:kinsoku/>
        <w:wordWrap/>
        <w:overflowPunct/>
        <w:topLinePunct w:val="0"/>
        <w:bidi w:val="0"/>
        <w:adjustRightInd/>
        <w:snapToGrid w:val="0"/>
        <w:spacing w:line="400" w:lineRule="exact"/>
        <w:ind w:firstLine="464" w:firstLineChars="200"/>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2、本项目采用综合评分法：总分100分，其中报价分值30分，商务及技术部分得分70分。</w:t>
      </w:r>
    </w:p>
    <w:p w14:paraId="63E3E774">
      <w:pPr>
        <w:pStyle w:val="15"/>
        <w:keepNext w:val="0"/>
        <w:keepLines w:val="0"/>
        <w:pageBreakBefore w:val="0"/>
        <w:numPr>
          <w:ilvl w:val="0"/>
          <w:numId w:val="0"/>
        </w:numPr>
        <w:kinsoku/>
        <w:wordWrap/>
        <w:overflowPunct/>
        <w:topLinePunct w:val="0"/>
        <w:bidi w:val="0"/>
        <w:adjustRightInd/>
        <w:snapToGrid w:val="0"/>
        <w:spacing w:line="400" w:lineRule="exact"/>
        <w:ind w:firstLine="464"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pacing w:val="-4"/>
          <w:sz w:val="24"/>
          <w:szCs w:val="24"/>
          <w:highlight w:val="none"/>
          <w:lang w:val="en-US" w:eastAsia="zh-CN"/>
        </w:rPr>
        <w:t>3、评审委员会成员到齐</w:t>
      </w:r>
      <w:r>
        <w:rPr>
          <w:rFonts w:hint="eastAsia" w:ascii="宋体" w:hAnsi="宋体" w:eastAsia="宋体" w:cs="宋体"/>
          <w:b w:val="0"/>
          <w:bCs w:val="0"/>
          <w:color w:val="auto"/>
          <w:highlight w:val="none"/>
          <w:lang w:val="en-US" w:eastAsia="zh-CN"/>
        </w:rPr>
        <w:t>后，推选评审委员会组长。依据招标文件和投标文件进行认真查阅。审查响文件是否完整，是否有计算错误，要求的投标保证金是否提供，文件是否恰当地签署；</w:t>
      </w:r>
    </w:p>
    <w:p w14:paraId="7DB5143B">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4、在对投标文件进行详细评估前，依据投标方提供的资格证明文件审查投标方的财务、技术和服务能力。如果确定投标方无资格履行合同，其投标将被拒绝；</w:t>
      </w:r>
    </w:p>
    <w:p w14:paraId="2413CA69">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5、评审委员会将确定每一供应商是否对招标文件的要求做出了实质性的响应，而没有重大偏离。实质性响应的响应是指投标符合招标文件的所有条款、条件和规定且没有重大偏离或保留。重大偏离或保留系指影响到招标文件规定的供货范围、服务和性能，或限制了买方的权利和投标方的义务的规定，而纠正这些偏离将影响到其他提交实质性投标的投标方的公平竞争地位。</w:t>
      </w:r>
    </w:p>
    <w:p w14:paraId="75D8BA94">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对投标文件的评估和比较：</w:t>
      </w:r>
    </w:p>
    <w:p w14:paraId="728F797A">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初步评审</w:t>
      </w:r>
    </w:p>
    <w:p w14:paraId="194AECDB">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eastAsia="宋体" w:cs="宋体"/>
          <w:b/>
          <w:bCs/>
          <w:color w:val="auto"/>
          <w:highlight w:val="none"/>
          <w:lang w:val="en-US" w:eastAsia="zh-CN"/>
        </w:rPr>
        <w:t>1、</w:t>
      </w:r>
      <w:r>
        <w:rPr>
          <w:rFonts w:hint="eastAsia" w:ascii="宋体" w:hAnsi="宋体" w:eastAsia="宋体" w:cs="宋体"/>
          <w:b/>
          <w:bCs/>
          <w:color w:val="auto"/>
          <w:highlight w:val="none"/>
          <w:lang w:val="en-US" w:eastAsia="zh-CN"/>
        </w:rPr>
        <w:t>资格性检查</w:t>
      </w:r>
    </w:p>
    <w:p w14:paraId="19007D5D">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依据法律法规和招标文件的规定，</w:t>
      </w:r>
      <w:r>
        <w:rPr>
          <w:rFonts w:hint="eastAsia" w:eastAsia="宋体" w:cs="宋体"/>
          <w:b w:val="0"/>
          <w:bCs w:val="0"/>
          <w:color w:val="auto"/>
          <w:highlight w:val="none"/>
          <w:lang w:val="en-US" w:eastAsia="zh-CN"/>
        </w:rPr>
        <w:t>资格审查小组</w:t>
      </w:r>
      <w:r>
        <w:rPr>
          <w:rFonts w:hint="eastAsia" w:ascii="宋体" w:hAnsi="宋体" w:eastAsia="宋体" w:cs="宋体"/>
          <w:b w:val="0"/>
          <w:bCs w:val="0"/>
          <w:color w:val="auto"/>
          <w:highlight w:val="none"/>
          <w:lang w:val="en-US" w:eastAsia="zh-CN"/>
        </w:rPr>
        <w:t>对投标文件中的资格证明进行审查，以确定投标人是否具备投标资格。</w:t>
      </w:r>
    </w:p>
    <w:p w14:paraId="72D59B15">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eastAsia="宋体" w:cs="宋体"/>
          <w:b/>
          <w:bCs/>
          <w:color w:val="auto"/>
          <w:highlight w:val="none"/>
          <w:lang w:val="en-US" w:eastAsia="zh-CN"/>
        </w:rPr>
        <w:t>2、</w:t>
      </w:r>
      <w:r>
        <w:rPr>
          <w:rFonts w:hint="eastAsia" w:ascii="宋体" w:hAnsi="宋体" w:eastAsia="宋体" w:cs="宋体"/>
          <w:b/>
          <w:bCs/>
          <w:color w:val="auto"/>
          <w:highlight w:val="none"/>
          <w:lang w:val="en-US" w:eastAsia="zh-CN"/>
        </w:rPr>
        <w:t>投标文件的符合性审查</w:t>
      </w:r>
    </w:p>
    <w:p w14:paraId="4E9E8E9D">
      <w:pPr>
        <w:pStyle w:val="10"/>
        <w:keepNext w:val="0"/>
        <w:keepLines w:val="0"/>
        <w:pageBreakBefore w:val="0"/>
        <w:tabs>
          <w:tab w:val="clear" w:pos="567"/>
        </w:tabs>
        <w:kinsoku/>
        <w:wordWrap/>
        <w:overflowPunct/>
        <w:topLinePunct w:val="0"/>
        <w:bidi w:val="0"/>
        <w:adjustRightInd/>
        <w:spacing w:before="0" w:line="400" w:lineRule="exact"/>
        <w:ind w:firstLine="48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投标文件是否实质性响应招标文件要求由评审委员会依据招标文件规定认定。评审委员会决定投标文件的实质性只根据投标文件本身的真实无误的内容，而不依据外部的证据。依据招标文件的规定，从投标文件的有效性、完整性和对招标文件的响应程度进行审查，以确定是否对招标文件的实质性要求作出响应。</w:t>
      </w:r>
    </w:p>
    <w:p w14:paraId="13D2853E">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3、详细评审</w:t>
      </w:r>
    </w:p>
    <w:p w14:paraId="2D3FDBB3">
      <w:pPr>
        <w:pStyle w:val="10"/>
        <w:keepNext w:val="0"/>
        <w:keepLines w:val="0"/>
        <w:pageBreakBefore w:val="0"/>
        <w:numPr>
          <w:ilvl w:val="0"/>
          <w:numId w:val="27"/>
        </w:numPr>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经初步评审合格的投标文件，评审委员会应当根据本文件确定的评标标准和方法，对其技术和商务部分作进一步的评审和比较。</w:t>
      </w:r>
    </w:p>
    <w:p w14:paraId="616A35D9">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2、采用综合评分法，即投标文件满足招标文件全部实质性要求，且按照评审因素的量化指标评审得分最高的投标人为中标候选人。</w:t>
      </w:r>
    </w:p>
    <w:p w14:paraId="1E0BDDD9">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4、评标的保密性</w:t>
      </w:r>
    </w:p>
    <w:p w14:paraId="399A16A5">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1、开标后，直到授予投标商合同为止，凡属于审查、澄清、评价和比较的有关资料以及授标建议等评审委员会成员或参与评标的有关工作人员均不得向投标商或其他无关人员透露，</w:t>
      </w:r>
    </w:p>
    <w:p w14:paraId="353109DA">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违者给予警告、取消担任评审委员会成员的资格，不得再参加任何项目的评标。</w:t>
      </w:r>
    </w:p>
    <w:p w14:paraId="18DE770B">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2、投标商在评标过程中，所进行的力图影响评标结果的不符合《政府采购法》、《政府采购竞争性投标采购方式管理暂行办法》及本次项目中有关规定的活动，将被取消中标资格。</w:t>
      </w:r>
    </w:p>
    <w:p w14:paraId="4E5B850B">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八、定标</w:t>
      </w:r>
    </w:p>
    <w:p w14:paraId="4AE1ABEB">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1.定标标准</w:t>
      </w:r>
    </w:p>
    <w:p w14:paraId="7F6C54D3">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（一）原则：招标人将依据本项目根据评审委员会推荐的中标候选人名单，按顺序确定中标人。</w:t>
      </w:r>
    </w:p>
    <w:p w14:paraId="131E8F34">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（二）程序：</w:t>
      </w:r>
    </w:p>
    <w:p w14:paraId="69E879A0">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1、采购代理机构在评审结束后2个工作日内将评审报告送采购人确认。</w:t>
      </w:r>
    </w:p>
    <w:p w14:paraId="6C3C52C1">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采购人应当在收到评审报告后5个工作日内，从评审报告提出的中标候选单位中，按照排序由高到低的原则确定中标单位，也可以书面授权评审委员会直接确定中标单位。采购人逾期未确定中标单位且不提出异议的，视为确定评审报告提出的排序第一的供应商为中标单位。采购人或者采购代理机构应当在中标单位确定后2个工作日内，在省级以上财政部门指定的政府采购信息发布媒体上公告成交结果，同时向中标单位发出成交通知书，并将招标文件随成交结果同时公告。 采购人与中标单位应当在成交通知书发出之日起30日内，按照招标文件确定的合同文本以及采购标的、规格型号、采购金额、采购数量、技术和服务要求等事项签订政府采购合同。</w:t>
      </w:r>
    </w:p>
    <w:p w14:paraId="016B512C">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3、采购单位不退回投标人投标文件和其他资料。</w:t>
      </w:r>
    </w:p>
    <w:p w14:paraId="527FBE3D">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bCs/>
          <w:color w:val="auto"/>
          <w:highlight w:val="none"/>
          <w:lang w:val="en-US" w:eastAsia="zh-CN"/>
        </w:rPr>
        <w:t>中标候选人并列式时的处理方式：</w:t>
      </w:r>
      <w:r>
        <w:rPr>
          <w:rFonts w:hint="eastAsia" w:ascii="宋体" w:hAnsi="宋体" w:eastAsia="宋体" w:cs="宋体"/>
          <w:b w:val="0"/>
          <w:bCs w:val="0"/>
          <w:color w:val="auto"/>
          <w:highlight w:val="none"/>
          <w:lang w:val="en-US" w:eastAsia="zh-CN"/>
        </w:rPr>
        <w:t xml:space="preserve">   </w:t>
      </w:r>
    </w:p>
    <w:p w14:paraId="7C2033CF">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Times New Roman"/>
          <w:bCs/>
          <w:color w:val="auto"/>
          <w:sz w:val="24"/>
          <w:highlight w:val="none"/>
          <w:lang w:val="en-US" w:eastAsia="zh-CN"/>
        </w:rPr>
      </w:pPr>
      <w:r>
        <w:rPr>
          <w:rFonts w:hint="eastAsia" w:ascii="宋体" w:hAnsi="宋体" w:eastAsia="宋体" w:cs="宋体"/>
          <w:b w:val="0"/>
          <w:bCs w:val="0"/>
          <w:color w:val="auto"/>
          <w:highlight w:val="none"/>
          <w:lang w:val="en-US" w:eastAsia="zh-CN"/>
        </w:rPr>
        <w:t>采用综合评标法，则：</w:t>
      </w:r>
      <w:r>
        <w:rPr>
          <w:rFonts w:hint="eastAsia" w:ascii="宋体" w:hAnsi="宋体"/>
          <w:bCs/>
          <w:color w:val="auto"/>
          <w:sz w:val="24"/>
          <w:highlight w:val="none"/>
        </w:rPr>
        <w:t>确定满足</w:t>
      </w:r>
      <w:r>
        <w:rPr>
          <w:rFonts w:hint="eastAsia"/>
          <w:bCs/>
          <w:color w:val="auto"/>
          <w:sz w:val="24"/>
          <w:highlight w:val="none"/>
          <w:lang w:val="en-US" w:eastAsia="zh-CN"/>
        </w:rPr>
        <w:t>招标</w:t>
      </w:r>
      <w:r>
        <w:rPr>
          <w:rFonts w:hint="eastAsia" w:ascii="宋体" w:hAnsi="宋体"/>
          <w:bCs/>
          <w:color w:val="auto"/>
          <w:sz w:val="24"/>
          <w:highlight w:val="none"/>
        </w:rPr>
        <w:t>文件全部实质性要求，且按照评审因素的量化指标评审得分最高的投标人为排名第一的中标候选人。评审得分相同的，</w:t>
      </w:r>
      <w:r>
        <w:rPr>
          <w:rFonts w:ascii="宋体" w:hAnsi="宋体"/>
          <w:bCs/>
          <w:color w:val="auto"/>
          <w:sz w:val="24"/>
          <w:highlight w:val="none"/>
        </w:rPr>
        <w:t xml:space="preserve"> </w:t>
      </w:r>
      <w:r>
        <w:rPr>
          <w:rFonts w:hint="eastAsia" w:ascii="宋体" w:hAnsi="宋体"/>
          <w:bCs/>
          <w:color w:val="auto"/>
          <w:sz w:val="24"/>
          <w:highlight w:val="none"/>
        </w:rPr>
        <w:t>按投标报价由低到高顺序排列。如报价相同则技术部分得分最高优先</w:t>
      </w:r>
      <w:r>
        <w:rPr>
          <w:rFonts w:hint="eastAsia" w:ascii="宋体" w:hAnsi="宋体" w:eastAsia="宋体" w:cs="Times New Roman"/>
          <w:bCs/>
          <w:color w:val="auto"/>
          <w:sz w:val="24"/>
          <w:highlight w:val="none"/>
          <w:lang w:val="en-US" w:eastAsia="zh-CN"/>
        </w:rPr>
        <w:t>。</w:t>
      </w:r>
    </w:p>
    <w:p w14:paraId="7316ACE0">
      <w:pPr>
        <w:pStyle w:val="10"/>
        <w:keepNext w:val="0"/>
        <w:keepLines w:val="0"/>
        <w:pageBreakBefore w:val="0"/>
        <w:numPr>
          <w:ilvl w:val="0"/>
          <w:numId w:val="28"/>
        </w:numPr>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中小企业落实政策</w:t>
      </w:r>
    </w:p>
    <w:p w14:paraId="7E7FE9F5">
      <w:pPr>
        <w:pStyle w:val="10"/>
        <w:keepNext w:val="0"/>
        <w:keepLines w:val="0"/>
        <w:pageBreakBefore w:val="0"/>
        <w:tabs>
          <w:tab w:val="clear" w:pos="567"/>
        </w:tabs>
        <w:kinsoku/>
        <w:wordWrap/>
        <w:overflowPunct/>
        <w:topLinePunct w:val="0"/>
        <w:bidi w:val="0"/>
        <w:adjustRightInd/>
        <w:spacing w:before="0" w:line="400" w:lineRule="exact"/>
        <w:ind w:firstLine="482" w:firstLineChars="200"/>
        <w:textAlignment w:val="auto"/>
        <w:rPr>
          <w:rFonts w:hint="eastAsia" w:ascii="宋体" w:hAnsi="宋体" w:eastAsia="宋体" w:cs="宋体"/>
          <w:b w:val="0"/>
          <w:bCs w:val="0"/>
          <w:color w:val="auto"/>
          <w:highlight w:val="none"/>
        </w:rPr>
      </w:pPr>
      <w:r>
        <w:rPr>
          <w:rFonts w:hint="eastAsia" w:ascii="宋体" w:hAnsi="宋体" w:eastAsia="宋体" w:cs="宋体"/>
          <w:b/>
          <w:bCs/>
          <w:color w:val="auto"/>
          <w:kern w:val="2"/>
          <w:sz w:val="24"/>
          <w:szCs w:val="20"/>
          <w:highlight w:val="none"/>
          <w:lang w:val="en-US" w:eastAsia="zh-CN" w:bidi="ar-SA"/>
        </w:rPr>
        <w:t>在投标企业属于中小微企业的，请在投标文件中提供“中小企业声明函”，如果未提供或提供虛假的“中小企业声明函”，投标企业将承担由此造成的一切不利后果。</w:t>
      </w:r>
    </w:p>
    <w:p w14:paraId="40D2D3EB">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1.根据《政府采购促进中小企业发展管理办法》（财库[2020]46号）、《财政部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b w:val="0"/>
          <w:bCs w:val="0"/>
          <w:color w:val="auto"/>
          <w:highlight w:val="none"/>
          <w:lang w:eastAsia="zh-CN"/>
        </w:rPr>
        <w:t>响应文件</w:t>
      </w:r>
      <w:r>
        <w:rPr>
          <w:rFonts w:hint="eastAsia" w:ascii="宋体" w:hAnsi="宋体" w:eastAsia="宋体" w:cs="宋体"/>
          <w:b w:val="0"/>
          <w:bCs w:val="0"/>
          <w:color w:val="auto"/>
          <w:highlight w:val="none"/>
        </w:rPr>
        <w:t>中提交了《投标人企业类型声明函》、《残疾人福利性单位声明函》或省级以上监狱管理局、戒毒管理局（含新疆生产建设兵团）出具的属于监狱企业、本地生产企业证明文件的投标人，其投标报价扣除</w:t>
      </w:r>
      <w:r>
        <w:rPr>
          <w:rFonts w:hint="eastAsia" w:eastAsia="宋体" w:cs="宋体"/>
          <w:b/>
          <w:bCs/>
          <w:color w:val="FF0000"/>
          <w:highlight w:val="none"/>
          <w:u w:val="single"/>
          <w:lang w:val="en-US" w:eastAsia="zh-CN"/>
        </w:rPr>
        <w:t>10</w:t>
      </w:r>
      <w:r>
        <w:rPr>
          <w:rFonts w:hint="eastAsia" w:ascii="宋体" w:hAnsi="宋体" w:eastAsia="宋体" w:cs="宋体"/>
          <w:b/>
          <w:bCs/>
          <w:color w:val="FF0000"/>
          <w:highlight w:val="none"/>
          <w:u w:val="single"/>
          <w:lang w:val="en-US" w:eastAsia="zh-CN"/>
        </w:rPr>
        <w:t xml:space="preserve"> </w:t>
      </w:r>
      <w:r>
        <w:rPr>
          <w:rFonts w:hint="eastAsia" w:ascii="宋体" w:hAnsi="宋体" w:eastAsia="宋体" w:cs="宋体"/>
          <w:b/>
          <w:bCs/>
          <w:color w:val="FF0000"/>
          <w:highlight w:val="none"/>
        </w:rPr>
        <w:t>%</w:t>
      </w:r>
      <w:r>
        <w:rPr>
          <w:rFonts w:hint="eastAsia" w:ascii="宋体" w:hAnsi="宋体" w:eastAsia="宋体" w:cs="宋体"/>
          <w:b w:val="0"/>
          <w:bCs w:val="0"/>
          <w:color w:val="auto"/>
          <w:highlight w:val="none"/>
        </w:rPr>
        <w:t>后参与评审。对于同时属于小微企业、监狱企业残疾人福利性单位的，不重复进行投标报价扣除。</w:t>
      </w:r>
    </w:p>
    <w:p w14:paraId="4F5A7F2F">
      <w:pPr>
        <w:spacing w:line="440" w:lineRule="exact"/>
        <w:jc w:val="center"/>
        <w:outlineLvl w:val="0"/>
        <w:rPr>
          <w:rFonts w:hint="eastAsia" w:ascii="宋体" w:hAnsi="宋体" w:eastAsia="宋体" w:cs="宋体"/>
          <w:b/>
          <w:color w:val="auto"/>
          <w:sz w:val="32"/>
          <w:szCs w:val="32"/>
          <w:highlight w:val="none"/>
        </w:rPr>
      </w:pPr>
    </w:p>
    <w:p w14:paraId="0BA66909">
      <w:pPr>
        <w:spacing w:line="440" w:lineRule="exact"/>
        <w:jc w:val="center"/>
        <w:outlineLvl w:val="0"/>
        <w:rPr>
          <w:rFonts w:hint="eastAsia" w:ascii="宋体" w:hAnsi="宋体" w:eastAsia="宋体" w:cs="宋体"/>
          <w:b/>
          <w:color w:val="auto"/>
          <w:sz w:val="32"/>
          <w:szCs w:val="32"/>
          <w:highlight w:val="none"/>
        </w:rPr>
      </w:pPr>
    </w:p>
    <w:p w14:paraId="27758066">
      <w:pPr>
        <w:spacing w:line="440" w:lineRule="exact"/>
        <w:jc w:val="center"/>
        <w:outlineLvl w:val="0"/>
        <w:rPr>
          <w:rFonts w:hint="eastAsia" w:ascii="宋体" w:hAnsi="宋体" w:eastAsia="宋体" w:cs="宋体"/>
          <w:b/>
          <w:color w:val="auto"/>
          <w:sz w:val="32"/>
          <w:szCs w:val="32"/>
          <w:highlight w:val="none"/>
        </w:rPr>
      </w:pPr>
    </w:p>
    <w:p w14:paraId="5BCE432B">
      <w:pPr>
        <w:spacing w:line="440" w:lineRule="exact"/>
        <w:jc w:val="center"/>
        <w:outlineLvl w:val="0"/>
        <w:rPr>
          <w:rFonts w:hint="eastAsia" w:ascii="宋体" w:hAnsi="宋体" w:eastAsia="宋体" w:cs="宋体"/>
          <w:b/>
          <w:color w:val="auto"/>
          <w:sz w:val="32"/>
          <w:szCs w:val="32"/>
          <w:highlight w:val="none"/>
        </w:rPr>
      </w:pPr>
    </w:p>
    <w:p w14:paraId="565BD99A">
      <w:pPr>
        <w:spacing w:line="440" w:lineRule="exact"/>
        <w:jc w:val="both"/>
        <w:outlineLvl w:val="0"/>
        <w:rPr>
          <w:rFonts w:hint="eastAsia" w:ascii="宋体" w:hAnsi="宋体" w:eastAsia="宋体" w:cs="宋体"/>
          <w:b/>
          <w:color w:val="auto"/>
          <w:sz w:val="32"/>
          <w:szCs w:val="32"/>
          <w:highlight w:val="none"/>
        </w:rPr>
      </w:pPr>
    </w:p>
    <w:p w14:paraId="71DAAD81">
      <w:pPr>
        <w:spacing w:line="440" w:lineRule="exact"/>
        <w:jc w:val="both"/>
        <w:outlineLvl w:val="0"/>
        <w:rPr>
          <w:rFonts w:hint="eastAsia" w:ascii="宋体" w:hAnsi="宋体" w:eastAsia="宋体" w:cs="宋体"/>
          <w:b/>
          <w:color w:val="auto"/>
          <w:sz w:val="32"/>
          <w:szCs w:val="32"/>
          <w:highlight w:val="none"/>
        </w:rPr>
      </w:pPr>
    </w:p>
    <w:p w14:paraId="4347DA68">
      <w:pPr>
        <w:spacing w:line="440" w:lineRule="exact"/>
        <w:jc w:val="center"/>
        <w:outlineLvl w:val="0"/>
        <w:rPr>
          <w:rFonts w:hint="eastAsia" w:ascii="宋体" w:hAnsi="宋体" w:eastAsia="宋体" w:cs="宋体"/>
          <w:b/>
          <w:color w:val="auto"/>
          <w:sz w:val="32"/>
          <w:szCs w:val="32"/>
          <w:highlight w:val="none"/>
        </w:rPr>
      </w:pPr>
    </w:p>
    <w:p w14:paraId="65DD3A1C">
      <w:pPr>
        <w:spacing w:line="440" w:lineRule="exact"/>
        <w:jc w:val="center"/>
        <w:outlineLvl w:val="0"/>
        <w:rPr>
          <w:rFonts w:hint="eastAsia" w:ascii="宋体" w:hAnsi="宋体" w:eastAsia="宋体" w:cs="宋体"/>
          <w:b/>
          <w:color w:val="auto"/>
          <w:sz w:val="32"/>
          <w:szCs w:val="32"/>
          <w:highlight w:val="none"/>
        </w:rPr>
      </w:pPr>
    </w:p>
    <w:p w14:paraId="09173283">
      <w:pPr>
        <w:spacing w:line="440" w:lineRule="exact"/>
        <w:jc w:val="center"/>
        <w:outlineLvl w:val="0"/>
        <w:rPr>
          <w:rFonts w:hint="eastAsia" w:ascii="宋体" w:hAnsi="宋体" w:eastAsia="宋体" w:cs="宋体"/>
          <w:b/>
          <w:color w:val="auto"/>
          <w:sz w:val="32"/>
          <w:szCs w:val="32"/>
          <w:highlight w:val="none"/>
        </w:rPr>
      </w:pPr>
    </w:p>
    <w:p w14:paraId="7ED05AA7">
      <w:pPr>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投标文件的初审</w:t>
      </w:r>
    </w:p>
    <w:p w14:paraId="4F41384E">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投标文件的初审分为资格性检查和符合性检查。</w:t>
      </w:r>
    </w:p>
    <w:p w14:paraId="35F6028D">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（一）、资格性检查是指评标委员会依据法律法规和招标文件的规定，对投标文件中的资格证明、投标保证金等进行审查，以确定投标投标人是否具备投标资格。</w:t>
      </w:r>
    </w:p>
    <w:p w14:paraId="0AE78962">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资格性检查包含如下内容：</w:t>
      </w:r>
    </w:p>
    <w:tbl>
      <w:tblPr>
        <w:tblStyle w:val="35"/>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800"/>
        <w:gridCol w:w="6282"/>
        <w:gridCol w:w="780"/>
        <w:gridCol w:w="881"/>
      </w:tblGrid>
      <w:tr w14:paraId="440A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879" w:type="dxa"/>
            <w:vMerge w:val="restart"/>
            <w:noWrap w:val="0"/>
            <w:vAlign w:val="center"/>
          </w:tcPr>
          <w:p w14:paraId="6C203C3A">
            <w:pPr>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w:t>
            </w:r>
          </w:p>
        </w:tc>
        <w:tc>
          <w:tcPr>
            <w:tcW w:w="7082" w:type="dxa"/>
            <w:gridSpan w:val="2"/>
            <w:vMerge w:val="restart"/>
            <w:noWrap w:val="0"/>
            <w:vAlign w:val="center"/>
          </w:tcPr>
          <w:p w14:paraId="712BBAFF">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
                <w:color w:val="auto"/>
                <w:sz w:val="28"/>
                <w:szCs w:val="28"/>
                <w:highlight w:val="none"/>
              </w:rPr>
              <w:t>评审内容</w:t>
            </w:r>
          </w:p>
        </w:tc>
        <w:tc>
          <w:tcPr>
            <w:tcW w:w="1661" w:type="dxa"/>
            <w:gridSpan w:val="2"/>
            <w:noWrap w:val="0"/>
            <w:vAlign w:val="center"/>
          </w:tcPr>
          <w:p w14:paraId="261F76AC">
            <w:pPr>
              <w:spacing w:line="440" w:lineRule="exact"/>
              <w:jc w:val="center"/>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评审</w:t>
            </w:r>
          </w:p>
          <w:p w14:paraId="771117BD">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
                <w:color w:val="auto"/>
                <w:sz w:val="28"/>
                <w:szCs w:val="28"/>
                <w:highlight w:val="none"/>
              </w:rPr>
              <w:t>意见</w:t>
            </w:r>
          </w:p>
        </w:tc>
      </w:tr>
      <w:tr w14:paraId="069F3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vMerge w:val="continue"/>
            <w:noWrap w:val="0"/>
            <w:vAlign w:val="center"/>
          </w:tcPr>
          <w:p w14:paraId="4BF8CA1D">
            <w:pPr>
              <w:spacing w:line="440" w:lineRule="exact"/>
              <w:jc w:val="left"/>
              <w:outlineLvl w:val="0"/>
              <w:rPr>
                <w:rFonts w:hint="eastAsia" w:ascii="宋体" w:hAnsi="宋体" w:eastAsia="宋体" w:cs="宋体"/>
                <w:bCs/>
                <w:color w:val="auto"/>
                <w:szCs w:val="21"/>
                <w:highlight w:val="none"/>
              </w:rPr>
            </w:pPr>
          </w:p>
        </w:tc>
        <w:tc>
          <w:tcPr>
            <w:tcW w:w="7082" w:type="dxa"/>
            <w:gridSpan w:val="2"/>
            <w:vMerge w:val="continue"/>
            <w:noWrap w:val="0"/>
            <w:vAlign w:val="top"/>
          </w:tcPr>
          <w:p w14:paraId="68D3104B">
            <w:pPr>
              <w:spacing w:line="440" w:lineRule="exact"/>
              <w:jc w:val="left"/>
              <w:outlineLvl w:val="0"/>
              <w:rPr>
                <w:rFonts w:hint="eastAsia" w:ascii="宋体" w:hAnsi="宋体" w:eastAsia="宋体" w:cs="宋体"/>
                <w:bCs/>
                <w:color w:val="auto"/>
                <w:szCs w:val="21"/>
                <w:highlight w:val="none"/>
              </w:rPr>
            </w:pPr>
          </w:p>
        </w:tc>
        <w:tc>
          <w:tcPr>
            <w:tcW w:w="780" w:type="dxa"/>
            <w:noWrap w:val="0"/>
            <w:vAlign w:val="center"/>
          </w:tcPr>
          <w:p w14:paraId="25E7074A">
            <w:pPr>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是</w:t>
            </w:r>
          </w:p>
        </w:tc>
        <w:tc>
          <w:tcPr>
            <w:tcW w:w="881" w:type="dxa"/>
            <w:noWrap w:val="0"/>
            <w:vAlign w:val="center"/>
          </w:tcPr>
          <w:p w14:paraId="4B8899C9">
            <w:pPr>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否</w:t>
            </w:r>
          </w:p>
        </w:tc>
      </w:tr>
      <w:tr w14:paraId="296D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79" w:type="dxa"/>
            <w:vMerge w:val="restart"/>
            <w:noWrap w:val="0"/>
            <w:vAlign w:val="center"/>
          </w:tcPr>
          <w:p w14:paraId="709CE193">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审查标准</w:t>
            </w:r>
          </w:p>
        </w:tc>
        <w:tc>
          <w:tcPr>
            <w:tcW w:w="800" w:type="dxa"/>
            <w:noWrap w:val="0"/>
            <w:vAlign w:val="center"/>
          </w:tcPr>
          <w:p w14:paraId="2810B27E">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6282" w:type="dxa"/>
            <w:noWrap w:val="0"/>
            <w:vAlign w:val="center"/>
          </w:tcPr>
          <w:p w14:paraId="48C5F95B">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提供合格三证合一营业执照</w:t>
            </w:r>
          </w:p>
        </w:tc>
        <w:tc>
          <w:tcPr>
            <w:tcW w:w="780" w:type="dxa"/>
            <w:noWrap w:val="0"/>
            <w:vAlign w:val="top"/>
          </w:tcPr>
          <w:p w14:paraId="4DADFB1C">
            <w:pPr>
              <w:spacing w:line="440" w:lineRule="exact"/>
              <w:jc w:val="left"/>
              <w:outlineLvl w:val="0"/>
              <w:rPr>
                <w:rFonts w:hint="eastAsia" w:ascii="宋体" w:hAnsi="宋体" w:eastAsia="宋体" w:cs="宋体"/>
                <w:bCs/>
                <w:color w:val="auto"/>
                <w:szCs w:val="21"/>
                <w:highlight w:val="none"/>
              </w:rPr>
            </w:pPr>
          </w:p>
        </w:tc>
        <w:tc>
          <w:tcPr>
            <w:tcW w:w="881" w:type="dxa"/>
            <w:noWrap w:val="0"/>
            <w:vAlign w:val="top"/>
          </w:tcPr>
          <w:p w14:paraId="0AD85793">
            <w:pPr>
              <w:spacing w:line="440" w:lineRule="exact"/>
              <w:jc w:val="left"/>
              <w:outlineLvl w:val="0"/>
              <w:rPr>
                <w:rFonts w:hint="eastAsia" w:ascii="宋体" w:hAnsi="宋体" w:eastAsia="宋体" w:cs="宋体"/>
                <w:bCs/>
                <w:color w:val="auto"/>
                <w:szCs w:val="21"/>
                <w:highlight w:val="none"/>
              </w:rPr>
            </w:pPr>
          </w:p>
        </w:tc>
      </w:tr>
      <w:tr w14:paraId="088A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79" w:type="dxa"/>
            <w:vMerge w:val="continue"/>
            <w:noWrap w:val="0"/>
            <w:vAlign w:val="center"/>
          </w:tcPr>
          <w:p w14:paraId="329A8F47">
            <w:pPr>
              <w:spacing w:line="440" w:lineRule="exact"/>
              <w:jc w:val="left"/>
              <w:outlineLvl w:val="0"/>
              <w:rPr>
                <w:rFonts w:hint="eastAsia" w:ascii="宋体" w:hAnsi="宋体" w:eastAsia="宋体" w:cs="宋体"/>
                <w:bCs/>
                <w:color w:val="auto"/>
                <w:szCs w:val="21"/>
                <w:highlight w:val="none"/>
              </w:rPr>
            </w:pPr>
          </w:p>
        </w:tc>
        <w:tc>
          <w:tcPr>
            <w:tcW w:w="800" w:type="dxa"/>
            <w:shd w:val="clear" w:color="auto" w:fill="auto"/>
            <w:noWrap w:val="0"/>
            <w:vAlign w:val="center"/>
          </w:tcPr>
          <w:p w14:paraId="21D7BC06">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2</w:t>
            </w:r>
          </w:p>
        </w:tc>
        <w:tc>
          <w:tcPr>
            <w:tcW w:w="6282" w:type="dxa"/>
            <w:noWrap w:val="0"/>
            <w:vAlign w:val="center"/>
          </w:tcPr>
          <w:p w14:paraId="2D5934AF">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所投产品为第一类医疗器械的可提供医疗器械经营备案凭证或按照国家医疗器械经营监督管理办法规定无需备案的可不提供；（2）所投产品为第二类医疗器械，生产商须提供有效的《医疗器械生产许可证》及所投产品的《医疗器械注册证》，代理商或经销商须提供有效的《第二类医疗器械经营备案凭证》及所投产品的《医疗器械注册证》；（3）所投产品为第三类医疗器械，生产商须提供有效的《医疗器械生产许可证》及所投产品的《医疗器械注册证》，代理商或经销商须提供有效的《医疗器械经营许可证》及所投产品的《医疗器械注册证》；</w:t>
            </w:r>
          </w:p>
        </w:tc>
        <w:tc>
          <w:tcPr>
            <w:tcW w:w="780" w:type="dxa"/>
            <w:noWrap w:val="0"/>
            <w:vAlign w:val="top"/>
          </w:tcPr>
          <w:p w14:paraId="3698406E">
            <w:pPr>
              <w:spacing w:line="440" w:lineRule="exact"/>
              <w:jc w:val="left"/>
              <w:outlineLvl w:val="0"/>
              <w:rPr>
                <w:rFonts w:hint="eastAsia" w:ascii="宋体" w:hAnsi="宋体" w:eastAsia="宋体" w:cs="宋体"/>
                <w:bCs/>
                <w:color w:val="auto"/>
                <w:szCs w:val="21"/>
                <w:highlight w:val="none"/>
              </w:rPr>
            </w:pPr>
          </w:p>
        </w:tc>
        <w:tc>
          <w:tcPr>
            <w:tcW w:w="881" w:type="dxa"/>
            <w:noWrap w:val="0"/>
            <w:vAlign w:val="top"/>
          </w:tcPr>
          <w:p w14:paraId="140B3521">
            <w:pPr>
              <w:spacing w:line="440" w:lineRule="exact"/>
              <w:jc w:val="left"/>
              <w:outlineLvl w:val="0"/>
              <w:rPr>
                <w:rFonts w:hint="eastAsia" w:ascii="宋体" w:hAnsi="宋体" w:eastAsia="宋体" w:cs="宋体"/>
                <w:bCs/>
                <w:color w:val="auto"/>
                <w:szCs w:val="21"/>
                <w:highlight w:val="none"/>
              </w:rPr>
            </w:pPr>
          </w:p>
        </w:tc>
      </w:tr>
      <w:tr w14:paraId="71CA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79" w:type="dxa"/>
            <w:vMerge w:val="continue"/>
            <w:noWrap w:val="0"/>
            <w:vAlign w:val="center"/>
          </w:tcPr>
          <w:p w14:paraId="3D476CFE">
            <w:pPr>
              <w:spacing w:line="440" w:lineRule="exact"/>
              <w:jc w:val="left"/>
              <w:outlineLvl w:val="0"/>
              <w:rPr>
                <w:rFonts w:hint="eastAsia" w:ascii="宋体" w:hAnsi="宋体" w:eastAsia="宋体" w:cs="宋体"/>
                <w:bCs/>
                <w:color w:val="auto"/>
                <w:szCs w:val="21"/>
                <w:highlight w:val="none"/>
              </w:rPr>
            </w:pPr>
          </w:p>
        </w:tc>
        <w:tc>
          <w:tcPr>
            <w:tcW w:w="800" w:type="dxa"/>
            <w:shd w:val="clear" w:color="auto" w:fill="auto"/>
            <w:noWrap w:val="0"/>
            <w:vAlign w:val="center"/>
          </w:tcPr>
          <w:p w14:paraId="447BFF00">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3</w:t>
            </w:r>
          </w:p>
        </w:tc>
        <w:tc>
          <w:tcPr>
            <w:tcW w:w="6282" w:type="dxa"/>
            <w:noWrap w:val="0"/>
            <w:vAlign w:val="center"/>
          </w:tcPr>
          <w:p w14:paraId="24B90DB5">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提供法人本人投标的需提供法定代表人身份证明书；被授权委托人需提供法人授权委托书</w:t>
            </w:r>
          </w:p>
        </w:tc>
        <w:tc>
          <w:tcPr>
            <w:tcW w:w="780" w:type="dxa"/>
            <w:noWrap w:val="0"/>
            <w:vAlign w:val="top"/>
          </w:tcPr>
          <w:p w14:paraId="7EADDB84">
            <w:pPr>
              <w:spacing w:line="440" w:lineRule="exact"/>
              <w:jc w:val="left"/>
              <w:outlineLvl w:val="0"/>
              <w:rPr>
                <w:rFonts w:hint="eastAsia" w:ascii="宋体" w:hAnsi="宋体" w:eastAsia="宋体" w:cs="宋体"/>
                <w:bCs/>
                <w:color w:val="auto"/>
                <w:szCs w:val="21"/>
                <w:highlight w:val="none"/>
              </w:rPr>
            </w:pPr>
          </w:p>
        </w:tc>
        <w:tc>
          <w:tcPr>
            <w:tcW w:w="881" w:type="dxa"/>
            <w:noWrap w:val="0"/>
            <w:vAlign w:val="top"/>
          </w:tcPr>
          <w:p w14:paraId="6F84DCFD">
            <w:pPr>
              <w:spacing w:line="440" w:lineRule="exact"/>
              <w:jc w:val="left"/>
              <w:outlineLvl w:val="0"/>
              <w:rPr>
                <w:rFonts w:hint="eastAsia" w:ascii="宋体" w:hAnsi="宋体" w:eastAsia="宋体" w:cs="宋体"/>
                <w:bCs/>
                <w:color w:val="auto"/>
                <w:szCs w:val="21"/>
                <w:highlight w:val="none"/>
              </w:rPr>
            </w:pPr>
          </w:p>
        </w:tc>
      </w:tr>
      <w:tr w14:paraId="186F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79" w:type="dxa"/>
            <w:vMerge w:val="continue"/>
            <w:noWrap w:val="0"/>
            <w:vAlign w:val="center"/>
          </w:tcPr>
          <w:p w14:paraId="7B3E1DB3">
            <w:pPr>
              <w:spacing w:line="440" w:lineRule="exact"/>
              <w:jc w:val="left"/>
              <w:outlineLvl w:val="0"/>
              <w:rPr>
                <w:rFonts w:hint="eastAsia" w:ascii="宋体" w:hAnsi="宋体" w:eastAsia="宋体" w:cs="宋体"/>
                <w:bCs/>
                <w:color w:val="auto"/>
                <w:szCs w:val="21"/>
                <w:highlight w:val="none"/>
              </w:rPr>
            </w:pPr>
          </w:p>
        </w:tc>
        <w:tc>
          <w:tcPr>
            <w:tcW w:w="800" w:type="dxa"/>
            <w:shd w:val="clear" w:color="auto" w:fill="auto"/>
            <w:noWrap w:val="0"/>
            <w:vAlign w:val="center"/>
          </w:tcPr>
          <w:p w14:paraId="249570AD">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4</w:t>
            </w:r>
          </w:p>
        </w:tc>
        <w:tc>
          <w:tcPr>
            <w:tcW w:w="6282" w:type="dxa"/>
            <w:noWrap w:val="0"/>
            <w:vAlign w:val="center"/>
          </w:tcPr>
          <w:p w14:paraId="251F526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具有良好的商业信誉和健全的财务会计制度，提供2024年度或2025年度经会计师事务所出具财务审计报告（2026年新成立的公司须</w:t>
            </w:r>
            <w:r>
              <w:rPr>
                <w:rFonts w:hint="eastAsia" w:ascii="宋体" w:hAnsi="宋体" w:cs="宋体"/>
                <w:bCs/>
                <w:color w:val="auto"/>
                <w:szCs w:val="21"/>
                <w:highlight w:val="none"/>
                <w:lang w:val="en-US" w:eastAsia="zh-CN"/>
              </w:rPr>
              <w:t>提供近三个月任意一个月</w:t>
            </w:r>
            <w:r>
              <w:rPr>
                <w:rFonts w:hint="eastAsia" w:ascii="宋体" w:hAnsi="宋体" w:eastAsia="宋体" w:cs="宋体"/>
                <w:bCs/>
                <w:color w:val="auto"/>
                <w:szCs w:val="21"/>
                <w:highlight w:val="none"/>
                <w:lang w:val="en-US" w:eastAsia="zh-CN"/>
              </w:rPr>
              <w:t>的银行资信证明）；</w:t>
            </w:r>
          </w:p>
        </w:tc>
        <w:tc>
          <w:tcPr>
            <w:tcW w:w="780" w:type="dxa"/>
            <w:noWrap w:val="0"/>
            <w:vAlign w:val="top"/>
          </w:tcPr>
          <w:p w14:paraId="7A0399EB">
            <w:pPr>
              <w:spacing w:line="440" w:lineRule="exact"/>
              <w:jc w:val="left"/>
              <w:outlineLvl w:val="0"/>
              <w:rPr>
                <w:rFonts w:hint="eastAsia" w:ascii="宋体" w:hAnsi="宋体" w:eastAsia="宋体" w:cs="宋体"/>
                <w:bCs/>
                <w:color w:val="auto"/>
                <w:szCs w:val="21"/>
                <w:highlight w:val="none"/>
              </w:rPr>
            </w:pPr>
          </w:p>
        </w:tc>
        <w:tc>
          <w:tcPr>
            <w:tcW w:w="881" w:type="dxa"/>
            <w:noWrap w:val="0"/>
            <w:vAlign w:val="top"/>
          </w:tcPr>
          <w:p w14:paraId="5CDDC9DA">
            <w:pPr>
              <w:spacing w:line="440" w:lineRule="exact"/>
              <w:jc w:val="left"/>
              <w:outlineLvl w:val="0"/>
              <w:rPr>
                <w:rFonts w:hint="eastAsia" w:ascii="宋体" w:hAnsi="宋体" w:eastAsia="宋体" w:cs="宋体"/>
                <w:bCs/>
                <w:color w:val="auto"/>
                <w:szCs w:val="21"/>
                <w:highlight w:val="none"/>
              </w:rPr>
            </w:pPr>
          </w:p>
        </w:tc>
      </w:tr>
      <w:tr w14:paraId="7229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79" w:type="dxa"/>
            <w:vMerge w:val="continue"/>
            <w:noWrap w:val="0"/>
            <w:vAlign w:val="center"/>
          </w:tcPr>
          <w:p w14:paraId="4AAFCD7D">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c>
          <w:tcPr>
            <w:tcW w:w="800" w:type="dxa"/>
            <w:shd w:val="clear" w:color="auto" w:fill="auto"/>
            <w:noWrap w:val="0"/>
            <w:vAlign w:val="center"/>
          </w:tcPr>
          <w:p w14:paraId="735927DB">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5</w:t>
            </w:r>
          </w:p>
        </w:tc>
        <w:tc>
          <w:tcPr>
            <w:tcW w:w="6282" w:type="dxa"/>
            <w:noWrap w:val="0"/>
            <w:vAlign w:val="center"/>
          </w:tcPr>
          <w:p w14:paraId="0989C51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依法缴纳近六个月中任意一个月的社保凭证；</w:t>
            </w:r>
          </w:p>
        </w:tc>
        <w:tc>
          <w:tcPr>
            <w:tcW w:w="780" w:type="dxa"/>
            <w:noWrap w:val="0"/>
            <w:vAlign w:val="top"/>
          </w:tcPr>
          <w:p w14:paraId="20B9861C">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c>
          <w:tcPr>
            <w:tcW w:w="881" w:type="dxa"/>
            <w:noWrap w:val="0"/>
            <w:vAlign w:val="top"/>
          </w:tcPr>
          <w:p w14:paraId="5729D220">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r>
      <w:tr w14:paraId="1C63E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79" w:type="dxa"/>
            <w:vMerge w:val="continue"/>
            <w:noWrap w:val="0"/>
            <w:vAlign w:val="center"/>
          </w:tcPr>
          <w:p w14:paraId="0B41002E">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c>
          <w:tcPr>
            <w:tcW w:w="800" w:type="dxa"/>
            <w:shd w:val="clear" w:color="auto" w:fill="auto"/>
            <w:noWrap w:val="0"/>
            <w:vAlign w:val="center"/>
          </w:tcPr>
          <w:p w14:paraId="058CD995">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6</w:t>
            </w:r>
          </w:p>
        </w:tc>
        <w:tc>
          <w:tcPr>
            <w:tcW w:w="6282" w:type="dxa"/>
            <w:noWrap w:val="0"/>
            <w:vAlign w:val="center"/>
          </w:tcPr>
          <w:p w14:paraId="6B63D88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依法缴纳近六个月任意一个月的税收良好记录证明（零申报需加盖税务机关章、无拖欠税收证明需加盖税务机关章、完税证明为非社保缴纳明细）；</w:t>
            </w:r>
          </w:p>
        </w:tc>
        <w:tc>
          <w:tcPr>
            <w:tcW w:w="780" w:type="dxa"/>
            <w:noWrap w:val="0"/>
            <w:vAlign w:val="top"/>
          </w:tcPr>
          <w:p w14:paraId="4EF3A3D7">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c>
          <w:tcPr>
            <w:tcW w:w="881" w:type="dxa"/>
            <w:noWrap w:val="0"/>
            <w:vAlign w:val="top"/>
          </w:tcPr>
          <w:p w14:paraId="215A3166">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r>
      <w:tr w14:paraId="5763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79" w:type="dxa"/>
            <w:vMerge w:val="continue"/>
            <w:noWrap w:val="0"/>
            <w:vAlign w:val="center"/>
          </w:tcPr>
          <w:p w14:paraId="25F0338D">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c>
          <w:tcPr>
            <w:tcW w:w="800" w:type="dxa"/>
            <w:shd w:val="clear" w:color="auto" w:fill="auto"/>
            <w:noWrap w:val="0"/>
            <w:vAlign w:val="center"/>
          </w:tcPr>
          <w:p w14:paraId="7DA3A63D">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7</w:t>
            </w:r>
          </w:p>
        </w:tc>
        <w:tc>
          <w:tcPr>
            <w:tcW w:w="6282" w:type="dxa"/>
            <w:noWrap w:val="0"/>
            <w:vAlign w:val="center"/>
          </w:tcPr>
          <w:p w14:paraId="0916C900">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未在“信用中国”网站 被列入失信被执行人、重大税收违法案件当事人名单；“中国政府采购网”</w:t>
            </w:r>
            <w:r>
              <w:rPr>
                <w:rFonts w:hint="eastAsia" w:ascii="宋体" w:hAnsi="宋体" w:eastAsia="宋体" w:cs="宋体"/>
                <w:bCs/>
                <w:color w:val="auto"/>
                <w:szCs w:val="21"/>
                <w:highlight w:val="none"/>
                <w:lang w:val="en-US" w:eastAsia="zh-CN"/>
              </w:rPr>
              <w:fldChar w:fldCharType="begin"/>
            </w:r>
            <w:r>
              <w:rPr>
                <w:rFonts w:hint="eastAsia" w:ascii="宋体" w:hAnsi="宋体" w:eastAsia="宋体" w:cs="宋体"/>
                <w:bCs/>
                <w:color w:val="auto"/>
                <w:szCs w:val="21"/>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Cs/>
                <w:color w:val="auto"/>
                <w:szCs w:val="21"/>
                <w:highlight w:val="none"/>
                <w:lang w:val="en-US" w:eastAsia="zh-CN"/>
              </w:rPr>
              <w:fldChar w:fldCharType="separate"/>
            </w:r>
            <w:r>
              <w:rPr>
                <w:rFonts w:hint="eastAsia" w:ascii="宋体" w:hAnsi="宋体" w:eastAsia="宋体" w:cs="宋体"/>
                <w:bCs/>
                <w:color w:val="auto"/>
                <w:szCs w:val="21"/>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Cs/>
                <w:color w:val="auto"/>
                <w:szCs w:val="21"/>
                <w:highlight w:val="none"/>
                <w:lang w:val="en-US" w:eastAsia="zh-CN"/>
              </w:rPr>
              <w:fldChar w:fldCharType="end"/>
            </w:r>
            <w:r>
              <w:rPr>
                <w:rFonts w:hint="eastAsia" w:ascii="宋体" w:hAnsi="宋体" w:eastAsia="宋体" w:cs="宋体"/>
                <w:bCs/>
                <w:color w:val="auto"/>
                <w:szCs w:val="21"/>
                <w:highlight w:val="none"/>
                <w:lang w:val="en-US" w:eastAsia="zh-CN"/>
              </w:rPr>
              <w:t>投标商，附网站截图或报告</w:t>
            </w:r>
          </w:p>
        </w:tc>
        <w:tc>
          <w:tcPr>
            <w:tcW w:w="780" w:type="dxa"/>
            <w:noWrap w:val="0"/>
            <w:vAlign w:val="top"/>
          </w:tcPr>
          <w:p w14:paraId="73EC899E">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c>
          <w:tcPr>
            <w:tcW w:w="881" w:type="dxa"/>
            <w:noWrap w:val="0"/>
            <w:vAlign w:val="top"/>
          </w:tcPr>
          <w:p w14:paraId="51FEB403">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r>
      <w:tr w14:paraId="5F2C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79" w:type="dxa"/>
            <w:vMerge w:val="continue"/>
            <w:noWrap w:val="0"/>
            <w:vAlign w:val="center"/>
          </w:tcPr>
          <w:p w14:paraId="012FE6CF">
            <w:pPr>
              <w:spacing w:line="440" w:lineRule="exact"/>
              <w:jc w:val="left"/>
              <w:outlineLvl w:val="0"/>
              <w:rPr>
                <w:rFonts w:hint="eastAsia" w:ascii="宋体" w:hAnsi="宋体" w:eastAsia="宋体" w:cs="宋体"/>
                <w:bCs/>
                <w:color w:val="auto"/>
                <w:szCs w:val="21"/>
                <w:highlight w:val="none"/>
              </w:rPr>
            </w:pPr>
          </w:p>
        </w:tc>
        <w:tc>
          <w:tcPr>
            <w:tcW w:w="800" w:type="dxa"/>
            <w:shd w:val="clear" w:color="auto" w:fill="auto"/>
            <w:noWrap w:val="0"/>
            <w:vAlign w:val="center"/>
          </w:tcPr>
          <w:p w14:paraId="23D0C094">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8</w:t>
            </w:r>
          </w:p>
        </w:tc>
        <w:tc>
          <w:tcPr>
            <w:tcW w:w="6282" w:type="dxa"/>
            <w:noWrap w:val="0"/>
            <w:vAlign w:val="center"/>
          </w:tcPr>
          <w:p w14:paraId="349E7BC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是否提供《反商业贿赂承诺书》</w:t>
            </w:r>
          </w:p>
        </w:tc>
        <w:tc>
          <w:tcPr>
            <w:tcW w:w="780" w:type="dxa"/>
            <w:noWrap w:val="0"/>
            <w:vAlign w:val="top"/>
          </w:tcPr>
          <w:p w14:paraId="732829B9">
            <w:pPr>
              <w:spacing w:line="440" w:lineRule="exact"/>
              <w:jc w:val="left"/>
              <w:outlineLvl w:val="0"/>
              <w:rPr>
                <w:rFonts w:hint="eastAsia" w:ascii="宋体" w:hAnsi="宋体" w:eastAsia="宋体" w:cs="宋体"/>
                <w:bCs/>
                <w:color w:val="auto"/>
                <w:szCs w:val="21"/>
                <w:highlight w:val="none"/>
              </w:rPr>
            </w:pPr>
          </w:p>
        </w:tc>
        <w:tc>
          <w:tcPr>
            <w:tcW w:w="881" w:type="dxa"/>
            <w:noWrap w:val="0"/>
            <w:vAlign w:val="top"/>
          </w:tcPr>
          <w:p w14:paraId="61ADA173">
            <w:pPr>
              <w:spacing w:line="440" w:lineRule="exact"/>
              <w:jc w:val="left"/>
              <w:outlineLvl w:val="0"/>
              <w:rPr>
                <w:rFonts w:hint="eastAsia" w:ascii="宋体" w:hAnsi="宋体" w:eastAsia="宋体" w:cs="宋体"/>
                <w:bCs/>
                <w:color w:val="auto"/>
                <w:szCs w:val="21"/>
                <w:highlight w:val="none"/>
              </w:rPr>
            </w:pPr>
          </w:p>
        </w:tc>
      </w:tr>
      <w:tr w14:paraId="04C2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79" w:type="dxa"/>
            <w:vMerge w:val="continue"/>
            <w:noWrap w:val="0"/>
            <w:vAlign w:val="center"/>
          </w:tcPr>
          <w:p w14:paraId="7088F550">
            <w:pPr>
              <w:spacing w:line="440" w:lineRule="exact"/>
              <w:jc w:val="left"/>
              <w:outlineLvl w:val="0"/>
              <w:rPr>
                <w:rFonts w:hint="eastAsia" w:ascii="宋体" w:hAnsi="宋体" w:eastAsia="宋体" w:cs="宋体"/>
                <w:bCs/>
                <w:color w:val="auto"/>
                <w:szCs w:val="21"/>
                <w:highlight w:val="none"/>
              </w:rPr>
            </w:pPr>
          </w:p>
        </w:tc>
        <w:tc>
          <w:tcPr>
            <w:tcW w:w="800" w:type="dxa"/>
            <w:shd w:val="clear" w:color="auto" w:fill="auto"/>
            <w:noWrap w:val="0"/>
            <w:vAlign w:val="center"/>
          </w:tcPr>
          <w:p w14:paraId="0545F50F">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9</w:t>
            </w:r>
          </w:p>
        </w:tc>
        <w:tc>
          <w:tcPr>
            <w:tcW w:w="6282" w:type="dxa"/>
            <w:noWrap w:val="0"/>
            <w:vAlign w:val="center"/>
          </w:tcPr>
          <w:p w14:paraId="0E488D8F">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参加政府采购活动近3年内，在经营活动中没有重大违法记录的书面声明</w:t>
            </w:r>
          </w:p>
        </w:tc>
        <w:tc>
          <w:tcPr>
            <w:tcW w:w="780" w:type="dxa"/>
            <w:noWrap w:val="0"/>
            <w:vAlign w:val="top"/>
          </w:tcPr>
          <w:p w14:paraId="2CB0CD36">
            <w:pPr>
              <w:spacing w:line="440" w:lineRule="exact"/>
              <w:jc w:val="left"/>
              <w:outlineLvl w:val="0"/>
              <w:rPr>
                <w:rFonts w:hint="eastAsia" w:ascii="宋体" w:hAnsi="宋体" w:eastAsia="宋体" w:cs="宋体"/>
                <w:bCs/>
                <w:color w:val="auto"/>
                <w:szCs w:val="21"/>
                <w:highlight w:val="none"/>
              </w:rPr>
            </w:pPr>
          </w:p>
        </w:tc>
        <w:tc>
          <w:tcPr>
            <w:tcW w:w="881" w:type="dxa"/>
            <w:noWrap w:val="0"/>
            <w:vAlign w:val="top"/>
          </w:tcPr>
          <w:p w14:paraId="777F2C3F">
            <w:pPr>
              <w:spacing w:line="440" w:lineRule="exact"/>
              <w:jc w:val="left"/>
              <w:outlineLvl w:val="0"/>
              <w:rPr>
                <w:rFonts w:hint="eastAsia" w:ascii="宋体" w:hAnsi="宋体" w:eastAsia="宋体" w:cs="宋体"/>
                <w:bCs/>
                <w:color w:val="auto"/>
                <w:szCs w:val="21"/>
                <w:highlight w:val="none"/>
              </w:rPr>
            </w:pPr>
          </w:p>
        </w:tc>
      </w:tr>
      <w:tr w14:paraId="2E85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79" w:type="dxa"/>
            <w:vMerge w:val="continue"/>
            <w:noWrap w:val="0"/>
            <w:vAlign w:val="center"/>
          </w:tcPr>
          <w:p w14:paraId="15E480B2">
            <w:pPr>
              <w:spacing w:line="440" w:lineRule="exact"/>
              <w:jc w:val="left"/>
              <w:outlineLvl w:val="0"/>
              <w:rPr>
                <w:rFonts w:hint="eastAsia" w:ascii="宋体" w:hAnsi="宋体" w:eastAsia="宋体" w:cs="宋体"/>
                <w:bCs/>
                <w:color w:val="auto"/>
                <w:szCs w:val="21"/>
                <w:highlight w:val="none"/>
              </w:rPr>
            </w:pPr>
          </w:p>
        </w:tc>
        <w:tc>
          <w:tcPr>
            <w:tcW w:w="800" w:type="dxa"/>
            <w:noWrap w:val="0"/>
            <w:vAlign w:val="center"/>
          </w:tcPr>
          <w:p w14:paraId="1081271C">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10</w:t>
            </w:r>
          </w:p>
        </w:tc>
        <w:tc>
          <w:tcPr>
            <w:tcW w:w="6282" w:type="dxa"/>
            <w:noWrap w:val="0"/>
            <w:vAlign w:val="center"/>
          </w:tcPr>
          <w:p w14:paraId="277EB41B">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投标保证金缴纳凭证或投标担保函</w:t>
            </w:r>
          </w:p>
        </w:tc>
        <w:tc>
          <w:tcPr>
            <w:tcW w:w="780" w:type="dxa"/>
            <w:noWrap w:val="0"/>
            <w:vAlign w:val="top"/>
          </w:tcPr>
          <w:p w14:paraId="2C3D730A">
            <w:pPr>
              <w:spacing w:line="440" w:lineRule="exact"/>
              <w:jc w:val="left"/>
              <w:outlineLvl w:val="0"/>
              <w:rPr>
                <w:rFonts w:hint="eastAsia" w:ascii="宋体" w:hAnsi="宋体" w:eastAsia="宋体" w:cs="宋体"/>
                <w:bCs/>
                <w:color w:val="auto"/>
                <w:szCs w:val="21"/>
                <w:highlight w:val="none"/>
              </w:rPr>
            </w:pPr>
          </w:p>
        </w:tc>
        <w:tc>
          <w:tcPr>
            <w:tcW w:w="881" w:type="dxa"/>
            <w:noWrap w:val="0"/>
            <w:vAlign w:val="top"/>
          </w:tcPr>
          <w:p w14:paraId="6803D5A3">
            <w:pPr>
              <w:spacing w:line="440" w:lineRule="exact"/>
              <w:jc w:val="left"/>
              <w:outlineLvl w:val="0"/>
              <w:rPr>
                <w:rFonts w:hint="eastAsia" w:ascii="宋体" w:hAnsi="宋体" w:eastAsia="宋体" w:cs="宋体"/>
                <w:bCs/>
                <w:color w:val="auto"/>
                <w:szCs w:val="21"/>
                <w:highlight w:val="none"/>
              </w:rPr>
            </w:pPr>
          </w:p>
        </w:tc>
      </w:tr>
      <w:tr w14:paraId="4300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79" w:type="dxa"/>
            <w:noWrap w:val="0"/>
            <w:vAlign w:val="center"/>
          </w:tcPr>
          <w:p w14:paraId="5D7F8C4B">
            <w:pPr>
              <w:spacing w:line="440" w:lineRule="exact"/>
              <w:jc w:val="left"/>
              <w:outlineLvl w:val="0"/>
              <w:rPr>
                <w:rFonts w:hint="eastAsia" w:ascii="宋体" w:hAnsi="宋体" w:eastAsia="宋体" w:cs="宋体"/>
                <w:bCs/>
                <w:color w:val="auto"/>
                <w:szCs w:val="21"/>
                <w:highlight w:val="none"/>
              </w:rPr>
            </w:pPr>
          </w:p>
        </w:tc>
        <w:tc>
          <w:tcPr>
            <w:tcW w:w="800" w:type="dxa"/>
            <w:noWrap w:val="0"/>
            <w:vAlign w:val="top"/>
          </w:tcPr>
          <w:p w14:paraId="1936AA6A">
            <w:pPr>
              <w:spacing w:line="440" w:lineRule="exact"/>
              <w:jc w:val="left"/>
              <w:outlineLvl w:val="0"/>
              <w:rPr>
                <w:rFonts w:hint="eastAsia" w:ascii="宋体" w:hAnsi="宋体" w:eastAsia="宋体" w:cs="宋体"/>
                <w:bCs/>
                <w:color w:val="auto"/>
                <w:szCs w:val="21"/>
                <w:highlight w:val="none"/>
              </w:rPr>
            </w:pPr>
          </w:p>
        </w:tc>
        <w:tc>
          <w:tcPr>
            <w:tcW w:w="6282" w:type="dxa"/>
            <w:noWrap w:val="0"/>
            <w:vAlign w:val="top"/>
          </w:tcPr>
          <w:p w14:paraId="6F97A1B0">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结论：是否通过评审（须填写通过或不通过）</w:t>
            </w:r>
          </w:p>
          <w:p w14:paraId="7377E74C">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注：如有一项不合格，作废标处理。</w:t>
            </w:r>
          </w:p>
        </w:tc>
        <w:tc>
          <w:tcPr>
            <w:tcW w:w="1661" w:type="dxa"/>
            <w:gridSpan w:val="2"/>
            <w:noWrap w:val="0"/>
            <w:vAlign w:val="top"/>
          </w:tcPr>
          <w:p w14:paraId="7E9C40EE">
            <w:pPr>
              <w:spacing w:line="440" w:lineRule="exact"/>
              <w:jc w:val="left"/>
              <w:outlineLvl w:val="0"/>
              <w:rPr>
                <w:rFonts w:hint="eastAsia" w:ascii="宋体" w:hAnsi="宋体" w:eastAsia="宋体" w:cs="宋体"/>
                <w:bCs/>
                <w:color w:val="auto"/>
                <w:szCs w:val="21"/>
                <w:highlight w:val="none"/>
              </w:rPr>
            </w:pPr>
          </w:p>
        </w:tc>
      </w:tr>
    </w:tbl>
    <w:p w14:paraId="098A3415">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通过上述资格性检查，可初步判定投标人的投标文件是否符合招标文件的要求。对于上述审查内容，投标人必须响应，否则其投标文件作废标处理。</w:t>
      </w:r>
    </w:p>
    <w:p w14:paraId="6793ECF1">
      <w:pPr>
        <w:pStyle w:val="5"/>
        <w:ind w:firstLine="0"/>
        <w:rPr>
          <w:rFonts w:hint="eastAsia" w:ascii="宋体" w:hAnsi="宋体" w:eastAsia="宋体" w:cs="宋体"/>
          <w:b/>
          <w:color w:val="auto"/>
          <w:sz w:val="32"/>
          <w:szCs w:val="32"/>
          <w:highlight w:val="none"/>
        </w:rPr>
      </w:pPr>
    </w:p>
    <w:p w14:paraId="57B60A4B">
      <w:pPr>
        <w:pStyle w:val="7"/>
        <w:rPr>
          <w:rFonts w:hint="eastAsia" w:ascii="宋体" w:hAnsi="宋体" w:eastAsia="宋体" w:cs="宋体"/>
          <w:color w:val="auto"/>
          <w:highlight w:val="none"/>
        </w:rPr>
      </w:pPr>
    </w:p>
    <w:p w14:paraId="0D44575D">
      <w:pPr>
        <w:rPr>
          <w:rFonts w:hint="eastAsia" w:ascii="宋体" w:hAnsi="宋体" w:eastAsia="宋体" w:cs="宋体"/>
          <w:color w:val="auto"/>
          <w:highlight w:val="none"/>
        </w:rPr>
      </w:pPr>
    </w:p>
    <w:p w14:paraId="285E2FD2">
      <w:pPr>
        <w:rPr>
          <w:rFonts w:hint="eastAsia" w:ascii="宋体" w:hAnsi="宋体" w:eastAsia="宋体" w:cs="宋体"/>
          <w:color w:val="auto"/>
          <w:highlight w:val="none"/>
        </w:rPr>
      </w:pPr>
    </w:p>
    <w:p w14:paraId="4956FB42">
      <w:pPr>
        <w:rPr>
          <w:rFonts w:hint="eastAsia" w:ascii="宋体" w:hAnsi="宋体" w:eastAsia="宋体" w:cs="宋体"/>
          <w:color w:val="auto"/>
          <w:highlight w:val="none"/>
        </w:rPr>
      </w:pPr>
    </w:p>
    <w:p w14:paraId="733C8DE3">
      <w:pPr>
        <w:rPr>
          <w:rFonts w:hint="eastAsia" w:ascii="宋体" w:hAnsi="宋体" w:eastAsia="宋体" w:cs="宋体"/>
          <w:color w:val="auto"/>
          <w:highlight w:val="none"/>
        </w:rPr>
      </w:pPr>
    </w:p>
    <w:p w14:paraId="4F5ED65C">
      <w:pPr>
        <w:rPr>
          <w:rFonts w:hint="eastAsia" w:ascii="宋体" w:hAnsi="宋体" w:eastAsia="宋体" w:cs="宋体"/>
          <w:color w:val="auto"/>
          <w:highlight w:val="none"/>
        </w:rPr>
      </w:pPr>
    </w:p>
    <w:p w14:paraId="1836C015">
      <w:pPr>
        <w:rPr>
          <w:rFonts w:hint="eastAsia" w:ascii="宋体" w:hAnsi="宋体" w:eastAsia="宋体" w:cs="宋体"/>
          <w:color w:val="auto"/>
          <w:highlight w:val="none"/>
        </w:rPr>
      </w:pPr>
    </w:p>
    <w:p w14:paraId="57B94F6E">
      <w:pPr>
        <w:rPr>
          <w:rFonts w:hint="eastAsia" w:ascii="宋体" w:hAnsi="宋体" w:eastAsia="宋体" w:cs="宋体"/>
          <w:color w:val="auto"/>
          <w:highlight w:val="none"/>
        </w:rPr>
      </w:pPr>
    </w:p>
    <w:p w14:paraId="7A1BA971">
      <w:pPr>
        <w:rPr>
          <w:rFonts w:hint="eastAsia" w:ascii="宋体" w:hAnsi="宋体" w:eastAsia="宋体" w:cs="宋体"/>
          <w:color w:val="auto"/>
          <w:highlight w:val="none"/>
        </w:rPr>
      </w:pPr>
    </w:p>
    <w:p w14:paraId="3AEF8884">
      <w:pPr>
        <w:rPr>
          <w:rFonts w:hint="eastAsia" w:ascii="宋体" w:hAnsi="宋体" w:eastAsia="宋体" w:cs="宋体"/>
          <w:color w:val="auto"/>
          <w:highlight w:val="none"/>
        </w:rPr>
      </w:pPr>
    </w:p>
    <w:p w14:paraId="6C1351F4">
      <w:pPr>
        <w:rPr>
          <w:rFonts w:hint="eastAsia" w:ascii="宋体" w:hAnsi="宋体" w:eastAsia="宋体" w:cs="宋体"/>
          <w:color w:val="auto"/>
          <w:highlight w:val="none"/>
        </w:rPr>
      </w:pPr>
    </w:p>
    <w:p w14:paraId="222DBBD0">
      <w:pPr>
        <w:rPr>
          <w:rFonts w:hint="eastAsia" w:ascii="宋体" w:hAnsi="宋体" w:eastAsia="宋体" w:cs="宋体"/>
          <w:color w:val="auto"/>
          <w:highlight w:val="none"/>
        </w:rPr>
      </w:pPr>
    </w:p>
    <w:p w14:paraId="5CD928A1">
      <w:pPr>
        <w:rPr>
          <w:rFonts w:hint="eastAsia" w:ascii="宋体" w:hAnsi="宋体" w:eastAsia="宋体" w:cs="宋体"/>
          <w:color w:val="auto"/>
          <w:highlight w:val="none"/>
        </w:rPr>
      </w:pPr>
    </w:p>
    <w:p w14:paraId="513EB0A3">
      <w:pPr>
        <w:rPr>
          <w:rFonts w:hint="eastAsia" w:ascii="宋体" w:hAnsi="宋体" w:eastAsia="宋体" w:cs="宋体"/>
          <w:color w:val="auto"/>
          <w:highlight w:val="none"/>
        </w:rPr>
      </w:pPr>
    </w:p>
    <w:p w14:paraId="4B71D29E">
      <w:pPr>
        <w:rPr>
          <w:rFonts w:hint="eastAsia" w:ascii="宋体" w:hAnsi="宋体" w:eastAsia="宋体" w:cs="宋体"/>
          <w:color w:val="auto"/>
          <w:highlight w:val="none"/>
        </w:rPr>
      </w:pPr>
    </w:p>
    <w:p w14:paraId="78707F5F">
      <w:pPr>
        <w:rPr>
          <w:rFonts w:hint="eastAsia" w:ascii="宋体" w:hAnsi="宋体" w:eastAsia="宋体" w:cs="宋体"/>
          <w:color w:val="auto"/>
          <w:highlight w:val="none"/>
        </w:rPr>
      </w:pPr>
    </w:p>
    <w:p w14:paraId="7061FA50">
      <w:pPr>
        <w:rPr>
          <w:rFonts w:hint="eastAsia" w:ascii="宋体" w:hAnsi="宋体" w:eastAsia="宋体" w:cs="宋体"/>
          <w:color w:val="auto"/>
          <w:highlight w:val="none"/>
        </w:rPr>
      </w:pPr>
    </w:p>
    <w:p w14:paraId="752E034C">
      <w:pPr>
        <w:rPr>
          <w:rFonts w:hint="eastAsia" w:ascii="宋体" w:hAnsi="宋体" w:eastAsia="宋体" w:cs="宋体"/>
          <w:color w:val="auto"/>
          <w:highlight w:val="none"/>
        </w:rPr>
      </w:pPr>
    </w:p>
    <w:p w14:paraId="054CBEEB">
      <w:pPr>
        <w:rPr>
          <w:rFonts w:hint="eastAsia" w:ascii="宋体" w:hAnsi="宋体" w:eastAsia="宋体" w:cs="宋体"/>
          <w:color w:val="auto"/>
          <w:highlight w:val="none"/>
        </w:rPr>
      </w:pPr>
    </w:p>
    <w:p w14:paraId="3B0FBE61">
      <w:pPr>
        <w:rPr>
          <w:rFonts w:hint="eastAsia" w:ascii="宋体" w:hAnsi="宋体" w:eastAsia="宋体" w:cs="宋体"/>
          <w:color w:val="auto"/>
          <w:highlight w:val="none"/>
        </w:rPr>
      </w:pPr>
    </w:p>
    <w:p w14:paraId="129543F7">
      <w:pPr>
        <w:rPr>
          <w:rFonts w:hint="eastAsia" w:ascii="宋体" w:hAnsi="宋体" w:eastAsia="宋体" w:cs="宋体"/>
          <w:color w:val="auto"/>
          <w:highlight w:val="none"/>
        </w:rPr>
      </w:pPr>
    </w:p>
    <w:p w14:paraId="234C1606">
      <w:pPr>
        <w:rPr>
          <w:rFonts w:hint="eastAsia" w:ascii="宋体" w:hAnsi="宋体" w:eastAsia="宋体" w:cs="宋体"/>
          <w:color w:val="auto"/>
          <w:highlight w:val="none"/>
        </w:rPr>
      </w:pPr>
    </w:p>
    <w:p w14:paraId="34F3D797">
      <w:pPr>
        <w:rPr>
          <w:rFonts w:hint="eastAsia" w:ascii="宋体" w:hAnsi="宋体" w:eastAsia="宋体" w:cs="宋体"/>
          <w:color w:val="auto"/>
          <w:highlight w:val="none"/>
        </w:rPr>
      </w:pPr>
    </w:p>
    <w:p w14:paraId="677F1395">
      <w:pPr>
        <w:rPr>
          <w:rFonts w:hint="eastAsia" w:ascii="宋体" w:hAnsi="宋体" w:eastAsia="宋体" w:cs="宋体"/>
          <w:color w:val="auto"/>
          <w:highlight w:val="none"/>
        </w:rPr>
      </w:pPr>
    </w:p>
    <w:p w14:paraId="4FCBB839">
      <w:pPr>
        <w:rPr>
          <w:rFonts w:hint="eastAsia" w:ascii="宋体" w:hAnsi="宋体" w:eastAsia="宋体" w:cs="宋体"/>
          <w:color w:val="auto"/>
          <w:highlight w:val="none"/>
        </w:rPr>
      </w:pPr>
    </w:p>
    <w:p w14:paraId="61F3FA21">
      <w:pPr>
        <w:rPr>
          <w:rFonts w:hint="eastAsia" w:ascii="宋体" w:hAnsi="宋体" w:eastAsia="宋体" w:cs="宋体"/>
          <w:color w:val="auto"/>
          <w:highlight w:val="none"/>
        </w:rPr>
      </w:pPr>
    </w:p>
    <w:p w14:paraId="718B362C">
      <w:pPr>
        <w:rPr>
          <w:rFonts w:hint="eastAsia" w:ascii="宋体" w:hAnsi="宋体" w:eastAsia="宋体" w:cs="宋体"/>
          <w:color w:val="auto"/>
          <w:highlight w:val="none"/>
        </w:rPr>
      </w:pPr>
    </w:p>
    <w:p w14:paraId="2853653D">
      <w:pPr>
        <w:rPr>
          <w:rFonts w:hint="eastAsia" w:ascii="宋体" w:hAnsi="宋体" w:eastAsia="宋体" w:cs="宋体"/>
          <w:color w:val="auto"/>
          <w:highlight w:val="none"/>
        </w:rPr>
      </w:pPr>
    </w:p>
    <w:p w14:paraId="09553079">
      <w:pPr>
        <w:rPr>
          <w:rFonts w:hint="eastAsia" w:ascii="宋体" w:hAnsi="宋体" w:eastAsia="宋体" w:cs="宋体"/>
          <w:color w:val="auto"/>
          <w:highlight w:val="none"/>
        </w:rPr>
      </w:pPr>
    </w:p>
    <w:p w14:paraId="79B9E64A">
      <w:pPr>
        <w:rPr>
          <w:rFonts w:hint="eastAsia" w:ascii="宋体" w:hAnsi="宋体" w:eastAsia="宋体" w:cs="宋体"/>
          <w:color w:val="auto"/>
          <w:highlight w:val="none"/>
        </w:rPr>
      </w:pPr>
    </w:p>
    <w:p w14:paraId="403AAEF8">
      <w:pPr>
        <w:rPr>
          <w:rFonts w:hint="eastAsia" w:ascii="宋体" w:hAnsi="宋体" w:eastAsia="宋体" w:cs="宋体"/>
          <w:color w:val="auto"/>
          <w:highlight w:val="none"/>
        </w:rPr>
      </w:pPr>
    </w:p>
    <w:p w14:paraId="7CCFC509">
      <w:pPr>
        <w:rPr>
          <w:rFonts w:hint="eastAsia" w:ascii="宋体" w:hAnsi="宋体" w:eastAsia="宋体" w:cs="宋体"/>
          <w:color w:val="auto"/>
          <w:highlight w:val="none"/>
        </w:rPr>
      </w:pPr>
    </w:p>
    <w:p w14:paraId="5C7FC4F0">
      <w:pPr>
        <w:rPr>
          <w:rFonts w:hint="eastAsia" w:ascii="宋体" w:hAnsi="宋体" w:eastAsia="宋体" w:cs="宋体"/>
          <w:color w:val="auto"/>
          <w:highlight w:val="none"/>
        </w:rPr>
      </w:pPr>
    </w:p>
    <w:p w14:paraId="7570E841">
      <w:pPr>
        <w:rPr>
          <w:rFonts w:hint="eastAsia" w:ascii="宋体" w:hAnsi="宋体" w:eastAsia="宋体" w:cs="宋体"/>
          <w:color w:val="auto"/>
          <w:highlight w:val="none"/>
        </w:rPr>
      </w:pPr>
    </w:p>
    <w:p w14:paraId="34612B3F">
      <w:pPr>
        <w:rPr>
          <w:rFonts w:hint="eastAsia" w:ascii="宋体" w:hAnsi="宋体" w:eastAsia="宋体" w:cs="宋体"/>
          <w:color w:val="auto"/>
          <w:highlight w:val="none"/>
        </w:rPr>
      </w:pPr>
    </w:p>
    <w:p w14:paraId="586D3994">
      <w:pPr>
        <w:rPr>
          <w:rFonts w:hint="eastAsia" w:ascii="宋体" w:hAnsi="宋体" w:eastAsia="宋体" w:cs="宋体"/>
          <w:color w:val="auto"/>
          <w:highlight w:val="none"/>
        </w:rPr>
      </w:pPr>
    </w:p>
    <w:p w14:paraId="03A36C94">
      <w:pPr>
        <w:rPr>
          <w:rFonts w:hint="eastAsia" w:ascii="宋体" w:hAnsi="宋体" w:eastAsia="宋体" w:cs="宋体"/>
          <w:color w:val="auto"/>
          <w:highlight w:val="none"/>
        </w:rPr>
      </w:pPr>
    </w:p>
    <w:p w14:paraId="0A009A76">
      <w:pPr>
        <w:rPr>
          <w:rFonts w:hint="eastAsia" w:ascii="宋体" w:hAnsi="宋体" w:eastAsia="宋体" w:cs="宋体"/>
          <w:color w:val="auto"/>
          <w:highlight w:val="none"/>
        </w:rPr>
      </w:pPr>
    </w:p>
    <w:p w14:paraId="5FCEFD18">
      <w:pPr>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符合性检查</w:t>
      </w:r>
    </w:p>
    <w:p w14:paraId="5FFE7E41">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1、符合性检查包含下列内容</w:t>
      </w:r>
    </w:p>
    <w:tbl>
      <w:tblPr>
        <w:tblStyle w:val="35"/>
        <w:tblpPr w:leftFromText="180" w:rightFromText="180" w:vertAnchor="text" w:horzAnchor="margin" w:tblpXSpec="center" w:tblpY="78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598"/>
        <w:gridCol w:w="6090"/>
        <w:gridCol w:w="683"/>
        <w:gridCol w:w="577"/>
      </w:tblGrid>
      <w:tr w14:paraId="4DD15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4" w:space="0"/>
              <w:left w:val="single" w:color="auto" w:sz="4" w:space="0"/>
            </w:tcBorders>
            <w:noWrap w:val="0"/>
            <w:vAlign w:val="center"/>
          </w:tcPr>
          <w:p w14:paraId="1CD1C6CE">
            <w:pPr>
              <w:spacing w:line="440" w:lineRule="exact"/>
              <w:jc w:val="left"/>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项目</w:t>
            </w:r>
          </w:p>
        </w:tc>
        <w:tc>
          <w:tcPr>
            <w:tcW w:w="6688" w:type="dxa"/>
            <w:gridSpan w:val="2"/>
            <w:tcBorders>
              <w:top w:val="single" w:color="auto" w:sz="4" w:space="0"/>
            </w:tcBorders>
            <w:noWrap w:val="0"/>
            <w:vAlign w:val="center"/>
          </w:tcPr>
          <w:p w14:paraId="1DF4F395">
            <w:pPr>
              <w:spacing w:line="440" w:lineRule="exact"/>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评审内容</w:t>
            </w:r>
          </w:p>
        </w:tc>
        <w:tc>
          <w:tcPr>
            <w:tcW w:w="1260" w:type="dxa"/>
            <w:gridSpan w:val="2"/>
            <w:tcBorders>
              <w:top w:val="single" w:color="auto" w:sz="4" w:space="0"/>
              <w:right w:val="single" w:color="auto" w:sz="4" w:space="0"/>
            </w:tcBorders>
            <w:noWrap w:val="0"/>
            <w:vAlign w:val="center"/>
          </w:tcPr>
          <w:p w14:paraId="4902CE01">
            <w:pPr>
              <w:spacing w:line="440" w:lineRule="exact"/>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评审</w:t>
            </w:r>
          </w:p>
          <w:p w14:paraId="5FD84BE5">
            <w:pPr>
              <w:spacing w:line="440" w:lineRule="exact"/>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意见</w:t>
            </w:r>
          </w:p>
        </w:tc>
      </w:tr>
      <w:tr w14:paraId="25F08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828" w:type="dxa"/>
            <w:tcBorders>
              <w:left w:val="single" w:color="auto" w:sz="4" w:space="0"/>
              <w:bottom w:val="single" w:color="auto" w:sz="4" w:space="0"/>
            </w:tcBorders>
            <w:noWrap w:val="0"/>
            <w:vAlign w:val="center"/>
          </w:tcPr>
          <w:p w14:paraId="3ECE466C">
            <w:pPr>
              <w:spacing w:line="440" w:lineRule="exact"/>
              <w:jc w:val="left"/>
              <w:outlineLvl w:val="0"/>
              <w:rPr>
                <w:rFonts w:hint="eastAsia" w:ascii="宋体" w:hAnsi="宋体" w:eastAsia="宋体" w:cs="宋体"/>
                <w:bCs/>
                <w:color w:val="auto"/>
                <w:szCs w:val="21"/>
                <w:highlight w:val="none"/>
              </w:rPr>
            </w:pPr>
          </w:p>
        </w:tc>
        <w:tc>
          <w:tcPr>
            <w:tcW w:w="6688" w:type="dxa"/>
            <w:gridSpan w:val="2"/>
            <w:tcBorders>
              <w:bottom w:val="single" w:color="auto" w:sz="4" w:space="0"/>
            </w:tcBorders>
            <w:noWrap w:val="0"/>
            <w:vAlign w:val="top"/>
          </w:tcPr>
          <w:p w14:paraId="57EA0197">
            <w:pPr>
              <w:spacing w:line="440" w:lineRule="exact"/>
              <w:jc w:val="left"/>
              <w:outlineLvl w:val="0"/>
              <w:rPr>
                <w:rFonts w:hint="eastAsia" w:ascii="宋体" w:hAnsi="宋体" w:eastAsia="宋体" w:cs="宋体"/>
                <w:bCs/>
                <w:color w:val="auto"/>
                <w:szCs w:val="21"/>
                <w:highlight w:val="none"/>
              </w:rPr>
            </w:pPr>
          </w:p>
        </w:tc>
        <w:tc>
          <w:tcPr>
            <w:tcW w:w="683" w:type="dxa"/>
            <w:noWrap w:val="0"/>
            <w:vAlign w:val="center"/>
          </w:tcPr>
          <w:p w14:paraId="6B9E2BDF">
            <w:pPr>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是</w:t>
            </w:r>
          </w:p>
        </w:tc>
        <w:tc>
          <w:tcPr>
            <w:tcW w:w="577" w:type="dxa"/>
            <w:tcBorders>
              <w:right w:val="single" w:color="auto" w:sz="4" w:space="0"/>
            </w:tcBorders>
            <w:noWrap w:val="0"/>
            <w:vAlign w:val="center"/>
          </w:tcPr>
          <w:p w14:paraId="6C779B07">
            <w:pPr>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否</w:t>
            </w:r>
          </w:p>
        </w:tc>
      </w:tr>
      <w:tr w14:paraId="22C37E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828" w:type="dxa"/>
            <w:vMerge w:val="restart"/>
            <w:tcBorders>
              <w:top w:val="single" w:color="auto" w:sz="4" w:space="0"/>
              <w:left w:val="single" w:color="auto" w:sz="4" w:space="0"/>
              <w:right w:val="single" w:color="auto" w:sz="4" w:space="0"/>
            </w:tcBorders>
            <w:noWrap w:val="0"/>
            <w:vAlign w:val="center"/>
          </w:tcPr>
          <w:p w14:paraId="07A1EDE8">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审</w:t>
            </w:r>
          </w:p>
          <w:p w14:paraId="712A560A">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查</w:t>
            </w:r>
          </w:p>
          <w:p w14:paraId="5C6AD0C4">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标</w:t>
            </w:r>
          </w:p>
          <w:p w14:paraId="3F44D0AA">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准</w:t>
            </w:r>
          </w:p>
        </w:tc>
        <w:tc>
          <w:tcPr>
            <w:tcW w:w="598" w:type="dxa"/>
            <w:tcBorders>
              <w:top w:val="single" w:color="auto" w:sz="4" w:space="0"/>
              <w:left w:val="single" w:color="auto" w:sz="4" w:space="0"/>
              <w:right w:val="single" w:color="auto" w:sz="4" w:space="0"/>
            </w:tcBorders>
            <w:noWrap w:val="0"/>
            <w:vAlign w:val="center"/>
          </w:tcPr>
          <w:p w14:paraId="0A5A81A6">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6090" w:type="dxa"/>
            <w:tcBorders>
              <w:top w:val="single" w:color="auto" w:sz="4" w:space="0"/>
              <w:left w:val="single" w:color="auto" w:sz="4" w:space="0"/>
              <w:right w:val="single" w:color="auto" w:sz="4" w:space="0"/>
            </w:tcBorders>
            <w:noWrap w:val="0"/>
            <w:vAlign w:val="top"/>
          </w:tcPr>
          <w:p w14:paraId="6D1EA5D4">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投标报价高于设定的采购预算价的；</w:t>
            </w:r>
          </w:p>
        </w:tc>
        <w:tc>
          <w:tcPr>
            <w:tcW w:w="683" w:type="dxa"/>
            <w:tcBorders>
              <w:left w:val="single" w:color="auto" w:sz="4" w:space="0"/>
              <w:right w:val="single" w:color="auto" w:sz="4" w:space="0"/>
            </w:tcBorders>
            <w:noWrap w:val="0"/>
            <w:vAlign w:val="top"/>
          </w:tcPr>
          <w:p w14:paraId="2C908A29">
            <w:pPr>
              <w:spacing w:line="440" w:lineRule="exact"/>
              <w:jc w:val="left"/>
              <w:outlineLvl w:val="0"/>
              <w:rPr>
                <w:rFonts w:hint="eastAsia" w:ascii="宋体" w:hAnsi="宋体" w:eastAsia="宋体" w:cs="宋体"/>
                <w:bCs/>
                <w:color w:val="auto"/>
                <w:szCs w:val="21"/>
                <w:highlight w:val="none"/>
              </w:rPr>
            </w:pPr>
          </w:p>
        </w:tc>
        <w:tc>
          <w:tcPr>
            <w:tcW w:w="577" w:type="dxa"/>
            <w:tcBorders>
              <w:left w:val="single" w:color="auto" w:sz="4" w:space="0"/>
              <w:right w:val="single" w:color="auto" w:sz="4" w:space="0"/>
            </w:tcBorders>
            <w:noWrap w:val="0"/>
            <w:vAlign w:val="top"/>
          </w:tcPr>
          <w:p w14:paraId="7B061916">
            <w:pPr>
              <w:spacing w:line="440" w:lineRule="exact"/>
              <w:jc w:val="left"/>
              <w:outlineLvl w:val="0"/>
              <w:rPr>
                <w:rFonts w:hint="eastAsia" w:ascii="宋体" w:hAnsi="宋体" w:eastAsia="宋体" w:cs="宋体"/>
                <w:bCs/>
                <w:color w:val="auto"/>
                <w:szCs w:val="21"/>
                <w:highlight w:val="none"/>
              </w:rPr>
            </w:pPr>
          </w:p>
        </w:tc>
      </w:tr>
      <w:tr w14:paraId="194B1F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828" w:type="dxa"/>
            <w:vMerge w:val="continue"/>
            <w:tcBorders>
              <w:left w:val="single" w:color="auto" w:sz="4" w:space="0"/>
              <w:right w:val="single" w:color="auto" w:sz="4" w:space="0"/>
            </w:tcBorders>
            <w:noWrap w:val="0"/>
            <w:vAlign w:val="center"/>
          </w:tcPr>
          <w:p w14:paraId="69ECB920">
            <w:pPr>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18AA12DF">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6090" w:type="dxa"/>
            <w:tcBorders>
              <w:left w:val="single" w:color="auto" w:sz="4" w:space="0"/>
              <w:bottom w:val="single" w:color="auto" w:sz="4" w:space="0"/>
              <w:right w:val="single" w:color="auto" w:sz="4" w:space="0"/>
            </w:tcBorders>
            <w:noWrap w:val="0"/>
            <w:vAlign w:val="top"/>
          </w:tcPr>
          <w:p w14:paraId="5CD8915E">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投标人对同一招标项目作出两个以上报价未明确效力的；</w:t>
            </w:r>
          </w:p>
        </w:tc>
        <w:tc>
          <w:tcPr>
            <w:tcW w:w="683" w:type="dxa"/>
            <w:tcBorders>
              <w:left w:val="single" w:color="auto" w:sz="4" w:space="0"/>
              <w:right w:val="single" w:color="auto" w:sz="4" w:space="0"/>
            </w:tcBorders>
            <w:noWrap w:val="0"/>
            <w:vAlign w:val="top"/>
          </w:tcPr>
          <w:p w14:paraId="45007026">
            <w:pPr>
              <w:spacing w:line="440" w:lineRule="exact"/>
              <w:jc w:val="left"/>
              <w:outlineLvl w:val="0"/>
              <w:rPr>
                <w:rFonts w:hint="eastAsia" w:ascii="宋体" w:hAnsi="宋体" w:eastAsia="宋体" w:cs="宋体"/>
                <w:bCs/>
                <w:color w:val="auto"/>
                <w:szCs w:val="21"/>
                <w:highlight w:val="none"/>
              </w:rPr>
            </w:pPr>
          </w:p>
        </w:tc>
        <w:tc>
          <w:tcPr>
            <w:tcW w:w="577" w:type="dxa"/>
            <w:tcBorders>
              <w:left w:val="single" w:color="auto" w:sz="4" w:space="0"/>
              <w:right w:val="single" w:color="auto" w:sz="4" w:space="0"/>
            </w:tcBorders>
            <w:noWrap w:val="0"/>
            <w:vAlign w:val="top"/>
          </w:tcPr>
          <w:p w14:paraId="3EFDD31B">
            <w:pPr>
              <w:spacing w:line="440" w:lineRule="exact"/>
              <w:jc w:val="left"/>
              <w:outlineLvl w:val="0"/>
              <w:rPr>
                <w:rFonts w:hint="eastAsia" w:ascii="宋体" w:hAnsi="宋体" w:eastAsia="宋体" w:cs="宋体"/>
                <w:bCs/>
                <w:color w:val="auto"/>
                <w:szCs w:val="21"/>
                <w:highlight w:val="none"/>
              </w:rPr>
            </w:pPr>
          </w:p>
        </w:tc>
      </w:tr>
      <w:tr w14:paraId="645E7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0"/>
            <w:vAlign w:val="center"/>
          </w:tcPr>
          <w:p w14:paraId="6642CF22">
            <w:pPr>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306A54C5">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2749A5DA">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未按招标文件规定的格式填写，内容不全或关键字迹模糊、无法辨认的；</w:t>
            </w:r>
          </w:p>
        </w:tc>
        <w:tc>
          <w:tcPr>
            <w:tcW w:w="683" w:type="dxa"/>
            <w:tcBorders>
              <w:left w:val="single" w:color="auto" w:sz="4" w:space="0"/>
            </w:tcBorders>
            <w:noWrap w:val="0"/>
            <w:vAlign w:val="top"/>
          </w:tcPr>
          <w:p w14:paraId="16389BE4">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39B64B26">
            <w:pPr>
              <w:spacing w:line="440" w:lineRule="exact"/>
              <w:jc w:val="left"/>
              <w:outlineLvl w:val="0"/>
              <w:rPr>
                <w:rFonts w:hint="eastAsia" w:ascii="宋体" w:hAnsi="宋体" w:eastAsia="宋体" w:cs="宋体"/>
                <w:bCs/>
                <w:color w:val="auto"/>
                <w:szCs w:val="21"/>
                <w:highlight w:val="none"/>
              </w:rPr>
            </w:pPr>
          </w:p>
        </w:tc>
      </w:tr>
      <w:tr w14:paraId="1DF9F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0"/>
            <w:vAlign w:val="center"/>
          </w:tcPr>
          <w:p w14:paraId="61AC7862">
            <w:pPr>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30F9E109">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2BE604AE">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投标人名称、组织机构与资格预审时不符，涉嫌以他人名义投标的；</w:t>
            </w:r>
          </w:p>
        </w:tc>
        <w:tc>
          <w:tcPr>
            <w:tcW w:w="683" w:type="dxa"/>
            <w:tcBorders>
              <w:left w:val="single" w:color="auto" w:sz="4" w:space="0"/>
            </w:tcBorders>
            <w:noWrap w:val="0"/>
            <w:vAlign w:val="top"/>
          </w:tcPr>
          <w:p w14:paraId="044861CC">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6E9CF7E7">
            <w:pPr>
              <w:spacing w:line="440" w:lineRule="exact"/>
              <w:jc w:val="left"/>
              <w:outlineLvl w:val="0"/>
              <w:rPr>
                <w:rFonts w:hint="eastAsia" w:ascii="宋体" w:hAnsi="宋体" w:eastAsia="宋体" w:cs="宋体"/>
                <w:bCs/>
                <w:color w:val="auto"/>
                <w:szCs w:val="21"/>
                <w:highlight w:val="none"/>
              </w:rPr>
            </w:pPr>
          </w:p>
        </w:tc>
      </w:tr>
      <w:tr w14:paraId="4DCBA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0"/>
            <w:vAlign w:val="center"/>
          </w:tcPr>
          <w:p w14:paraId="509FBD9F">
            <w:pPr>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tcBorders>
            <w:noWrap w:val="0"/>
            <w:vAlign w:val="center"/>
          </w:tcPr>
          <w:p w14:paraId="44308A2E">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p>
        </w:tc>
        <w:tc>
          <w:tcPr>
            <w:tcW w:w="6090" w:type="dxa"/>
            <w:tcBorders>
              <w:right w:val="single" w:color="auto" w:sz="4" w:space="0"/>
            </w:tcBorders>
            <w:noWrap w:val="0"/>
            <w:vAlign w:val="top"/>
          </w:tcPr>
          <w:p w14:paraId="557A0278">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评标委员会共同确定有实质上不响应招标文件要求的；</w:t>
            </w:r>
          </w:p>
        </w:tc>
        <w:tc>
          <w:tcPr>
            <w:tcW w:w="683" w:type="dxa"/>
            <w:tcBorders>
              <w:left w:val="single" w:color="auto" w:sz="4" w:space="0"/>
            </w:tcBorders>
            <w:noWrap w:val="0"/>
            <w:vAlign w:val="top"/>
          </w:tcPr>
          <w:p w14:paraId="653F9CBC">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36EB0DF2">
            <w:pPr>
              <w:spacing w:line="440" w:lineRule="exact"/>
              <w:jc w:val="left"/>
              <w:outlineLvl w:val="0"/>
              <w:rPr>
                <w:rFonts w:hint="eastAsia" w:ascii="宋体" w:hAnsi="宋体" w:eastAsia="宋体" w:cs="宋体"/>
                <w:bCs/>
                <w:color w:val="auto"/>
                <w:szCs w:val="21"/>
                <w:highlight w:val="none"/>
              </w:rPr>
            </w:pPr>
          </w:p>
        </w:tc>
      </w:tr>
      <w:tr w14:paraId="533188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828" w:type="dxa"/>
            <w:vMerge w:val="continue"/>
            <w:tcBorders>
              <w:left w:val="single" w:color="auto" w:sz="4" w:space="0"/>
              <w:right w:val="single" w:color="auto" w:sz="4" w:space="0"/>
            </w:tcBorders>
            <w:noWrap w:val="0"/>
            <w:vAlign w:val="center"/>
          </w:tcPr>
          <w:p w14:paraId="09DD95DE">
            <w:pPr>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bottom w:val="single" w:color="auto" w:sz="4" w:space="0"/>
            </w:tcBorders>
            <w:noWrap w:val="0"/>
            <w:vAlign w:val="center"/>
          </w:tcPr>
          <w:p w14:paraId="31712E1C">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w:t>
            </w:r>
          </w:p>
        </w:tc>
        <w:tc>
          <w:tcPr>
            <w:tcW w:w="6090" w:type="dxa"/>
            <w:tcBorders>
              <w:bottom w:val="single" w:color="auto" w:sz="4" w:space="0"/>
              <w:right w:val="single" w:color="auto" w:sz="4" w:space="0"/>
            </w:tcBorders>
            <w:noWrap w:val="0"/>
            <w:vAlign w:val="top"/>
          </w:tcPr>
          <w:p w14:paraId="496159DC">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投标文件没有投标单位法定代表人或其授权代表签字（章）和加盖投标单位公章的；</w:t>
            </w:r>
          </w:p>
        </w:tc>
        <w:tc>
          <w:tcPr>
            <w:tcW w:w="683" w:type="dxa"/>
            <w:tcBorders>
              <w:left w:val="single" w:color="auto" w:sz="4" w:space="0"/>
              <w:bottom w:val="single" w:color="auto" w:sz="4" w:space="0"/>
            </w:tcBorders>
            <w:noWrap w:val="0"/>
            <w:vAlign w:val="top"/>
          </w:tcPr>
          <w:p w14:paraId="2291E6F1">
            <w:pPr>
              <w:spacing w:line="440" w:lineRule="exact"/>
              <w:jc w:val="left"/>
              <w:outlineLvl w:val="0"/>
              <w:rPr>
                <w:rFonts w:hint="eastAsia" w:ascii="宋体" w:hAnsi="宋体" w:eastAsia="宋体" w:cs="宋体"/>
                <w:bCs/>
                <w:color w:val="auto"/>
                <w:szCs w:val="21"/>
                <w:highlight w:val="none"/>
              </w:rPr>
            </w:pPr>
          </w:p>
        </w:tc>
        <w:tc>
          <w:tcPr>
            <w:tcW w:w="577" w:type="dxa"/>
            <w:tcBorders>
              <w:bottom w:val="single" w:color="auto" w:sz="4" w:space="0"/>
              <w:right w:val="single" w:color="auto" w:sz="4" w:space="0"/>
            </w:tcBorders>
            <w:noWrap w:val="0"/>
            <w:vAlign w:val="top"/>
          </w:tcPr>
          <w:p w14:paraId="2E7DFF77">
            <w:pPr>
              <w:spacing w:line="440" w:lineRule="exact"/>
              <w:jc w:val="left"/>
              <w:outlineLvl w:val="0"/>
              <w:rPr>
                <w:rFonts w:hint="eastAsia" w:ascii="宋体" w:hAnsi="宋体" w:eastAsia="宋体" w:cs="宋体"/>
                <w:bCs/>
                <w:color w:val="auto"/>
                <w:szCs w:val="21"/>
                <w:highlight w:val="none"/>
              </w:rPr>
            </w:pPr>
          </w:p>
        </w:tc>
      </w:tr>
      <w:tr w14:paraId="660D7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828" w:type="dxa"/>
            <w:vMerge w:val="continue"/>
            <w:tcBorders>
              <w:left w:val="single" w:color="auto" w:sz="4" w:space="0"/>
              <w:right w:val="single" w:color="auto" w:sz="4" w:space="0"/>
            </w:tcBorders>
            <w:noWrap w:val="0"/>
            <w:vAlign w:val="center"/>
          </w:tcPr>
          <w:p w14:paraId="29B05418">
            <w:pPr>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4B32662F">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04EA9B33">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投标的政府采购项目完成期限超过招标文件规定期限的；</w:t>
            </w:r>
          </w:p>
        </w:tc>
        <w:tc>
          <w:tcPr>
            <w:tcW w:w="683" w:type="dxa"/>
            <w:tcBorders>
              <w:top w:val="single" w:color="auto" w:sz="4" w:space="0"/>
              <w:left w:val="single" w:color="auto" w:sz="4" w:space="0"/>
              <w:bottom w:val="single" w:color="auto" w:sz="4" w:space="0"/>
              <w:right w:val="single" w:color="auto" w:sz="4" w:space="0"/>
            </w:tcBorders>
            <w:noWrap w:val="0"/>
            <w:vAlign w:val="top"/>
          </w:tcPr>
          <w:p w14:paraId="133995AE">
            <w:pPr>
              <w:spacing w:line="440" w:lineRule="exact"/>
              <w:jc w:val="left"/>
              <w:outlineLvl w:val="0"/>
              <w:rPr>
                <w:rFonts w:hint="eastAsia" w:ascii="宋体" w:hAnsi="宋体" w:eastAsia="宋体" w:cs="宋体"/>
                <w:bCs/>
                <w:color w:val="auto"/>
                <w:szCs w:val="21"/>
                <w:highlight w:val="none"/>
              </w:rPr>
            </w:pPr>
          </w:p>
        </w:tc>
        <w:tc>
          <w:tcPr>
            <w:tcW w:w="577" w:type="dxa"/>
            <w:tcBorders>
              <w:top w:val="single" w:color="auto" w:sz="4" w:space="0"/>
              <w:left w:val="single" w:color="auto" w:sz="4" w:space="0"/>
              <w:bottom w:val="single" w:color="auto" w:sz="4" w:space="0"/>
              <w:right w:val="single" w:color="auto" w:sz="4" w:space="0"/>
            </w:tcBorders>
            <w:noWrap w:val="0"/>
            <w:vAlign w:val="top"/>
          </w:tcPr>
          <w:p w14:paraId="74BDB502">
            <w:pPr>
              <w:spacing w:line="440" w:lineRule="exact"/>
              <w:jc w:val="left"/>
              <w:outlineLvl w:val="0"/>
              <w:rPr>
                <w:rFonts w:hint="eastAsia" w:ascii="宋体" w:hAnsi="宋体" w:eastAsia="宋体" w:cs="宋体"/>
                <w:bCs/>
                <w:color w:val="auto"/>
                <w:szCs w:val="21"/>
                <w:highlight w:val="none"/>
              </w:rPr>
            </w:pPr>
          </w:p>
        </w:tc>
      </w:tr>
      <w:tr w14:paraId="1550A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828" w:type="dxa"/>
            <w:vMerge w:val="continue"/>
            <w:tcBorders>
              <w:left w:val="single" w:color="auto" w:sz="4" w:space="0"/>
              <w:right w:val="single" w:color="auto" w:sz="4" w:space="0"/>
            </w:tcBorders>
            <w:noWrap w:val="0"/>
            <w:vAlign w:val="center"/>
          </w:tcPr>
          <w:p w14:paraId="1676DA70">
            <w:pPr>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tcBorders>
            <w:noWrap w:val="0"/>
            <w:vAlign w:val="center"/>
          </w:tcPr>
          <w:p w14:paraId="3C5D3EF2">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w:t>
            </w:r>
          </w:p>
        </w:tc>
        <w:tc>
          <w:tcPr>
            <w:tcW w:w="6090" w:type="dxa"/>
            <w:tcBorders>
              <w:right w:val="single" w:color="auto" w:sz="4" w:space="0"/>
            </w:tcBorders>
            <w:noWrap w:val="0"/>
            <w:vAlign w:val="top"/>
          </w:tcPr>
          <w:p w14:paraId="7DC55FB2">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投标文件附有采购人不能接受条件的；</w:t>
            </w:r>
          </w:p>
        </w:tc>
        <w:tc>
          <w:tcPr>
            <w:tcW w:w="683" w:type="dxa"/>
            <w:tcBorders>
              <w:left w:val="single" w:color="auto" w:sz="4" w:space="0"/>
            </w:tcBorders>
            <w:noWrap w:val="0"/>
            <w:vAlign w:val="top"/>
          </w:tcPr>
          <w:p w14:paraId="7BA232D5">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7EF8E369">
            <w:pPr>
              <w:spacing w:line="440" w:lineRule="exact"/>
              <w:jc w:val="left"/>
              <w:outlineLvl w:val="0"/>
              <w:rPr>
                <w:rFonts w:hint="eastAsia" w:ascii="宋体" w:hAnsi="宋体" w:eastAsia="宋体" w:cs="宋体"/>
                <w:bCs/>
                <w:color w:val="auto"/>
                <w:szCs w:val="21"/>
                <w:highlight w:val="none"/>
              </w:rPr>
            </w:pPr>
          </w:p>
        </w:tc>
      </w:tr>
      <w:tr w14:paraId="4121E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0"/>
            <w:vAlign w:val="center"/>
          </w:tcPr>
          <w:p w14:paraId="25319005">
            <w:pPr>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tcBorders>
            <w:noWrap w:val="0"/>
            <w:vAlign w:val="center"/>
          </w:tcPr>
          <w:p w14:paraId="2FA39A16">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w:t>
            </w:r>
          </w:p>
        </w:tc>
        <w:tc>
          <w:tcPr>
            <w:tcW w:w="6090" w:type="dxa"/>
            <w:tcBorders>
              <w:right w:val="single" w:color="auto" w:sz="4" w:space="0"/>
            </w:tcBorders>
            <w:noWrap w:val="0"/>
            <w:vAlign w:val="top"/>
          </w:tcPr>
          <w:p w14:paraId="0F1421E0">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不满足招标文件实质性要求的其他情形</w:t>
            </w:r>
          </w:p>
        </w:tc>
        <w:tc>
          <w:tcPr>
            <w:tcW w:w="683" w:type="dxa"/>
            <w:tcBorders>
              <w:left w:val="single" w:color="auto" w:sz="4" w:space="0"/>
            </w:tcBorders>
            <w:noWrap w:val="0"/>
            <w:vAlign w:val="top"/>
          </w:tcPr>
          <w:p w14:paraId="0CFEFAC3">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18AF80BB">
            <w:pPr>
              <w:spacing w:line="440" w:lineRule="exact"/>
              <w:jc w:val="left"/>
              <w:outlineLvl w:val="0"/>
              <w:rPr>
                <w:rFonts w:hint="eastAsia" w:ascii="宋体" w:hAnsi="宋体" w:eastAsia="宋体" w:cs="宋体"/>
                <w:bCs/>
                <w:color w:val="auto"/>
                <w:szCs w:val="21"/>
                <w:highlight w:val="none"/>
              </w:rPr>
            </w:pPr>
          </w:p>
        </w:tc>
      </w:tr>
      <w:tr w14:paraId="7860E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828" w:type="dxa"/>
            <w:tcBorders>
              <w:left w:val="single" w:color="auto" w:sz="4" w:space="0"/>
              <w:bottom w:val="single" w:color="auto" w:sz="4" w:space="0"/>
              <w:right w:val="single" w:color="auto" w:sz="4" w:space="0"/>
            </w:tcBorders>
            <w:noWrap w:val="0"/>
            <w:vAlign w:val="center"/>
          </w:tcPr>
          <w:p w14:paraId="5BDB4FE7">
            <w:pPr>
              <w:spacing w:line="440" w:lineRule="exact"/>
              <w:jc w:val="left"/>
              <w:outlineLvl w:val="0"/>
              <w:rPr>
                <w:rFonts w:hint="eastAsia" w:ascii="宋体" w:hAnsi="宋体" w:eastAsia="宋体" w:cs="宋体"/>
                <w:bCs/>
                <w:color w:val="auto"/>
                <w:szCs w:val="21"/>
                <w:highlight w:val="none"/>
              </w:rPr>
            </w:pPr>
          </w:p>
        </w:tc>
        <w:tc>
          <w:tcPr>
            <w:tcW w:w="6688" w:type="dxa"/>
            <w:gridSpan w:val="2"/>
            <w:tcBorders>
              <w:left w:val="single" w:color="auto" w:sz="4" w:space="0"/>
              <w:bottom w:val="single" w:color="auto" w:sz="4" w:space="0"/>
              <w:right w:val="single" w:color="auto" w:sz="4" w:space="0"/>
            </w:tcBorders>
            <w:noWrap w:val="0"/>
            <w:vAlign w:val="top"/>
          </w:tcPr>
          <w:p w14:paraId="2BB4A9C1">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结论：是否通过评审（须填写通过或不通过）</w:t>
            </w:r>
          </w:p>
          <w:p w14:paraId="6E8ADDDD">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注：如有一项不合格，作废标处理。</w:t>
            </w:r>
          </w:p>
        </w:tc>
        <w:tc>
          <w:tcPr>
            <w:tcW w:w="1260" w:type="dxa"/>
            <w:gridSpan w:val="2"/>
            <w:tcBorders>
              <w:left w:val="single" w:color="auto" w:sz="4" w:space="0"/>
              <w:bottom w:val="single" w:color="auto" w:sz="4" w:space="0"/>
              <w:right w:val="single" w:color="auto" w:sz="4" w:space="0"/>
            </w:tcBorders>
            <w:noWrap w:val="0"/>
            <w:vAlign w:val="top"/>
          </w:tcPr>
          <w:p w14:paraId="51BADC81">
            <w:pPr>
              <w:spacing w:line="440" w:lineRule="exact"/>
              <w:jc w:val="left"/>
              <w:outlineLvl w:val="0"/>
              <w:rPr>
                <w:rFonts w:hint="eastAsia" w:ascii="宋体" w:hAnsi="宋体" w:eastAsia="宋体" w:cs="宋体"/>
                <w:bCs/>
                <w:color w:val="auto"/>
                <w:szCs w:val="21"/>
                <w:highlight w:val="none"/>
              </w:rPr>
            </w:pPr>
          </w:p>
        </w:tc>
      </w:tr>
    </w:tbl>
    <w:p w14:paraId="45EA7318">
      <w:pPr>
        <w:pStyle w:val="10"/>
        <w:tabs>
          <w:tab w:val="clear" w:pos="567"/>
        </w:tabs>
        <w:spacing w:before="0" w:line="360" w:lineRule="auto"/>
        <w:rPr>
          <w:rFonts w:hint="eastAsia" w:ascii="宋体" w:hAnsi="宋体" w:eastAsia="宋体" w:cs="宋体"/>
          <w:color w:val="auto"/>
          <w:highlight w:val="none"/>
        </w:rPr>
      </w:pPr>
    </w:p>
    <w:p w14:paraId="7369567C">
      <w:pPr>
        <w:pStyle w:val="3"/>
        <w:keepNext w:val="0"/>
        <w:keepLines w:val="0"/>
        <w:spacing w:before="0" w:line="240" w:lineRule="atLeast"/>
        <w:ind w:left="1080" w:leftChars="257" w:hanging="540"/>
        <w:rPr>
          <w:rFonts w:hint="eastAsia" w:ascii="宋体" w:hAnsi="宋体" w:eastAsia="宋体" w:cs="宋体"/>
          <w:color w:val="auto"/>
          <w:highlight w:val="none"/>
        </w:rPr>
      </w:pPr>
      <w:r>
        <w:rPr>
          <w:rFonts w:hint="eastAsia" w:ascii="宋体" w:hAnsi="宋体" w:eastAsia="宋体" w:cs="宋体"/>
          <w:b w:val="0"/>
          <w:bCs/>
          <w:color w:val="auto"/>
          <w:sz w:val="40"/>
          <w:szCs w:val="40"/>
          <w:highlight w:val="none"/>
        </w:rPr>
        <w:br w:type="page"/>
      </w:r>
      <w:r>
        <w:rPr>
          <w:rFonts w:hint="eastAsia" w:ascii="宋体" w:hAnsi="宋体" w:eastAsia="宋体" w:cs="宋体"/>
          <w:color w:val="auto"/>
          <w:sz w:val="28"/>
          <w:szCs w:val="21"/>
          <w:highlight w:val="none"/>
        </w:rPr>
        <w:t>综合评分表</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486"/>
        <w:gridCol w:w="6130"/>
        <w:gridCol w:w="977"/>
      </w:tblGrid>
      <w:tr w14:paraId="213A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31" w:type="pct"/>
            <w:noWrap w:val="0"/>
            <w:vAlign w:val="center"/>
          </w:tcPr>
          <w:p w14:paraId="446BD65F">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宋体" w:hAnsi="宋体" w:eastAsia="宋体" w:cs="宋体"/>
                <w:b/>
                <w:bCs w:val="0"/>
                <w:color w:val="auto"/>
                <w:sz w:val="21"/>
                <w:szCs w:val="21"/>
                <w:highlight w:val="none"/>
                <w:lang w:val="en-US" w:eastAsia="zh-CN"/>
              </w:rPr>
            </w:pPr>
            <w:bookmarkStart w:id="403" w:name="_Toc507399904"/>
            <w:r>
              <w:rPr>
                <w:rFonts w:hint="eastAsia" w:ascii="宋体" w:hAnsi="宋体" w:eastAsia="宋体" w:cs="宋体"/>
                <w:b/>
                <w:bCs w:val="0"/>
                <w:color w:val="auto"/>
                <w:sz w:val="21"/>
                <w:szCs w:val="21"/>
                <w:highlight w:val="none"/>
                <w:lang w:val="en-US" w:eastAsia="zh-CN"/>
              </w:rPr>
              <w:t>类型</w:t>
            </w:r>
          </w:p>
        </w:tc>
        <w:tc>
          <w:tcPr>
            <w:tcW w:w="286" w:type="pct"/>
            <w:noWrap w:val="0"/>
            <w:vAlign w:val="center"/>
          </w:tcPr>
          <w:p w14:paraId="2C43DF89">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分值</w:t>
            </w:r>
          </w:p>
        </w:tc>
        <w:tc>
          <w:tcPr>
            <w:tcW w:w="3607" w:type="pct"/>
            <w:noWrap w:val="0"/>
            <w:vAlign w:val="center"/>
          </w:tcPr>
          <w:p w14:paraId="15CE6483">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p w14:paraId="5B540442">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 xml:space="preserve">价格：30分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商务：</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 xml:space="preserve">分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技术：</w:t>
            </w:r>
            <w:r>
              <w:rPr>
                <w:rFonts w:hint="eastAsia" w:ascii="宋体" w:hAnsi="宋体" w:eastAsia="宋体" w:cs="宋体"/>
                <w:b/>
                <w:bCs/>
                <w:color w:val="auto"/>
                <w:sz w:val="21"/>
                <w:szCs w:val="21"/>
                <w:highlight w:val="none"/>
                <w:lang w:val="en-US" w:eastAsia="zh-CN"/>
              </w:rPr>
              <w:t>6</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 xml:space="preserve">分       </w:t>
            </w:r>
            <w:r>
              <w:rPr>
                <w:rFonts w:hint="eastAsia" w:ascii="宋体" w:hAnsi="宋体" w:eastAsia="宋体" w:cs="宋体"/>
                <w:color w:val="auto"/>
                <w:sz w:val="21"/>
                <w:szCs w:val="21"/>
                <w:highlight w:val="none"/>
              </w:rPr>
              <w:t xml:space="preserve">       </w:t>
            </w:r>
          </w:p>
        </w:tc>
        <w:tc>
          <w:tcPr>
            <w:tcW w:w="575" w:type="pct"/>
            <w:noWrap w:val="0"/>
            <w:vAlign w:val="center"/>
          </w:tcPr>
          <w:p w14:paraId="1F2F7144">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说明</w:t>
            </w:r>
          </w:p>
        </w:tc>
      </w:tr>
      <w:tr w14:paraId="498C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531" w:type="pct"/>
            <w:noWrap w:val="0"/>
            <w:vAlign w:val="center"/>
          </w:tcPr>
          <w:p w14:paraId="651803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价格评分标准（30分）</w:t>
            </w:r>
          </w:p>
        </w:tc>
        <w:tc>
          <w:tcPr>
            <w:tcW w:w="286" w:type="pct"/>
            <w:noWrap w:val="0"/>
            <w:vAlign w:val="center"/>
          </w:tcPr>
          <w:p w14:paraId="13E9F8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30</w:t>
            </w:r>
          </w:p>
        </w:tc>
        <w:tc>
          <w:tcPr>
            <w:tcW w:w="3607" w:type="pct"/>
            <w:noWrap w:val="0"/>
            <w:vAlign w:val="center"/>
          </w:tcPr>
          <w:p w14:paraId="1265AB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投标报价</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完全满足招标文件</w:t>
            </w:r>
            <w:r>
              <w:rPr>
                <w:rFonts w:hint="eastAsia" w:ascii="宋体" w:hAnsi="宋体" w:eastAsia="宋体" w:cs="宋体"/>
                <w:color w:val="auto"/>
                <w:sz w:val="21"/>
                <w:szCs w:val="21"/>
                <w:highlight w:val="none"/>
                <w:lang w:val="en-US" w:eastAsia="zh-CN"/>
              </w:rPr>
              <w:t>实质性要求</w:t>
            </w:r>
            <w:r>
              <w:rPr>
                <w:rFonts w:hint="eastAsia" w:ascii="宋体" w:hAnsi="宋体" w:eastAsia="宋体" w:cs="宋体"/>
                <w:color w:val="auto"/>
                <w:sz w:val="21"/>
                <w:szCs w:val="21"/>
                <w:highlight w:val="none"/>
              </w:rPr>
              <w:t>的投标报价中的最低价为评标基准价，按照下列公式计算每个供应商的投标价格得分。投标报价得分＝（基准价/投标报价）×价格权重×100。</w:t>
            </w:r>
          </w:p>
          <w:p w14:paraId="251226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根据《政府采购促进中小企业发展管理办法》（财库﹝2020﹞46号）、《关于进一步加大政府采购支持中小企业力度的通知》（财库〔2022〕19号）的规定，对小型和微型企业给予10%的价格扣除，用扣除后的价格参与评标，提供相关证明资料，否则无效。残疾人福利性单位属于小型、微型企业的，不重复享受政策。）</w:t>
            </w:r>
          </w:p>
        </w:tc>
        <w:tc>
          <w:tcPr>
            <w:tcW w:w="575" w:type="pct"/>
            <w:noWrap w:val="0"/>
            <w:vAlign w:val="center"/>
          </w:tcPr>
          <w:p w14:paraId="4B348B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投标报价超过采购</w:t>
            </w:r>
            <w:r>
              <w:rPr>
                <w:rFonts w:hint="eastAsia" w:ascii="宋体" w:hAnsi="宋体" w:eastAsia="宋体" w:cs="宋体"/>
                <w:b/>
                <w:bCs/>
                <w:color w:val="auto"/>
                <w:sz w:val="21"/>
                <w:szCs w:val="21"/>
                <w:highlight w:val="none"/>
                <w:lang w:val="en-US" w:eastAsia="zh-CN"/>
              </w:rPr>
              <w:t>最高限价</w:t>
            </w:r>
            <w:r>
              <w:rPr>
                <w:rFonts w:hint="eastAsia" w:ascii="宋体" w:hAnsi="宋体" w:eastAsia="宋体" w:cs="宋体"/>
                <w:b/>
                <w:bCs/>
                <w:color w:val="auto"/>
                <w:sz w:val="21"/>
                <w:szCs w:val="21"/>
                <w:highlight w:val="none"/>
              </w:rPr>
              <w:t>的按废标处理</w:t>
            </w:r>
          </w:p>
        </w:tc>
      </w:tr>
      <w:tr w14:paraId="76A41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531" w:type="pct"/>
            <w:vMerge w:val="restart"/>
            <w:noWrap w:val="0"/>
            <w:vAlign w:val="center"/>
          </w:tcPr>
          <w:p w14:paraId="271D01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商务评分标准（</w:t>
            </w:r>
            <w:r>
              <w:rPr>
                <w:rFonts w:hint="eastAsia" w:ascii="宋体" w:hAnsi="宋体" w:cs="宋体"/>
                <w:b/>
                <w:bCs w:val="0"/>
                <w:color w:val="auto"/>
                <w:sz w:val="21"/>
                <w:szCs w:val="21"/>
                <w:highlight w:val="none"/>
                <w:lang w:val="en-US" w:eastAsia="zh-CN"/>
              </w:rPr>
              <w:t>6</w:t>
            </w:r>
            <w:r>
              <w:rPr>
                <w:rFonts w:hint="eastAsia" w:ascii="宋体" w:hAnsi="宋体" w:eastAsia="宋体" w:cs="宋体"/>
                <w:b/>
                <w:bCs w:val="0"/>
                <w:color w:val="auto"/>
                <w:sz w:val="21"/>
                <w:szCs w:val="21"/>
                <w:highlight w:val="none"/>
                <w:lang w:val="en-US" w:eastAsia="zh-CN"/>
              </w:rPr>
              <w:t>分）</w:t>
            </w:r>
          </w:p>
        </w:tc>
        <w:tc>
          <w:tcPr>
            <w:tcW w:w="488" w:type="dxa"/>
            <w:noWrap w:val="0"/>
            <w:vAlign w:val="center"/>
          </w:tcPr>
          <w:p w14:paraId="1094C4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2</w:t>
            </w:r>
          </w:p>
        </w:tc>
        <w:tc>
          <w:tcPr>
            <w:tcW w:w="6148" w:type="dxa"/>
            <w:noWrap w:val="0"/>
            <w:vAlign w:val="center"/>
          </w:tcPr>
          <w:p w14:paraId="79016D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业绩：</w:t>
            </w:r>
            <w:r>
              <w:rPr>
                <w:rFonts w:hint="eastAsia" w:ascii="宋体" w:hAnsi="宋体" w:eastAsia="宋体" w:cs="宋体"/>
                <w:color w:val="auto"/>
                <w:kern w:val="0"/>
                <w:sz w:val="21"/>
                <w:szCs w:val="21"/>
                <w:highlight w:val="none"/>
                <w:lang w:val="en-US" w:eastAsia="zh-CN"/>
              </w:rPr>
              <w:t>提供所投产品（核心产品）的近三年内同类项目业绩证明材料（投标文件内附中标通知书及合同扫描件），每提供一份业绩证明材料得1分，本项最高得2分，未提供的不得分。</w:t>
            </w:r>
          </w:p>
          <w:p w14:paraId="7ED5CB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注：近三年是指2023年4月至投标截止时间，以合同签订的时间为准；投标文件内须提供业绩中标通知书及合同的扫描件，所提供的业绩证明材料不完整的不得分；同一合同不重复计算得分，分包转包合同无效。）</w:t>
            </w:r>
          </w:p>
        </w:tc>
        <w:tc>
          <w:tcPr>
            <w:tcW w:w="575" w:type="pct"/>
            <w:vMerge w:val="restart"/>
            <w:noWrap w:val="0"/>
            <w:vAlign w:val="center"/>
          </w:tcPr>
          <w:p w14:paraId="691C94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根据需求提供必要的证明资料</w:t>
            </w:r>
          </w:p>
        </w:tc>
      </w:tr>
      <w:tr w14:paraId="0195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531" w:type="pct"/>
            <w:vMerge w:val="continue"/>
            <w:noWrap w:val="0"/>
            <w:vAlign w:val="center"/>
          </w:tcPr>
          <w:p w14:paraId="50BC00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p>
        </w:tc>
        <w:tc>
          <w:tcPr>
            <w:tcW w:w="488" w:type="dxa"/>
            <w:noWrap w:val="0"/>
            <w:vAlign w:val="center"/>
          </w:tcPr>
          <w:p w14:paraId="497666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4</w:t>
            </w:r>
          </w:p>
        </w:tc>
        <w:tc>
          <w:tcPr>
            <w:tcW w:w="6148" w:type="dxa"/>
            <w:noWrap w:val="0"/>
            <w:vAlign w:val="center"/>
          </w:tcPr>
          <w:p w14:paraId="76F974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质量保证承诺：</w:t>
            </w:r>
            <w:r>
              <w:rPr>
                <w:rFonts w:hint="eastAsia" w:ascii="宋体" w:hAnsi="宋体" w:eastAsia="宋体" w:cs="宋体"/>
                <w:b w:val="0"/>
                <w:bCs w:val="0"/>
                <w:color w:val="auto"/>
                <w:kern w:val="0"/>
                <w:sz w:val="21"/>
                <w:szCs w:val="21"/>
                <w:highlight w:val="none"/>
                <w:lang w:val="en-US" w:eastAsia="zh-CN"/>
              </w:rPr>
              <w:t>根据各投标供应商提供的质量保证承诺进行打分：</w:t>
            </w:r>
          </w:p>
          <w:p w14:paraId="1CCBDA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①保证所投产品质量符合国家标准、行业标准的承诺；</w:t>
            </w:r>
          </w:p>
          <w:p w14:paraId="6B5917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②因中标人原因导致合同终止，无条件承担违约责任的承诺。</w:t>
            </w:r>
          </w:p>
          <w:p w14:paraId="7F938C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以上承诺函格式自拟，须加盖投标供应商公章，每提供一个得2分，本项最高得4分，未提供的不得分。</w:t>
            </w:r>
          </w:p>
        </w:tc>
        <w:tc>
          <w:tcPr>
            <w:tcW w:w="575" w:type="pct"/>
            <w:vMerge w:val="continue"/>
            <w:noWrap w:val="0"/>
            <w:vAlign w:val="center"/>
          </w:tcPr>
          <w:p w14:paraId="45231E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1"/>
                <w:szCs w:val="21"/>
                <w:highlight w:val="none"/>
              </w:rPr>
            </w:pPr>
          </w:p>
        </w:tc>
      </w:tr>
      <w:tr w14:paraId="2CE3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31" w:type="pct"/>
            <w:vMerge w:val="restart"/>
            <w:noWrap w:val="0"/>
            <w:vAlign w:val="center"/>
          </w:tcPr>
          <w:p w14:paraId="37E890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p>
          <w:p w14:paraId="2B8EFC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技术评分标准（6</w:t>
            </w:r>
            <w:r>
              <w:rPr>
                <w:rFonts w:hint="eastAsia" w:ascii="宋体" w:hAnsi="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lang w:val="en-US" w:eastAsia="zh-CN"/>
              </w:rPr>
              <w:t>分）</w:t>
            </w:r>
          </w:p>
        </w:tc>
        <w:tc>
          <w:tcPr>
            <w:tcW w:w="286" w:type="pct"/>
            <w:noWrap w:val="0"/>
            <w:vAlign w:val="center"/>
          </w:tcPr>
          <w:p w14:paraId="4E2C74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43</w:t>
            </w:r>
          </w:p>
        </w:tc>
        <w:tc>
          <w:tcPr>
            <w:tcW w:w="3607" w:type="pct"/>
            <w:noWrap w:val="0"/>
            <w:vAlign w:val="center"/>
          </w:tcPr>
          <w:p w14:paraId="06AC83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技术参数：</w:t>
            </w:r>
            <w:r>
              <w:rPr>
                <w:rFonts w:hint="eastAsia" w:ascii="宋体" w:hAnsi="宋体" w:eastAsia="宋体" w:cs="宋体"/>
                <w:color w:val="auto"/>
                <w:kern w:val="0"/>
                <w:sz w:val="21"/>
                <w:szCs w:val="21"/>
                <w:highlight w:val="none"/>
                <w:lang w:val="en-US" w:eastAsia="zh-CN"/>
              </w:rPr>
              <w:t>根据所投产品的配置与性能指标响应程度打分。完全满足招标要求的得</w:t>
            </w:r>
            <w:r>
              <w:rPr>
                <w:rFonts w:hint="eastAsia" w:ascii="宋体" w:hAnsi="宋体" w:cs="宋体"/>
                <w:color w:val="auto"/>
                <w:kern w:val="0"/>
                <w:sz w:val="21"/>
                <w:szCs w:val="21"/>
                <w:highlight w:val="none"/>
                <w:lang w:val="en-US" w:eastAsia="zh-CN"/>
              </w:rPr>
              <w:t>43</w:t>
            </w:r>
            <w:r>
              <w:rPr>
                <w:rFonts w:hint="eastAsia" w:ascii="宋体" w:hAnsi="宋体" w:eastAsia="宋体" w:cs="宋体"/>
                <w:color w:val="auto"/>
                <w:kern w:val="0"/>
                <w:sz w:val="21"/>
                <w:szCs w:val="21"/>
                <w:highlight w:val="none"/>
                <w:lang w:val="en-US" w:eastAsia="zh-CN"/>
              </w:rPr>
              <w:t>分。标“★”技术参数为实质性参数，不接受负偏离；标“▲”技术参数为重要参数，每有一项负偏离或未响应扣3分；一般参数每有一项负偏离或未响应扣1分，直至扣完为止。</w:t>
            </w:r>
          </w:p>
          <w:p w14:paraId="1E4F3F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（注：各</w:t>
            </w:r>
            <w:r>
              <w:rPr>
                <w:rFonts w:hint="eastAsia" w:ascii="宋体" w:hAnsi="宋体" w:cs="宋体"/>
                <w:b/>
                <w:bCs/>
                <w:color w:val="auto"/>
                <w:kern w:val="0"/>
                <w:sz w:val="21"/>
                <w:szCs w:val="21"/>
                <w:highlight w:val="none"/>
                <w:lang w:val="en-US" w:eastAsia="zh-CN"/>
              </w:rPr>
              <w:t>投标供应商</w:t>
            </w:r>
            <w:r>
              <w:rPr>
                <w:rFonts w:hint="eastAsia" w:ascii="宋体" w:hAnsi="宋体" w:eastAsia="宋体" w:cs="宋体"/>
                <w:b/>
                <w:bCs/>
                <w:color w:val="auto"/>
                <w:kern w:val="0"/>
                <w:sz w:val="21"/>
                <w:szCs w:val="21"/>
                <w:highlight w:val="none"/>
                <w:lang w:val="en-US" w:eastAsia="zh-CN"/>
              </w:rPr>
              <w:t>针对采购需求在投标文件中需详尽真实的提供投标产品的技术规格偏离表，具体由评标委员会根据技术要求细则，对各投标单位投标产品的技术响应情况进行评比打分。所有参数需要在投标文件中按照技术参数要求提供相应的证明文件（检测报告或白皮书或产品彩页并有生产厂家盖公章），且均需在技术规格偏离表详尽真实的提供偏差情况，并点对点注明印证资料在投标文件中具体页码，否则视为负偏离。如果证明文件造假将追究一切责任。）</w:t>
            </w:r>
          </w:p>
        </w:tc>
        <w:tc>
          <w:tcPr>
            <w:tcW w:w="575" w:type="pct"/>
            <w:vMerge w:val="restart"/>
            <w:noWrap w:val="0"/>
            <w:vAlign w:val="center"/>
          </w:tcPr>
          <w:p w14:paraId="154895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根据需求提供必要的证明资料</w:t>
            </w:r>
          </w:p>
        </w:tc>
      </w:tr>
      <w:tr w14:paraId="0966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31" w:type="pct"/>
            <w:vMerge w:val="continue"/>
            <w:noWrap w:val="0"/>
            <w:vAlign w:val="center"/>
          </w:tcPr>
          <w:p w14:paraId="0107DF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1"/>
                <w:szCs w:val="21"/>
                <w:highlight w:val="none"/>
              </w:rPr>
            </w:pPr>
          </w:p>
        </w:tc>
        <w:tc>
          <w:tcPr>
            <w:tcW w:w="286" w:type="pct"/>
            <w:noWrap w:val="0"/>
            <w:vAlign w:val="center"/>
          </w:tcPr>
          <w:p w14:paraId="7B0CE3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6</w:t>
            </w:r>
          </w:p>
        </w:tc>
        <w:tc>
          <w:tcPr>
            <w:tcW w:w="3607" w:type="pct"/>
            <w:noWrap w:val="0"/>
            <w:vAlign w:val="center"/>
          </w:tcPr>
          <w:p w14:paraId="4E71FD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实施方案：</w:t>
            </w:r>
            <w:r>
              <w:rPr>
                <w:rFonts w:hint="eastAsia" w:ascii="宋体" w:hAnsi="宋体" w:eastAsia="宋体" w:cs="宋体"/>
                <w:color w:val="auto"/>
                <w:kern w:val="0"/>
                <w:sz w:val="21"/>
                <w:szCs w:val="21"/>
                <w:highlight w:val="none"/>
                <w:lang w:val="en-US" w:eastAsia="zh-CN"/>
              </w:rPr>
              <w:t>①实施方案中设备质量、供货安装、项目安全措施、应急处理、进度安排完全满足项目实际要求的得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分；每有一项内容缺失的扣</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分，每有一项内容存在缺陷或方案描述不清晰的扣</w:t>
            </w:r>
            <w:r>
              <w:rPr>
                <w:rFonts w:hint="eastAsia" w:ascii="宋体" w:hAnsi="宋体"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lang w:val="en-US" w:eastAsia="zh-CN"/>
              </w:rPr>
              <w:t>分，直至扣完为止；未提供的不得分。</w:t>
            </w:r>
          </w:p>
          <w:p w14:paraId="541497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②项目安装、调试、测试方案合理、逻辑清晰、具有操作性、贴合采购需求，完全满足项目实际要求的得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分；每有一项内容缺失的扣</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分，每有一项内容存在缺陷或方案描述不清晰的扣</w:t>
            </w:r>
            <w:r>
              <w:rPr>
                <w:rFonts w:hint="eastAsia" w:ascii="宋体" w:hAnsi="宋体"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lang w:val="en-US" w:eastAsia="zh-CN"/>
              </w:rPr>
              <w:t>分，直至扣完为止；未提供的不得分。</w:t>
            </w:r>
          </w:p>
          <w:p w14:paraId="287F57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③有明确的项目质量管理方案和制度，项目管理机构及职责分配合理，符合项目实际情况，逻辑清晰、具有操作性，完全满足项目实际要求的得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分；每有一项内容缺失的扣</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分，每有一项内容存在缺陷或方案描述不清晰的扣</w:t>
            </w:r>
            <w:r>
              <w:rPr>
                <w:rFonts w:hint="eastAsia" w:ascii="宋体" w:hAnsi="宋体"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lang w:val="en-US" w:eastAsia="zh-CN"/>
              </w:rPr>
              <w:t>分，直至扣完为止；未提供的不得分。</w:t>
            </w:r>
          </w:p>
          <w:p w14:paraId="252C9F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lang w:val="en-US"/>
              </w:rPr>
            </w:pPr>
            <w:r>
              <w:rPr>
                <w:rFonts w:hint="eastAsia" w:ascii="宋体" w:hAnsi="宋体" w:eastAsia="宋体" w:cs="宋体"/>
                <w:b/>
                <w:bCs/>
                <w:color w:val="auto"/>
                <w:kern w:val="0"/>
                <w:sz w:val="21"/>
                <w:szCs w:val="21"/>
                <w:highlight w:val="none"/>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w:t>
            </w:r>
          </w:p>
        </w:tc>
        <w:tc>
          <w:tcPr>
            <w:tcW w:w="575" w:type="pct"/>
            <w:vMerge w:val="continue"/>
            <w:noWrap w:val="0"/>
            <w:vAlign w:val="center"/>
          </w:tcPr>
          <w:p w14:paraId="41F49F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0257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531" w:type="pct"/>
            <w:vMerge w:val="continue"/>
            <w:noWrap w:val="0"/>
            <w:vAlign w:val="center"/>
          </w:tcPr>
          <w:p w14:paraId="137873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1"/>
                <w:szCs w:val="21"/>
                <w:highlight w:val="none"/>
              </w:rPr>
            </w:pPr>
          </w:p>
        </w:tc>
        <w:tc>
          <w:tcPr>
            <w:tcW w:w="286" w:type="pct"/>
            <w:noWrap w:val="0"/>
            <w:vAlign w:val="center"/>
          </w:tcPr>
          <w:p w14:paraId="1B432F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5</w:t>
            </w:r>
          </w:p>
        </w:tc>
        <w:tc>
          <w:tcPr>
            <w:tcW w:w="3607" w:type="pct"/>
            <w:noWrap w:val="0"/>
            <w:vAlign w:val="center"/>
          </w:tcPr>
          <w:p w14:paraId="3EF484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培训方案：</w:t>
            </w:r>
            <w:r>
              <w:rPr>
                <w:rFonts w:hint="eastAsia" w:ascii="宋体" w:hAnsi="宋体" w:eastAsia="宋体" w:cs="宋体"/>
                <w:b w:val="0"/>
                <w:bCs w:val="0"/>
                <w:color w:val="auto"/>
                <w:kern w:val="0"/>
                <w:sz w:val="21"/>
                <w:szCs w:val="21"/>
                <w:highlight w:val="none"/>
                <w:lang w:val="en-US" w:eastAsia="zh-CN"/>
              </w:rPr>
              <w:t>培训计划情况，应含详细合理的培训方案（包含：①培训时间及地点安排(培训时间与项目进度(如安装调试后、验收前）无缝衔接）；②提供培训计划、培训师资、培训频次(培训计划及内容贴合教学需求，提供培训师资人员证件情况)；③培训目标(培训目标陈述清晰、无歧义，直接对应本项目设备或系统的操作、维护和管理需求)；④培训内容(内容全面覆盖理论原理、硬件结构、提供线上培训或简单操作指导、故障诊断与排除、安全规范等)；⑤培训方式）培训方案中包含以上每项内容，且方案切实可行，满足采购方需求得5分，每有一项内容缺失的扣1分，每有一项内容阐述不全面、不符合项目实际情况、无法满足采购需求</w:t>
            </w:r>
            <w:r>
              <w:rPr>
                <w:rFonts w:hint="eastAsia" w:ascii="宋体" w:hAnsi="宋体" w:eastAsia="宋体" w:cs="宋体"/>
                <w:color w:val="auto"/>
                <w:kern w:val="0"/>
                <w:sz w:val="21"/>
                <w:szCs w:val="21"/>
                <w:highlight w:val="none"/>
                <w:lang w:val="en-US" w:eastAsia="zh-CN"/>
              </w:rPr>
              <w:t>或内容存在缺陷的</w:t>
            </w:r>
            <w:r>
              <w:rPr>
                <w:rFonts w:hint="eastAsia" w:ascii="宋体" w:hAnsi="宋体" w:eastAsia="宋体" w:cs="宋体"/>
                <w:b w:val="0"/>
                <w:bCs w:val="0"/>
                <w:color w:val="auto"/>
                <w:kern w:val="0"/>
                <w:sz w:val="21"/>
                <w:szCs w:val="21"/>
                <w:highlight w:val="none"/>
                <w:lang w:val="en-US" w:eastAsia="zh-CN"/>
              </w:rPr>
              <w:t>扣0.5分，直至扣完为止。</w:t>
            </w:r>
          </w:p>
          <w:p w14:paraId="2455BB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w:t>
            </w:r>
          </w:p>
        </w:tc>
        <w:tc>
          <w:tcPr>
            <w:tcW w:w="575" w:type="pct"/>
            <w:vMerge w:val="continue"/>
            <w:noWrap w:val="0"/>
            <w:vAlign w:val="center"/>
          </w:tcPr>
          <w:p w14:paraId="37329F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68EC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531" w:type="pct"/>
            <w:vMerge w:val="continue"/>
            <w:noWrap w:val="0"/>
            <w:vAlign w:val="center"/>
          </w:tcPr>
          <w:p w14:paraId="4166F0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1"/>
                <w:szCs w:val="21"/>
                <w:highlight w:val="none"/>
              </w:rPr>
            </w:pPr>
          </w:p>
        </w:tc>
        <w:tc>
          <w:tcPr>
            <w:tcW w:w="488" w:type="dxa"/>
            <w:noWrap w:val="0"/>
            <w:vAlign w:val="center"/>
          </w:tcPr>
          <w:p w14:paraId="5342D4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6</w:t>
            </w:r>
          </w:p>
        </w:tc>
        <w:tc>
          <w:tcPr>
            <w:tcW w:w="6148" w:type="dxa"/>
            <w:noWrap w:val="0"/>
            <w:vAlign w:val="center"/>
          </w:tcPr>
          <w:p w14:paraId="3B54BF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售后服务：</w:t>
            </w:r>
            <w:r>
              <w:rPr>
                <w:rFonts w:hint="eastAsia" w:ascii="宋体" w:hAnsi="宋体" w:eastAsia="宋体" w:cs="宋体"/>
                <w:color w:val="auto"/>
                <w:sz w:val="21"/>
                <w:szCs w:val="21"/>
                <w:highlight w:val="none"/>
                <w:lang w:val="en-US" w:eastAsia="zh-CN"/>
              </w:rPr>
              <w:t>①供应商根据本项目的采购需求制定售后方案，包括售后维保、技术人员技术支持及咨询服务、在任何时候、任何地点均可享受到终生的免费咨询服务，在接到用户要求维修的通知后，应在2小时内响应、24小时内到达现场。方案完整，逻辑清晰，贴合采购需求，可行性高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分；方案较为合理，可行性较高的得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分；方案结构混乱，不贴合本项目的采购需求得1分；未提供不得分。</w:t>
            </w:r>
          </w:p>
          <w:p w14:paraId="2BBF1D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供应商设有正规完善的售后维修服务机构，有至少2名的专职工程师，按照项目采购需求中要求进行维修响应并排除故障的应急抢修方案，常备配件库房，提供配件库房、维修详细地址及维修工程师姓名、联系电话、设备维修工程师资格证书及身份证、近三个月社保证明复印件。人员要求资料齐全、方案合理可行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分；人员要求资料较齐全、方案较合理可行得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分；人员要求资料不齐全、方案不合理可行得1分；未提供不得分。</w:t>
            </w:r>
          </w:p>
        </w:tc>
        <w:tc>
          <w:tcPr>
            <w:tcW w:w="575" w:type="pct"/>
            <w:vMerge w:val="continue"/>
            <w:noWrap w:val="0"/>
            <w:vAlign w:val="center"/>
          </w:tcPr>
          <w:p w14:paraId="608FB9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65F1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1" w:type="pct"/>
            <w:vMerge w:val="continue"/>
            <w:noWrap w:val="0"/>
            <w:vAlign w:val="center"/>
          </w:tcPr>
          <w:p w14:paraId="1BB68F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1"/>
                <w:szCs w:val="21"/>
                <w:highlight w:val="none"/>
              </w:rPr>
            </w:pPr>
          </w:p>
        </w:tc>
        <w:tc>
          <w:tcPr>
            <w:tcW w:w="488" w:type="dxa"/>
            <w:noWrap w:val="0"/>
            <w:vAlign w:val="center"/>
          </w:tcPr>
          <w:p w14:paraId="1D576F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yellow"/>
                <w:lang w:val="en-US" w:eastAsia="zh-CN"/>
              </w:rPr>
              <w:t>2</w:t>
            </w:r>
          </w:p>
        </w:tc>
        <w:tc>
          <w:tcPr>
            <w:tcW w:w="6148" w:type="dxa"/>
            <w:noWrap w:val="0"/>
            <w:vAlign w:val="center"/>
          </w:tcPr>
          <w:p w14:paraId="435D48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质保期：</w:t>
            </w:r>
            <w:r>
              <w:rPr>
                <w:rFonts w:hint="eastAsia" w:ascii="宋体" w:hAnsi="宋体" w:eastAsia="宋体" w:cs="宋体"/>
                <w:b w:val="0"/>
                <w:bCs w:val="0"/>
                <w:color w:val="auto"/>
                <w:kern w:val="0"/>
                <w:sz w:val="21"/>
                <w:szCs w:val="21"/>
                <w:highlight w:val="none"/>
                <w:lang w:val="en-US" w:eastAsia="zh-CN"/>
              </w:rPr>
              <w:t>在所有设备原有质保要求的基础上，承诺</w:t>
            </w:r>
            <w:r>
              <w:rPr>
                <w:rFonts w:hint="eastAsia" w:ascii="宋体" w:hAnsi="宋体" w:cs="宋体"/>
                <w:b w:val="0"/>
                <w:bCs w:val="0"/>
                <w:color w:val="auto"/>
                <w:kern w:val="0"/>
                <w:sz w:val="21"/>
                <w:szCs w:val="21"/>
                <w:highlight w:val="none"/>
                <w:lang w:val="en-US" w:eastAsia="zh-CN"/>
              </w:rPr>
              <w:t>所有设备</w:t>
            </w:r>
            <w:r>
              <w:rPr>
                <w:rFonts w:hint="eastAsia" w:ascii="宋体" w:hAnsi="宋体" w:eastAsia="宋体" w:cs="宋体"/>
                <w:b w:val="0"/>
                <w:bCs w:val="0"/>
                <w:color w:val="auto"/>
                <w:kern w:val="0"/>
                <w:sz w:val="21"/>
                <w:szCs w:val="21"/>
                <w:highlight w:val="none"/>
                <w:lang w:val="en-US" w:eastAsia="zh-CN"/>
              </w:rPr>
              <w:t>每多增加一年质保期得</w:t>
            </w:r>
            <w:r>
              <w:rPr>
                <w:rFonts w:hint="eastAsia" w:ascii="宋体" w:hAnsi="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分，本项最高得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w:t>
            </w:r>
          </w:p>
          <w:p w14:paraId="22344D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（注：</w:t>
            </w:r>
            <w:r>
              <w:rPr>
                <w:rFonts w:hint="eastAsia" w:ascii="宋体" w:hAnsi="宋体" w:cs="宋体"/>
                <w:b/>
                <w:bCs/>
                <w:color w:val="auto"/>
                <w:kern w:val="0"/>
                <w:sz w:val="21"/>
                <w:szCs w:val="21"/>
                <w:highlight w:val="none"/>
                <w:lang w:val="en-US" w:eastAsia="zh-CN"/>
              </w:rPr>
              <w:t>投标供应商</w:t>
            </w:r>
            <w:r>
              <w:rPr>
                <w:rFonts w:hint="eastAsia" w:ascii="宋体" w:hAnsi="宋体" w:eastAsia="宋体" w:cs="宋体"/>
                <w:b/>
                <w:bCs/>
                <w:color w:val="auto"/>
                <w:kern w:val="0"/>
                <w:sz w:val="21"/>
                <w:szCs w:val="21"/>
                <w:highlight w:val="none"/>
                <w:lang w:val="en-US" w:eastAsia="zh-CN"/>
              </w:rPr>
              <w:t>提供原厂质保承诺函。承诺函格式自拟，须加盖</w:t>
            </w:r>
            <w:r>
              <w:rPr>
                <w:rFonts w:hint="eastAsia" w:ascii="宋体" w:hAnsi="宋体" w:cs="宋体"/>
                <w:b/>
                <w:bCs/>
                <w:color w:val="auto"/>
                <w:kern w:val="0"/>
                <w:sz w:val="21"/>
                <w:szCs w:val="21"/>
                <w:highlight w:val="none"/>
                <w:lang w:val="en-US" w:eastAsia="zh-CN"/>
              </w:rPr>
              <w:t>生成厂家及</w:t>
            </w:r>
            <w:r>
              <w:rPr>
                <w:rFonts w:hint="eastAsia" w:ascii="宋体" w:hAnsi="宋体" w:eastAsia="宋体" w:cs="宋体"/>
                <w:b/>
                <w:bCs/>
                <w:color w:val="auto"/>
                <w:kern w:val="0"/>
                <w:sz w:val="21"/>
                <w:szCs w:val="21"/>
                <w:highlight w:val="none"/>
                <w:lang w:val="en-US" w:eastAsia="zh-CN"/>
              </w:rPr>
              <w:t>供应商公章</w:t>
            </w:r>
            <w:r>
              <w:rPr>
                <w:rFonts w:hint="eastAsia" w:ascii="宋体" w:hAnsi="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en-US" w:eastAsia="zh-CN"/>
              </w:rPr>
              <w:t>未提供或提供的承诺函不符合要求不得分。）</w:t>
            </w:r>
          </w:p>
        </w:tc>
        <w:tc>
          <w:tcPr>
            <w:tcW w:w="575" w:type="pct"/>
            <w:vMerge w:val="continue"/>
            <w:noWrap w:val="0"/>
            <w:vAlign w:val="center"/>
          </w:tcPr>
          <w:p w14:paraId="6E470C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1C74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531" w:type="pct"/>
            <w:vMerge w:val="continue"/>
            <w:noWrap w:val="0"/>
            <w:vAlign w:val="center"/>
          </w:tcPr>
          <w:p w14:paraId="629C07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1"/>
                <w:szCs w:val="21"/>
                <w:highlight w:val="none"/>
              </w:rPr>
            </w:pPr>
          </w:p>
        </w:tc>
        <w:tc>
          <w:tcPr>
            <w:tcW w:w="286" w:type="pct"/>
            <w:noWrap w:val="0"/>
            <w:vAlign w:val="center"/>
          </w:tcPr>
          <w:p w14:paraId="4897B2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2</w:t>
            </w:r>
          </w:p>
        </w:tc>
        <w:tc>
          <w:tcPr>
            <w:tcW w:w="3607" w:type="pct"/>
            <w:noWrap w:val="0"/>
            <w:vAlign w:val="center"/>
          </w:tcPr>
          <w:p w14:paraId="302C88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备品备件：</w:t>
            </w:r>
            <w:r>
              <w:rPr>
                <w:rFonts w:hint="eastAsia" w:ascii="宋体" w:hAnsi="宋体" w:eastAsia="宋体" w:cs="宋体"/>
                <w:color w:val="auto"/>
                <w:sz w:val="21"/>
                <w:szCs w:val="21"/>
                <w:highlight w:val="none"/>
                <w:lang w:val="en-US" w:eastAsia="zh-CN"/>
              </w:rPr>
              <w:t>根据供应商在备品备件设备分项报价表中所列明的零部件种类、数量进行打分。种类齐全、数量多的得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分，种类较全、数量一般的得 </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分，种类不齐全、数量不多的得 1分，未提供的不得分。</w:t>
            </w:r>
          </w:p>
        </w:tc>
        <w:tc>
          <w:tcPr>
            <w:tcW w:w="575" w:type="pct"/>
            <w:vMerge w:val="continue"/>
            <w:noWrap w:val="0"/>
            <w:vAlign w:val="center"/>
          </w:tcPr>
          <w:p w14:paraId="75E2A5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bl>
    <w:p w14:paraId="2F318253">
      <w:pPr>
        <w:rPr>
          <w:rFonts w:hint="eastAsia" w:ascii="宋体" w:hAnsi="宋体" w:eastAsia="宋体" w:cs="宋体"/>
          <w:color w:val="auto"/>
          <w:highlight w:val="none"/>
        </w:rPr>
      </w:pPr>
    </w:p>
    <w:p w14:paraId="0AE37CCA">
      <w:pPr>
        <w:rPr>
          <w:rFonts w:hint="eastAsia" w:ascii="宋体" w:hAnsi="宋体" w:eastAsia="宋体" w:cs="宋体"/>
          <w:color w:val="auto"/>
          <w:highlight w:val="none"/>
        </w:rPr>
      </w:pPr>
    </w:p>
    <w:p w14:paraId="185DB93F">
      <w:pPr>
        <w:rPr>
          <w:rFonts w:hint="eastAsia" w:ascii="宋体" w:hAnsi="宋体" w:eastAsia="宋体" w:cs="宋体"/>
          <w:color w:val="auto"/>
          <w:highlight w:val="none"/>
        </w:rPr>
      </w:pPr>
    </w:p>
    <w:p w14:paraId="1242217C">
      <w:pPr>
        <w:rPr>
          <w:rFonts w:hint="eastAsia" w:ascii="宋体" w:hAnsi="宋体" w:eastAsia="宋体" w:cs="宋体"/>
          <w:color w:val="auto"/>
          <w:highlight w:val="none"/>
        </w:rPr>
      </w:pPr>
    </w:p>
    <w:p w14:paraId="6EDBF153">
      <w:pPr>
        <w:rPr>
          <w:rFonts w:hint="eastAsia" w:ascii="宋体" w:hAnsi="宋体" w:eastAsia="宋体" w:cs="宋体"/>
          <w:color w:val="auto"/>
          <w:highlight w:val="none"/>
        </w:rPr>
      </w:pPr>
    </w:p>
    <w:p w14:paraId="7AFFEE16">
      <w:pPr>
        <w:pStyle w:val="2"/>
        <w:numPr>
          <w:ilvl w:val="0"/>
          <w:numId w:val="0"/>
        </w:numPr>
        <w:spacing w:before="0" w:after="0" w:line="240" w:lineRule="atLeast"/>
        <w:ind w:left="-15" w:leftChars="0"/>
        <w:jc w:val="center"/>
        <w:rPr>
          <w:rFonts w:hint="eastAsia" w:ascii="宋体" w:hAnsi="宋体" w:eastAsia="宋体" w:cs="宋体"/>
          <w:strike w:val="0"/>
          <w:dstrike w:val="0"/>
          <w:color w:val="auto"/>
          <w:highlight w:val="none"/>
        </w:rPr>
      </w:pPr>
      <w:bookmarkStart w:id="404" w:name="_Toc515647833"/>
      <w:bookmarkStart w:id="405" w:name="_Toc4337"/>
      <w:bookmarkStart w:id="406" w:name="_Toc16468"/>
      <w:bookmarkStart w:id="407" w:name="_Toc6865"/>
      <w:bookmarkStart w:id="408" w:name="_Toc4796"/>
      <w:r>
        <w:rPr>
          <w:rFonts w:hint="eastAsia" w:ascii="宋体" w:hAnsi="宋体" w:eastAsia="宋体" w:cs="宋体"/>
          <w:strike w:val="0"/>
          <w:dstrike w:val="0"/>
          <w:color w:val="auto"/>
          <w:highlight w:val="none"/>
          <w:lang w:eastAsia="zh-CN"/>
        </w:rPr>
        <w:t>第</w:t>
      </w:r>
      <w:r>
        <w:rPr>
          <w:rFonts w:hint="eastAsia" w:ascii="宋体" w:hAnsi="宋体" w:eastAsia="宋体" w:cs="宋体"/>
          <w:strike w:val="0"/>
          <w:dstrike w:val="0"/>
          <w:color w:val="auto"/>
          <w:highlight w:val="none"/>
          <w:lang w:val="en-US" w:eastAsia="zh-CN"/>
        </w:rPr>
        <w:t>7</w:t>
      </w:r>
      <w:r>
        <w:rPr>
          <w:rFonts w:hint="eastAsia" w:ascii="宋体" w:hAnsi="宋体" w:eastAsia="宋体" w:cs="宋体"/>
          <w:strike w:val="0"/>
          <w:dstrike w:val="0"/>
          <w:color w:val="auto"/>
          <w:highlight w:val="none"/>
          <w:lang w:eastAsia="zh-CN"/>
        </w:rPr>
        <w:t>章</w:t>
      </w:r>
      <w:r>
        <w:rPr>
          <w:rFonts w:hint="eastAsia" w:ascii="宋体" w:hAnsi="宋体" w:eastAsia="宋体" w:cs="宋体"/>
          <w:strike w:val="0"/>
          <w:dstrike w:val="0"/>
          <w:color w:val="auto"/>
          <w:highlight w:val="none"/>
          <w:lang w:val="en-US" w:eastAsia="zh-CN"/>
        </w:rPr>
        <w:t xml:space="preserve"> </w:t>
      </w:r>
      <w:bookmarkEnd w:id="403"/>
      <w:bookmarkEnd w:id="404"/>
      <w:bookmarkEnd w:id="405"/>
      <w:bookmarkEnd w:id="406"/>
      <w:bookmarkEnd w:id="407"/>
      <w:bookmarkEnd w:id="408"/>
      <w:r>
        <w:rPr>
          <w:rFonts w:hint="eastAsia" w:ascii="宋体" w:hAnsi="宋体" w:eastAsia="宋体" w:cs="宋体"/>
          <w:strike w:val="0"/>
          <w:dstrike w:val="0"/>
          <w:color w:val="auto"/>
          <w:highlight w:val="none"/>
        </w:rPr>
        <w:t>政府采购合同</w:t>
      </w:r>
      <w:bookmarkStart w:id="409" w:name="_Hlt487972895"/>
      <w:bookmarkEnd w:id="409"/>
      <w:bookmarkStart w:id="410" w:name="_Toc216513788"/>
      <w:bookmarkStart w:id="411" w:name="_Toc487900382"/>
    </w:p>
    <w:bookmarkEnd w:id="410"/>
    <w:bookmarkEnd w:id="411"/>
    <w:p w14:paraId="66C732A2">
      <w:p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合同编号：</w:t>
      </w:r>
      <w:r>
        <w:rPr>
          <w:rFonts w:hint="eastAsia" w:ascii="宋体" w:hAnsi="宋体" w:eastAsia="宋体" w:cs="宋体"/>
          <w:color w:val="auto"/>
          <w:sz w:val="24"/>
          <w:highlight w:val="none"/>
          <w:u w:val="single"/>
        </w:rPr>
        <w:t xml:space="preserve">           </w:t>
      </w:r>
    </w:p>
    <w:p w14:paraId="18A995F7">
      <w:pPr>
        <w:spacing w:line="480" w:lineRule="auto"/>
        <w:jc w:val="center"/>
        <w:rPr>
          <w:rFonts w:hint="eastAsia" w:ascii="宋体" w:hAnsi="宋体" w:eastAsia="宋体" w:cs="宋体"/>
          <w:b/>
          <w:color w:val="auto"/>
          <w:sz w:val="28"/>
          <w:szCs w:val="28"/>
          <w:highlight w:val="none"/>
        </w:rPr>
      </w:pPr>
    </w:p>
    <w:p w14:paraId="14BAF497">
      <w:pPr>
        <w:spacing w:line="480" w:lineRule="auto"/>
        <w:jc w:val="center"/>
        <w:rPr>
          <w:rFonts w:hint="eastAsia" w:ascii="宋体" w:hAnsi="宋体" w:eastAsia="宋体" w:cs="宋体"/>
          <w:b/>
          <w:color w:val="auto"/>
          <w:sz w:val="28"/>
          <w:szCs w:val="28"/>
          <w:highlight w:val="none"/>
        </w:rPr>
      </w:pPr>
    </w:p>
    <w:p w14:paraId="317D3359">
      <w:pPr>
        <w:spacing w:line="480" w:lineRule="auto"/>
        <w:jc w:val="center"/>
        <w:rPr>
          <w:rFonts w:hint="eastAsia" w:ascii="宋体" w:hAnsi="宋体" w:eastAsia="宋体" w:cs="宋体"/>
          <w:b/>
          <w:color w:val="auto"/>
          <w:sz w:val="28"/>
          <w:szCs w:val="28"/>
          <w:highlight w:val="none"/>
        </w:rPr>
      </w:pPr>
    </w:p>
    <w:p w14:paraId="40A13C00">
      <w:pPr>
        <w:spacing w:line="48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政府采购合同参考范本</w:t>
      </w:r>
    </w:p>
    <w:p w14:paraId="04DC8338">
      <w:pPr>
        <w:spacing w:line="48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（货物类）</w:t>
      </w:r>
    </w:p>
    <w:p w14:paraId="0E873AEA">
      <w:pPr>
        <w:pStyle w:val="64"/>
        <w:ind w:firstLine="0"/>
        <w:rPr>
          <w:rFonts w:hint="eastAsia" w:ascii="宋体" w:hAnsi="宋体" w:eastAsia="宋体" w:cs="宋体"/>
          <w:color w:val="auto"/>
          <w:szCs w:val="24"/>
          <w:highlight w:val="none"/>
        </w:rPr>
      </w:pPr>
    </w:p>
    <w:p w14:paraId="4A344BDF">
      <w:pPr>
        <w:pStyle w:val="64"/>
        <w:ind w:firstLine="0"/>
        <w:rPr>
          <w:rFonts w:hint="eastAsia" w:ascii="宋体" w:hAnsi="宋体" w:eastAsia="宋体" w:cs="宋体"/>
          <w:color w:val="auto"/>
          <w:szCs w:val="24"/>
          <w:highlight w:val="none"/>
        </w:rPr>
      </w:pPr>
    </w:p>
    <w:p w14:paraId="018DC3C0">
      <w:pPr>
        <w:pStyle w:val="64"/>
        <w:ind w:firstLine="0"/>
        <w:rPr>
          <w:rFonts w:hint="eastAsia" w:ascii="宋体" w:hAnsi="宋体" w:eastAsia="宋体" w:cs="宋体"/>
          <w:color w:val="auto"/>
          <w:szCs w:val="24"/>
          <w:highlight w:val="none"/>
        </w:rPr>
      </w:pPr>
    </w:p>
    <w:p w14:paraId="47396DB3">
      <w:pPr>
        <w:pStyle w:val="64"/>
        <w:ind w:firstLine="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第一部分 合同书</w:t>
      </w:r>
    </w:p>
    <w:p w14:paraId="1872D7B9">
      <w:pPr>
        <w:pStyle w:val="64"/>
        <w:ind w:firstLine="0"/>
        <w:rPr>
          <w:rFonts w:hint="eastAsia" w:ascii="宋体" w:hAnsi="宋体" w:eastAsia="宋体" w:cs="宋体"/>
          <w:color w:val="auto"/>
          <w:szCs w:val="24"/>
          <w:highlight w:val="none"/>
        </w:rPr>
      </w:pPr>
    </w:p>
    <w:p w14:paraId="05007332">
      <w:pPr>
        <w:pStyle w:val="64"/>
        <w:ind w:firstLine="0"/>
        <w:rPr>
          <w:rFonts w:hint="eastAsia" w:ascii="宋体" w:hAnsi="宋体" w:eastAsia="宋体" w:cs="宋体"/>
          <w:color w:val="auto"/>
          <w:szCs w:val="24"/>
          <w:highlight w:val="none"/>
        </w:rPr>
      </w:pPr>
    </w:p>
    <w:p w14:paraId="69B9553C">
      <w:pPr>
        <w:spacing w:before="120" w:line="22" w:lineRule="atLeast"/>
        <w:rPr>
          <w:rFonts w:hint="eastAsia" w:ascii="宋体" w:hAnsi="宋体" w:eastAsia="宋体" w:cs="宋体"/>
          <w:color w:val="auto"/>
          <w:sz w:val="24"/>
          <w:highlight w:val="none"/>
        </w:rPr>
      </w:pPr>
    </w:p>
    <w:p w14:paraId="547C3419">
      <w:pPr>
        <w:spacing w:before="120" w:line="22" w:lineRule="atLeast"/>
        <w:ind w:left="96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3B8D493E">
      <w:pPr>
        <w:pStyle w:val="76"/>
        <w:spacing w:before="120" w:line="22" w:lineRule="atLeast"/>
        <w:rPr>
          <w:rFonts w:hint="eastAsia" w:ascii="宋体" w:hAnsi="宋体" w:eastAsia="宋体" w:cs="宋体"/>
          <w:color w:val="auto"/>
          <w:szCs w:val="24"/>
          <w:highlight w:val="none"/>
        </w:rPr>
      </w:pPr>
    </w:p>
    <w:p w14:paraId="471C1121">
      <w:pPr>
        <w:pStyle w:val="76"/>
        <w:spacing w:before="120" w:line="22" w:lineRule="atLeast"/>
        <w:rPr>
          <w:rFonts w:hint="eastAsia" w:ascii="宋体" w:hAnsi="宋体" w:eastAsia="宋体" w:cs="宋体"/>
          <w:color w:val="auto"/>
          <w:szCs w:val="24"/>
          <w:highlight w:val="none"/>
        </w:rPr>
      </w:pPr>
    </w:p>
    <w:p w14:paraId="166AD691">
      <w:pPr>
        <w:rPr>
          <w:rFonts w:hint="eastAsia" w:ascii="宋体" w:hAnsi="宋体" w:eastAsia="宋体" w:cs="宋体"/>
          <w:color w:val="auto"/>
          <w:highlight w:val="none"/>
        </w:rPr>
      </w:pPr>
    </w:p>
    <w:p w14:paraId="74C89AC9">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 xml:space="preserve">                                       </w:t>
      </w:r>
    </w:p>
    <w:p w14:paraId="5E726368">
      <w:pPr>
        <w:spacing w:before="120" w:line="22" w:lineRule="atLeast"/>
        <w:rPr>
          <w:rFonts w:hint="eastAsia" w:ascii="宋体" w:hAnsi="宋体" w:eastAsia="宋体" w:cs="宋体"/>
          <w:color w:val="auto"/>
          <w:sz w:val="24"/>
          <w:highlight w:val="none"/>
        </w:rPr>
      </w:pPr>
    </w:p>
    <w:p w14:paraId="25EBC21C">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p>
    <w:p w14:paraId="493ABAB6">
      <w:pPr>
        <w:spacing w:before="120" w:line="22" w:lineRule="atLeast"/>
        <w:rPr>
          <w:rFonts w:hint="eastAsia" w:ascii="宋体" w:hAnsi="宋体" w:eastAsia="宋体" w:cs="宋体"/>
          <w:color w:val="auto"/>
          <w:sz w:val="24"/>
          <w:highlight w:val="none"/>
        </w:rPr>
      </w:pPr>
    </w:p>
    <w:p w14:paraId="7A6F54E2">
      <w:pPr>
        <w:spacing w:before="120" w:line="22" w:lineRule="atLeas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w:t>
      </w:r>
      <w:r>
        <w:rPr>
          <w:rFonts w:hint="eastAsia" w:ascii="宋体" w:hAnsi="宋体" w:eastAsia="宋体" w:cs="宋体"/>
          <w:color w:val="auto"/>
          <w:sz w:val="24"/>
          <w:highlight w:val="none"/>
          <w:u w:val="single"/>
        </w:rPr>
        <w:t xml:space="preserve">                                     </w:t>
      </w:r>
    </w:p>
    <w:p w14:paraId="75A706E1">
      <w:pPr>
        <w:spacing w:before="120" w:line="22" w:lineRule="atLeast"/>
        <w:rPr>
          <w:rFonts w:hint="eastAsia" w:ascii="宋体" w:hAnsi="宋体" w:eastAsia="宋体" w:cs="宋体"/>
          <w:color w:val="auto"/>
          <w:sz w:val="24"/>
          <w:highlight w:val="none"/>
        </w:rPr>
      </w:pPr>
    </w:p>
    <w:p w14:paraId="3EAFFC23">
      <w:pPr>
        <w:spacing w:before="120" w:line="22" w:lineRule="atLeas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B2AF45B">
      <w:pPr>
        <w:autoSpaceDE w:val="0"/>
        <w:autoSpaceDN w:val="0"/>
        <w:adjustRightInd w:val="0"/>
        <w:spacing w:line="600" w:lineRule="exact"/>
        <w:ind w:firstLine="640"/>
        <w:jc w:val="center"/>
        <w:rPr>
          <w:rFonts w:hint="eastAsia" w:ascii="宋体" w:hAnsi="宋体" w:eastAsia="宋体" w:cs="宋体"/>
          <w:color w:val="auto"/>
          <w:sz w:val="24"/>
          <w:highlight w:val="none"/>
        </w:rPr>
        <w:sectPr>
          <w:headerReference r:id="rId15" w:type="first"/>
          <w:footerReference r:id="rId18" w:type="first"/>
          <w:headerReference r:id="rId13" w:type="default"/>
          <w:footerReference r:id="rId16" w:type="default"/>
          <w:headerReference r:id="rId14" w:type="even"/>
          <w:footerReference r:id="rId17" w:type="even"/>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pPr>
    </w:p>
    <w:p w14:paraId="7459224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（采购人名称）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（政府采购方式）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rPr>
        <w:t xml:space="preserve">   （同前页项目名称）   </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 xml:space="preserve">   （相关评定主体名称）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（中标供应商名称）</w:t>
      </w:r>
      <w:r>
        <w:rPr>
          <w:rFonts w:hint="eastAsia" w:ascii="宋体" w:hAnsi="宋体" w:eastAsia="宋体" w:cs="宋体"/>
          <w:color w:val="auto"/>
          <w:sz w:val="24"/>
          <w:highlight w:val="none"/>
        </w:rPr>
        <w:t>为该项目中标供应商。现于中标通知书发出之日起三十日内，按照采购文件确定的事项签订本合同。</w:t>
      </w:r>
    </w:p>
    <w:p w14:paraId="3702F27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（采购人名称）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（中标供应商名称）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05ACF96A">
      <w:pPr>
        <w:spacing w:line="560" w:lineRule="exact"/>
        <w:ind w:firstLine="482" w:firstLineChars="200"/>
        <w:outlineLvl w:val="0"/>
        <w:rPr>
          <w:rFonts w:hint="eastAsia" w:ascii="宋体" w:hAnsi="宋体" w:eastAsia="宋体" w:cs="宋体"/>
          <w:b/>
          <w:color w:val="auto"/>
          <w:sz w:val="24"/>
          <w:highlight w:val="none"/>
        </w:rPr>
      </w:pPr>
      <w:bookmarkStart w:id="412" w:name="_Toc3029"/>
      <w:bookmarkStart w:id="413" w:name="_Toc24059"/>
      <w:bookmarkStart w:id="414" w:name="_Toc2232"/>
      <w:r>
        <w:rPr>
          <w:rFonts w:hint="eastAsia" w:ascii="宋体" w:hAnsi="宋体" w:eastAsia="宋体" w:cs="宋体"/>
          <w:b/>
          <w:color w:val="auto"/>
          <w:sz w:val="24"/>
          <w:highlight w:val="none"/>
        </w:rPr>
        <w:t>1.1 合同组成部分</w:t>
      </w:r>
      <w:bookmarkEnd w:id="412"/>
      <w:bookmarkEnd w:id="413"/>
      <w:bookmarkEnd w:id="414"/>
    </w:p>
    <w:p w14:paraId="1ED7735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CDC299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5BE804C2">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中标通知书；</w:t>
      </w:r>
    </w:p>
    <w:p w14:paraId="1191749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投标文件（含澄清或者说明文件）；</w:t>
      </w:r>
    </w:p>
    <w:p w14:paraId="672E4DD9">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招标文件（含澄清或者修改文件）；</w:t>
      </w:r>
    </w:p>
    <w:p w14:paraId="2B2E12E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266B7389">
      <w:pPr>
        <w:spacing w:line="560" w:lineRule="exact"/>
        <w:ind w:firstLine="482" w:firstLineChars="200"/>
        <w:outlineLvl w:val="0"/>
        <w:rPr>
          <w:rFonts w:hint="eastAsia" w:ascii="宋体" w:hAnsi="宋体" w:eastAsia="宋体" w:cs="宋体"/>
          <w:b/>
          <w:color w:val="auto"/>
          <w:sz w:val="24"/>
          <w:highlight w:val="none"/>
        </w:rPr>
      </w:pPr>
      <w:bookmarkStart w:id="415" w:name="_Toc27126"/>
      <w:bookmarkStart w:id="416" w:name="_Toc24300"/>
      <w:bookmarkStart w:id="417" w:name="_Toc21295"/>
      <w:r>
        <w:rPr>
          <w:rFonts w:hint="eastAsia" w:ascii="宋体" w:hAnsi="宋体" w:eastAsia="宋体" w:cs="宋体"/>
          <w:b/>
          <w:color w:val="auto"/>
          <w:sz w:val="24"/>
          <w:highlight w:val="none"/>
        </w:rPr>
        <w:t>1.2 货物</w:t>
      </w:r>
      <w:bookmarkEnd w:id="415"/>
      <w:bookmarkEnd w:id="416"/>
      <w:bookmarkEnd w:id="417"/>
    </w:p>
    <w:p w14:paraId="498D6848">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 货物名称：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4C3AFB9">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1.2.2 货物数量：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5037CB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1.2.3 货物质量：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A217411">
      <w:pPr>
        <w:spacing w:line="560" w:lineRule="exact"/>
        <w:ind w:firstLine="482" w:firstLineChars="200"/>
        <w:outlineLvl w:val="0"/>
        <w:rPr>
          <w:rFonts w:hint="eastAsia" w:ascii="宋体" w:hAnsi="宋体" w:eastAsia="宋体" w:cs="宋体"/>
          <w:b/>
          <w:color w:val="auto"/>
          <w:sz w:val="24"/>
          <w:highlight w:val="none"/>
        </w:rPr>
      </w:pPr>
      <w:bookmarkStart w:id="418" w:name="_Toc21551"/>
      <w:bookmarkStart w:id="419" w:name="_Toc21631"/>
      <w:bookmarkStart w:id="420" w:name="_Toc23292"/>
      <w:r>
        <w:rPr>
          <w:rFonts w:hint="eastAsia" w:ascii="宋体" w:hAnsi="宋体" w:eastAsia="宋体" w:cs="宋体"/>
          <w:b/>
          <w:color w:val="auto"/>
          <w:sz w:val="24"/>
          <w:highlight w:val="none"/>
        </w:rPr>
        <w:t>1.3 价款</w:t>
      </w:r>
      <w:bookmarkEnd w:id="418"/>
      <w:bookmarkEnd w:id="419"/>
      <w:bookmarkEnd w:id="420"/>
    </w:p>
    <w:p w14:paraId="3380D21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w:t>
      </w:r>
    </w:p>
    <w:p w14:paraId="325D9B5B">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63B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5B0B497">
            <w:pPr>
              <w:pStyle w:val="62"/>
              <w:spacing w:line="56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3402" w:type="dxa"/>
            <w:noWrap w:val="0"/>
            <w:vAlign w:val="center"/>
          </w:tcPr>
          <w:p w14:paraId="7FE03E30">
            <w:pPr>
              <w:pStyle w:val="62"/>
              <w:spacing w:line="560" w:lineRule="exact"/>
              <w:ind w:firstLine="2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分项名称</w:t>
            </w:r>
          </w:p>
        </w:tc>
        <w:tc>
          <w:tcPr>
            <w:tcW w:w="2552" w:type="dxa"/>
            <w:noWrap w:val="0"/>
            <w:vAlign w:val="center"/>
          </w:tcPr>
          <w:p w14:paraId="1C6167F3">
            <w:pPr>
              <w:pStyle w:val="62"/>
              <w:spacing w:line="56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分项价格</w:t>
            </w:r>
          </w:p>
        </w:tc>
      </w:tr>
      <w:tr w14:paraId="296A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B9D33AE">
            <w:pPr>
              <w:pStyle w:val="62"/>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14:paraId="53662C46">
            <w:pPr>
              <w:pStyle w:val="62"/>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14:paraId="36B3A814">
            <w:pPr>
              <w:pStyle w:val="62"/>
              <w:spacing w:line="560" w:lineRule="exact"/>
              <w:ind w:firstLine="200"/>
              <w:jc w:val="center"/>
              <w:rPr>
                <w:rFonts w:hint="eastAsia" w:ascii="宋体" w:hAnsi="宋体" w:eastAsia="宋体" w:cs="宋体"/>
                <w:color w:val="auto"/>
                <w:kern w:val="2"/>
                <w:sz w:val="24"/>
                <w:szCs w:val="24"/>
                <w:highlight w:val="none"/>
              </w:rPr>
            </w:pPr>
          </w:p>
        </w:tc>
      </w:tr>
      <w:tr w14:paraId="14BF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F203E67">
            <w:pPr>
              <w:pStyle w:val="62"/>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14:paraId="3275B7D7">
            <w:pPr>
              <w:pStyle w:val="62"/>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14:paraId="002F27DD">
            <w:pPr>
              <w:pStyle w:val="62"/>
              <w:spacing w:line="560" w:lineRule="exact"/>
              <w:ind w:firstLine="200"/>
              <w:jc w:val="center"/>
              <w:rPr>
                <w:rFonts w:hint="eastAsia" w:ascii="宋体" w:hAnsi="宋体" w:eastAsia="宋体" w:cs="宋体"/>
                <w:color w:val="auto"/>
                <w:kern w:val="2"/>
                <w:sz w:val="24"/>
                <w:szCs w:val="24"/>
                <w:highlight w:val="none"/>
              </w:rPr>
            </w:pPr>
          </w:p>
        </w:tc>
      </w:tr>
      <w:tr w14:paraId="795A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68CE8E7">
            <w:pPr>
              <w:pStyle w:val="62"/>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14:paraId="58378C3C">
            <w:pPr>
              <w:pStyle w:val="62"/>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14:paraId="3E99600E">
            <w:pPr>
              <w:pStyle w:val="62"/>
              <w:spacing w:line="560" w:lineRule="exact"/>
              <w:ind w:firstLine="200"/>
              <w:jc w:val="center"/>
              <w:rPr>
                <w:rFonts w:hint="eastAsia" w:ascii="宋体" w:hAnsi="宋体" w:eastAsia="宋体" w:cs="宋体"/>
                <w:color w:val="auto"/>
                <w:kern w:val="2"/>
                <w:sz w:val="24"/>
                <w:szCs w:val="24"/>
                <w:highlight w:val="none"/>
              </w:rPr>
            </w:pPr>
          </w:p>
        </w:tc>
      </w:tr>
      <w:tr w14:paraId="221A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EEDCE36">
            <w:pPr>
              <w:pStyle w:val="62"/>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14:paraId="7715AA62">
            <w:pPr>
              <w:pStyle w:val="62"/>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14:paraId="25AD6701">
            <w:pPr>
              <w:pStyle w:val="62"/>
              <w:spacing w:line="560" w:lineRule="exact"/>
              <w:ind w:firstLine="200"/>
              <w:jc w:val="center"/>
              <w:rPr>
                <w:rFonts w:hint="eastAsia" w:ascii="宋体" w:hAnsi="宋体" w:eastAsia="宋体" w:cs="宋体"/>
                <w:color w:val="auto"/>
                <w:kern w:val="2"/>
                <w:sz w:val="24"/>
                <w:szCs w:val="24"/>
                <w:highlight w:val="none"/>
              </w:rPr>
            </w:pPr>
          </w:p>
        </w:tc>
      </w:tr>
      <w:tr w14:paraId="2327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091E1BA8">
            <w:pPr>
              <w:pStyle w:val="62"/>
              <w:spacing w:line="560" w:lineRule="exact"/>
              <w:ind w:firstLine="2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总价</w:t>
            </w:r>
          </w:p>
        </w:tc>
        <w:tc>
          <w:tcPr>
            <w:tcW w:w="2552" w:type="dxa"/>
            <w:noWrap w:val="0"/>
            <w:vAlign w:val="center"/>
          </w:tcPr>
          <w:p w14:paraId="0F3C2BAB">
            <w:pPr>
              <w:pStyle w:val="62"/>
              <w:spacing w:line="560" w:lineRule="exact"/>
              <w:ind w:firstLine="200"/>
              <w:jc w:val="center"/>
              <w:rPr>
                <w:rFonts w:hint="eastAsia" w:ascii="宋体" w:hAnsi="宋体" w:eastAsia="宋体" w:cs="宋体"/>
                <w:color w:val="auto"/>
                <w:kern w:val="2"/>
                <w:sz w:val="24"/>
                <w:szCs w:val="24"/>
                <w:highlight w:val="none"/>
              </w:rPr>
            </w:pPr>
          </w:p>
        </w:tc>
      </w:tr>
    </w:tbl>
    <w:p w14:paraId="698BA7C9">
      <w:pPr>
        <w:spacing w:line="560" w:lineRule="exact"/>
        <w:ind w:firstLine="482" w:firstLineChars="200"/>
        <w:outlineLvl w:val="0"/>
        <w:rPr>
          <w:rFonts w:hint="eastAsia" w:ascii="宋体" w:hAnsi="宋体" w:eastAsia="宋体" w:cs="宋体"/>
          <w:b/>
          <w:color w:val="auto"/>
          <w:sz w:val="24"/>
          <w:highlight w:val="none"/>
        </w:rPr>
      </w:pPr>
      <w:bookmarkStart w:id="421" w:name="_Toc10340"/>
      <w:bookmarkStart w:id="422" w:name="_Toc1814"/>
      <w:bookmarkStart w:id="423" w:name="_Toc22618"/>
      <w:r>
        <w:rPr>
          <w:rFonts w:hint="eastAsia" w:ascii="宋体" w:hAnsi="宋体" w:eastAsia="宋体" w:cs="宋体"/>
          <w:b/>
          <w:color w:val="auto"/>
          <w:sz w:val="24"/>
          <w:highlight w:val="none"/>
        </w:rPr>
        <w:t>1.4 付款方式和发票开具方式</w:t>
      </w:r>
      <w:bookmarkEnd w:id="421"/>
      <w:bookmarkEnd w:id="422"/>
      <w:bookmarkEnd w:id="423"/>
    </w:p>
    <w:p w14:paraId="21777E8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付款方式：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7962FF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发票开具方式：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68505F1">
      <w:pPr>
        <w:spacing w:line="560" w:lineRule="exact"/>
        <w:ind w:firstLine="482" w:firstLineChars="200"/>
        <w:outlineLvl w:val="0"/>
        <w:rPr>
          <w:rFonts w:hint="eastAsia" w:ascii="宋体" w:hAnsi="宋体" w:eastAsia="宋体" w:cs="宋体"/>
          <w:b/>
          <w:color w:val="auto"/>
          <w:sz w:val="24"/>
          <w:highlight w:val="none"/>
        </w:rPr>
      </w:pPr>
      <w:bookmarkStart w:id="424" w:name="_Toc32071"/>
      <w:bookmarkStart w:id="425" w:name="_Toc2846"/>
      <w:bookmarkStart w:id="426" w:name="_Toc19304"/>
      <w:r>
        <w:rPr>
          <w:rFonts w:hint="eastAsia" w:ascii="宋体" w:hAnsi="宋体" w:eastAsia="宋体" w:cs="宋体"/>
          <w:b/>
          <w:color w:val="auto"/>
          <w:sz w:val="24"/>
          <w:highlight w:val="none"/>
        </w:rPr>
        <w:t>1.5 货物交付期限、地点和方式</w:t>
      </w:r>
      <w:bookmarkEnd w:id="424"/>
      <w:bookmarkEnd w:id="425"/>
      <w:bookmarkEnd w:id="426"/>
    </w:p>
    <w:p w14:paraId="2014D58B">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1.5.1 交付期限：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10571E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 交付地点：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08F660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 交付方式：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8E543D8">
      <w:pPr>
        <w:spacing w:line="560" w:lineRule="exact"/>
        <w:ind w:firstLine="482" w:firstLineChars="200"/>
        <w:outlineLvl w:val="0"/>
        <w:rPr>
          <w:rFonts w:hint="eastAsia" w:ascii="宋体" w:hAnsi="宋体" w:eastAsia="宋体" w:cs="宋体"/>
          <w:b/>
          <w:color w:val="auto"/>
          <w:sz w:val="24"/>
          <w:highlight w:val="none"/>
        </w:rPr>
      </w:pPr>
      <w:bookmarkStart w:id="427" w:name="_Toc27250"/>
      <w:bookmarkStart w:id="428" w:name="_Toc21423"/>
      <w:bookmarkStart w:id="429" w:name="_Toc19554"/>
      <w:r>
        <w:rPr>
          <w:rFonts w:hint="eastAsia" w:ascii="宋体" w:hAnsi="宋体" w:eastAsia="宋体" w:cs="宋体"/>
          <w:b/>
          <w:color w:val="auto"/>
          <w:sz w:val="24"/>
          <w:highlight w:val="none"/>
        </w:rPr>
        <w:t>1.6 违约责任</w:t>
      </w:r>
      <w:bookmarkEnd w:id="427"/>
      <w:bookmarkEnd w:id="428"/>
      <w:bookmarkEnd w:id="429"/>
    </w:p>
    <w:p w14:paraId="12FC00B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%；迟延交付货物的违约金计算数额达到前述最高限额之日起，甲方有权在要求乙方支付违约金的同时，书面通知乙方解除本合同；</w:t>
      </w:r>
    </w:p>
    <w:p w14:paraId="336954F4">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%；迟延付款的违约金计算数额达到前述最高限额之日起，乙方有权在要求甲方支付违约金的同时，书面通知甲方解除本合同；</w:t>
      </w:r>
    </w:p>
    <w:p w14:paraId="418EEDBE">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383FB1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52D91E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7CB6C1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066FA241">
      <w:pPr>
        <w:spacing w:line="560" w:lineRule="exact"/>
        <w:ind w:firstLine="482" w:firstLineChars="200"/>
        <w:outlineLvl w:val="0"/>
        <w:rPr>
          <w:rFonts w:hint="eastAsia" w:ascii="宋体" w:hAnsi="宋体" w:eastAsia="宋体" w:cs="宋体"/>
          <w:b/>
          <w:color w:val="auto"/>
          <w:sz w:val="24"/>
          <w:highlight w:val="none"/>
        </w:rPr>
      </w:pPr>
      <w:bookmarkStart w:id="430" w:name="_Toc15583"/>
      <w:bookmarkStart w:id="431" w:name="_Toc28375"/>
      <w:bookmarkStart w:id="432" w:name="_Toc16021"/>
      <w:r>
        <w:rPr>
          <w:rFonts w:hint="eastAsia" w:ascii="宋体" w:hAnsi="宋体" w:eastAsia="宋体" w:cs="宋体"/>
          <w:b/>
          <w:color w:val="auto"/>
          <w:sz w:val="24"/>
          <w:highlight w:val="none"/>
        </w:rPr>
        <w:t>1.7 合同争议的解决</w:t>
      </w:r>
      <w:bookmarkEnd w:id="430"/>
      <w:bookmarkEnd w:id="431"/>
      <w:bookmarkEnd w:id="432"/>
    </w:p>
    <w:p w14:paraId="4B8DF8CE">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种方式解决：</w:t>
      </w:r>
    </w:p>
    <w:p w14:paraId="0EF0ADE4">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仲裁委员会依申请仲裁时其现行有效的仲裁规则裁决；</w:t>
      </w:r>
    </w:p>
    <w:p w14:paraId="0709B40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向</w:t>
      </w:r>
      <w:r>
        <w:rPr>
          <w:rFonts w:hint="eastAsia" w:ascii="宋体" w:hAnsi="宋体" w:eastAsia="宋体" w:cs="宋体"/>
          <w:color w:val="auto"/>
          <w:sz w:val="24"/>
          <w:highlight w:val="none"/>
          <w:u w:val="single"/>
        </w:rPr>
        <w:t xml:space="preserve">   （被告住所地、合同履行地、合同签订地、原告住所地、标的物所在地等与争议有实际联系的地点中选出的人民法院名称）    </w:t>
      </w:r>
      <w:r>
        <w:rPr>
          <w:rFonts w:hint="eastAsia" w:ascii="宋体" w:hAnsi="宋体" w:eastAsia="宋体" w:cs="宋体"/>
          <w:color w:val="auto"/>
          <w:sz w:val="24"/>
          <w:highlight w:val="none"/>
        </w:rPr>
        <w:t>人民法院起诉。</w:t>
      </w:r>
    </w:p>
    <w:p w14:paraId="71E2E16B">
      <w:pPr>
        <w:spacing w:line="560" w:lineRule="exact"/>
        <w:ind w:firstLine="482" w:firstLineChars="200"/>
        <w:outlineLvl w:val="0"/>
        <w:rPr>
          <w:rFonts w:hint="eastAsia" w:ascii="宋体" w:hAnsi="宋体" w:eastAsia="宋体" w:cs="宋体"/>
          <w:b/>
          <w:color w:val="auto"/>
          <w:sz w:val="24"/>
          <w:highlight w:val="none"/>
        </w:rPr>
      </w:pPr>
      <w:bookmarkStart w:id="433" w:name="_Toc15322"/>
      <w:bookmarkStart w:id="434" w:name="_Toc11173"/>
      <w:bookmarkStart w:id="435" w:name="_Toc7245"/>
      <w:r>
        <w:rPr>
          <w:rFonts w:hint="eastAsia" w:ascii="宋体" w:hAnsi="宋体" w:eastAsia="宋体" w:cs="宋体"/>
          <w:b/>
          <w:color w:val="auto"/>
          <w:sz w:val="24"/>
          <w:highlight w:val="none"/>
        </w:rPr>
        <w:t>1.8 合同生效</w:t>
      </w:r>
      <w:bookmarkEnd w:id="433"/>
      <w:bookmarkEnd w:id="434"/>
      <w:bookmarkEnd w:id="435"/>
    </w:p>
    <w:p w14:paraId="07D8A8C1">
      <w:pPr>
        <w:spacing w:line="56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本合同自双方当事人盖章或者签字时生效。</w:t>
      </w:r>
    </w:p>
    <w:p w14:paraId="41C927CA">
      <w:pPr>
        <w:autoSpaceDE w:val="0"/>
        <w:autoSpaceDN w:val="0"/>
        <w:adjustRightInd w:val="0"/>
        <w:spacing w:line="560" w:lineRule="exact"/>
        <w:rPr>
          <w:rFonts w:hint="eastAsia" w:ascii="宋体" w:hAnsi="宋体" w:eastAsia="宋体" w:cs="宋体"/>
          <w:color w:val="auto"/>
          <w:sz w:val="24"/>
          <w:highlight w:val="none"/>
          <w:lang w:val="zh-CN"/>
        </w:rPr>
      </w:pPr>
    </w:p>
    <w:p w14:paraId="3870ADCE">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甲方</w:t>
      </w:r>
      <w:r>
        <w:rPr>
          <w:rFonts w:hint="eastAsia" w:ascii="宋体" w:hAnsi="宋体" w:eastAsia="宋体" w:cs="宋体"/>
          <w:color w:val="auto"/>
          <w:sz w:val="24"/>
          <w:highlight w:val="none"/>
          <w:lang w:val="zh-CN"/>
        </w:rPr>
        <w:t xml:space="preserve">：                             </w:t>
      </w:r>
      <w:r>
        <w:rPr>
          <w:rFonts w:hint="eastAsia" w:ascii="宋体" w:hAnsi="宋体" w:eastAsia="宋体" w:cs="宋体"/>
          <w:b/>
          <w:color w:val="auto"/>
          <w:sz w:val="24"/>
          <w:highlight w:val="none"/>
          <w:lang w:val="zh-CN"/>
        </w:rPr>
        <w:t xml:space="preserve">      乙方</w:t>
      </w:r>
      <w:r>
        <w:rPr>
          <w:rFonts w:hint="eastAsia" w:ascii="宋体" w:hAnsi="宋体" w:eastAsia="宋体" w:cs="宋体"/>
          <w:color w:val="auto"/>
          <w:sz w:val="24"/>
          <w:highlight w:val="none"/>
          <w:lang w:val="zh-CN"/>
        </w:rPr>
        <w:t>：</w:t>
      </w:r>
    </w:p>
    <w:p w14:paraId="73823EA4">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14:paraId="57E5C36E">
      <w:pPr>
        <w:autoSpaceDE w:val="0"/>
        <w:autoSpaceDN w:val="0"/>
        <w:adjustRightInd w:val="0"/>
        <w:spacing w:line="560" w:lineRule="exact"/>
        <w:rPr>
          <w:rFonts w:hint="eastAsia" w:ascii="宋体" w:hAnsi="宋体" w:eastAsia="宋体" w:cs="宋体"/>
          <w:color w:val="auto"/>
          <w:sz w:val="24"/>
          <w:highlight w:val="none"/>
          <w:lang w:val="zh-CN"/>
        </w:rPr>
      </w:pPr>
    </w:p>
    <w:p w14:paraId="44CA2030">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                                   住所：</w:t>
      </w:r>
    </w:p>
    <w:p w14:paraId="3109A30D">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w:t>
      </w:r>
    </w:p>
    <w:p w14:paraId="1A97B8E7">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授权代表（签字）：                       或授权代表（签字）: </w:t>
      </w:r>
    </w:p>
    <w:p w14:paraId="43326FC9">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14:paraId="41540FEE">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14:paraId="742539D4">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14:paraId="655FF228">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电话:                                    电话: </w:t>
      </w:r>
    </w:p>
    <w:p w14:paraId="2ECAE1DD">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                                    传真:</w:t>
      </w:r>
    </w:p>
    <w:p w14:paraId="1D7C244F">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14:paraId="3871B426">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14:paraId="419B3D37">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14:paraId="2C54CC29">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p>
    <w:p w14:paraId="3D733B3D">
      <w:pPr>
        <w:widowControl/>
        <w:spacing w:line="560" w:lineRule="exact"/>
        <w:jc w:val="left"/>
        <w:rPr>
          <w:rFonts w:hint="eastAsia" w:ascii="宋体" w:hAnsi="宋体" w:eastAsia="宋体" w:cs="宋体"/>
          <w:b/>
          <w:color w:val="auto"/>
          <w:highlight w:val="none"/>
        </w:rPr>
      </w:pPr>
      <w:bookmarkStart w:id="436" w:name="_Toc331685783"/>
    </w:p>
    <w:p w14:paraId="17759892">
      <w:pPr>
        <w:widowControl/>
        <w:spacing w:line="560" w:lineRule="exact"/>
        <w:jc w:val="left"/>
        <w:rPr>
          <w:rFonts w:hint="eastAsia" w:ascii="宋体" w:hAnsi="宋体" w:eastAsia="宋体" w:cs="宋体"/>
          <w:b/>
          <w:color w:val="auto"/>
          <w:highlight w:val="none"/>
        </w:rPr>
      </w:pPr>
    </w:p>
    <w:p w14:paraId="2EAD5C7C">
      <w:pPr>
        <w:pStyle w:val="5"/>
        <w:rPr>
          <w:rFonts w:hint="eastAsia" w:ascii="宋体" w:hAnsi="宋体" w:eastAsia="宋体" w:cs="宋体"/>
          <w:b/>
          <w:color w:val="auto"/>
          <w:highlight w:val="none"/>
        </w:rPr>
      </w:pPr>
    </w:p>
    <w:p w14:paraId="48E4793F">
      <w:pPr>
        <w:pStyle w:val="7"/>
        <w:rPr>
          <w:rFonts w:hint="eastAsia" w:ascii="宋体" w:hAnsi="宋体" w:eastAsia="宋体" w:cs="宋体"/>
          <w:color w:val="auto"/>
          <w:highlight w:val="none"/>
        </w:rPr>
      </w:pPr>
    </w:p>
    <w:p w14:paraId="189D0ABA">
      <w:pPr>
        <w:pStyle w:val="64"/>
        <w:spacing w:line="560" w:lineRule="exact"/>
        <w:ind w:firstLine="20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第二部分 合同一般条款</w:t>
      </w:r>
      <w:bookmarkEnd w:id="436"/>
    </w:p>
    <w:p w14:paraId="466C50DF">
      <w:pPr>
        <w:spacing w:line="560" w:lineRule="exact"/>
        <w:ind w:firstLine="482" w:firstLineChars="200"/>
        <w:outlineLvl w:val="0"/>
        <w:rPr>
          <w:rFonts w:hint="eastAsia" w:ascii="宋体" w:hAnsi="宋体" w:eastAsia="宋体" w:cs="宋体"/>
          <w:b/>
          <w:color w:val="auto"/>
          <w:sz w:val="24"/>
          <w:highlight w:val="none"/>
        </w:rPr>
      </w:pPr>
      <w:bookmarkStart w:id="437" w:name="_Ref467379195"/>
      <w:bookmarkStart w:id="438" w:name="_Ref467378404"/>
      <w:bookmarkStart w:id="439" w:name="_Ref467379214"/>
      <w:bookmarkStart w:id="440" w:name="_Toc487900349"/>
      <w:bookmarkStart w:id="441" w:name="_Ref467379101"/>
      <w:bookmarkStart w:id="442" w:name="_Toc28763"/>
      <w:bookmarkStart w:id="443" w:name="_Ref467378499"/>
      <w:bookmarkStart w:id="444" w:name="_Toc259093669"/>
      <w:bookmarkStart w:id="445" w:name="_Ref467379225"/>
      <w:bookmarkStart w:id="446" w:name="_Toc279701240"/>
      <w:bookmarkStart w:id="447" w:name="_Ref467379094"/>
      <w:bookmarkStart w:id="448" w:name="_Ref467378463"/>
      <w:bookmarkStart w:id="449" w:name="_Toc16917"/>
      <w:bookmarkStart w:id="450" w:name="_Ref467379205"/>
      <w:bookmarkStart w:id="451" w:name="_Ref467379109"/>
      <w:bookmarkStart w:id="452" w:name="_Toc19614"/>
      <w:r>
        <w:rPr>
          <w:rFonts w:hint="eastAsia" w:ascii="宋体" w:hAnsi="宋体" w:eastAsia="宋体" w:cs="宋体"/>
          <w:b/>
          <w:color w:val="auto"/>
          <w:sz w:val="24"/>
          <w:highlight w:val="none"/>
        </w:rPr>
        <w:t>2.1 定义</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4741AAA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0B83291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“合同”系指采购人和中标供应商签订的载明双方当事人所达成的协议，并包括所有的附件、附录和构成合同的其他文件。</w:t>
      </w:r>
    </w:p>
    <w:p w14:paraId="2714895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“合同价”系指根据合同约定，中标供应商在完全履行合同义务后，采购人应支付给中标供应商的价格。</w:t>
      </w:r>
    </w:p>
    <w:p w14:paraId="7792BC0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“货物”系指中标供应商根据合同约定应向采购人交付的一切各种形态和种类的物品，包括原材料、燃料、设备、机械、仪表、备件、计算机软件、产品等，并包括工具、手册等其他相关资料。</w:t>
      </w:r>
    </w:p>
    <w:p w14:paraId="5F5C095F">
      <w:pPr>
        <w:spacing w:line="560" w:lineRule="exact"/>
        <w:ind w:firstLine="480" w:firstLineChars="200"/>
        <w:rPr>
          <w:rFonts w:hint="eastAsia" w:ascii="宋体" w:hAnsi="宋体" w:eastAsia="宋体" w:cs="宋体"/>
          <w:color w:val="auto"/>
          <w:sz w:val="24"/>
          <w:highlight w:val="none"/>
        </w:rPr>
      </w:pPr>
      <w:bookmarkStart w:id="453" w:name="_Ref467378840"/>
      <w:r>
        <w:rPr>
          <w:rFonts w:hint="eastAsia" w:ascii="宋体" w:hAnsi="宋体" w:eastAsia="宋体" w:cs="宋体"/>
          <w:color w:val="auto"/>
          <w:sz w:val="24"/>
          <w:highlight w:val="none"/>
        </w:rPr>
        <w:t>2.1.4 “甲方”系指与中标供应商签署合同的采购人</w:t>
      </w:r>
      <w:bookmarkEnd w:id="453"/>
      <w:r>
        <w:rPr>
          <w:rFonts w:hint="eastAsia" w:ascii="宋体" w:hAnsi="宋体" w:eastAsia="宋体" w:cs="宋体"/>
          <w:color w:val="auto"/>
          <w:sz w:val="24"/>
          <w:highlight w:val="none"/>
        </w:rPr>
        <w:t>；采购人委托采购代理机构代表其与乙方签订合同的，采购人的授权委托书作为合同附件。</w:t>
      </w:r>
    </w:p>
    <w:p w14:paraId="33F1BD1D">
      <w:pPr>
        <w:spacing w:line="560" w:lineRule="exact"/>
        <w:ind w:firstLine="480" w:firstLineChars="200"/>
        <w:rPr>
          <w:rFonts w:hint="eastAsia" w:ascii="宋体" w:hAnsi="宋体" w:eastAsia="宋体" w:cs="宋体"/>
          <w:color w:val="auto"/>
          <w:sz w:val="24"/>
          <w:highlight w:val="none"/>
        </w:rPr>
      </w:pPr>
      <w:bookmarkStart w:id="454" w:name="_Ref467379400"/>
      <w:r>
        <w:rPr>
          <w:rFonts w:hint="eastAsia" w:ascii="宋体" w:hAnsi="宋体" w:eastAsia="宋体" w:cs="宋体"/>
          <w:color w:val="auto"/>
          <w:sz w:val="24"/>
          <w:highlight w:val="none"/>
        </w:rPr>
        <w:t>2.1.5 “乙方”系指根据合同约定交付货物的中标供应商</w:t>
      </w:r>
      <w:bookmarkEnd w:id="454"/>
      <w:r>
        <w:rPr>
          <w:rFonts w:hint="eastAsia" w:ascii="宋体" w:hAnsi="宋体" w:eastAsia="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5CFEE18">
      <w:pPr>
        <w:spacing w:line="560" w:lineRule="exact"/>
        <w:ind w:firstLine="480" w:firstLineChars="200"/>
        <w:rPr>
          <w:rFonts w:hint="eastAsia" w:ascii="宋体" w:hAnsi="宋体" w:eastAsia="宋体" w:cs="宋体"/>
          <w:color w:val="auto"/>
          <w:sz w:val="24"/>
          <w:highlight w:val="none"/>
        </w:rPr>
      </w:pPr>
      <w:bookmarkStart w:id="455" w:name="_Ref467379436"/>
      <w:r>
        <w:rPr>
          <w:rFonts w:hint="eastAsia" w:ascii="宋体" w:hAnsi="宋体" w:eastAsia="宋体" w:cs="宋体"/>
          <w:color w:val="auto"/>
          <w:sz w:val="24"/>
          <w:highlight w:val="none"/>
        </w:rPr>
        <w:t>2.1.6 “现场”系指合同约定货物将要运至或者安装的地点。</w:t>
      </w:r>
      <w:bookmarkEnd w:id="455"/>
    </w:p>
    <w:p w14:paraId="7EF35C60">
      <w:pPr>
        <w:spacing w:line="560" w:lineRule="exact"/>
        <w:ind w:firstLine="482" w:firstLineChars="200"/>
        <w:outlineLvl w:val="0"/>
        <w:rPr>
          <w:rFonts w:hint="eastAsia" w:ascii="宋体" w:hAnsi="宋体" w:eastAsia="宋体" w:cs="宋体"/>
          <w:b/>
          <w:color w:val="auto"/>
          <w:sz w:val="24"/>
          <w:highlight w:val="none"/>
        </w:rPr>
      </w:pPr>
      <w:bookmarkStart w:id="456" w:name="_Toc259093670"/>
      <w:bookmarkStart w:id="457" w:name="_Toc487900350"/>
      <w:bookmarkStart w:id="458" w:name="_Toc27635"/>
      <w:bookmarkStart w:id="459" w:name="_Toc32504"/>
      <w:bookmarkStart w:id="460" w:name="_Toc279701241"/>
      <w:bookmarkStart w:id="461" w:name="_Toc13336"/>
      <w:r>
        <w:rPr>
          <w:rFonts w:hint="eastAsia" w:ascii="宋体" w:hAnsi="宋体" w:eastAsia="宋体" w:cs="宋体"/>
          <w:b/>
          <w:color w:val="auto"/>
          <w:sz w:val="24"/>
          <w:highlight w:val="none"/>
        </w:rPr>
        <w:t>2.2 技术规范</w:t>
      </w:r>
      <w:bookmarkEnd w:id="456"/>
      <w:bookmarkEnd w:id="457"/>
      <w:bookmarkEnd w:id="458"/>
      <w:bookmarkEnd w:id="459"/>
      <w:bookmarkEnd w:id="460"/>
      <w:bookmarkEnd w:id="461"/>
    </w:p>
    <w:p w14:paraId="65B1398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E59BD03">
      <w:pPr>
        <w:spacing w:line="560" w:lineRule="exact"/>
        <w:ind w:firstLine="482" w:firstLineChars="200"/>
        <w:outlineLvl w:val="0"/>
        <w:rPr>
          <w:rFonts w:hint="eastAsia" w:ascii="宋体" w:hAnsi="宋体" w:eastAsia="宋体" w:cs="宋体"/>
          <w:b/>
          <w:color w:val="auto"/>
          <w:sz w:val="24"/>
          <w:highlight w:val="none"/>
        </w:rPr>
      </w:pPr>
      <w:bookmarkStart w:id="462" w:name="_Toc9829"/>
      <w:bookmarkStart w:id="463" w:name="_Toc27853"/>
      <w:bookmarkStart w:id="464" w:name="_Toc279701242"/>
      <w:bookmarkStart w:id="465" w:name="_Toc487900351"/>
      <w:bookmarkStart w:id="466" w:name="_Toc31634"/>
      <w:bookmarkStart w:id="467" w:name="_Toc259093671"/>
      <w:r>
        <w:rPr>
          <w:rFonts w:hint="eastAsia" w:ascii="宋体" w:hAnsi="宋体" w:eastAsia="宋体" w:cs="宋体"/>
          <w:b/>
          <w:color w:val="auto"/>
          <w:sz w:val="24"/>
          <w:highlight w:val="none"/>
        </w:rPr>
        <w:t>2.3 知识产权</w:t>
      </w:r>
      <w:bookmarkEnd w:id="462"/>
      <w:bookmarkEnd w:id="463"/>
      <w:bookmarkEnd w:id="464"/>
      <w:bookmarkEnd w:id="465"/>
      <w:bookmarkEnd w:id="466"/>
      <w:bookmarkEnd w:id="467"/>
    </w:p>
    <w:p w14:paraId="232D7BD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3330AE6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2.3.2具有知识产权的计算机软件等货物的知识产权归属，详见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4260CB9F">
      <w:pPr>
        <w:spacing w:line="560" w:lineRule="exact"/>
        <w:ind w:firstLine="482" w:firstLineChars="200"/>
        <w:outlineLvl w:val="0"/>
        <w:rPr>
          <w:rFonts w:hint="eastAsia" w:ascii="宋体" w:hAnsi="宋体" w:eastAsia="宋体" w:cs="宋体"/>
          <w:b/>
          <w:color w:val="auto"/>
          <w:sz w:val="24"/>
          <w:highlight w:val="none"/>
        </w:rPr>
      </w:pPr>
      <w:bookmarkStart w:id="468" w:name="_Toc4194"/>
      <w:bookmarkStart w:id="469" w:name="_Toc11932"/>
      <w:bookmarkStart w:id="470" w:name="_Toc29149"/>
      <w:r>
        <w:rPr>
          <w:rFonts w:hint="eastAsia" w:ascii="宋体" w:hAnsi="宋体" w:eastAsia="宋体" w:cs="宋体"/>
          <w:b/>
          <w:color w:val="auto"/>
          <w:sz w:val="24"/>
          <w:highlight w:val="none"/>
        </w:rPr>
        <w:t>2.4 包装和装运</w:t>
      </w:r>
      <w:bookmarkEnd w:id="468"/>
      <w:bookmarkEnd w:id="469"/>
      <w:bookmarkEnd w:id="470"/>
    </w:p>
    <w:p w14:paraId="1F3B382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3E8D77F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装运货物的要求和通知，详见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775C3FA4">
      <w:pPr>
        <w:spacing w:line="560" w:lineRule="exact"/>
        <w:ind w:firstLine="482" w:firstLineChars="200"/>
        <w:outlineLvl w:val="0"/>
        <w:rPr>
          <w:rFonts w:hint="eastAsia" w:ascii="宋体" w:hAnsi="宋体" w:eastAsia="宋体" w:cs="宋体"/>
          <w:b/>
          <w:color w:val="auto"/>
          <w:sz w:val="24"/>
          <w:highlight w:val="none"/>
        </w:rPr>
      </w:pPr>
      <w:bookmarkStart w:id="471" w:name="_Toc487900354"/>
      <w:bookmarkStart w:id="472" w:name="_Ref467379536"/>
      <w:bookmarkStart w:id="473" w:name="_Toc279701245"/>
      <w:bookmarkStart w:id="474" w:name="_Ref467378591"/>
      <w:bookmarkStart w:id="475" w:name="_Ref467378541"/>
      <w:bookmarkStart w:id="476" w:name="_Ref467379527"/>
      <w:bookmarkStart w:id="477" w:name="_Toc259093674"/>
      <w:bookmarkStart w:id="478" w:name="_Ref467379542"/>
      <w:bookmarkStart w:id="479" w:name="_Toc26182"/>
      <w:bookmarkStart w:id="480" w:name="_Toc30272"/>
      <w:bookmarkStart w:id="481" w:name="_Toc19074"/>
      <w:r>
        <w:rPr>
          <w:rFonts w:hint="eastAsia" w:ascii="宋体" w:hAnsi="宋体" w:eastAsia="宋体" w:cs="宋体"/>
          <w:b/>
          <w:color w:val="auto"/>
          <w:sz w:val="24"/>
          <w:highlight w:val="none"/>
        </w:rPr>
        <w:t>2.</w:t>
      </w:r>
      <w:bookmarkEnd w:id="471"/>
      <w:bookmarkEnd w:id="472"/>
      <w:bookmarkEnd w:id="473"/>
      <w:bookmarkEnd w:id="474"/>
      <w:bookmarkEnd w:id="475"/>
      <w:bookmarkEnd w:id="476"/>
      <w:bookmarkEnd w:id="477"/>
      <w:bookmarkEnd w:id="478"/>
      <w:r>
        <w:rPr>
          <w:rFonts w:hint="eastAsia" w:ascii="宋体" w:hAnsi="宋体" w:eastAsia="宋体" w:cs="宋体"/>
          <w:b/>
          <w:color w:val="auto"/>
          <w:sz w:val="24"/>
          <w:highlight w:val="none"/>
        </w:rPr>
        <w:t>5 履约检查和问题反馈</w:t>
      </w:r>
      <w:bookmarkEnd w:id="479"/>
      <w:bookmarkEnd w:id="480"/>
      <w:bookmarkEnd w:id="481"/>
    </w:p>
    <w:p w14:paraId="34ECEE1E">
      <w:pPr>
        <w:spacing w:line="560" w:lineRule="exact"/>
        <w:ind w:firstLine="480" w:firstLineChars="200"/>
        <w:rPr>
          <w:rFonts w:hint="eastAsia" w:ascii="宋体" w:hAnsi="宋体" w:eastAsia="宋体" w:cs="宋体"/>
          <w:color w:val="auto"/>
          <w:sz w:val="24"/>
          <w:highlight w:val="none"/>
        </w:rPr>
      </w:pPr>
      <w:bookmarkStart w:id="482" w:name="_Ref467379657"/>
      <w:r>
        <w:rPr>
          <w:rFonts w:hint="eastAsia" w:ascii="宋体" w:hAnsi="宋体" w:eastAsia="宋体" w:cs="宋体"/>
          <w:color w:val="auto"/>
          <w:sz w:val="24"/>
          <w:highlight w:val="none"/>
        </w:rPr>
        <w:t>2.5.1</w:t>
      </w:r>
      <w:bookmarkEnd w:id="482"/>
      <w:bookmarkStart w:id="483" w:name="_Toc186431854"/>
      <w:bookmarkStart w:id="484" w:name="_Ref467379807"/>
      <w:bookmarkStart w:id="485" w:name="_Toc279701247"/>
      <w:bookmarkStart w:id="486" w:name="_Toc487900357"/>
      <w:bookmarkStart w:id="487" w:name="_Toc259093676"/>
      <w:bookmarkStart w:id="488" w:name="_Ref467379793"/>
      <w:r>
        <w:rPr>
          <w:rFonts w:hint="eastAsia" w:ascii="宋体" w:hAnsi="宋体" w:eastAsia="宋体" w:cs="宋体"/>
          <w:color w:val="auto"/>
          <w:sz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14:paraId="67FD82E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 合同履行期间，甲方有权将履行过程中出现的问题反馈给乙方，双方当事人应以书面形式约定需要完善和改进的内容</w:t>
      </w:r>
      <w:bookmarkEnd w:id="483"/>
      <w:bookmarkStart w:id="489" w:name="_Toc186431855"/>
      <w:r>
        <w:rPr>
          <w:rFonts w:hint="eastAsia" w:ascii="宋体" w:hAnsi="宋体" w:eastAsia="宋体" w:cs="宋体"/>
          <w:color w:val="auto"/>
          <w:sz w:val="24"/>
          <w:highlight w:val="none"/>
        </w:rPr>
        <w:t>。</w:t>
      </w:r>
    </w:p>
    <w:bookmarkEnd w:id="489"/>
    <w:p w14:paraId="4314D4E9">
      <w:pPr>
        <w:spacing w:line="560" w:lineRule="exact"/>
        <w:ind w:firstLine="482" w:firstLineChars="200"/>
        <w:outlineLvl w:val="0"/>
        <w:rPr>
          <w:rFonts w:hint="eastAsia" w:ascii="宋体" w:hAnsi="宋体" w:eastAsia="宋体" w:cs="宋体"/>
          <w:b/>
          <w:color w:val="auto"/>
          <w:sz w:val="24"/>
          <w:highlight w:val="none"/>
        </w:rPr>
      </w:pPr>
      <w:bookmarkStart w:id="490" w:name="_Toc19219"/>
      <w:bookmarkStart w:id="491" w:name="_Toc28451"/>
      <w:bookmarkStart w:id="492" w:name="_Toc7836"/>
      <w:r>
        <w:rPr>
          <w:rFonts w:hint="eastAsia" w:ascii="宋体" w:hAnsi="宋体" w:eastAsia="宋体" w:cs="宋体"/>
          <w:b/>
          <w:color w:val="auto"/>
          <w:sz w:val="24"/>
          <w:highlight w:val="none"/>
        </w:rPr>
        <w:t>2.6 结算方式和付款条件</w:t>
      </w:r>
      <w:bookmarkEnd w:id="484"/>
      <w:bookmarkEnd w:id="485"/>
      <w:bookmarkEnd w:id="486"/>
      <w:bookmarkEnd w:id="487"/>
      <w:bookmarkEnd w:id="488"/>
      <w:bookmarkEnd w:id="490"/>
      <w:bookmarkEnd w:id="491"/>
      <w:bookmarkEnd w:id="492"/>
    </w:p>
    <w:p w14:paraId="0C6B6B2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1ED7DC57">
      <w:pPr>
        <w:spacing w:line="560" w:lineRule="exact"/>
        <w:ind w:firstLine="482" w:firstLineChars="200"/>
        <w:outlineLvl w:val="0"/>
        <w:rPr>
          <w:rFonts w:hint="eastAsia" w:ascii="宋体" w:hAnsi="宋体" w:eastAsia="宋体" w:cs="宋体"/>
          <w:b/>
          <w:color w:val="auto"/>
          <w:sz w:val="24"/>
          <w:highlight w:val="none"/>
        </w:rPr>
      </w:pPr>
      <w:bookmarkStart w:id="493" w:name="_Toc259093677"/>
      <w:bookmarkStart w:id="494" w:name="_Ref467379923"/>
      <w:bookmarkStart w:id="495" w:name="_Ref467379852"/>
      <w:bookmarkStart w:id="496" w:name="_Toc279701248"/>
      <w:bookmarkStart w:id="497" w:name="_Ref467379863"/>
      <w:bookmarkStart w:id="498" w:name="_Toc487900358"/>
      <w:bookmarkStart w:id="499" w:name="_Toc16110"/>
      <w:bookmarkStart w:id="500" w:name="_Toc774"/>
      <w:bookmarkStart w:id="501" w:name="_Toc3225"/>
      <w:r>
        <w:rPr>
          <w:rFonts w:hint="eastAsia" w:ascii="宋体" w:hAnsi="宋体" w:eastAsia="宋体" w:cs="宋体"/>
          <w:b/>
          <w:color w:val="auto"/>
          <w:sz w:val="24"/>
          <w:highlight w:val="none"/>
        </w:rPr>
        <w:t>2.7 技术资料</w:t>
      </w:r>
      <w:bookmarkEnd w:id="493"/>
      <w:bookmarkEnd w:id="494"/>
      <w:bookmarkEnd w:id="495"/>
      <w:bookmarkEnd w:id="496"/>
      <w:bookmarkEnd w:id="497"/>
      <w:bookmarkEnd w:id="498"/>
      <w:r>
        <w:rPr>
          <w:rFonts w:hint="eastAsia" w:ascii="宋体" w:hAnsi="宋体" w:eastAsia="宋体" w:cs="宋体"/>
          <w:b/>
          <w:color w:val="auto"/>
          <w:sz w:val="24"/>
          <w:highlight w:val="none"/>
        </w:rPr>
        <w:t>和保密义务</w:t>
      </w:r>
      <w:bookmarkEnd w:id="499"/>
      <w:bookmarkEnd w:id="500"/>
      <w:bookmarkEnd w:id="501"/>
    </w:p>
    <w:p w14:paraId="26CC1AF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乙方有权依据合同约定和项目需要，向甲方了解有关情况，调阅有关资料等，甲方应予积极配合；</w:t>
      </w:r>
    </w:p>
    <w:p w14:paraId="15DAE27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乙方有义务妥善保管和保护由甲方提供的前款信息和资料等；</w:t>
      </w:r>
    </w:p>
    <w:p w14:paraId="3F7AE9B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CFAA89B">
      <w:pPr>
        <w:spacing w:line="560" w:lineRule="exact"/>
        <w:ind w:firstLine="482" w:firstLineChars="200"/>
        <w:outlineLvl w:val="0"/>
        <w:rPr>
          <w:rFonts w:hint="eastAsia" w:ascii="宋体" w:hAnsi="宋体" w:eastAsia="宋体" w:cs="宋体"/>
          <w:b/>
          <w:color w:val="auto"/>
          <w:sz w:val="24"/>
          <w:highlight w:val="none"/>
        </w:rPr>
      </w:pPr>
      <w:bookmarkStart w:id="502" w:name="_Toc7860"/>
      <w:r>
        <w:rPr>
          <w:rFonts w:hint="eastAsia" w:ascii="宋体" w:hAnsi="宋体" w:eastAsia="宋体" w:cs="宋体"/>
          <w:b/>
          <w:color w:val="auto"/>
          <w:sz w:val="24"/>
          <w:highlight w:val="none"/>
        </w:rPr>
        <w:t>2.8 质量保证</w:t>
      </w:r>
      <w:bookmarkEnd w:id="502"/>
    </w:p>
    <w:p w14:paraId="7307DC2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 乙方应建立和完善履行合同的内部质量保证体系，并提供相关内部规章制度给甲方，以便甲方进行监督检查；</w:t>
      </w:r>
    </w:p>
    <w:p w14:paraId="4F43D3D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 乙方应保证履行合同的人员数量和素质、软件和硬件设备的配置、场地、环境和设施等满足全面履行合同的要求，并应接受甲方的监督检查。</w:t>
      </w:r>
    </w:p>
    <w:p w14:paraId="453B91A7">
      <w:pPr>
        <w:spacing w:line="560" w:lineRule="exact"/>
        <w:ind w:firstLine="482" w:firstLineChars="200"/>
        <w:outlineLvl w:val="0"/>
        <w:rPr>
          <w:rFonts w:hint="eastAsia" w:ascii="宋体" w:hAnsi="宋体" w:eastAsia="宋体" w:cs="宋体"/>
          <w:b/>
          <w:color w:val="auto"/>
          <w:sz w:val="24"/>
          <w:highlight w:val="none"/>
        </w:rPr>
      </w:pPr>
      <w:bookmarkStart w:id="503" w:name="_Toc17244"/>
      <w:bookmarkStart w:id="504" w:name="_Toc279701252"/>
      <w:bookmarkStart w:id="505" w:name="_Toc259093681"/>
      <w:bookmarkStart w:id="506" w:name="_Toc487900362"/>
      <w:r>
        <w:rPr>
          <w:rFonts w:hint="eastAsia" w:ascii="宋体" w:hAnsi="宋体" w:eastAsia="宋体" w:cs="宋体"/>
          <w:b/>
          <w:color w:val="auto"/>
          <w:sz w:val="24"/>
          <w:highlight w:val="none"/>
        </w:rPr>
        <w:t>2.9 货物的风险负担</w:t>
      </w:r>
      <w:bookmarkEnd w:id="503"/>
    </w:p>
    <w:p w14:paraId="32BB91FC">
      <w:pPr>
        <w:spacing w:line="56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货物或者在途货物或者交付给第一承运人后的货物毁损、灭失的风险负担详见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59F7D74C">
      <w:pPr>
        <w:spacing w:line="560" w:lineRule="exact"/>
        <w:ind w:firstLine="482" w:firstLineChars="200"/>
        <w:outlineLvl w:val="0"/>
        <w:rPr>
          <w:rFonts w:hint="eastAsia" w:ascii="宋体" w:hAnsi="宋体" w:eastAsia="宋体" w:cs="宋体"/>
          <w:b/>
          <w:color w:val="auto"/>
          <w:sz w:val="24"/>
          <w:highlight w:val="none"/>
        </w:rPr>
      </w:pPr>
      <w:bookmarkStart w:id="507" w:name="_Toc14055"/>
      <w:r>
        <w:rPr>
          <w:rFonts w:hint="eastAsia" w:ascii="宋体" w:hAnsi="宋体" w:eastAsia="宋体" w:cs="宋体"/>
          <w:b/>
          <w:color w:val="auto"/>
          <w:sz w:val="24"/>
          <w:highlight w:val="none"/>
        </w:rPr>
        <w:t>2.10 延迟交货</w:t>
      </w:r>
      <w:bookmarkEnd w:id="504"/>
      <w:bookmarkEnd w:id="505"/>
      <w:bookmarkEnd w:id="506"/>
      <w:bookmarkEnd w:id="507"/>
    </w:p>
    <w:p w14:paraId="7F021F5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350FBB63">
      <w:pPr>
        <w:spacing w:line="560" w:lineRule="exact"/>
        <w:ind w:firstLine="482" w:firstLineChars="200"/>
        <w:outlineLvl w:val="0"/>
        <w:rPr>
          <w:rFonts w:hint="eastAsia" w:ascii="宋体" w:hAnsi="宋体" w:eastAsia="宋体" w:cs="宋体"/>
          <w:b/>
          <w:color w:val="auto"/>
          <w:sz w:val="24"/>
          <w:highlight w:val="none"/>
        </w:rPr>
      </w:pPr>
      <w:bookmarkStart w:id="508" w:name="_Toc7502"/>
      <w:bookmarkStart w:id="509" w:name="_Toc279701254"/>
      <w:bookmarkStart w:id="510" w:name="_Toc259093683"/>
      <w:bookmarkStart w:id="511" w:name="_Toc487900364"/>
      <w:bookmarkStart w:id="512" w:name="_Ref467378121"/>
      <w:r>
        <w:rPr>
          <w:rFonts w:hint="eastAsia" w:ascii="宋体" w:hAnsi="宋体" w:eastAsia="宋体" w:cs="宋体"/>
          <w:b/>
          <w:color w:val="auto"/>
          <w:sz w:val="24"/>
          <w:highlight w:val="none"/>
        </w:rPr>
        <w:t>2.11 合同变更</w:t>
      </w:r>
      <w:bookmarkEnd w:id="508"/>
    </w:p>
    <w:p w14:paraId="54A83AF2">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14:paraId="3479A0A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513" w:name="_Toc487900369"/>
      <w:bookmarkStart w:id="514" w:name="_Toc259093688"/>
      <w:bookmarkStart w:id="515" w:name="_Toc279701259"/>
    </w:p>
    <w:p w14:paraId="2BDF4F81">
      <w:pPr>
        <w:spacing w:line="560" w:lineRule="exact"/>
        <w:ind w:firstLine="482" w:firstLineChars="200"/>
        <w:outlineLvl w:val="0"/>
        <w:rPr>
          <w:rFonts w:hint="eastAsia" w:ascii="宋体" w:hAnsi="宋体" w:eastAsia="宋体" w:cs="宋体"/>
          <w:b/>
          <w:color w:val="auto"/>
          <w:sz w:val="24"/>
          <w:highlight w:val="none"/>
        </w:rPr>
      </w:pPr>
      <w:bookmarkStart w:id="516" w:name="_Toc15237"/>
      <w:bookmarkStart w:id="517" w:name="_Toc22955"/>
      <w:bookmarkStart w:id="518" w:name="_Toc10366"/>
      <w:r>
        <w:rPr>
          <w:rFonts w:hint="eastAsia" w:ascii="宋体" w:hAnsi="宋体" w:eastAsia="宋体" w:cs="宋体"/>
          <w:b/>
          <w:color w:val="auto"/>
          <w:sz w:val="24"/>
          <w:highlight w:val="none"/>
        </w:rPr>
        <w:t>2.12 合同转让</w:t>
      </w:r>
      <w:bookmarkEnd w:id="513"/>
      <w:bookmarkEnd w:id="514"/>
      <w:bookmarkEnd w:id="515"/>
      <w:r>
        <w:rPr>
          <w:rFonts w:hint="eastAsia" w:ascii="宋体" w:hAnsi="宋体" w:eastAsia="宋体" w:cs="宋体"/>
          <w:b/>
          <w:color w:val="auto"/>
          <w:sz w:val="24"/>
          <w:highlight w:val="none"/>
        </w:rPr>
        <w:t>和分包</w:t>
      </w:r>
      <w:bookmarkEnd w:id="516"/>
      <w:bookmarkEnd w:id="517"/>
      <w:bookmarkEnd w:id="518"/>
    </w:p>
    <w:p w14:paraId="64EDBC4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226BDBE">
      <w:pPr>
        <w:spacing w:line="560" w:lineRule="exact"/>
        <w:ind w:firstLine="482" w:firstLineChars="200"/>
        <w:outlineLvl w:val="0"/>
        <w:rPr>
          <w:rFonts w:hint="eastAsia" w:ascii="宋体" w:hAnsi="宋体" w:eastAsia="宋体" w:cs="宋体"/>
          <w:b/>
          <w:color w:val="auto"/>
          <w:sz w:val="24"/>
          <w:highlight w:val="none"/>
        </w:rPr>
      </w:pPr>
      <w:bookmarkStart w:id="519" w:name="_Toc13566"/>
      <w:bookmarkStart w:id="520" w:name="_Toc16508"/>
      <w:bookmarkStart w:id="521" w:name="_Toc14066"/>
      <w:r>
        <w:rPr>
          <w:rFonts w:hint="eastAsia" w:ascii="宋体" w:hAnsi="宋体" w:eastAsia="宋体" w:cs="宋体"/>
          <w:b/>
          <w:color w:val="auto"/>
          <w:sz w:val="24"/>
          <w:highlight w:val="none"/>
        </w:rPr>
        <w:t>2.13 不可抗力</w:t>
      </w:r>
      <w:bookmarkEnd w:id="519"/>
      <w:bookmarkEnd w:id="520"/>
      <w:bookmarkEnd w:id="521"/>
    </w:p>
    <w:p w14:paraId="266FC53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2.13.1如果任何一方遭遇法律规定的不可抗力，致使合同履行受阻时，履行合同的期限应予延长，延长的期限应相当于不可抗力所影响的时间；</w:t>
      </w:r>
    </w:p>
    <w:p w14:paraId="3648E95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 因不可抗力致使不能实现合同目的的，当事人可以解除合同；</w:t>
      </w:r>
    </w:p>
    <w:p w14:paraId="66EB11F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2.13.3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34BBE16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0FAEAE6F">
      <w:pPr>
        <w:spacing w:line="560" w:lineRule="exact"/>
        <w:ind w:firstLine="482" w:firstLineChars="200"/>
        <w:outlineLvl w:val="0"/>
        <w:rPr>
          <w:rFonts w:hint="eastAsia" w:ascii="宋体" w:hAnsi="宋体" w:eastAsia="宋体" w:cs="宋体"/>
          <w:b/>
          <w:color w:val="auto"/>
          <w:sz w:val="24"/>
          <w:highlight w:val="none"/>
        </w:rPr>
      </w:pPr>
      <w:bookmarkStart w:id="522" w:name="_Toc279701255"/>
      <w:bookmarkStart w:id="523" w:name="_Toc689"/>
      <w:bookmarkStart w:id="524" w:name="_Toc30676"/>
      <w:bookmarkStart w:id="525" w:name="_Toc259093684"/>
      <w:bookmarkStart w:id="526" w:name="_Toc487900365"/>
      <w:bookmarkStart w:id="527" w:name="_Toc6969"/>
      <w:r>
        <w:rPr>
          <w:rFonts w:hint="eastAsia" w:ascii="宋体" w:hAnsi="宋体" w:eastAsia="宋体" w:cs="宋体"/>
          <w:b/>
          <w:color w:val="auto"/>
          <w:sz w:val="24"/>
          <w:highlight w:val="none"/>
        </w:rPr>
        <w:t>2.14 税费</w:t>
      </w:r>
      <w:bookmarkEnd w:id="522"/>
      <w:bookmarkEnd w:id="523"/>
      <w:bookmarkEnd w:id="524"/>
      <w:bookmarkEnd w:id="525"/>
      <w:bookmarkEnd w:id="526"/>
      <w:bookmarkEnd w:id="527"/>
    </w:p>
    <w:p w14:paraId="7757D43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w:t>
      </w:r>
    </w:p>
    <w:p w14:paraId="2F3CF294">
      <w:pPr>
        <w:spacing w:line="560" w:lineRule="exact"/>
        <w:ind w:firstLine="482" w:firstLineChars="200"/>
        <w:outlineLvl w:val="0"/>
        <w:rPr>
          <w:rFonts w:hint="eastAsia" w:ascii="宋体" w:hAnsi="宋体" w:eastAsia="宋体" w:cs="宋体"/>
          <w:b/>
          <w:color w:val="auto"/>
          <w:sz w:val="24"/>
          <w:highlight w:val="none"/>
        </w:rPr>
      </w:pPr>
      <w:bookmarkStart w:id="528" w:name="_Toc487900368"/>
      <w:bookmarkStart w:id="529" w:name="_Toc279701258"/>
      <w:bookmarkStart w:id="530" w:name="_Toc259093687"/>
      <w:bookmarkStart w:id="531" w:name="_Toc7102"/>
      <w:bookmarkStart w:id="532" w:name="_Toc16959"/>
      <w:bookmarkStart w:id="533" w:name="_Toc8298"/>
      <w:r>
        <w:rPr>
          <w:rFonts w:hint="eastAsia" w:ascii="宋体" w:hAnsi="宋体" w:eastAsia="宋体" w:cs="宋体"/>
          <w:b/>
          <w:color w:val="auto"/>
          <w:sz w:val="24"/>
          <w:highlight w:val="none"/>
        </w:rPr>
        <w:t>2.15 乙方破产</w:t>
      </w:r>
      <w:bookmarkEnd w:id="528"/>
      <w:bookmarkEnd w:id="529"/>
      <w:bookmarkEnd w:id="530"/>
      <w:bookmarkEnd w:id="531"/>
      <w:bookmarkEnd w:id="532"/>
      <w:bookmarkEnd w:id="533"/>
    </w:p>
    <w:p w14:paraId="2223DC3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29CE4AE">
      <w:pPr>
        <w:spacing w:line="560" w:lineRule="exact"/>
        <w:ind w:firstLine="482" w:firstLineChars="200"/>
        <w:outlineLvl w:val="0"/>
        <w:rPr>
          <w:rFonts w:hint="eastAsia" w:ascii="宋体" w:hAnsi="宋体" w:eastAsia="宋体" w:cs="宋体"/>
          <w:b/>
          <w:color w:val="auto"/>
          <w:sz w:val="24"/>
          <w:highlight w:val="none"/>
        </w:rPr>
      </w:pPr>
      <w:bookmarkStart w:id="534" w:name="_Toc29333"/>
      <w:bookmarkStart w:id="535" w:name="_Toc15387"/>
      <w:bookmarkStart w:id="536" w:name="_Toc6134"/>
      <w:r>
        <w:rPr>
          <w:rFonts w:hint="eastAsia" w:ascii="宋体" w:hAnsi="宋体" w:eastAsia="宋体" w:cs="宋体"/>
          <w:b/>
          <w:color w:val="auto"/>
          <w:sz w:val="24"/>
          <w:highlight w:val="none"/>
        </w:rPr>
        <w:t>2.16 合同中止、终止</w:t>
      </w:r>
      <w:bookmarkEnd w:id="534"/>
      <w:bookmarkEnd w:id="535"/>
      <w:bookmarkEnd w:id="536"/>
    </w:p>
    <w:p w14:paraId="3B932FE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2.16.1 双方当事人不得擅自中止或者终止合同；</w:t>
      </w:r>
    </w:p>
    <w:p w14:paraId="245ED379">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6E9A120D">
      <w:pPr>
        <w:spacing w:line="560" w:lineRule="exact"/>
        <w:ind w:firstLine="482" w:firstLineChars="200"/>
        <w:outlineLvl w:val="0"/>
        <w:rPr>
          <w:rFonts w:hint="eastAsia" w:ascii="宋体" w:hAnsi="宋体" w:eastAsia="宋体" w:cs="宋体"/>
          <w:b/>
          <w:color w:val="auto"/>
          <w:sz w:val="24"/>
          <w:highlight w:val="none"/>
        </w:rPr>
      </w:pPr>
      <w:bookmarkStart w:id="537" w:name="_Toc6596"/>
      <w:bookmarkStart w:id="538" w:name="_Toc14563"/>
      <w:bookmarkStart w:id="539" w:name="_Toc1125"/>
      <w:r>
        <w:rPr>
          <w:rFonts w:hint="eastAsia" w:ascii="宋体" w:hAnsi="宋体" w:eastAsia="宋体" w:cs="宋体"/>
          <w:b/>
          <w:color w:val="auto"/>
          <w:sz w:val="24"/>
          <w:highlight w:val="none"/>
        </w:rPr>
        <w:t>2.17 检验和验收</w:t>
      </w:r>
      <w:bookmarkEnd w:id="537"/>
      <w:bookmarkEnd w:id="538"/>
      <w:bookmarkEnd w:id="539"/>
    </w:p>
    <w:p w14:paraId="54BEDAC7">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2.17.1货物交付前，乙方应对货物的质量、数量等方面进行详细、全面的检验，并向甲方出具证明货物符合合同约定的文件；货物交付时，乙方在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约定时间内组织验收，并可依法邀请相关方参加，验收应出具验收书。</w:t>
      </w:r>
    </w:p>
    <w:p w14:paraId="45020AD9">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D64641A">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509"/>
    <w:bookmarkEnd w:id="510"/>
    <w:bookmarkEnd w:id="511"/>
    <w:bookmarkEnd w:id="512"/>
    <w:p w14:paraId="71AD728F">
      <w:pPr>
        <w:spacing w:line="560" w:lineRule="exact"/>
        <w:ind w:firstLine="482" w:firstLineChars="200"/>
        <w:outlineLvl w:val="0"/>
        <w:rPr>
          <w:rFonts w:hint="eastAsia" w:ascii="宋体" w:hAnsi="宋体" w:eastAsia="宋体" w:cs="宋体"/>
          <w:b/>
          <w:color w:val="auto"/>
          <w:sz w:val="24"/>
          <w:highlight w:val="none"/>
        </w:rPr>
      </w:pPr>
      <w:bookmarkStart w:id="540" w:name="_Toc279701261"/>
      <w:bookmarkStart w:id="541" w:name="_Toc487900371"/>
      <w:bookmarkStart w:id="542" w:name="_Toc259093690"/>
      <w:bookmarkStart w:id="543" w:name="_Toc19604"/>
      <w:bookmarkStart w:id="544" w:name="_Toc25182"/>
      <w:bookmarkStart w:id="545" w:name="_Toc11284"/>
      <w:r>
        <w:rPr>
          <w:rFonts w:hint="eastAsia" w:ascii="宋体" w:hAnsi="宋体" w:eastAsia="宋体" w:cs="宋体"/>
          <w:b/>
          <w:color w:val="auto"/>
          <w:sz w:val="24"/>
          <w:highlight w:val="none"/>
        </w:rPr>
        <w:t>2.18 通知</w:t>
      </w:r>
      <w:bookmarkEnd w:id="540"/>
      <w:bookmarkEnd w:id="541"/>
      <w:bookmarkEnd w:id="542"/>
      <w:r>
        <w:rPr>
          <w:rFonts w:hint="eastAsia" w:ascii="宋体" w:hAnsi="宋体" w:eastAsia="宋体" w:cs="宋体"/>
          <w:b/>
          <w:color w:val="auto"/>
          <w:sz w:val="24"/>
          <w:highlight w:val="none"/>
        </w:rPr>
        <w:t>和送达</w:t>
      </w:r>
      <w:bookmarkEnd w:id="543"/>
      <w:bookmarkEnd w:id="544"/>
      <w:bookmarkEnd w:id="545"/>
    </w:p>
    <w:p w14:paraId="1A7D9880">
      <w:pPr>
        <w:spacing w:line="560" w:lineRule="exact"/>
        <w:ind w:firstLine="480" w:firstLineChars="200"/>
        <w:rPr>
          <w:rFonts w:hint="eastAsia" w:ascii="宋体" w:hAnsi="宋体" w:eastAsia="宋体" w:cs="宋体"/>
          <w:color w:val="auto"/>
          <w:sz w:val="24"/>
          <w:highlight w:val="none"/>
        </w:rPr>
      </w:pPr>
      <w:bookmarkStart w:id="546" w:name="_Toc6698"/>
      <w:bookmarkStart w:id="547" w:name="_Toc3135"/>
      <w:bookmarkStart w:id="548" w:name="_Toc259093691"/>
      <w:bookmarkStart w:id="549" w:name="_Toc487900372"/>
      <w:bookmarkStart w:id="550" w:name="_Toc279701262"/>
      <w:r>
        <w:rPr>
          <w:rFonts w:hint="eastAsia" w:ascii="宋体" w:hAnsi="宋体" w:eastAsia="宋体" w:cs="宋体"/>
          <w:color w:val="auto"/>
          <w:sz w:val="24"/>
          <w:highlight w:val="none"/>
        </w:rPr>
        <w:t>2.18.1 任何一方因履行合同而以合同第一部分尾部所列明的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发出的所有通知、文件、材料，均视为已向对方当事人送达；任何一方变更上述送达方式或者地址的，应于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个工作日内书面通知对方当事人，在对方当事人收到有关变更通知之前，变更前的约定送达方式或者地址仍视为有效。</w:t>
      </w:r>
      <w:bookmarkEnd w:id="546"/>
      <w:bookmarkEnd w:id="547"/>
    </w:p>
    <w:p w14:paraId="2436E051">
      <w:pPr>
        <w:spacing w:line="560" w:lineRule="exact"/>
        <w:ind w:firstLine="480" w:firstLineChars="200"/>
        <w:rPr>
          <w:rFonts w:hint="eastAsia" w:ascii="宋体" w:hAnsi="宋体" w:eastAsia="宋体" w:cs="宋体"/>
          <w:color w:val="auto"/>
          <w:sz w:val="24"/>
          <w:highlight w:val="none"/>
        </w:rPr>
      </w:pPr>
      <w:bookmarkStart w:id="551" w:name="_Toc23294"/>
      <w:bookmarkStart w:id="552" w:name="_Toc23128"/>
      <w:r>
        <w:rPr>
          <w:rFonts w:hint="eastAsia" w:ascii="宋体" w:hAnsi="宋体" w:eastAsia="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551"/>
      <w:bookmarkEnd w:id="552"/>
    </w:p>
    <w:p w14:paraId="160ACF1C">
      <w:pPr>
        <w:spacing w:line="560" w:lineRule="exact"/>
        <w:ind w:firstLine="482" w:firstLineChars="200"/>
        <w:outlineLvl w:val="0"/>
        <w:rPr>
          <w:rFonts w:hint="eastAsia" w:ascii="宋体" w:hAnsi="宋体" w:eastAsia="宋体" w:cs="宋体"/>
          <w:b/>
          <w:color w:val="auto"/>
          <w:sz w:val="24"/>
          <w:highlight w:val="none"/>
        </w:rPr>
      </w:pPr>
      <w:bookmarkStart w:id="553" w:name="_Toc4355"/>
      <w:bookmarkStart w:id="554" w:name="_Toc30599"/>
      <w:bookmarkStart w:id="555" w:name="_Toc18540"/>
      <w:r>
        <w:rPr>
          <w:rFonts w:hint="eastAsia" w:ascii="宋体" w:hAnsi="宋体" w:eastAsia="宋体" w:cs="宋体"/>
          <w:b/>
          <w:color w:val="auto"/>
          <w:sz w:val="24"/>
          <w:highlight w:val="none"/>
        </w:rPr>
        <w:t>2.19 计量单位</w:t>
      </w:r>
      <w:bookmarkEnd w:id="548"/>
      <w:bookmarkEnd w:id="549"/>
      <w:bookmarkEnd w:id="550"/>
      <w:bookmarkEnd w:id="553"/>
      <w:bookmarkEnd w:id="554"/>
      <w:bookmarkEnd w:id="555"/>
    </w:p>
    <w:p w14:paraId="66490DC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14:paraId="43D67059">
      <w:pPr>
        <w:spacing w:line="560" w:lineRule="exact"/>
        <w:ind w:firstLine="482" w:firstLineChars="200"/>
        <w:outlineLvl w:val="0"/>
        <w:rPr>
          <w:rFonts w:hint="eastAsia" w:ascii="宋体" w:hAnsi="宋体" w:eastAsia="宋体" w:cs="宋体"/>
          <w:b/>
          <w:color w:val="auto"/>
          <w:sz w:val="24"/>
          <w:highlight w:val="none"/>
        </w:rPr>
      </w:pPr>
      <w:bookmarkStart w:id="556" w:name="_Toc279701263"/>
      <w:bookmarkStart w:id="557" w:name="_Toc487900373"/>
      <w:bookmarkStart w:id="558" w:name="_Toc259093692"/>
      <w:bookmarkStart w:id="559" w:name="_Toc10330"/>
      <w:bookmarkStart w:id="560" w:name="_Toc18567"/>
      <w:bookmarkStart w:id="561" w:name="_Toc12773"/>
      <w:r>
        <w:rPr>
          <w:rFonts w:hint="eastAsia" w:ascii="宋体" w:hAnsi="宋体" w:eastAsia="宋体" w:cs="宋体"/>
          <w:b/>
          <w:color w:val="auto"/>
          <w:sz w:val="24"/>
          <w:highlight w:val="none"/>
        </w:rPr>
        <w:t>2.20 合同使用的文字和适用的法律</w:t>
      </w:r>
      <w:bookmarkEnd w:id="556"/>
      <w:bookmarkEnd w:id="557"/>
      <w:bookmarkEnd w:id="558"/>
      <w:bookmarkEnd w:id="559"/>
      <w:bookmarkEnd w:id="560"/>
      <w:bookmarkEnd w:id="561"/>
    </w:p>
    <w:p w14:paraId="0EE36A8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2.20.1 合同使用汉语书就、变更和解释；</w:t>
      </w:r>
    </w:p>
    <w:p w14:paraId="48B50C1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2.20.2 合同适用中华人民共和国法律。</w:t>
      </w:r>
    </w:p>
    <w:p w14:paraId="4C8F20E6">
      <w:pPr>
        <w:spacing w:line="560" w:lineRule="exact"/>
        <w:ind w:firstLine="482" w:firstLineChars="200"/>
        <w:outlineLvl w:val="0"/>
        <w:rPr>
          <w:rFonts w:hint="eastAsia" w:ascii="宋体" w:hAnsi="宋体" w:eastAsia="宋体" w:cs="宋体"/>
          <w:b/>
          <w:color w:val="auto"/>
          <w:sz w:val="24"/>
          <w:highlight w:val="none"/>
        </w:rPr>
      </w:pPr>
      <w:bookmarkStart w:id="562" w:name="_Toc279701264"/>
      <w:bookmarkStart w:id="563" w:name="_Toc3148"/>
      <w:bookmarkStart w:id="564" w:name="_Toc12004"/>
      <w:bookmarkStart w:id="565" w:name="_Toc259093693"/>
      <w:bookmarkStart w:id="566" w:name="_Toc16673"/>
      <w:bookmarkStart w:id="567" w:name="_Toc487900374"/>
      <w:r>
        <w:rPr>
          <w:rFonts w:hint="eastAsia" w:ascii="宋体" w:hAnsi="宋体" w:eastAsia="宋体" w:cs="宋体"/>
          <w:b/>
          <w:color w:val="auto"/>
          <w:sz w:val="24"/>
          <w:highlight w:val="none"/>
        </w:rPr>
        <w:t>2.21 履约保证金</w:t>
      </w:r>
      <w:bookmarkEnd w:id="562"/>
      <w:bookmarkEnd w:id="563"/>
      <w:bookmarkEnd w:id="564"/>
      <w:bookmarkEnd w:id="565"/>
      <w:bookmarkEnd w:id="566"/>
    </w:p>
    <w:p w14:paraId="2FC1EB1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2.21.1 采购文件要求乙方提交履约保证金的，乙方应按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约定的方式，以支票、汇票、本票或者金融机构、担保机构出具的保函等非现金形式，提交不超过合同价10%的履约保证金；</w:t>
      </w:r>
    </w:p>
    <w:p w14:paraId="2FDE23A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2.21.2  履约保证金在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约定期间内或者货物质量保证期内不予退还或者应完全有效，前述约定期间届满或者货物质量保证期届满之日起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个工作日内，甲方应将履约保证金退还乙方；</w:t>
      </w:r>
    </w:p>
    <w:p w14:paraId="6F740542">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67"/>
    <w:p w14:paraId="25BF71A3">
      <w:pPr>
        <w:spacing w:line="560" w:lineRule="exact"/>
        <w:ind w:firstLine="482" w:firstLineChars="200"/>
        <w:outlineLvl w:val="0"/>
        <w:rPr>
          <w:rFonts w:hint="eastAsia" w:ascii="宋体" w:hAnsi="宋体" w:eastAsia="宋体" w:cs="宋体"/>
          <w:b/>
          <w:color w:val="auto"/>
          <w:sz w:val="24"/>
          <w:highlight w:val="none"/>
        </w:rPr>
      </w:pPr>
      <w:bookmarkStart w:id="568" w:name="_Toc14001"/>
      <w:bookmarkStart w:id="569" w:name="_Toc19890"/>
      <w:bookmarkStart w:id="570" w:name="_Toc6885"/>
      <w:r>
        <w:rPr>
          <w:rFonts w:hint="eastAsia" w:ascii="宋体" w:hAnsi="宋体" w:eastAsia="宋体" w:cs="宋体"/>
          <w:b/>
          <w:color w:val="auto"/>
          <w:sz w:val="24"/>
          <w:highlight w:val="none"/>
        </w:rPr>
        <w:t>2.22 合同份数</w:t>
      </w:r>
      <w:bookmarkEnd w:id="568"/>
      <w:bookmarkEnd w:id="569"/>
      <w:bookmarkEnd w:id="570"/>
    </w:p>
    <w:p w14:paraId="5FC2B2A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14:paraId="7713272D">
      <w:pPr>
        <w:pStyle w:val="64"/>
        <w:spacing w:line="560" w:lineRule="exact"/>
        <w:ind w:firstLine="0"/>
        <w:jc w:val="center"/>
        <w:rPr>
          <w:rFonts w:hint="eastAsia" w:ascii="宋体" w:hAnsi="宋体" w:eastAsia="宋体" w:cs="宋体"/>
          <w:b/>
          <w:color w:val="auto"/>
          <w:szCs w:val="24"/>
          <w:highlight w:val="none"/>
        </w:rPr>
      </w:pPr>
      <w:r>
        <w:rPr>
          <w:rFonts w:hint="eastAsia" w:ascii="宋体" w:hAnsi="宋体" w:eastAsia="宋体" w:cs="宋体"/>
          <w:color w:val="auto"/>
          <w:szCs w:val="24"/>
          <w:highlight w:val="none"/>
        </w:rPr>
        <w:br w:type="page"/>
      </w:r>
      <w:bookmarkStart w:id="571" w:name="_Toc331685784"/>
      <w:r>
        <w:rPr>
          <w:rFonts w:hint="eastAsia" w:ascii="宋体" w:hAnsi="宋体" w:eastAsia="宋体" w:cs="宋体"/>
          <w:b/>
          <w:color w:val="auto"/>
          <w:szCs w:val="24"/>
          <w:highlight w:val="none"/>
        </w:rPr>
        <w:t>第三部分  合同专用条款</w:t>
      </w:r>
      <w:bookmarkEnd w:id="571"/>
    </w:p>
    <w:p w14:paraId="51C0605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09816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0364106B">
            <w:pPr>
              <w:spacing w:line="5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7633" w:type="dxa"/>
            <w:noWrap w:val="0"/>
            <w:vAlign w:val="center"/>
          </w:tcPr>
          <w:p w14:paraId="26509408">
            <w:pPr>
              <w:spacing w:line="5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约定内容</w:t>
            </w:r>
          </w:p>
        </w:tc>
      </w:tr>
      <w:tr w14:paraId="599E3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347B4849">
            <w:pPr>
              <w:spacing w:line="560" w:lineRule="exact"/>
              <w:rPr>
                <w:rFonts w:hint="eastAsia" w:ascii="宋体" w:hAnsi="宋体" w:eastAsia="宋体" w:cs="宋体"/>
                <w:color w:val="auto"/>
                <w:sz w:val="24"/>
                <w:highlight w:val="none"/>
              </w:rPr>
            </w:pPr>
          </w:p>
        </w:tc>
        <w:tc>
          <w:tcPr>
            <w:tcW w:w="7633" w:type="dxa"/>
            <w:noWrap w:val="0"/>
            <w:vAlign w:val="center"/>
          </w:tcPr>
          <w:p w14:paraId="5833F872">
            <w:pPr>
              <w:spacing w:line="560" w:lineRule="exact"/>
              <w:rPr>
                <w:rFonts w:hint="eastAsia" w:ascii="宋体" w:hAnsi="宋体" w:eastAsia="宋体" w:cs="宋体"/>
                <w:color w:val="auto"/>
                <w:sz w:val="24"/>
                <w:highlight w:val="none"/>
              </w:rPr>
            </w:pPr>
          </w:p>
        </w:tc>
      </w:tr>
      <w:tr w14:paraId="44498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74B36E85">
            <w:pPr>
              <w:spacing w:line="560" w:lineRule="exact"/>
              <w:rPr>
                <w:rFonts w:hint="eastAsia" w:ascii="宋体" w:hAnsi="宋体" w:eastAsia="宋体" w:cs="宋体"/>
                <w:color w:val="auto"/>
                <w:sz w:val="24"/>
                <w:highlight w:val="none"/>
              </w:rPr>
            </w:pPr>
          </w:p>
        </w:tc>
        <w:tc>
          <w:tcPr>
            <w:tcW w:w="7633" w:type="dxa"/>
            <w:noWrap w:val="0"/>
            <w:vAlign w:val="center"/>
          </w:tcPr>
          <w:p w14:paraId="2EDDA29F">
            <w:pPr>
              <w:spacing w:line="560" w:lineRule="exact"/>
              <w:rPr>
                <w:rFonts w:hint="eastAsia" w:ascii="宋体" w:hAnsi="宋体" w:eastAsia="宋体" w:cs="宋体"/>
                <w:color w:val="auto"/>
                <w:sz w:val="24"/>
                <w:highlight w:val="none"/>
              </w:rPr>
            </w:pPr>
          </w:p>
        </w:tc>
      </w:tr>
      <w:tr w14:paraId="6B80B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2EB3C3D3">
            <w:pPr>
              <w:spacing w:line="560" w:lineRule="exact"/>
              <w:rPr>
                <w:rFonts w:hint="eastAsia" w:ascii="宋体" w:hAnsi="宋体" w:eastAsia="宋体" w:cs="宋体"/>
                <w:color w:val="auto"/>
                <w:sz w:val="24"/>
                <w:highlight w:val="none"/>
              </w:rPr>
            </w:pPr>
          </w:p>
        </w:tc>
        <w:tc>
          <w:tcPr>
            <w:tcW w:w="7633" w:type="dxa"/>
            <w:noWrap w:val="0"/>
            <w:vAlign w:val="center"/>
          </w:tcPr>
          <w:p w14:paraId="0F425BC3">
            <w:pPr>
              <w:spacing w:line="560" w:lineRule="exact"/>
              <w:rPr>
                <w:rFonts w:hint="eastAsia" w:ascii="宋体" w:hAnsi="宋体" w:eastAsia="宋体" w:cs="宋体"/>
                <w:color w:val="auto"/>
                <w:sz w:val="24"/>
                <w:highlight w:val="none"/>
              </w:rPr>
            </w:pPr>
          </w:p>
        </w:tc>
      </w:tr>
      <w:tr w14:paraId="56853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4B3F5CD2">
            <w:pPr>
              <w:spacing w:line="560" w:lineRule="exact"/>
              <w:rPr>
                <w:rFonts w:hint="eastAsia" w:ascii="宋体" w:hAnsi="宋体" w:eastAsia="宋体" w:cs="宋体"/>
                <w:color w:val="auto"/>
                <w:sz w:val="24"/>
                <w:highlight w:val="none"/>
              </w:rPr>
            </w:pPr>
          </w:p>
        </w:tc>
        <w:tc>
          <w:tcPr>
            <w:tcW w:w="7633" w:type="dxa"/>
            <w:noWrap w:val="0"/>
            <w:vAlign w:val="center"/>
          </w:tcPr>
          <w:p w14:paraId="3A3827B0">
            <w:pPr>
              <w:spacing w:line="560" w:lineRule="exact"/>
              <w:rPr>
                <w:rFonts w:hint="eastAsia" w:ascii="宋体" w:hAnsi="宋体" w:eastAsia="宋体" w:cs="宋体"/>
                <w:color w:val="auto"/>
                <w:sz w:val="24"/>
                <w:highlight w:val="none"/>
              </w:rPr>
            </w:pPr>
          </w:p>
        </w:tc>
      </w:tr>
      <w:tr w14:paraId="10312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52A72DD8">
            <w:pPr>
              <w:spacing w:line="560" w:lineRule="exact"/>
              <w:rPr>
                <w:rFonts w:hint="eastAsia" w:ascii="宋体" w:hAnsi="宋体" w:eastAsia="宋体" w:cs="宋体"/>
                <w:color w:val="auto"/>
                <w:sz w:val="24"/>
                <w:highlight w:val="none"/>
              </w:rPr>
            </w:pPr>
          </w:p>
        </w:tc>
        <w:tc>
          <w:tcPr>
            <w:tcW w:w="7633" w:type="dxa"/>
            <w:noWrap w:val="0"/>
            <w:vAlign w:val="center"/>
          </w:tcPr>
          <w:p w14:paraId="50DCEA01">
            <w:pPr>
              <w:spacing w:line="560" w:lineRule="exact"/>
              <w:rPr>
                <w:rFonts w:hint="eastAsia" w:ascii="宋体" w:hAnsi="宋体" w:eastAsia="宋体" w:cs="宋体"/>
                <w:color w:val="auto"/>
                <w:sz w:val="24"/>
                <w:highlight w:val="none"/>
                <w:u w:val="single"/>
              </w:rPr>
            </w:pPr>
          </w:p>
        </w:tc>
      </w:tr>
      <w:tr w14:paraId="53CA6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476317B4">
            <w:pPr>
              <w:spacing w:line="560" w:lineRule="exact"/>
              <w:rPr>
                <w:rFonts w:hint="eastAsia" w:ascii="宋体" w:hAnsi="宋体" w:eastAsia="宋体" w:cs="宋体"/>
                <w:color w:val="auto"/>
                <w:sz w:val="24"/>
                <w:highlight w:val="none"/>
              </w:rPr>
            </w:pPr>
          </w:p>
        </w:tc>
        <w:tc>
          <w:tcPr>
            <w:tcW w:w="7633" w:type="dxa"/>
            <w:noWrap w:val="0"/>
            <w:vAlign w:val="center"/>
          </w:tcPr>
          <w:p w14:paraId="6E8435F0">
            <w:pPr>
              <w:spacing w:line="560" w:lineRule="exact"/>
              <w:rPr>
                <w:rFonts w:hint="eastAsia" w:ascii="宋体" w:hAnsi="宋体" w:eastAsia="宋体" w:cs="宋体"/>
                <w:color w:val="auto"/>
                <w:sz w:val="24"/>
                <w:highlight w:val="none"/>
              </w:rPr>
            </w:pPr>
          </w:p>
        </w:tc>
      </w:tr>
      <w:tr w14:paraId="5CA40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1B819D6D">
            <w:pPr>
              <w:spacing w:line="560" w:lineRule="exact"/>
              <w:rPr>
                <w:rFonts w:hint="eastAsia" w:ascii="宋体" w:hAnsi="宋体" w:eastAsia="宋体" w:cs="宋体"/>
                <w:color w:val="auto"/>
                <w:sz w:val="24"/>
                <w:highlight w:val="none"/>
              </w:rPr>
            </w:pPr>
          </w:p>
        </w:tc>
        <w:tc>
          <w:tcPr>
            <w:tcW w:w="7633" w:type="dxa"/>
            <w:noWrap w:val="0"/>
            <w:vAlign w:val="center"/>
          </w:tcPr>
          <w:p w14:paraId="72C0B2A6">
            <w:pPr>
              <w:spacing w:line="560" w:lineRule="exact"/>
              <w:rPr>
                <w:rFonts w:hint="eastAsia" w:ascii="宋体" w:hAnsi="宋体" w:eastAsia="宋体" w:cs="宋体"/>
                <w:color w:val="auto"/>
                <w:sz w:val="24"/>
                <w:highlight w:val="none"/>
                <w:u w:val="single"/>
              </w:rPr>
            </w:pPr>
          </w:p>
        </w:tc>
      </w:tr>
      <w:tr w14:paraId="433E0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06F342CE">
            <w:pPr>
              <w:spacing w:line="560" w:lineRule="exact"/>
              <w:rPr>
                <w:rFonts w:hint="eastAsia" w:ascii="宋体" w:hAnsi="宋体" w:eastAsia="宋体" w:cs="宋体"/>
                <w:color w:val="auto"/>
                <w:sz w:val="24"/>
                <w:highlight w:val="none"/>
              </w:rPr>
            </w:pPr>
          </w:p>
        </w:tc>
        <w:tc>
          <w:tcPr>
            <w:tcW w:w="7633" w:type="dxa"/>
            <w:noWrap w:val="0"/>
            <w:vAlign w:val="center"/>
          </w:tcPr>
          <w:p w14:paraId="18CB30F9">
            <w:pPr>
              <w:spacing w:line="560" w:lineRule="exact"/>
              <w:rPr>
                <w:rFonts w:hint="eastAsia" w:ascii="宋体" w:hAnsi="宋体" w:eastAsia="宋体" w:cs="宋体"/>
                <w:color w:val="auto"/>
                <w:sz w:val="24"/>
                <w:highlight w:val="none"/>
              </w:rPr>
            </w:pPr>
          </w:p>
        </w:tc>
      </w:tr>
      <w:tr w14:paraId="649C6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712970C1">
            <w:pPr>
              <w:spacing w:line="560" w:lineRule="exact"/>
              <w:rPr>
                <w:rFonts w:hint="eastAsia" w:ascii="宋体" w:hAnsi="宋体" w:eastAsia="宋体" w:cs="宋体"/>
                <w:color w:val="auto"/>
                <w:sz w:val="24"/>
                <w:highlight w:val="none"/>
              </w:rPr>
            </w:pPr>
          </w:p>
        </w:tc>
        <w:tc>
          <w:tcPr>
            <w:tcW w:w="7633" w:type="dxa"/>
            <w:noWrap w:val="0"/>
            <w:vAlign w:val="center"/>
          </w:tcPr>
          <w:p w14:paraId="12D95F53">
            <w:pPr>
              <w:spacing w:line="560" w:lineRule="exact"/>
              <w:rPr>
                <w:rFonts w:hint="eastAsia" w:ascii="宋体" w:hAnsi="宋体" w:eastAsia="宋体" w:cs="宋体"/>
                <w:color w:val="auto"/>
                <w:sz w:val="24"/>
                <w:highlight w:val="none"/>
              </w:rPr>
            </w:pPr>
          </w:p>
        </w:tc>
      </w:tr>
      <w:tr w14:paraId="2EB09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054F6F80">
            <w:pPr>
              <w:spacing w:line="560" w:lineRule="exact"/>
              <w:rPr>
                <w:rFonts w:hint="eastAsia" w:ascii="宋体" w:hAnsi="宋体" w:eastAsia="宋体" w:cs="宋体"/>
                <w:color w:val="auto"/>
                <w:sz w:val="24"/>
                <w:highlight w:val="none"/>
              </w:rPr>
            </w:pPr>
          </w:p>
        </w:tc>
        <w:tc>
          <w:tcPr>
            <w:tcW w:w="7633" w:type="dxa"/>
            <w:noWrap w:val="0"/>
            <w:vAlign w:val="center"/>
          </w:tcPr>
          <w:p w14:paraId="366FD717">
            <w:pPr>
              <w:spacing w:line="560" w:lineRule="exact"/>
              <w:rPr>
                <w:rFonts w:hint="eastAsia" w:ascii="宋体" w:hAnsi="宋体" w:eastAsia="宋体" w:cs="宋体"/>
                <w:color w:val="auto"/>
                <w:sz w:val="24"/>
                <w:highlight w:val="none"/>
              </w:rPr>
            </w:pPr>
          </w:p>
        </w:tc>
      </w:tr>
      <w:tr w14:paraId="034D0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2D372DA8">
            <w:pPr>
              <w:spacing w:line="560" w:lineRule="exact"/>
              <w:rPr>
                <w:rFonts w:hint="eastAsia" w:ascii="宋体" w:hAnsi="宋体" w:eastAsia="宋体" w:cs="宋体"/>
                <w:color w:val="auto"/>
                <w:sz w:val="24"/>
                <w:highlight w:val="none"/>
              </w:rPr>
            </w:pPr>
          </w:p>
        </w:tc>
        <w:tc>
          <w:tcPr>
            <w:tcW w:w="7633" w:type="dxa"/>
            <w:noWrap w:val="0"/>
            <w:vAlign w:val="center"/>
          </w:tcPr>
          <w:p w14:paraId="1E8FB7B6">
            <w:pPr>
              <w:spacing w:line="560" w:lineRule="exact"/>
              <w:rPr>
                <w:rFonts w:hint="eastAsia" w:ascii="宋体" w:hAnsi="宋体" w:eastAsia="宋体" w:cs="宋体"/>
                <w:color w:val="auto"/>
                <w:sz w:val="24"/>
                <w:highlight w:val="none"/>
              </w:rPr>
            </w:pPr>
          </w:p>
        </w:tc>
      </w:tr>
      <w:tr w14:paraId="0270C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77D5AF0D">
            <w:pPr>
              <w:spacing w:line="560" w:lineRule="exact"/>
              <w:rPr>
                <w:rFonts w:hint="eastAsia" w:ascii="宋体" w:hAnsi="宋体" w:eastAsia="宋体" w:cs="宋体"/>
                <w:color w:val="auto"/>
                <w:sz w:val="24"/>
                <w:highlight w:val="none"/>
              </w:rPr>
            </w:pPr>
          </w:p>
        </w:tc>
        <w:tc>
          <w:tcPr>
            <w:tcW w:w="7633" w:type="dxa"/>
            <w:noWrap w:val="0"/>
            <w:vAlign w:val="center"/>
          </w:tcPr>
          <w:p w14:paraId="5584019B">
            <w:pPr>
              <w:spacing w:line="560" w:lineRule="exact"/>
              <w:rPr>
                <w:rFonts w:hint="eastAsia" w:ascii="宋体" w:hAnsi="宋体" w:eastAsia="宋体" w:cs="宋体"/>
                <w:color w:val="auto"/>
                <w:sz w:val="24"/>
                <w:highlight w:val="none"/>
              </w:rPr>
            </w:pPr>
          </w:p>
        </w:tc>
      </w:tr>
    </w:tbl>
    <w:p w14:paraId="050DF5C5">
      <w:pPr>
        <w:spacing w:after="156" w:line="560" w:lineRule="exact"/>
        <w:ind w:firstLine="480"/>
        <w:rPr>
          <w:rFonts w:hint="eastAsia" w:ascii="宋体" w:hAnsi="宋体" w:eastAsia="宋体" w:cs="宋体"/>
          <w:color w:val="auto"/>
          <w:highlight w:val="none"/>
        </w:rPr>
      </w:pPr>
    </w:p>
    <w:p w14:paraId="58A06CD6">
      <w:pPr>
        <w:pStyle w:val="5"/>
        <w:spacing w:line="240" w:lineRule="atLeast"/>
        <w:ind w:left="1080" w:leftChars="257" w:hanging="540"/>
        <w:rPr>
          <w:rFonts w:hint="eastAsia" w:ascii="宋体" w:hAnsi="宋体" w:eastAsia="宋体" w:cs="宋体"/>
          <w:color w:val="auto"/>
          <w:sz w:val="24"/>
          <w:szCs w:val="18"/>
          <w:highlight w:val="none"/>
        </w:rPr>
      </w:pPr>
    </w:p>
    <w:p w14:paraId="326B6724">
      <w:pPr>
        <w:rPr>
          <w:rFonts w:hint="eastAsia" w:ascii="宋体" w:hAnsi="宋体" w:eastAsia="宋体" w:cs="宋体"/>
          <w:strike/>
          <w:dstrike w:val="0"/>
          <w:color w:val="auto"/>
          <w:highlight w:val="none"/>
        </w:rPr>
      </w:pPr>
    </w:p>
    <w:p w14:paraId="3A0BEC5A">
      <w:pPr>
        <w:pStyle w:val="5"/>
        <w:spacing w:line="240" w:lineRule="atLeast"/>
        <w:ind w:firstLine="0"/>
        <w:rPr>
          <w:rFonts w:hint="eastAsia" w:ascii="宋体" w:hAnsi="宋体" w:eastAsia="宋体" w:cs="宋体"/>
          <w:color w:val="auto"/>
          <w:sz w:val="28"/>
          <w:highlight w:val="none"/>
        </w:rPr>
      </w:pPr>
    </w:p>
    <w:sectPr>
      <w:headerReference r:id="rId19" w:type="default"/>
      <w:footerReference r:id="rId20"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思源黑体 CN Bold">
    <w:altName w:val="宋体"/>
    <w:panose1 w:val="00000000000000000000"/>
    <w:charset w:val="86"/>
    <w:family w:val="auto"/>
    <w:pitch w:val="default"/>
    <w:sig w:usb0="00000000" w:usb1="0000000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A3413">
    <w:pPr>
      <w:pStyle w:val="21"/>
      <w:ind w:right="360" w:firstLine="360"/>
      <w:jc w:val="right"/>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9A796">
    <w:pPr>
      <w:pStyle w:val="2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8C0C30">
                          <w:pPr>
                            <w:pStyle w:val="21"/>
                          </w:pPr>
                          <w:r>
                            <w:fldChar w:fldCharType="begin"/>
                          </w:r>
                          <w:r>
                            <w:instrText xml:space="preserve"> PAGE  \* MERGEFORMAT </w:instrText>
                          </w:r>
                          <w:r>
                            <w:fldChar w:fldCharType="separate"/>
                          </w:r>
                          <w:r>
                            <w:t>71</w:t>
                          </w:r>
                          <w: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QqoHdAQAAvwMAAA4AAAAAAAAA&#10;AQAgAAAAHgEAAGRycy9lMm9Eb2MueG1sUEsFBgAAAAAGAAYAWQEAAG0FAAAAAA==&#10;">
              <v:fill on="f" focussize="0,0"/>
              <v:stroke on="f"/>
              <v:imagedata o:title=""/>
              <o:lock v:ext="edit" aspectratio="f"/>
              <v:textbox inset="0mm,0mm,0mm,0mm" style="mso-fit-shape-to-text:t;">
                <w:txbxContent>
                  <w:p w14:paraId="7F8C0C30">
                    <w:pPr>
                      <w:pStyle w:val="21"/>
                    </w:pPr>
                    <w:r>
                      <w:fldChar w:fldCharType="begin"/>
                    </w:r>
                    <w:r>
                      <w:instrText xml:space="preserve"> PAGE  \* MERGEFORMAT </w:instrText>
                    </w:r>
                    <w:r>
                      <w:fldChar w:fldCharType="separate"/>
                    </w:r>
                    <w:r>
                      <w:t>71</w:t>
                    </w:r>
                    <w:r>
                      <w:fldChar w:fldCharType="end"/>
                    </w:r>
                  </w:p>
                </w:txbxContent>
              </v:textbox>
            </v:shape>
          </w:pict>
        </mc:Fallback>
      </mc:AlternateContent>
    </w:r>
  </w:p>
  <w:p w14:paraId="59F509F3">
    <w:pPr>
      <w:pStyle w:val="21"/>
      <w:ind w:right="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E1C37">
    <w:pPr>
      <w:pStyle w:val="2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6EBB64">
                          <w:pPr>
                            <w:pStyle w:val="21"/>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G4C8N3gEAAL4DAAAOAAAAAAAA&#10;AAEAIAAAAB4BAABkcnMvZTJvRG9jLnhtbFBLBQYAAAAABgAGAFkBAABuBQAAAAA=&#10;">
              <v:fill on="f" focussize="0,0"/>
              <v:stroke on="f"/>
              <v:imagedata o:title=""/>
              <o:lock v:ext="edit" aspectratio="f"/>
              <v:textbox inset="0mm,0mm,0mm,0mm" style="mso-fit-shape-to-text:t;">
                <w:txbxContent>
                  <w:p w14:paraId="7F6EBB64">
                    <w:pPr>
                      <w:pStyle w:val="21"/>
                    </w:pPr>
                    <w:r>
                      <w:fldChar w:fldCharType="begin"/>
                    </w:r>
                    <w:r>
                      <w:instrText xml:space="preserve"> PAGE  \* MERGEFORMAT </w:instrText>
                    </w:r>
                    <w:r>
                      <w:fldChar w:fldCharType="separate"/>
                    </w:r>
                    <w:r>
                      <w:t>4</w:t>
                    </w:r>
                    <w:r>
                      <w:fldChar w:fldCharType="end"/>
                    </w:r>
                  </w:p>
                </w:txbxContent>
              </v:textbox>
            </v:shape>
          </w:pict>
        </mc:Fallback>
      </mc:AlternateContent>
    </w:r>
  </w:p>
  <w:p w14:paraId="55695726">
    <w:pPr>
      <w:pStyle w:val="21"/>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405BA">
    <w:pPr>
      <w:pStyle w:val="21"/>
      <w:ind w:right="360" w:firstLine="360"/>
      <w:jc w:val="right"/>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D6E443">
                          <w:pPr>
                            <w:pStyle w:val="2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47D6E443">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4EE5E">
    <w:pPr>
      <w:pStyle w:val="21"/>
      <w:framePr w:wrap="around" w:vAnchor="text" w:hAnchor="margin" w:xAlign="center" w:y="1"/>
      <w:rPr>
        <w:rStyle w:val="39"/>
      </w:rPr>
    </w:pPr>
    <w:r>
      <w:fldChar w:fldCharType="begin"/>
    </w:r>
    <w:r>
      <w:rPr>
        <w:rStyle w:val="39"/>
      </w:rPr>
      <w:instrText xml:space="preserve">PAGE  </w:instrText>
    </w:r>
    <w:r>
      <w:fldChar w:fldCharType="end"/>
    </w:r>
  </w:p>
  <w:p w14:paraId="6D474613">
    <w:pPr>
      <w:pStyle w:val="21"/>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146E0">
    <w:pPr>
      <w:pStyle w:val="21"/>
      <w:framePr w:wrap="around" w:vAnchor="text" w:hAnchor="margin" w:xAlign="right" w:y="1"/>
      <w:rPr>
        <w:rStyle w:val="39"/>
      </w:rPr>
    </w:pPr>
  </w:p>
  <w:p w14:paraId="64A40BF0">
    <w:pPr>
      <w:pStyle w:val="21"/>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6C4A5">
    <w:pPr>
      <w:pStyle w:val="21"/>
      <w:framePr w:wrap="around" w:vAnchor="text" w:hAnchor="margin" w:xAlign="center" w:y="1"/>
      <w:rPr>
        <w:rStyle w:val="39"/>
      </w:rPr>
    </w:pPr>
    <w:r>
      <w:fldChar w:fldCharType="begin"/>
    </w:r>
    <w:r>
      <w:rPr>
        <w:rStyle w:val="39"/>
      </w:rPr>
      <w:instrText xml:space="preserve">PAGE  </w:instrText>
    </w:r>
    <w:r>
      <w:fldChar w:fldCharType="end"/>
    </w:r>
  </w:p>
  <w:p w14:paraId="690F6A35">
    <w:pPr>
      <w:pStyle w:val="2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C6397">
    <w:pPr>
      <w:pStyle w:val="2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61252E">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JR8x8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KI7dcYsDv/z8cfn15/L7O1mu&#10;sj59gBrT7gMmpuGdH3BrZj+gM9MeVLT5i4QIxlHd81VdOSQi8qP1ar2uMCQwNl8Qnz08DxHSe+kt&#10;yUZDI46vqMpPHyGNqXNKrub8nTamjNC4fxyImT0s9z72mK007IeJ0N63Z+TT4+Qb6nDRKTEfHAqb&#10;l2Q24mzsZ+MYoj50ZYtyPQi3x4RNlN5yhRF2KowjK+ym9co78fhesh5+qe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yUfMfIAQAAmgMAAA4AAAAAAAAAAQAgAAAAHgEAAGRycy9lMm9Eb2Mu&#10;eG1sUEsFBgAAAAAGAAYAWQEAAFgFAAAAAA==&#10;">
              <v:fill on="f" focussize="0,0"/>
              <v:stroke on="f"/>
              <v:imagedata o:title=""/>
              <o:lock v:ext="edit" aspectratio="f"/>
              <v:textbox inset="0mm,0mm,0mm,0mm" style="mso-fit-shape-to-text:t;">
                <w:txbxContent>
                  <w:p w14:paraId="3961252E">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v:textbox>
            </v:shape>
          </w:pict>
        </mc:Fallback>
      </mc:AlternateContent>
    </w:r>
  </w:p>
  <w:p w14:paraId="444B931F">
    <w:pPr>
      <w:pStyle w:val="2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4FA33">
    <w:pPr>
      <w:pStyle w:val="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84901">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D0BD9">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1C182">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51838">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88B">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19706">
    <w:pPr>
      <w:pStyle w:val="22"/>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A53EF">
    <w:pPr>
      <w:pStyle w:val="22"/>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2FB21">
    <w:pPr>
      <w:pStyle w:val="22"/>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568F0">
    <w:pPr>
      <w:pStyle w:val="22"/>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2B461"/>
    <w:multiLevelType w:val="singleLevel"/>
    <w:tmpl w:val="90C2B461"/>
    <w:lvl w:ilvl="0" w:tentative="0">
      <w:start w:val="7"/>
      <w:numFmt w:val="decimal"/>
      <w:lvlText w:val="%1."/>
      <w:lvlJc w:val="left"/>
      <w:pPr>
        <w:tabs>
          <w:tab w:val="left" w:pos="312"/>
        </w:tabs>
      </w:pPr>
    </w:lvl>
  </w:abstractNum>
  <w:abstractNum w:abstractNumId="1">
    <w:nsid w:val="BE3D9BB8"/>
    <w:multiLevelType w:val="multilevel"/>
    <w:tmpl w:val="BE3D9BB8"/>
    <w:lvl w:ilvl="0" w:tentative="0">
      <w:start w:val="1"/>
      <w:numFmt w:val="decimal"/>
      <w:lvlText w:val="%1."/>
      <w:lvlJc w:val="left"/>
      <w:pPr>
        <w:tabs>
          <w:tab w:val="left" w:pos="312"/>
        </w:tabs>
        <w:ind w:left="-560"/>
      </w:pPr>
      <w:rPr>
        <w:rFonts w:hint="default" w:ascii="思源黑体 CN Bold" w:hAnsi="思源黑体 CN Bold" w:eastAsia="思源黑体 CN Bold" w:cs="思源黑体 CN Bold"/>
        <w:sz w:val="28"/>
        <w:szCs w:val="28"/>
      </w:rPr>
    </w:lvl>
    <w:lvl w:ilvl="1" w:tentative="0">
      <w:start w:val="1"/>
      <w:numFmt w:val="decimal"/>
      <w:suff w:val="space"/>
      <w:lvlText w:val="%1.%2"/>
      <w:lvlJc w:val="left"/>
      <w:pPr>
        <w:ind w:left="0" w:firstLine="0"/>
      </w:pPr>
      <w:rPr>
        <w:rFonts w:hint="default" w:ascii="宋体" w:hAnsi="宋体" w:eastAsia="宋体" w:cs="宋体"/>
        <w:sz w:val="24"/>
        <w:szCs w:val="24"/>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CDB1B4E7"/>
    <w:multiLevelType w:val="singleLevel"/>
    <w:tmpl w:val="CDB1B4E7"/>
    <w:lvl w:ilvl="0" w:tentative="0">
      <w:start w:val="1"/>
      <w:numFmt w:val="decimal"/>
      <w:suff w:val="space"/>
      <w:lvlText w:val="%1."/>
      <w:lvlJc w:val="left"/>
    </w:lvl>
  </w:abstractNum>
  <w:abstractNum w:abstractNumId="3">
    <w:nsid w:val="D117F103"/>
    <w:multiLevelType w:val="singleLevel"/>
    <w:tmpl w:val="D117F103"/>
    <w:lvl w:ilvl="0" w:tentative="0">
      <w:start w:val="5"/>
      <w:numFmt w:val="decimal"/>
      <w:suff w:val="nothing"/>
      <w:lvlText w:val="%1、"/>
      <w:lvlJc w:val="left"/>
    </w:lvl>
  </w:abstractNum>
  <w:abstractNum w:abstractNumId="4">
    <w:nsid w:val="F3956F61"/>
    <w:multiLevelType w:val="singleLevel"/>
    <w:tmpl w:val="F3956F61"/>
    <w:lvl w:ilvl="0" w:tentative="0">
      <w:start w:val="1"/>
      <w:numFmt w:val="decimal"/>
      <w:lvlText w:val="%1."/>
      <w:lvlJc w:val="left"/>
      <w:pPr>
        <w:tabs>
          <w:tab w:val="left" w:pos="312"/>
        </w:tabs>
      </w:pPr>
    </w:lvl>
  </w:abstractNum>
  <w:abstractNum w:abstractNumId="5">
    <w:nsid w:val="FAFEABE2"/>
    <w:multiLevelType w:val="singleLevel"/>
    <w:tmpl w:val="FAFEABE2"/>
    <w:lvl w:ilvl="0" w:tentative="0">
      <w:start w:val="4"/>
      <w:numFmt w:val="decimal"/>
      <w:lvlText w:val="%1."/>
      <w:lvlJc w:val="left"/>
      <w:pPr>
        <w:tabs>
          <w:tab w:val="left" w:pos="312"/>
        </w:tabs>
      </w:pPr>
    </w:lvl>
  </w:abstractNum>
  <w:abstractNum w:abstractNumId="6">
    <w:nsid w:val="00000001"/>
    <w:multiLevelType w:val="multilevel"/>
    <w:tmpl w:val="00000001"/>
    <w:lvl w:ilvl="0" w:tentative="0">
      <w:start w:val="4"/>
      <w:numFmt w:val="decimal"/>
      <w:suff w:val="nothing"/>
      <w:lvlText w:val="%1、"/>
      <w:lvlJc w:val="left"/>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0494B437"/>
    <w:multiLevelType w:val="singleLevel"/>
    <w:tmpl w:val="0494B437"/>
    <w:lvl w:ilvl="0" w:tentative="0">
      <w:start w:val="9"/>
      <w:numFmt w:val="chineseCounting"/>
      <w:suff w:val="nothing"/>
      <w:lvlText w:val="%1、"/>
      <w:lvlJc w:val="left"/>
      <w:rPr>
        <w:rFonts w:hint="eastAsia"/>
      </w:rPr>
    </w:lvl>
  </w:abstractNum>
  <w:abstractNum w:abstractNumId="8">
    <w:nsid w:val="071D106B"/>
    <w:multiLevelType w:val="singleLevel"/>
    <w:tmpl w:val="071D106B"/>
    <w:lvl w:ilvl="0" w:tentative="0">
      <w:start w:val="2"/>
      <w:numFmt w:val="chineseCounting"/>
      <w:suff w:val="space"/>
      <w:lvlText w:val="第%1部分"/>
      <w:lvlJc w:val="left"/>
      <w:rPr>
        <w:rFonts w:hint="eastAsia"/>
      </w:rPr>
    </w:lvl>
  </w:abstractNum>
  <w:abstractNum w:abstractNumId="9">
    <w:nsid w:val="0FF9642E"/>
    <w:multiLevelType w:val="multilevel"/>
    <w:tmpl w:val="0FF9642E"/>
    <w:lvl w:ilvl="0" w:tentative="0">
      <w:start w:val="1"/>
      <w:numFmt w:val="decimal"/>
      <w:lvlText w:val="第%1章"/>
      <w:lvlJc w:val="left"/>
      <w:pPr>
        <w:tabs>
          <w:tab w:val="left" w:pos="3134"/>
        </w:tabs>
        <w:ind w:left="3810"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0">
    <w:nsid w:val="14694C14"/>
    <w:multiLevelType w:val="singleLevel"/>
    <w:tmpl w:val="14694C14"/>
    <w:lvl w:ilvl="0" w:tentative="0">
      <w:start w:val="1"/>
      <w:numFmt w:val="decimal"/>
      <w:suff w:val="nothing"/>
      <w:lvlText w:val="%1、"/>
      <w:lvlJc w:val="left"/>
    </w:lvl>
  </w:abstractNum>
  <w:abstractNum w:abstractNumId="11">
    <w:nsid w:val="15A921B9"/>
    <w:multiLevelType w:val="multilevel"/>
    <w:tmpl w:val="15A921B9"/>
    <w:lvl w:ilvl="0" w:tentative="0">
      <w:start w:val="1"/>
      <w:numFmt w:val="decimal"/>
      <w:lvlText w:val="%1."/>
      <w:lvlJc w:val="left"/>
      <w:pPr>
        <w:ind w:left="600" w:hanging="600"/>
      </w:pPr>
      <w:rPr>
        <w:rFonts w:hint="default"/>
      </w:rPr>
    </w:lvl>
    <w:lvl w:ilvl="1" w:tentative="0">
      <w:start w:val="5"/>
      <w:numFmt w:val="decimal"/>
      <w:lvlText w:val="%1.%2、"/>
      <w:lvlJc w:val="left"/>
      <w:pPr>
        <w:ind w:left="72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2">
    <w:nsid w:val="22875E84"/>
    <w:multiLevelType w:val="multilevel"/>
    <w:tmpl w:val="22875E8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F1B6BA0"/>
    <w:multiLevelType w:val="multilevel"/>
    <w:tmpl w:val="2F1B6BA0"/>
    <w:lvl w:ilvl="0" w:tentative="0">
      <w:start w:val="1"/>
      <w:numFmt w:val="decimal"/>
      <w:lvlText w:val="%1."/>
      <w:lvlJc w:val="left"/>
      <w:pPr>
        <w:tabs>
          <w:tab w:val="left" w:pos="703"/>
        </w:tabs>
        <w:ind w:left="703" w:hanging="420"/>
      </w:pPr>
      <w:rPr>
        <w:color w:val="auto"/>
      </w:r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14">
    <w:nsid w:val="358859C9"/>
    <w:multiLevelType w:val="multilevel"/>
    <w:tmpl w:val="358859C9"/>
    <w:lvl w:ilvl="0" w:tentative="0">
      <w:start w:val="1"/>
      <w:numFmt w:val="decimal"/>
      <w:lvlText w:val="%1."/>
      <w:lvlJc w:val="left"/>
      <w:pPr>
        <w:ind w:left="720" w:hanging="720"/>
      </w:pPr>
      <w:rPr>
        <w:rFonts w:hint="default"/>
      </w:rPr>
    </w:lvl>
    <w:lvl w:ilvl="1" w:tentative="0">
      <w:start w:val="17"/>
      <w:numFmt w:val="decimal"/>
      <w:lvlText w:val="%1.%2、"/>
      <w:lvlJc w:val="left"/>
      <w:pPr>
        <w:ind w:left="72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5">
    <w:nsid w:val="387C4271"/>
    <w:multiLevelType w:val="singleLevel"/>
    <w:tmpl w:val="387C4271"/>
    <w:lvl w:ilvl="0" w:tentative="0">
      <w:start w:val="4"/>
      <w:numFmt w:val="decimal"/>
      <w:lvlText w:val="%1."/>
      <w:lvlJc w:val="left"/>
      <w:pPr>
        <w:tabs>
          <w:tab w:val="left" w:pos="312"/>
        </w:tabs>
      </w:pPr>
    </w:lvl>
  </w:abstractNum>
  <w:abstractNum w:abstractNumId="16">
    <w:nsid w:val="467045E2"/>
    <w:multiLevelType w:val="singleLevel"/>
    <w:tmpl w:val="467045E2"/>
    <w:lvl w:ilvl="0" w:tentative="0">
      <w:start w:val="1"/>
      <w:numFmt w:val="chineseCounting"/>
      <w:suff w:val="nothing"/>
      <w:lvlText w:val="%1．"/>
      <w:lvlJc w:val="left"/>
      <w:rPr>
        <w:rFonts w:hint="eastAsia"/>
      </w:rPr>
    </w:lvl>
  </w:abstractNum>
  <w:abstractNum w:abstractNumId="17">
    <w:nsid w:val="46F85B43"/>
    <w:multiLevelType w:val="multilevel"/>
    <w:tmpl w:val="46F85B43"/>
    <w:lvl w:ilvl="0" w:tentative="0">
      <w:start w:val="7"/>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84DB435"/>
    <w:multiLevelType w:val="singleLevel"/>
    <w:tmpl w:val="484DB435"/>
    <w:lvl w:ilvl="0" w:tentative="0">
      <w:start w:val="1"/>
      <w:numFmt w:val="decimal"/>
      <w:lvlText w:val="%1."/>
      <w:lvlJc w:val="left"/>
      <w:pPr>
        <w:tabs>
          <w:tab w:val="left" w:pos="312"/>
        </w:tabs>
      </w:pPr>
    </w:lvl>
  </w:abstractNum>
  <w:abstractNum w:abstractNumId="19">
    <w:nsid w:val="49395221"/>
    <w:multiLevelType w:val="multilevel"/>
    <w:tmpl w:val="4939522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4A3A5A4B"/>
    <w:multiLevelType w:val="multilevel"/>
    <w:tmpl w:val="4A3A5A4B"/>
    <w:lvl w:ilvl="0" w:tentative="0">
      <w:start w:val="1"/>
      <w:numFmt w:val="decimal"/>
      <w:lvlText w:val="%1."/>
      <w:lvlJc w:val="left"/>
      <w:pPr>
        <w:tabs>
          <w:tab w:val="left" w:pos="704"/>
        </w:tabs>
        <w:ind w:left="704" w:hanging="42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50171B84"/>
    <w:multiLevelType w:val="singleLevel"/>
    <w:tmpl w:val="50171B84"/>
    <w:lvl w:ilvl="0" w:tentative="0">
      <w:start w:val="6"/>
      <w:numFmt w:val="chineseCounting"/>
      <w:suff w:val="nothing"/>
      <w:lvlText w:val="%1、"/>
      <w:lvlJc w:val="left"/>
      <w:rPr>
        <w:rFonts w:hint="eastAsia"/>
      </w:rPr>
    </w:lvl>
  </w:abstractNum>
  <w:abstractNum w:abstractNumId="22">
    <w:nsid w:val="5D5B079D"/>
    <w:multiLevelType w:val="singleLevel"/>
    <w:tmpl w:val="5D5B079D"/>
    <w:lvl w:ilvl="0" w:tentative="0">
      <w:start w:val="1"/>
      <w:numFmt w:val="decimal"/>
      <w:lvlText w:val="%1."/>
      <w:lvlJc w:val="left"/>
      <w:pPr>
        <w:tabs>
          <w:tab w:val="left" w:pos="312"/>
        </w:tabs>
      </w:pPr>
    </w:lvl>
  </w:abstractNum>
  <w:abstractNum w:abstractNumId="23">
    <w:nsid w:val="63CD74F7"/>
    <w:multiLevelType w:val="multilevel"/>
    <w:tmpl w:val="63CD74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A947FAE"/>
    <w:multiLevelType w:val="multilevel"/>
    <w:tmpl w:val="6A947FA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97A98F1"/>
    <w:multiLevelType w:val="singleLevel"/>
    <w:tmpl w:val="797A98F1"/>
    <w:lvl w:ilvl="0" w:tentative="0">
      <w:start w:val="1"/>
      <w:numFmt w:val="decimal"/>
      <w:suff w:val="space"/>
      <w:lvlText w:val="%1."/>
      <w:lvlJc w:val="left"/>
    </w:lvl>
  </w:abstractNum>
  <w:abstractNum w:abstractNumId="26">
    <w:nsid w:val="7DF1CFE6"/>
    <w:multiLevelType w:val="singleLevel"/>
    <w:tmpl w:val="7DF1CFE6"/>
    <w:lvl w:ilvl="0" w:tentative="0">
      <w:start w:val="1"/>
      <w:numFmt w:val="decimal"/>
      <w:suff w:val="space"/>
      <w:lvlText w:val="%1."/>
      <w:lvlJc w:val="left"/>
      <w:pPr>
        <w:ind w:left="0"/>
      </w:pPr>
    </w:lvl>
  </w:abstractNum>
  <w:abstractNum w:abstractNumId="27">
    <w:nsid w:val="7DFC74A1"/>
    <w:multiLevelType w:val="multilevel"/>
    <w:tmpl w:val="7DFC74A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8"/>
  </w:num>
  <w:num w:numId="3">
    <w:abstractNumId w:val="11"/>
  </w:num>
  <w:num w:numId="4">
    <w:abstractNumId w:val="14"/>
  </w:num>
  <w:num w:numId="5">
    <w:abstractNumId w:val="17"/>
  </w:num>
  <w:num w:numId="6">
    <w:abstractNumId w:val="15"/>
  </w:num>
  <w:num w:numId="7">
    <w:abstractNumId w:val="3"/>
  </w:num>
  <w:num w:numId="8">
    <w:abstractNumId w:val="20"/>
  </w:num>
  <w:num w:numId="9">
    <w:abstractNumId w:val="13"/>
  </w:num>
  <w:num w:numId="10">
    <w:abstractNumId w:val="16"/>
  </w:num>
  <w:num w:numId="11">
    <w:abstractNumId w:val="0"/>
  </w:num>
  <w:num w:numId="12">
    <w:abstractNumId w:val="12"/>
  </w:num>
  <w:num w:numId="13">
    <w:abstractNumId w:val="27"/>
  </w:num>
  <w:num w:numId="14">
    <w:abstractNumId w:val="19"/>
  </w:num>
  <w:num w:numId="15">
    <w:abstractNumId w:val="23"/>
  </w:num>
  <w:num w:numId="16">
    <w:abstractNumId w:val="24"/>
  </w:num>
  <w:num w:numId="17">
    <w:abstractNumId w:val="1"/>
  </w:num>
  <w:num w:numId="18">
    <w:abstractNumId w:val="4"/>
  </w:num>
  <w:num w:numId="19">
    <w:abstractNumId w:val="26"/>
  </w:num>
  <w:num w:numId="20">
    <w:abstractNumId w:val="22"/>
  </w:num>
  <w:num w:numId="21">
    <w:abstractNumId w:val="18"/>
  </w:num>
  <w:num w:numId="22">
    <w:abstractNumId w:val="2"/>
  </w:num>
  <w:num w:numId="23">
    <w:abstractNumId w:val="25"/>
  </w:num>
  <w:num w:numId="24">
    <w:abstractNumId w:val="5"/>
  </w:num>
  <w:num w:numId="25">
    <w:abstractNumId w:val="6"/>
  </w:num>
  <w:num w:numId="26">
    <w:abstractNumId w:val="21"/>
  </w:num>
  <w:num w:numId="27">
    <w:abstractNumId w:val="10"/>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zVmNDllYzk5YzA2ZDkwNzk5MTY2NDcxMTk5MTUyYmMifQ=="/>
    <w:docVar w:name="VTCASE" w:val="4"/>
    <w:docVar w:name="VTCommandPending" w:val="NONE"/>
  </w:docVars>
  <w:rsids>
    <w:rsidRoot w:val="00887D93"/>
    <w:rsid w:val="000004CD"/>
    <w:rsid w:val="00001783"/>
    <w:rsid w:val="00001797"/>
    <w:rsid w:val="0000273B"/>
    <w:rsid w:val="000041A8"/>
    <w:rsid w:val="000055D7"/>
    <w:rsid w:val="0001529F"/>
    <w:rsid w:val="000157E2"/>
    <w:rsid w:val="0001697A"/>
    <w:rsid w:val="000169E1"/>
    <w:rsid w:val="00020D78"/>
    <w:rsid w:val="00021486"/>
    <w:rsid w:val="00021AE8"/>
    <w:rsid w:val="00022E94"/>
    <w:rsid w:val="000313B5"/>
    <w:rsid w:val="00032B95"/>
    <w:rsid w:val="000333A8"/>
    <w:rsid w:val="000434F9"/>
    <w:rsid w:val="00043533"/>
    <w:rsid w:val="00045D67"/>
    <w:rsid w:val="0004677C"/>
    <w:rsid w:val="000538CC"/>
    <w:rsid w:val="000541C7"/>
    <w:rsid w:val="00054A8E"/>
    <w:rsid w:val="00055A71"/>
    <w:rsid w:val="00056583"/>
    <w:rsid w:val="00056932"/>
    <w:rsid w:val="00057BB2"/>
    <w:rsid w:val="0006019D"/>
    <w:rsid w:val="000612B3"/>
    <w:rsid w:val="00061B68"/>
    <w:rsid w:val="00063750"/>
    <w:rsid w:val="00065379"/>
    <w:rsid w:val="000673C5"/>
    <w:rsid w:val="00070907"/>
    <w:rsid w:val="000719AB"/>
    <w:rsid w:val="00073852"/>
    <w:rsid w:val="00076670"/>
    <w:rsid w:val="00080B56"/>
    <w:rsid w:val="00080FC7"/>
    <w:rsid w:val="00081D11"/>
    <w:rsid w:val="00083115"/>
    <w:rsid w:val="00093645"/>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812"/>
    <w:rsid w:val="000E1288"/>
    <w:rsid w:val="000E3784"/>
    <w:rsid w:val="000E37E0"/>
    <w:rsid w:val="000E47A0"/>
    <w:rsid w:val="000E597F"/>
    <w:rsid w:val="000E5BFC"/>
    <w:rsid w:val="000E694F"/>
    <w:rsid w:val="000E7158"/>
    <w:rsid w:val="000E74D4"/>
    <w:rsid w:val="000F2D05"/>
    <w:rsid w:val="000F2EEE"/>
    <w:rsid w:val="000F4234"/>
    <w:rsid w:val="000F6215"/>
    <w:rsid w:val="000F63C8"/>
    <w:rsid w:val="000F6581"/>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1E0D"/>
    <w:rsid w:val="0013359E"/>
    <w:rsid w:val="00137694"/>
    <w:rsid w:val="00141EAC"/>
    <w:rsid w:val="00143652"/>
    <w:rsid w:val="0014627C"/>
    <w:rsid w:val="0015142E"/>
    <w:rsid w:val="00157C74"/>
    <w:rsid w:val="00157D8E"/>
    <w:rsid w:val="00161678"/>
    <w:rsid w:val="00161D71"/>
    <w:rsid w:val="00162805"/>
    <w:rsid w:val="00165014"/>
    <w:rsid w:val="0017180F"/>
    <w:rsid w:val="001733C3"/>
    <w:rsid w:val="00173BFF"/>
    <w:rsid w:val="00174749"/>
    <w:rsid w:val="00174FCA"/>
    <w:rsid w:val="00175AFB"/>
    <w:rsid w:val="00176F12"/>
    <w:rsid w:val="001770BE"/>
    <w:rsid w:val="00177A3E"/>
    <w:rsid w:val="00183E4B"/>
    <w:rsid w:val="00187B13"/>
    <w:rsid w:val="00187EB4"/>
    <w:rsid w:val="0019618B"/>
    <w:rsid w:val="00196FA0"/>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D027D"/>
    <w:rsid w:val="001D4A1E"/>
    <w:rsid w:val="001D70E9"/>
    <w:rsid w:val="001E181E"/>
    <w:rsid w:val="001E1DCD"/>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671D"/>
    <w:rsid w:val="0023090E"/>
    <w:rsid w:val="00231C64"/>
    <w:rsid w:val="00232C22"/>
    <w:rsid w:val="0023318A"/>
    <w:rsid w:val="00236A9B"/>
    <w:rsid w:val="0023715B"/>
    <w:rsid w:val="00237592"/>
    <w:rsid w:val="00244A0E"/>
    <w:rsid w:val="00244F73"/>
    <w:rsid w:val="002501BB"/>
    <w:rsid w:val="002509CA"/>
    <w:rsid w:val="00250C1D"/>
    <w:rsid w:val="00251A29"/>
    <w:rsid w:val="00251B89"/>
    <w:rsid w:val="00253615"/>
    <w:rsid w:val="00253950"/>
    <w:rsid w:val="00254F7E"/>
    <w:rsid w:val="0025569E"/>
    <w:rsid w:val="002564FE"/>
    <w:rsid w:val="002603EB"/>
    <w:rsid w:val="00261FEB"/>
    <w:rsid w:val="00264327"/>
    <w:rsid w:val="002650F1"/>
    <w:rsid w:val="00266403"/>
    <w:rsid w:val="00266406"/>
    <w:rsid w:val="002679CA"/>
    <w:rsid w:val="00272722"/>
    <w:rsid w:val="002745E7"/>
    <w:rsid w:val="002760AC"/>
    <w:rsid w:val="00277935"/>
    <w:rsid w:val="00277E8E"/>
    <w:rsid w:val="00280DD6"/>
    <w:rsid w:val="00282496"/>
    <w:rsid w:val="00283033"/>
    <w:rsid w:val="00285085"/>
    <w:rsid w:val="002854DC"/>
    <w:rsid w:val="0028616B"/>
    <w:rsid w:val="00290CDE"/>
    <w:rsid w:val="00290DE2"/>
    <w:rsid w:val="002959CC"/>
    <w:rsid w:val="002A0C27"/>
    <w:rsid w:val="002A2315"/>
    <w:rsid w:val="002A2732"/>
    <w:rsid w:val="002A3153"/>
    <w:rsid w:val="002A6C9C"/>
    <w:rsid w:val="002C10AC"/>
    <w:rsid w:val="002C2AE8"/>
    <w:rsid w:val="002C2FF3"/>
    <w:rsid w:val="002C3A5A"/>
    <w:rsid w:val="002C4ABE"/>
    <w:rsid w:val="002C71EC"/>
    <w:rsid w:val="002C7548"/>
    <w:rsid w:val="002C780B"/>
    <w:rsid w:val="002C7E47"/>
    <w:rsid w:val="002D2C13"/>
    <w:rsid w:val="002D2FFB"/>
    <w:rsid w:val="002D4E0A"/>
    <w:rsid w:val="002D4E16"/>
    <w:rsid w:val="002D505C"/>
    <w:rsid w:val="002D5DF8"/>
    <w:rsid w:val="002E334D"/>
    <w:rsid w:val="002E486A"/>
    <w:rsid w:val="002E53C0"/>
    <w:rsid w:val="002E766C"/>
    <w:rsid w:val="002F02C8"/>
    <w:rsid w:val="002F0A07"/>
    <w:rsid w:val="002F2D5F"/>
    <w:rsid w:val="002F46DC"/>
    <w:rsid w:val="002F5145"/>
    <w:rsid w:val="002F5CB9"/>
    <w:rsid w:val="002F5E9B"/>
    <w:rsid w:val="002F683C"/>
    <w:rsid w:val="002F7CF0"/>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528B8"/>
    <w:rsid w:val="00352BC8"/>
    <w:rsid w:val="00355D82"/>
    <w:rsid w:val="00356CAF"/>
    <w:rsid w:val="003612A6"/>
    <w:rsid w:val="003671F3"/>
    <w:rsid w:val="00367712"/>
    <w:rsid w:val="00367C88"/>
    <w:rsid w:val="00367DB2"/>
    <w:rsid w:val="00370B19"/>
    <w:rsid w:val="00371C8C"/>
    <w:rsid w:val="00373408"/>
    <w:rsid w:val="003748EB"/>
    <w:rsid w:val="00375DCD"/>
    <w:rsid w:val="00376F36"/>
    <w:rsid w:val="003800A6"/>
    <w:rsid w:val="0038151E"/>
    <w:rsid w:val="00382FFA"/>
    <w:rsid w:val="00383B0A"/>
    <w:rsid w:val="0038491D"/>
    <w:rsid w:val="00387606"/>
    <w:rsid w:val="00391DD2"/>
    <w:rsid w:val="003925E1"/>
    <w:rsid w:val="00393D74"/>
    <w:rsid w:val="003943A7"/>
    <w:rsid w:val="00396A66"/>
    <w:rsid w:val="003A0E06"/>
    <w:rsid w:val="003A1A69"/>
    <w:rsid w:val="003A37B8"/>
    <w:rsid w:val="003A582F"/>
    <w:rsid w:val="003A6B72"/>
    <w:rsid w:val="003B020F"/>
    <w:rsid w:val="003B3917"/>
    <w:rsid w:val="003B41D9"/>
    <w:rsid w:val="003B4356"/>
    <w:rsid w:val="003B5422"/>
    <w:rsid w:val="003B7293"/>
    <w:rsid w:val="003B76D0"/>
    <w:rsid w:val="003B7D7E"/>
    <w:rsid w:val="003C0EF3"/>
    <w:rsid w:val="003C53B2"/>
    <w:rsid w:val="003C6422"/>
    <w:rsid w:val="003C6C9A"/>
    <w:rsid w:val="003D6961"/>
    <w:rsid w:val="003E2C77"/>
    <w:rsid w:val="003E2C89"/>
    <w:rsid w:val="003E3C14"/>
    <w:rsid w:val="003E6516"/>
    <w:rsid w:val="003E747A"/>
    <w:rsid w:val="003F0149"/>
    <w:rsid w:val="003F11BD"/>
    <w:rsid w:val="003F4748"/>
    <w:rsid w:val="003F61AC"/>
    <w:rsid w:val="00401267"/>
    <w:rsid w:val="00401B70"/>
    <w:rsid w:val="00402836"/>
    <w:rsid w:val="0040298F"/>
    <w:rsid w:val="0040367C"/>
    <w:rsid w:val="00404B23"/>
    <w:rsid w:val="00405154"/>
    <w:rsid w:val="004109B8"/>
    <w:rsid w:val="0041238C"/>
    <w:rsid w:val="00412829"/>
    <w:rsid w:val="0041314E"/>
    <w:rsid w:val="00414EDB"/>
    <w:rsid w:val="004164DF"/>
    <w:rsid w:val="0042141B"/>
    <w:rsid w:val="00425FB2"/>
    <w:rsid w:val="004261AF"/>
    <w:rsid w:val="00426BB0"/>
    <w:rsid w:val="00427182"/>
    <w:rsid w:val="00433EEA"/>
    <w:rsid w:val="004408B0"/>
    <w:rsid w:val="004408EE"/>
    <w:rsid w:val="00441C7F"/>
    <w:rsid w:val="00441E5E"/>
    <w:rsid w:val="0044524F"/>
    <w:rsid w:val="0044654E"/>
    <w:rsid w:val="004504F2"/>
    <w:rsid w:val="00450C1F"/>
    <w:rsid w:val="00455240"/>
    <w:rsid w:val="0045705D"/>
    <w:rsid w:val="00457AEF"/>
    <w:rsid w:val="0046046C"/>
    <w:rsid w:val="0046550B"/>
    <w:rsid w:val="004663F3"/>
    <w:rsid w:val="00467553"/>
    <w:rsid w:val="00471F78"/>
    <w:rsid w:val="00473B94"/>
    <w:rsid w:val="00473DC2"/>
    <w:rsid w:val="0047556E"/>
    <w:rsid w:val="00475991"/>
    <w:rsid w:val="00475B13"/>
    <w:rsid w:val="00480D8D"/>
    <w:rsid w:val="004814E5"/>
    <w:rsid w:val="004827CD"/>
    <w:rsid w:val="00484641"/>
    <w:rsid w:val="004846F8"/>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3872"/>
    <w:rsid w:val="004A3AC0"/>
    <w:rsid w:val="004A42D0"/>
    <w:rsid w:val="004A4ED0"/>
    <w:rsid w:val="004A6F61"/>
    <w:rsid w:val="004B0706"/>
    <w:rsid w:val="004B22B1"/>
    <w:rsid w:val="004B46E5"/>
    <w:rsid w:val="004B6542"/>
    <w:rsid w:val="004B72A3"/>
    <w:rsid w:val="004C1E33"/>
    <w:rsid w:val="004C6870"/>
    <w:rsid w:val="004D29A3"/>
    <w:rsid w:val="004D4D48"/>
    <w:rsid w:val="004D5250"/>
    <w:rsid w:val="004D6AD9"/>
    <w:rsid w:val="004E0517"/>
    <w:rsid w:val="004E0C12"/>
    <w:rsid w:val="004E13F0"/>
    <w:rsid w:val="004E21D2"/>
    <w:rsid w:val="004E4854"/>
    <w:rsid w:val="004E5FCE"/>
    <w:rsid w:val="004F036B"/>
    <w:rsid w:val="004F052D"/>
    <w:rsid w:val="004F0E54"/>
    <w:rsid w:val="004F7B7E"/>
    <w:rsid w:val="00501785"/>
    <w:rsid w:val="00501EE6"/>
    <w:rsid w:val="00503724"/>
    <w:rsid w:val="00504E3C"/>
    <w:rsid w:val="00507AD5"/>
    <w:rsid w:val="00513F7C"/>
    <w:rsid w:val="005149B8"/>
    <w:rsid w:val="005168FA"/>
    <w:rsid w:val="005175C0"/>
    <w:rsid w:val="00520001"/>
    <w:rsid w:val="00521717"/>
    <w:rsid w:val="0052391C"/>
    <w:rsid w:val="0052393A"/>
    <w:rsid w:val="00530C3F"/>
    <w:rsid w:val="00532B1D"/>
    <w:rsid w:val="00533524"/>
    <w:rsid w:val="00534347"/>
    <w:rsid w:val="00540C55"/>
    <w:rsid w:val="00542227"/>
    <w:rsid w:val="005422EB"/>
    <w:rsid w:val="0054426F"/>
    <w:rsid w:val="0054508F"/>
    <w:rsid w:val="00546F3A"/>
    <w:rsid w:val="005475C6"/>
    <w:rsid w:val="00550C61"/>
    <w:rsid w:val="00552FBA"/>
    <w:rsid w:val="00554D9D"/>
    <w:rsid w:val="00555A82"/>
    <w:rsid w:val="00556C52"/>
    <w:rsid w:val="0056008C"/>
    <w:rsid w:val="00570A8A"/>
    <w:rsid w:val="00571BE1"/>
    <w:rsid w:val="0057268E"/>
    <w:rsid w:val="00573C95"/>
    <w:rsid w:val="005750B7"/>
    <w:rsid w:val="005806C7"/>
    <w:rsid w:val="00582CA5"/>
    <w:rsid w:val="00582FE9"/>
    <w:rsid w:val="0058511B"/>
    <w:rsid w:val="005852AF"/>
    <w:rsid w:val="00586FF5"/>
    <w:rsid w:val="005A0332"/>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54AE"/>
    <w:rsid w:val="00606661"/>
    <w:rsid w:val="00612A91"/>
    <w:rsid w:val="00615BD4"/>
    <w:rsid w:val="006176D9"/>
    <w:rsid w:val="0062063C"/>
    <w:rsid w:val="00621EEA"/>
    <w:rsid w:val="00622049"/>
    <w:rsid w:val="006267AC"/>
    <w:rsid w:val="006275F8"/>
    <w:rsid w:val="00630C8F"/>
    <w:rsid w:val="0063126C"/>
    <w:rsid w:val="006321D9"/>
    <w:rsid w:val="00635ACD"/>
    <w:rsid w:val="00645F9B"/>
    <w:rsid w:val="006462F4"/>
    <w:rsid w:val="00646C7B"/>
    <w:rsid w:val="00653EEF"/>
    <w:rsid w:val="00656DB1"/>
    <w:rsid w:val="0065706C"/>
    <w:rsid w:val="006570F3"/>
    <w:rsid w:val="006574CA"/>
    <w:rsid w:val="00663087"/>
    <w:rsid w:val="00666E6E"/>
    <w:rsid w:val="00667926"/>
    <w:rsid w:val="00672A07"/>
    <w:rsid w:val="00672A3D"/>
    <w:rsid w:val="00673284"/>
    <w:rsid w:val="00673C56"/>
    <w:rsid w:val="00674E3C"/>
    <w:rsid w:val="00684218"/>
    <w:rsid w:val="00684A17"/>
    <w:rsid w:val="0068548A"/>
    <w:rsid w:val="00686ACA"/>
    <w:rsid w:val="006904AF"/>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7254"/>
    <w:rsid w:val="006B73B9"/>
    <w:rsid w:val="006C0F43"/>
    <w:rsid w:val="006C2D51"/>
    <w:rsid w:val="006C4083"/>
    <w:rsid w:val="006C4B81"/>
    <w:rsid w:val="006C517C"/>
    <w:rsid w:val="006C5CAA"/>
    <w:rsid w:val="006C6855"/>
    <w:rsid w:val="006C7F43"/>
    <w:rsid w:val="006D16F3"/>
    <w:rsid w:val="006D49E3"/>
    <w:rsid w:val="006D4C2C"/>
    <w:rsid w:val="006D62FF"/>
    <w:rsid w:val="006E019F"/>
    <w:rsid w:val="006E18C4"/>
    <w:rsid w:val="006E3E50"/>
    <w:rsid w:val="006E402A"/>
    <w:rsid w:val="006E525F"/>
    <w:rsid w:val="006E74F5"/>
    <w:rsid w:val="006E7DCA"/>
    <w:rsid w:val="006F03B7"/>
    <w:rsid w:val="006F2035"/>
    <w:rsid w:val="006F28EE"/>
    <w:rsid w:val="006F42C2"/>
    <w:rsid w:val="006F602A"/>
    <w:rsid w:val="006F7412"/>
    <w:rsid w:val="00704E65"/>
    <w:rsid w:val="0071025E"/>
    <w:rsid w:val="007105A5"/>
    <w:rsid w:val="00710B8D"/>
    <w:rsid w:val="00712CF9"/>
    <w:rsid w:val="00713024"/>
    <w:rsid w:val="00713EA1"/>
    <w:rsid w:val="00715D6B"/>
    <w:rsid w:val="00717F6B"/>
    <w:rsid w:val="007212F0"/>
    <w:rsid w:val="00722EC6"/>
    <w:rsid w:val="00723FF6"/>
    <w:rsid w:val="0072460B"/>
    <w:rsid w:val="00726876"/>
    <w:rsid w:val="007269B1"/>
    <w:rsid w:val="00730DF7"/>
    <w:rsid w:val="0073123A"/>
    <w:rsid w:val="007331F6"/>
    <w:rsid w:val="0073362F"/>
    <w:rsid w:val="00733A3E"/>
    <w:rsid w:val="00736B54"/>
    <w:rsid w:val="00740605"/>
    <w:rsid w:val="00740FA5"/>
    <w:rsid w:val="007440A8"/>
    <w:rsid w:val="00747B97"/>
    <w:rsid w:val="00747DD4"/>
    <w:rsid w:val="00751820"/>
    <w:rsid w:val="00751B7E"/>
    <w:rsid w:val="00752AB2"/>
    <w:rsid w:val="00754193"/>
    <w:rsid w:val="007556C8"/>
    <w:rsid w:val="00756FA1"/>
    <w:rsid w:val="007605DF"/>
    <w:rsid w:val="0076244A"/>
    <w:rsid w:val="00762D9D"/>
    <w:rsid w:val="00763FD6"/>
    <w:rsid w:val="0076431D"/>
    <w:rsid w:val="00766DE9"/>
    <w:rsid w:val="007678A5"/>
    <w:rsid w:val="00770841"/>
    <w:rsid w:val="00771F67"/>
    <w:rsid w:val="00772012"/>
    <w:rsid w:val="007732E1"/>
    <w:rsid w:val="0077418F"/>
    <w:rsid w:val="00774C01"/>
    <w:rsid w:val="007823C9"/>
    <w:rsid w:val="007835B7"/>
    <w:rsid w:val="007863E1"/>
    <w:rsid w:val="007910D3"/>
    <w:rsid w:val="0079336E"/>
    <w:rsid w:val="007A5BD0"/>
    <w:rsid w:val="007B4B46"/>
    <w:rsid w:val="007B5E5F"/>
    <w:rsid w:val="007B6CA0"/>
    <w:rsid w:val="007B6F71"/>
    <w:rsid w:val="007C06F8"/>
    <w:rsid w:val="007C27E5"/>
    <w:rsid w:val="007C2E24"/>
    <w:rsid w:val="007C3F78"/>
    <w:rsid w:val="007C4B09"/>
    <w:rsid w:val="007C6167"/>
    <w:rsid w:val="007C6EB8"/>
    <w:rsid w:val="007C7809"/>
    <w:rsid w:val="007D13B9"/>
    <w:rsid w:val="007D2774"/>
    <w:rsid w:val="007D71F7"/>
    <w:rsid w:val="007E024C"/>
    <w:rsid w:val="007E160E"/>
    <w:rsid w:val="007E1BDD"/>
    <w:rsid w:val="007E700C"/>
    <w:rsid w:val="007E7388"/>
    <w:rsid w:val="007F1BAF"/>
    <w:rsid w:val="007F1F1C"/>
    <w:rsid w:val="007F2277"/>
    <w:rsid w:val="007F433C"/>
    <w:rsid w:val="007F4428"/>
    <w:rsid w:val="008004B0"/>
    <w:rsid w:val="008045D9"/>
    <w:rsid w:val="00806C8A"/>
    <w:rsid w:val="0080702C"/>
    <w:rsid w:val="00807165"/>
    <w:rsid w:val="00812094"/>
    <w:rsid w:val="0081333B"/>
    <w:rsid w:val="008140D7"/>
    <w:rsid w:val="0081653B"/>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2DE3"/>
    <w:rsid w:val="00844F5E"/>
    <w:rsid w:val="00846701"/>
    <w:rsid w:val="0085232F"/>
    <w:rsid w:val="00854E2A"/>
    <w:rsid w:val="008550CD"/>
    <w:rsid w:val="00857E3A"/>
    <w:rsid w:val="00861135"/>
    <w:rsid w:val="00864495"/>
    <w:rsid w:val="0086449D"/>
    <w:rsid w:val="008651BC"/>
    <w:rsid w:val="00867059"/>
    <w:rsid w:val="00867A5A"/>
    <w:rsid w:val="008711B1"/>
    <w:rsid w:val="00871FBA"/>
    <w:rsid w:val="00872119"/>
    <w:rsid w:val="008722FB"/>
    <w:rsid w:val="00877EA2"/>
    <w:rsid w:val="008808CA"/>
    <w:rsid w:val="00887D93"/>
    <w:rsid w:val="00890912"/>
    <w:rsid w:val="00890D7D"/>
    <w:rsid w:val="008917B4"/>
    <w:rsid w:val="008933C7"/>
    <w:rsid w:val="008941B9"/>
    <w:rsid w:val="00894216"/>
    <w:rsid w:val="008959F9"/>
    <w:rsid w:val="00896786"/>
    <w:rsid w:val="00897413"/>
    <w:rsid w:val="008A118C"/>
    <w:rsid w:val="008A46DC"/>
    <w:rsid w:val="008A4806"/>
    <w:rsid w:val="008A4BF4"/>
    <w:rsid w:val="008A510D"/>
    <w:rsid w:val="008A5EDE"/>
    <w:rsid w:val="008A7A4E"/>
    <w:rsid w:val="008A7C4F"/>
    <w:rsid w:val="008B2FA8"/>
    <w:rsid w:val="008B3253"/>
    <w:rsid w:val="008B3F5C"/>
    <w:rsid w:val="008C020E"/>
    <w:rsid w:val="008C2F9E"/>
    <w:rsid w:val="008D03EA"/>
    <w:rsid w:val="008D16BD"/>
    <w:rsid w:val="008D17A7"/>
    <w:rsid w:val="008D2E91"/>
    <w:rsid w:val="008D58E2"/>
    <w:rsid w:val="008D6283"/>
    <w:rsid w:val="008D7FB0"/>
    <w:rsid w:val="008E050B"/>
    <w:rsid w:val="008E1010"/>
    <w:rsid w:val="008E2C2E"/>
    <w:rsid w:val="008E72A8"/>
    <w:rsid w:val="008F0627"/>
    <w:rsid w:val="008F1FF1"/>
    <w:rsid w:val="008F2498"/>
    <w:rsid w:val="008F41FB"/>
    <w:rsid w:val="008F4B49"/>
    <w:rsid w:val="008F5977"/>
    <w:rsid w:val="008F5C9B"/>
    <w:rsid w:val="00900451"/>
    <w:rsid w:val="009039C8"/>
    <w:rsid w:val="00904BCF"/>
    <w:rsid w:val="00905B77"/>
    <w:rsid w:val="00906FD6"/>
    <w:rsid w:val="009079D0"/>
    <w:rsid w:val="00907DCD"/>
    <w:rsid w:val="009104AA"/>
    <w:rsid w:val="00914466"/>
    <w:rsid w:val="00915D8A"/>
    <w:rsid w:val="00917746"/>
    <w:rsid w:val="009209A5"/>
    <w:rsid w:val="00920F98"/>
    <w:rsid w:val="00922448"/>
    <w:rsid w:val="009228BB"/>
    <w:rsid w:val="00922FDA"/>
    <w:rsid w:val="009244DF"/>
    <w:rsid w:val="00927EF6"/>
    <w:rsid w:val="00930D45"/>
    <w:rsid w:val="00930E14"/>
    <w:rsid w:val="00933885"/>
    <w:rsid w:val="009338DA"/>
    <w:rsid w:val="00936E93"/>
    <w:rsid w:val="00937FDA"/>
    <w:rsid w:val="00947632"/>
    <w:rsid w:val="0094786C"/>
    <w:rsid w:val="00947B9F"/>
    <w:rsid w:val="00947FB4"/>
    <w:rsid w:val="00952D2F"/>
    <w:rsid w:val="00952D60"/>
    <w:rsid w:val="00952E44"/>
    <w:rsid w:val="00955447"/>
    <w:rsid w:val="00955A17"/>
    <w:rsid w:val="00957C50"/>
    <w:rsid w:val="00960E12"/>
    <w:rsid w:val="0096331F"/>
    <w:rsid w:val="00963914"/>
    <w:rsid w:val="00963A90"/>
    <w:rsid w:val="009729D8"/>
    <w:rsid w:val="0097453F"/>
    <w:rsid w:val="00974577"/>
    <w:rsid w:val="00975045"/>
    <w:rsid w:val="00976670"/>
    <w:rsid w:val="00976BC3"/>
    <w:rsid w:val="00976E64"/>
    <w:rsid w:val="00977929"/>
    <w:rsid w:val="0098426D"/>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6235"/>
    <w:rsid w:val="009C6E76"/>
    <w:rsid w:val="009D00B8"/>
    <w:rsid w:val="009D3E42"/>
    <w:rsid w:val="009D682E"/>
    <w:rsid w:val="009E40F9"/>
    <w:rsid w:val="009E5844"/>
    <w:rsid w:val="009E653F"/>
    <w:rsid w:val="009E7C9A"/>
    <w:rsid w:val="009F4C6D"/>
    <w:rsid w:val="009F5062"/>
    <w:rsid w:val="009F7861"/>
    <w:rsid w:val="00A01D25"/>
    <w:rsid w:val="00A0624A"/>
    <w:rsid w:val="00A06830"/>
    <w:rsid w:val="00A12892"/>
    <w:rsid w:val="00A149DF"/>
    <w:rsid w:val="00A1634D"/>
    <w:rsid w:val="00A1707B"/>
    <w:rsid w:val="00A32694"/>
    <w:rsid w:val="00A33A18"/>
    <w:rsid w:val="00A350BE"/>
    <w:rsid w:val="00A35C8A"/>
    <w:rsid w:val="00A36343"/>
    <w:rsid w:val="00A36638"/>
    <w:rsid w:val="00A36B9A"/>
    <w:rsid w:val="00A4149B"/>
    <w:rsid w:val="00A51ECF"/>
    <w:rsid w:val="00A5335D"/>
    <w:rsid w:val="00A53EBD"/>
    <w:rsid w:val="00A56524"/>
    <w:rsid w:val="00A610B8"/>
    <w:rsid w:val="00A61208"/>
    <w:rsid w:val="00A62660"/>
    <w:rsid w:val="00A62D2C"/>
    <w:rsid w:val="00A64D6A"/>
    <w:rsid w:val="00A66A0F"/>
    <w:rsid w:val="00A67FB0"/>
    <w:rsid w:val="00A700BE"/>
    <w:rsid w:val="00A7038D"/>
    <w:rsid w:val="00A73440"/>
    <w:rsid w:val="00A75908"/>
    <w:rsid w:val="00A75D01"/>
    <w:rsid w:val="00A76B01"/>
    <w:rsid w:val="00A813D7"/>
    <w:rsid w:val="00A83BB1"/>
    <w:rsid w:val="00A87807"/>
    <w:rsid w:val="00A90332"/>
    <w:rsid w:val="00A94426"/>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90D"/>
    <w:rsid w:val="00AD2DAB"/>
    <w:rsid w:val="00AE1BBB"/>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60D5"/>
    <w:rsid w:val="00B06AE3"/>
    <w:rsid w:val="00B1175D"/>
    <w:rsid w:val="00B12731"/>
    <w:rsid w:val="00B12AA5"/>
    <w:rsid w:val="00B146BC"/>
    <w:rsid w:val="00B14DF1"/>
    <w:rsid w:val="00B153B3"/>
    <w:rsid w:val="00B17CBB"/>
    <w:rsid w:val="00B20BBF"/>
    <w:rsid w:val="00B217CC"/>
    <w:rsid w:val="00B25447"/>
    <w:rsid w:val="00B271C9"/>
    <w:rsid w:val="00B31C57"/>
    <w:rsid w:val="00B32F09"/>
    <w:rsid w:val="00B33D96"/>
    <w:rsid w:val="00B33E36"/>
    <w:rsid w:val="00B34F0E"/>
    <w:rsid w:val="00B35F5F"/>
    <w:rsid w:val="00B36F78"/>
    <w:rsid w:val="00B3755E"/>
    <w:rsid w:val="00B404A6"/>
    <w:rsid w:val="00B40A63"/>
    <w:rsid w:val="00B41213"/>
    <w:rsid w:val="00B45C45"/>
    <w:rsid w:val="00B47277"/>
    <w:rsid w:val="00B54D6E"/>
    <w:rsid w:val="00B56FB7"/>
    <w:rsid w:val="00B577A6"/>
    <w:rsid w:val="00B607BE"/>
    <w:rsid w:val="00B61E09"/>
    <w:rsid w:val="00B6274D"/>
    <w:rsid w:val="00B62B63"/>
    <w:rsid w:val="00B64D41"/>
    <w:rsid w:val="00B66CB3"/>
    <w:rsid w:val="00B66D6E"/>
    <w:rsid w:val="00B67351"/>
    <w:rsid w:val="00B706C6"/>
    <w:rsid w:val="00B739CF"/>
    <w:rsid w:val="00B7475F"/>
    <w:rsid w:val="00B80B07"/>
    <w:rsid w:val="00B8178C"/>
    <w:rsid w:val="00B81BF0"/>
    <w:rsid w:val="00B82E33"/>
    <w:rsid w:val="00B82ECB"/>
    <w:rsid w:val="00B8310B"/>
    <w:rsid w:val="00B83C8B"/>
    <w:rsid w:val="00B85BAF"/>
    <w:rsid w:val="00B90874"/>
    <w:rsid w:val="00B90BFA"/>
    <w:rsid w:val="00B93044"/>
    <w:rsid w:val="00B931B0"/>
    <w:rsid w:val="00B93ED9"/>
    <w:rsid w:val="00B95E2C"/>
    <w:rsid w:val="00BA2C1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4E80"/>
    <w:rsid w:val="00BE68B4"/>
    <w:rsid w:val="00C029B6"/>
    <w:rsid w:val="00C03B0F"/>
    <w:rsid w:val="00C03E68"/>
    <w:rsid w:val="00C05139"/>
    <w:rsid w:val="00C124B7"/>
    <w:rsid w:val="00C136C3"/>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53EEF"/>
    <w:rsid w:val="00C55A01"/>
    <w:rsid w:val="00C56A39"/>
    <w:rsid w:val="00C57DD6"/>
    <w:rsid w:val="00C607D5"/>
    <w:rsid w:val="00C62A8F"/>
    <w:rsid w:val="00C634E0"/>
    <w:rsid w:val="00C671BC"/>
    <w:rsid w:val="00C70919"/>
    <w:rsid w:val="00C759E4"/>
    <w:rsid w:val="00C75BEC"/>
    <w:rsid w:val="00C80D96"/>
    <w:rsid w:val="00C83560"/>
    <w:rsid w:val="00C836E3"/>
    <w:rsid w:val="00C83A19"/>
    <w:rsid w:val="00C8527E"/>
    <w:rsid w:val="00C855D2"/>
    <w:rsid w:val="00C85E96"/>
    <w:rsid w:val="00C86FBD"/>
    <w:rsid w:val="00C9128F"/>
    <w:rsid w:val="00C91666"/>
    <w:rsid w:val="00C9219D"/>
    <w:rsid w:val="00C923D5"/>
    <w:rsid w:val="00C94E84"/>
    <w:rsid w:val="00CA0D9F"/>
    <w:rsid w:val="00CA18FB"/>
    <w:rsid w:val="00CA1BD1"/>
    <w:rsid w:val="00CA1CEF"/>
    <w:rsid w:val="00CB030A"/>
    <w:rsid w:val="00CB125C"/>
    <w:rsid w:val="00CB455B"/>
    <w:rsid w:val="00CB4D87"/>
    <w:rsid w:val="00CC4E6E"/>
    <w:rsid w:val="00CC6E0A"/>
    <w:rsid w:val="00CC7617"/>
    <w:rsid w:val="00CC7935"/>
    <w:rsid w:val="00CD17D1"/>
    <w:rsid w:val="00CD20F9"/>
    <w:rsid w:val="00CD66FB"/>
    <w:rsid w:val="00CD67D5"/>
    <w:rsid w:val="00CE3BC9"/>
    <w:rsid w:val="00CE6D2A"/>
    <w:rsid w:val="00CE70E4"/>
    <w:rsid w:val="00CF0889"/>
    <w:rsid w:val="00CF2156"/>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6EC1"/>
    <w:rsid w:val="00D2709A"/>
    <w:rsid w:val="00D30569"/>
    <w:rsid w:val="00D31F30"/>
    <w:rsid w:val="00D31F45"/>
    <w:rsid w:val="00D335BB"/>
    <w:rsid w:val="00D34B05"/>
    <w:rsid w:val="00D37504"/>
    <w:rsid w:val="00D37996"/>
    <w:rsid w:val="00D4725F"/>
    <w:rsid w:val="00D47EAE"/>
    <w:rsid w:val="00D54091"/>
    <w:rsid w:val="00D54B9A"/>
    <w:rsid w:val="00D54F2F"/>
    <w:rsid w:val="00D557F5"/>
    <w:rsid w:val="00D61100"/>
    <w:rsid w:val="00D61C45"/>
    <w:rsid w:val="00D62AEF"/>
    <w:rsid w:val="00D62CE1"/>
    <w:rsid w:val="00D64DD6"/>
    <w:rsid w:val="00D6587C"/>
    <w:rsid w:val="00D72C4E"/>
    <w:rsid w:val="00D756CA"/>
    <w:rsid w:val="00D77713"/>
    <w:rsid w:val="00D7798A"/>
    <w:rsid w:val="00D8307B"/>
    <w:rsid w:val="00D8327C"/>
    <w:rsid w:val="00D836F7"/>
    <w:rsid w:val="00D84645"/>
    <w:rsid w:val="00D864F8"/>
    <w:rsid w:val="00D879A3"/>
    <w:rsid w:val="00D93123"/>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7C6E"/>
    <w:rsid w:val="00E01663"/>
    <w:rsid w:val="00E01A46"/>
    <w:rsid w:val="00E04FDE"/>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7377"/>
    <w:rsid w:val="00E300EC"/>
    <w:rsid w:val="00E31E46"/>
    <w:rsid w:val="00E332F5"/>
    <w:rsid w:val="00E34AE2"/>
    <w:rsid w:val="00E37601"/>
    <w:rsid w:val="00E42235"/>
    <w:rsid w:val="00E43B3E"/>
    <w:rsid w:val="00E4414C"/>
    <w:rsid w:val="00E443BA"/>
    <w:rsid w:val="00E45FB7"/>
    <w:rsid w:val="00E470CE"/>
    <w:rsid w:val="00E50F94"/>
    <w:rsid w:val="00E528C9"/>
    <w:rsid w:val="00E5462E"/>
    <w:rsid w:val="00E62AD0"/>
    <w:rsid w:val="00E65605"/>
    <w:rsid w:val="00E65AFF"/>
    <w:rsid w:val="00E6767D"/>
    <w:rsid w:val="00E7411A"/>
    <w:rsid w:val="00E77A83"/>
    <w:rsid w:val="00E85972"/>
    <w:rsid w:val="00E90E9C"/>
    <w:rsid w:val="00E9512C"/>
    <w:rsid w:val="00EA0077"/>
    <w:rsid w:val="00EA0E38"/>
    <w:rsid w:val="00EA1872"/>
    <w:rsid w:val="00EA2F2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1E2A"/>
    <w:rsid w:val="00ED50F5"/>
    <w:rsid w:val="00ED6BE1"/>
    <w:rsid w:val="00ED7099"/>
    <w:rsid w:val="00ED7757"/>
    <w:rsid w:val="00EE027B"/>
    <w:rsid w:val="00EE31DF"/>
    <w:rsid w:val="00EE7916"/>
    <w:rsid w:val="00EF1C6E"/>
    <w:rsid w:val="00EF2C80"/>
    <w:rsid w:val="00EF4D3B"/>
    <w:rsid w:val="00EF6A34"/>
    <w:rsid w:val="00EF7579"/>
    <w:rsid w:val="00F00BE0"/>
    <w:rsid w:val="00F016BD"/>
    <w:rsid w:val="00F026F0"/>
    <w:rsid w:val="00F0680A"/>
    <w:rsid w:val="00F06ED0"/>
    <w:rsid w:val="00F12013"/>
    <w:rsid w:val="00F12999"/>
    <w:rsid w:val="00F13822"/>
    <w:rsid w:val="00F14565"/>
    <w:rsid w:val="00F14A70"/>
    <w:rsid w:val="00F175A5"/>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AD5"/>
    <w:rsid w:val="00F47DCD"/>
    <w:rsid w:val="00F50CA4"/>
    <w:rsid w:val="00F50CE7"/>
    <w:rsid w:val="00F51438"/>
    <w:rsid w:val="00F5301A"/>
    <w:rsid w:val="00F549E7"/>
    <w:rsid w:val="00F5550D"/>
    <w:rsid w:val="00F618BB"/>
    <w:rsid w:val="00F6302F"/>
    <w:rsid w:val="00F67625"/>
    <w:rsid w:val="00F76B14"/>
    <w:rsid w:val="00F81487"/>
    <w:rsid w:val="00F85F21"/>
    <w:rsid w:val="00F90CF5"/>
    <w:rsid w:val="00F91AD8"/>
    <w:rsid w:val="00F922B1"/>
    <w:rsid w:val="00FA1CBD"/>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4D81"/>
    <w:rsid w:val="00FF75F5"/>
    <w:rsid w:val="01177A27"/>
    <w:rsid w:val="01211EC7"/>
    <w:rsid w:val="014C4DA3"/>
    <w:rsid w:val="01565C22"/>
    <w:rsid w:val="01592D24"/>
    <w:rsid w:val="017037C3"/>
    <w:rsid w:val="01775986"/>
    <w:rsid w:val="01837814"/>
    <w:rsid w:val="018E7ABF"/>
    <w:rsid w:val="0198796C"/>
    <w:rsid w:val="01C133B8"/>
    <w:rsid w:val="01C81F50"/>
    <w:rsid w:val="020F2171"/>
    <w:rsid w:val="023423AE"/>
    <w:rsid w:val="02454D80"/>
    <w:rsid w:val="0285782E"/>
    <w:rsid w:val="02A3645B"/>
    <w:rsid w:val="02AC38D7"/>
    <w:rsid w:val="02BC7D06"/>
    <w:rsid w:val="02C62933"/>
    <w:rsid w:val="02F778BD"/>
    <w:rsid w:val="03121468"/>
    <w:rsid w:val="03604B36"/>
    <w:rsid w:val="03822C68"/>
    <w:rsid w:val="038E07EA"/>
    <w:rsid w:val="039C7734"/>
    <w:rsid w:val="039F2BBC"/>
    <w:rsid w:val="03A51C3D"/>
    <w:rsid w:val="03AA4003"/>
    <w:rsid w:val="03B64756"/>
    <w:rsid w:val="03D96AC5"/>
    <w:rsid w:val="04001E75"/>
    <w:rsid w:val="041D47D5"/>
    <w:rsid w:val="045D3085"/>
    <w:rsid w:val="045F6B9B"/>
    <w:rsid w:val="04660909"/>
    <w:rsid w:val="04A17779"/>
    <w:rsid w:val="04B96AEC"/>
    <w:rsid w:val="04CC1D57"/>
    <w:rsid w:val="04CF59E7"/>
    <w:rsid w:val="04F419D9"/>
    <w:rsid w:val="05071955"/>
    <w:rsid w:val="050B36B6"/>
    <w:rsid w:val="051E3875"/>
    <w:rsid w:val="05240BE8"/>
    <w:rsid w:val="052971A9"/>
    <w:rsid w:val="0533125B"/>
    <w:rsid w:val="054B2562"/>
    <w:rsid w:val="054F4EE9"/>
    <w:rsid w:val="056337F9"/>
    <w:rsid w:val="05704DD8"/>
    <w:rsid w:val="057743B8"/>
    <w:rsid w:val="05850883"/>
    <w:rsid w:val="0596513B"/>
    <w:rsid w:val="05AF064A"/>
    <w:rsid w:val="05BE3D95"/>
    <w:rsid w:val="05C018BB"/>
    <w:rsid w:val="065F7326"/>
    <w:rsid w:val="067E2E18"/>
    <w:rsid w:val="06AB5586"/>
    <w:rsid w:val="06BF670C"/>
    <w:rsid w:val="06C6107F"/>
    <w:rsid w:val="06CB44B7"/>
    <w:rsid w:val="06E84EE4"/>
    <w:rsid w:val="06EA381B"/>
    <w:rsid w:val="06EE20B1"/>
    <w:rsid w:val="06F153B1"/>
    <w:rsid w:val="06FF5041"/>
    <w:rsid w:val="071D4AEC"/>
    <w:rsid w:val="07464042"/>
    <w:rsid w:val="075B63E2"/>
    <w:rsid w:val="078E3CE3"/>
    <w:rsid w:val="079270C9"/>
    <w:rsid w:val="07A11279"/>
    <w:rsid w:val="07A66248"/>
    <w:rsid w:val="07B1625B"/>
    <w:rsid w:val="07BC4304"/>
    <w:rsid w:val="07C5765D"/>
    <w:rsid w:val="07D96E9C"/>
    <w:rsid w:val="08071442"/>
    <w:rsid w:val="08167EB9"/>
    <w:rsid w:val="08183C31"/>
    <w:rsid w:val="082B7A28"/>
    <w:rsid w:val="08311B3B"/>
    <w:rsid w:val="084F4F9C"/>
    <w:rsid w:val="08534B88"/>
    <w:rsid w:val="085530EF"/>
    <w:rsid w:val="08620DAC"/>
    <w:rsid w:val="086C2339"/>
    <w:rsid w:val="0874513E"/>
    <w:rsid w:val="087B5F6E"/>
    <w:rsid w:val="08911789"/>
    <w:rsid w:val="08A27337"/>
    <w:rsid w:val="08BC1608"/>
    <w:rsid w:val="08C4732B"/>
    <w:rsid w:val="08F062C2"/>
    <w:rsid w:val="09024A5A"/>
    <w:rsid w:val="09044B9E"/>
    <w:rsid w:val="0906003D"/>
    <w:rsid w:val="090B19E1"/>
    <w:rsid w:val="0910646C"/>
    <w:rsid w:val="09382988"/>
    <w:rsid w:val="09412D13"/>
    <w:rsid w:val="09576640"/>
    <w:rsid w:val="09820B65"/>
    <w:rsid w:val="098F0B0A"/>
    <w:rsid w:val="09AC6517"/>
    <w:rsid w:val="09B907C2"/>
    <w:rsid w:val="09E15530"/>
    <w:rsid w:val="09E574FA"/>
    <w:rsid w:val="0A0D0E47"/>
    <w:rsid w:val="0A1B58FF"/>
    <w:rsid w:val="0A2163C5"/>
    <w:rsid w:val="0A334D52"/>
    <w:rsid w:val="0A410AF1"/>
    <w:rsid w:val="0A514413"/>
    <w:rsid w:val="0A682522"/>
    <w:rsid w:val="0A6D7B49"/>
    <w:rsid w:val="0A94402E"/>
    <w:rsid w:val="0AB02FBF"/>
    <w:rsid w:val="0AD11D45"/>
    <w:rsid w:val="0AD66408"/>
    <w:rsid w:val="0AE903B8"/>
    <w:rsid w:val="0AEE0C79"/>
    <w:rsid w:val="0B1873A5"/>
    <w:rsid w:val="0B1D330C"/>
    <w:rsid w:val="0B1F7084"/>
    <w:rsid w:val="0B3B0CA0"/>
    <w:rsid w:val="0B5F3B76"/>
    <w:rsid w:val="0B602C14"/>
    <w:rsid w:val="0B603134"/>
    <w:rsid w:val="0B7462A1"/>
    <w:rsid w:val="0B8415DD"/>
    <w:rsid w:val="0B8B2A81"/>
    <w:rsid w:val="0B8C21F5"/>
    <w:rsid w:val="0B8D50D1"/>
    <w:rsid w:val="0BA137A0"/>
    <w:rsid w:val="0BA16641"/>
    <w:rsid w:val="0BAD643E"/>
    <w:rsid w:val="0BB71100"/>
    <w:rsid w:val="0BD7786C"/>
    <w:rsid w:val="0C0F534B"/>
    <w:rsid w:val="0C49645E"/>
    <w:rsid w:val="0C60588C"/>
    <w:rsid w:val="0C7C4D4D"/>
    <w:rsid w:val="0C88548B"/>
    <w:rsid w:val="0C890083"/>
    <w:rsid w:val="0C8A2C23"/>
    <w:rsid w:val="0C9337AA"/>
    <w:rsid w:val="0CA23AC9"/>
    <w:rsid w:val="0CA43CE5"/>
    <w:rsid w:val="0CAC6BB6"/>
    <w:rsid w:val="0CB437FC"/>
    <w:rsid w:val="0CC34F37"/>
    <w:rsid w:val="0CEA05CC"/>
    <w:rsid w:val="0CEA1C84"/>
    <w:rsid w:val="0CF611FD"/>
    <w:rsid w:val="0D2546FA"/>
    <w:rsid w:val="0D864353"/>
    <w:rsid w:val="0D993394"/>
    <w:rsid w:val="0D9C676A"/>
    <w:rsid w:val="0DB86D63"/>
    <w:rsid w:val="0DD505F0"/>
    <w:rsid w:val="0DDA1988"/>
    <w:rsid w:val="0DEA5E6A"/>
    <w:rsid w:val="0DFC36FB"/>
    <w:rsid w:val="0E2230B3"/>
    <w:rsid w:val="0E536488"/>
    <w:rsid w:val="0E782D40"/>
    <w:rsid w:val="0E820056"/>
    <w:rsid w:val="0E837D5C"/>
    <w:rsid w:val="0E8A515C"/>
    <w:rsid w:val="0EAD00AF"/>
    <w:rsid w:val="0EB37705"/>
    <w:rsid w:val="0EB775D4"/>
    <w:rsid w:val="0EE626FA"/>
    <w:rsid w:val="0EFE5203"/>
    <w:rsid w:val="0F0D26CC"/>
    <w:rsid w:val="0F1669F0"/>
    <w:rsid w:val="0F184ADA"/>
    <w:rsid w:val="0F225F74"/>
    <w:rsid w:val="0F271942"/>
    <w:rsid w:val="0F331350"/>
    <w:rsid w:val="0F337FF9"/>
    <w:rsid w:val="0F583529"/>
    <w:rsid w:val="0F6B2388"/>
    <w:rsid w:val="0F7756E1"/>
    <w:rsid w:val="0FA1669B"/>
    <w:rsid w:val="0FD20B69"/>
    <w:rsid w:val="0FDA030E"/>
    <w:rsid w:val="0FE14279"/>
    <w:rsid w:val="10173A8A"/>
    <w:rsid w:val="102F52A2"/>
    <w:rsid w:val="1035572D"/>
    <w:rsid w:val="105C2005"/>
    <w:rsid w:val="10B84D24"/>
    <w:rsid w:val="10D8237A"/>
    <w:rsid w:val="10EF538B"/>
    <w:rsid w:val="10F16DCD"/>
    <w:rsid w:val="111B209C"/>
    <w:rsid w:val="11312DC0"/>
    <w:rsid w:val="113927BE"/>
    <w:rsid w:val="114701EB"/>
    <w:rsid w:val="115F467E"/>
    <w:rsid w:val="118848CF"/>
    <w:rsid w:val="11BA5F58"/>
    <w:rsid w:val="11C11380"/>
    <w:rsid w:val="11EB5F12"/>
    <w:rsid w:val="12011357"/>
    <w:rsid w:val="12092462"/>
    <w:rsid w:val="120F2891"/>
    <w:rsid w:val="1219036F"/>
    <w:rsid w:val="121A13FC"/>
    <w:rsid w:val="121D403F"/>
    <w:rsid w:val="12413D84"/>
    <w:rsid w:val="12990F61"/>
    <w:rsid w:val="129F7C67"/>
    <w:rsid w:val="12B75DF4"/>
    <w:rsid w:val="12E22503"/>
    <w:rsid w:val="13380DD8"/>
    <w:rsid w:val="133D09EF"/>
    <w:rsid w:val="1344521A"/>
    <w:rsid w:val="134804CB"/>
    <w:rsid w:val="13645ACB"/>
    <w:rsid w:val="139B74C4"/>
    <w:rsid w:val="13A50343"/>
    <w:rsid w:val="13D44B3F"/>
    <w:rsid w:val="13E957B5"/>
    <w:rsid w:val="13EB41FA"/>
    <w:rsid w:val="13F54664"/>
    <w:rsid w:val="14072DAB"/>
    <w:rsid w:val="14143437"/>
    <w:rsid w:val="14200447"/>
    <w:rsid w:val="14316870"/>
    <w:rsid w:val="14412BB2"/>
    <w:rsid w:val="1452373F"/>
    <w:rsid w:val="146F2D0E"/>
    <w:rsid w:val="149211FB"/>
    <w:rsid w:val="14986A34"/>
    <w:rsid w:val="14A910E0"/>
    <w:rsid w:val="14AF2F65"/>
    <w:rsid w:val="14D00F64"/>
    <w:rsid w:val="14DB278B"/>
    <w:rsid w:val="14DC7CD5"/>
    <w:rsid w:val="14F03BE9"/>
    <w:rsid w:val="14F52C04"/>
    <w:rsid w:val="15257FB5"/>
    <w:rsid w:val="154162B3"/>
    <w:rsid w:val="15997A33"/>
    <w:rsid w:val="15A078BC"/>
    <w:rsid w:val="15AE733A"/>
    <w:rsid w:val="15F07F9B"/>
    <w:rsid w:val="16322361"/>
    <w:rsid w:val="16436C21"/>
    <w:rsid w:val="164D0F49"/>
    <w:rsid w:val="16672FBA"/>
    <w:rsid w:val="166C3DC8"/>
    <w:rsid w:val="16930926"/>
    <w:rsid w:val="1697741D"/>
    <w:rsid w:val="16CA259A"/>
    <w:rsid w:val="16D849B0"/>
    <w:rsid w:val="16F93153"/>
    <w:rsid w:val="16F969DB"/>
    <w:rsid w:val="16FE3FF2"/>
    <w:rsid w:val="17137D16"/>
    <w:rsid w:val="172A1253"/>
    <w:rsid w:val="172B0B5F"/>
    <w:rsid w:val="1765414D"/>
    <w:rsid w:val="177E15D6"/>
    <w:rsid w:val="178A3AD7"/>
    <w:rsid w:val="179E7583"/>
    <w:rsid w:val="17BB6064"/>
    <w:rsid w:val="17D30F40"/>
    <w:rsid w:val="17F13B56"/>
    <w:rsid w:val="17F378CF"/>
    <w:rsid w:val="1810236A"/>
    <w:rsid w:val="18147845"/>
    <w:rsid w:val="18264209"/>
    <w:rsid w:val="18534811"/>
    <w:rsid w:val="188C4DE8"/>
    <w:rsid w:val="18904498"/>
    <w:rsid w:val="18A3471E"/>
    <w:rsid w:val="18AE3384"/>
    <w:rsid w:val="18BA7315"/>
    <w:rsid w:val="18C474BD"/>
    <w:rsid w:val="18D333DA"/>
    <w:rsid w:val="18FB66E5"/>
    <w:rsid w:val="1901601B"/>
    <w:rsid w:val="191E097B"/>
    <w:rsid w:val="192B4DF7"/>
    <w:rsid w:val="19337DE3"/>
    <w:rsid w:val="19405F26"/>
    <w:rsid w:val="19434185"/>
    <w:rsid w:val="194A112D"/>
    <w:rsid w:val="194D2535"/>
    <w:rsid w:val="194D2A56"/>
    <w:rsid w:val="19570331"/>
    <w:rsid w:val="1975142E"/>
    <w:rsid w:val="198D53B4"/>
    <w:rsid w:val="19BA6371"/>
    <w:rsid w:val="19CC487B"/>
    <w:rsid w:val="19F52C99"/>
    <w:rsid w:val="19F618F8"/>
    <w:rsid w:val="19F90D7B"/>
    <w:rsid w:val="19FE255B"/>
    <w:rsid w:val="1A1837F3"/>
    <w:rsid w:val="1A292634"/>
    <w:rsid w:val="1A3B272E"/>
    <w:rsid w:val="1A4964D8"/>
    <w:rsid w:val="1A4C59BC"/>
    <w:rsid w:val="1A554870"/>
    <w:rsid w:val="1A613215"/>
    <w:rsid w:val="1A6B4094"/>
    <w:rsid w:val="1A7867B1"/>
    <w:rsid w:val="1A98650B"/>
    <w:rsid w:val="1A9F3EA8"/>
    <w:rsid w:val="1AA55605"/>
    <w:rsid w:val="1AB332F0"/>
    <w:rsid w:val="1AE6371B"/>
    <w:rsid w:val="1AF6583C"/>
    <w:rsid w:val="1AFA5418"/>
    <w:rsid w:val="1B067919"/>
    <w:rsid w:val="1B0A2D61"/>
    <w:rsid w:val="1B0F63F2"/>
    <w:rsid w:val="1B476E3B"/>
    <w:rsid w:val="1B7B66B5"/>
    <w:rsid w:val="1B7E3953"/>
    <w:rsid w:val="1BC03F6C"/>
    <w:rsid w:val="1BD143CB"/>
    <w:rsid w:val="1BDA6DEB"/>
    <w:rsid w:val="1BF43C15"/>
    <w:rsid w:val="1C0B7651"/>
    <w:rsid w:val="1C1E0C92"/>
    <w:rsid w:val="1C225F98"/>
    <w:rsid w:val="1C2564C4"/>
    <w:rsid w:val="1C272EF4"/>
    <w:rsid w:val="1C424981"/>
    <w:rsid w:val="1C481872"/>
    <w:rsid w:val="1C563268"/>
    <w:rsid w:val="1C726D5F"/>
    <w:rsid w:val="1C977056"/>
    <w:rsid w:val="1CAA6093"/>
    <w:rsid w:val="1CAC2742"/>
    <w:rsid w:val="1CCE090A"/>
    <w:rsid w:val="1CEC2B3E"/>
    <w:rsid w:val="1D271DC8"/>
    <w:rsid w:val="1D2A0A29"/>
    <w:rsid w:val="1D320A97"/>
    <w:rsid w:val="1D3541D9"/>
    <w:rsid w:val="1D39260F"/>
    <w:rsid w:val="1D3E6FE0"/>
    <w:rsid w:val="1D4F1A4B"/>
    <w:rsid w:val="1D4F2685"/>
    <w:rsid w:val="1D7338DC"/>
    <w:rsid w:val="1D8965DF"/>
    <w:rsid w:val="1D9236E6"/>
    <w:rsid w:val="1DD106B2"/>
    <w:rsid w:val="1DF0665E"/>
    <w:rsid w:val="1E29229C"/>
    <w:rsid w:val="1E3E2D25"/>
    <w:rsid w:val="1E4507E4"/>
    <w:rsid w:val="1E6210B8"/>
    <w:rsid w:val="1E666F5E"/>
    <w:rsid w:val="1E7D5E1E"/>
    <w:rsid w:val="1E9E482A"/>
    <w:rsid w:val="1EC014EF"/>
    <w:rsid w:val="1EC664F8"/>
    <w:rsid w:val="1EC91389"/>
    <w:rsid w:val="1ED3045A"/>
    <w:rsid w:val="1EDA6951"/>
    <w:rsid w:val="1F0E6952"/>
    <w:rsid w:val="1F220A99"/>
    <w:rsid w:val="1F2A3348"/>
    <w:rsid w:val="1F4673C3"/>
    <w:rsid w:val="1F4C4878"/>
    <w:rsid w:val="1F657087"/>
    <w:rsid w:val="1F843579"/>
    <w:rsid w:val="1FA0658E"/>
    <w:rsid w:val="1FA2402F"/>
    <w:rsid w:val="1FAB572F"/>
    <w:rsid w:val="1FBC2C9C"/>
    <w:rsid w:val="1FDB5818"/>
    <w:rsid w:val="1FF91559"/>
    <w:rsid w:val="20131117"/>
    <w:rsid w:val="20176124"/>
    <w:rsid w:val="20531852"/>
    <w:rsid w:val="205B3BE3"/>
    <w:rsid w:val="208239E9"/>
    <w:rsid w:val="20A43E5C"/>
    <w:rsid w:val="20B61DE1"/>
    <w:rsid w:val="20C55B80"/>
    <w:rsid w:val="20C81DA3"/>
    <w:rsid w:val="21132D8F"/>
    <w:rsid w:val="211C60E8"/>
    <w:rsid w:val="2133559C"/>
    <w:rsid w:val="213F5933"/>
    <w:rsid w:val="214E697E"/>
    <w:rsid w:val="217B0546"/>
    <w:rsid w:val="218B501C"/>
    <w:rsid w:val="21974A6F"/>
    <w:rsid w:val="2197576F"/>
    <w:rsid w:val="219C4B33"/>
    <w:rsid w:val="21A3266E"/>
    <w:rsid w:val="21BF524B"/>
    <w:rsid w:val="21C26CCA"/>
    <w:rsid w:val="21CB284F"/>
    <w:rsid w:val="21CC31CC"/>
    <w:rsid w:val="21E93AF0"/>
    <w:rsid w:val="22155EFF"/>
    <w:rsid w:val="22411A5B"/>
    <w:rsid w:val="224873BB"/>
    <w:rsid w:val="225B49EE"/>
    <w:rsid w:val="226006F6"/>
    <w:rsid w:val="2268661C"/>
    <w:rsid w:val="22771730"/>
    <w:rsid w:val="22782496"/>
    <w:rsid w:val="227855A0"/>
    <w:rsid w:val="227C4964"/>
    <w:rsid w:val="227C4DC1"/>
    <w:rsid w:val="227F0AA8"/>
    <w:rsid w:val="22AB2EC8"/>
    <w:rsid w:val="22CC3183"/>
    <w:rsid w:val="22D87DED"/>
    <w:rsid w:val="22D95913"/>
    <w:rsid w:val="22F65468"/>
    <w:rsid w:val="22FD5AA5"/>
    <w:rsid w:val="231F66DA"/>
    <w:rsid w:val="23207452"/>
    <w:rsid w:val="232C18AC"/>
    <w:rsid w:val="234B4D59"/>
    <w:rsid w:val="2355768F"/>
    <w:rsid w:val="2364528E"/>
    <w:rsid w:val="23756A33"/>
    <w:rsid w:val="238B4E5F"/>
    <w:rsid w:val="2395665B"/>
    <w:rsid w:val="23AC3027"/>
    <w:rsid w:val="23D557DC"/>
    <w:rsid w:val="23D70CD9"/>
    <w:rsid w:val="240D3AC6"/>
    <w:rsid w:val="24184152"/>
    <w:rsid w:val="241C63FF"/>
    <w:rsid w:val="24341072"/>
    <w:rsid w:val="243C43AB"/>
    <w:rsid w:val="244B0A92"/>
    <w:rsid w:val="244C0D50"/>
    <w:rsid w:val="245E4322"/>
    <w:rsid w:val="247B4ED4"/>
    <w:rsid w:val="247E3EBA"/>
    <w:rsid w:val="249929CE"/>
    <w:rsid w:val="249A5961"/>
    <w:rsid w:val="24B2466D"/>
    <w:rsid w:val="24BE1264"/>
    <w:rsid w:val="24C10D89"/>
    <w:rsid w:val="24D33F00"/>
    <w:rsid w:val="24E02810"/>
    <w:rsid w:val="24E810A7"/>
    <w:rsid w:val="24F36825"/>
    <w:rsid w:val="251D497E"/>
    <w:rsid w:val="253E4BFC"/>
    <w:rsid w:val="2540611D"/>
    <w:rsid w:val="25445D9E"/>
    <w:rsid w:val="25486966"/>
    <w:rsid w:val="257C40AA"/>
    <w:rsid w:val="259049AF"/>
    <w:rsid w:val="25DD1EC3"/>
    <w:rsid w:val="25EE7C9B"/>
    <w:rsid w:val="26211AAB"/>
    <w:rsid w:val="263D4A6F"/>
    <w:rsid w:val="264D28A0"/>
    <w:rsid w:val="266013C0"/>
    <w:rsid w:val="267B5E32"/>
    <w:rsid w:val="269640B9"/>
    <w:rsid w:val="26AB069B"/>
    <w:rsid w:val="26B40B71"/>
    <w:rsid w:val="26CF57CC"/>
    <w:rsid w:val="26D0702D"/>
    <w:rsid w:val="26D92D59"/>
    <w:rsid w:val="27022042"/>
    <w:rsid w:val="272B4D3F"/>
    <w:rsid w:val="27433CA3"/>
    <w:rsid w:val="27461532"/>
    <w:rsid w:val="27502468"/>
    <w:rsid w:val="276C29FF"/>
    <w:rsid w:val="27A02A13"/>
    <w:rsid w:val="27B13177"/>
    <w:rsid w:val="27BF3B42"/>
    <w:rsid w:val="280E2503"/>
    <w:rsid w:val="28226545"/>
    <w:rsid w:val="28341F69"/>
    <w:rsid w:val="283678DA"/>
    <w:rsid w:val="28506677"/>
    <w:rsid w:val="28855A7D"/>
    <w:rsid w:val="28D63020"/>
    <w:rsid w:val="28F6721F"/>
    <w:rsid w:val="28FD66D7"/>
    <w:rsid w:val="29192F0D"/>
    <w:rsid w:val="291C47AB"/>
    <w:rsid w:val="294705FC"/>
    <w:rsid w:val="29EB624B"/>
    <w:rsid w:val="2A0D0CC4"/>
    <w:rsid w:val="2A275ACA"/>
    <w:rsid w:val="2A3C712E"/>
    <w:rsid w:val="2A472991"/>
    <w:rsid w:val="2A490E0C"/>
    <w:rsid w:val="2A566A91"/>
    <w:rsid w:val="2A6F5C0D"/>
    <w:rsid w:val="2A820F84"/>
    <w:rsid w:val="2ABF25ED"/>
    <w:rsid w:val="2AE070AF"/>
    <w:rsid w:val="2AE61515"/>
    <w:rsid w:val="2AFE685E"/>
    <w:rsid w:val="2B2A3917"/>
    <w:rsid w:val="2B307FD0"/>
    <w:rsid w:val="2B336ED3"/>
    <w:rsid w:val="2B471FB3"/>
    <w:rsid w:val="2B4D4A0F"/>
    <w:rsid w:val="2B525912"/>
    <w:rsid w:val="2B73700F"/>
    <w:rsid w:val="2B8121A1"/>
    <w:rsid w:val="2B832EF6"/>
    <w:rsid w:val="2BB46F1D"/>
    <w:rsid w:val="2BC47427"/>
    <w:rsid w:val="2BDB26FC"/>
    <w:rsid w:val="2BE30D8F"/>
    <w:rsid w:val="2BE94E19"/>
    <w:rsid w:val="2BE95450"/>
    <w:rsid w:val="2BFE6C98"/>
    <w:rsid w:val="2C0440A1"/>
    <w:rsid w:val="2C0734F1"/>
    <w:rsid w:val="2C1F4808"/>
    <w:rsid w:val="2C2643AF"/>
    <w:rsid w:val="2C2C73FB"/>
    <w:rsid w:val="2C4464F3"/>
    <w:rsid w:val="2C5748D0"/>
    <w:rsid w:val="2CA10242"/>
    <w:rsid w:val="2CA70830"/>
    <w:rsid w:val="2CB3174D"/>
    <w:rsid w:val="2CC76232"/>
    <w:rsid w:val="2CE73C43"/>
    <w:rsid w:val="2CF271A5"/>
    <w:rsid w:val="2CFD77A3"/>
    <w:rsid w:val="2D395076"/>
    <w:rsid w:val="2D426A09"/>
    <w:rsid w:val="2D69305E"/>
    <w:rsid w:val="2D8400D7"/>
    <w:rsid w:val="2D851D9A"/>
    <w:rsid w:val="2D880661"/>
    <w:rsid w:val="2DA140C7"/>
    <w:rsid w:val="2DB271D7"/>
    <w:rsid w:val="2DD438A6"/>
    <w:rsid w:val="2DD45655"/>
    <w:rsid w:val="2E0D764F"/>
    <w:rsid w:val="2E241400"/>
    <w:rsid w:val="2E7B3D22"/>
    <w:rsid w:val="2EA65243"/>
    <w:rsid w:val="2EA80FBB"/>
    <w:rsid w:val="2EA8720D"/>
    <w:rsid w:val="2EDE0726"/>
    <w:rsid w:val="2EE63891"/>
    <w:rsid w:val="2EF0571D"/>
    <w:rsid w:val="2F104DB2"/>
    <w:rsid w:val="2F1D70ED"/>
    <w:rsid w:val="2F462582"/>
    <w:rsid w:val="2F7B10A8"/>
    <w:rsid w:val="2FA133CD"/>
    <w:rsid w:val="2FB7522E"/>
    <w:rsid w:val="2FC069D1"/>
    <w:rsid w:val="2FE7396B"/>
    <w:rsid w:val="300D7D4A"/>
    <w:rsid w:val="30110DE2"/>
    <w:rsid w:val="30136908"/>
    <w:rsid w:val="30405223"/>
    <w:rsid w:val="30495DAA"/>
    <w:rsid w:val="305C317B"/>
    <w:rsid w:val="30612620"/>
    <w:rsid w:val="30683829"/>
    <w:rsid w:val="30A734F4"/>
    <w:rsid w:val="30B31147"/>
    <w:rsid w:val="30B73737"/>
    <w:rsid w:val="30BF083E"/>
    <w:rsid w:val="30DE1D41"/>
    <w:rsid w:val="30E7123C"/>
    <w:rsid w:val="30FD3EF5"/>
    <w:rsid w:val="310B75DF"/>
    <w:rsid w:val="31181CFC"/>
    <w:rsid w:val="311F308B"/>
    <w:rsid w:val="31203028"/>
    <w:rsid w:val="315E3BB3"/>
    <w:rsid w:val="31615CDB"/>
    <w:rsid w:val="31772FA9"/>
    <w:rsid w:val="31940B55"/>
    <w:rsid w:val="31A17F44"/>
    <w:rsid w:val="31A4447F"/>
    <w:rsid w:val="31A54C58"/>
    <w:rsid w:val="31CF594B"/>
    <w:rsid w:val="31E577F4"/>
    <w:rsid w:val="31FE7C49"/>
    <w:rsid w:val="3207249C"/>
    <w:rsid w:val="320E5E44"/>
    <w:rsid w:val="324463DD"/>
    <w:rsid w:val="327411B4"/>
    <w:rsid w:val="32963820"/>
    <w:rsid w:val="329B2BE5"/>
    <w:rsid w:val="32F02F31"/>
    <w:rsid w:val="32F273A6"/>
    <w:rsid w:val="32F63D9A"/>
    <w:rsid w:val="32FA5B5D"/>
    <w:rsid w:val="33004414"/>
    <w:rsid w:val="330662B0"/>
    <w:rsid w:val="33196C24"/>
    <w:rsid w:val="3324544E"/>
    <w:rsid w:val="334B58AA"/>
    <w:rsid w:val="335C4122"/>
    <w:rsid w:val="338F0398"/>
    <w:rsid w:val="339715FE"/>
    <w:rsid w:val="339E2B0A"/>
    <w:rsid w:val="33DE0EF4"/>
    <w:rsid w:val="33E16494"/>
    <w:rsid w:val="346644D8"/>
    <w:rsid w:val="34B42C77"/>
    <w:rsid w:val="34C93A39"/>
    <w:rsid w:val="34D4087A"/>
    <w:rsid w:val="34D84DA0"/>
    <w:rsid w:val="34F0546A"/>
    <w:rsid w:val="350F034E"/>
    <w:rsid w:val="351153E0"/>
    <w:rsid w:val="3515264E"/>
    <w:rsid w:val="3538471B"/>
    <w:rsid w:val="353E3789"/>
    <w:rsid w:val="355449C0"/>
    <w:rsid w:val="355969BD"/>
    <w:rsid w:val="3565643F"/>
    <w:rsid w:val="35995E0E"/>
    <w:rsid w:val="359F0C3E"/>
    <w:rsid w:val="35B54174"/>
    <w:rsid w:val="35B6520A"/>
    <w:rsid w:val="35F40FB5"/>
    <w:rsid w:val="360607D9"/>
    <w:rsid w:val="36190C5C"/>
    <w:rsid w:val="363D616D"/>
    <w:rsid w:val="364530C9"/>
    <w:rsid w:val="364D2448"/>
    <w:rsid w:val="36525CB0"/>
    <w:rsid w:val="36585882"/>
    <w:rsid w:val="36657792"/>
    <w:rsid w:val="36687AF9"/>
    <w:rsid w:val="3671264C"/>
    <w:rsid w:val="3680580C"/>
    <w:rsid w:val="368A369C"/>
    <w:rsid w:val="36962041"/>
    <w:rsid w:val="36CD7CD3"/>
    <w:rsid w:val="36CE17DB"/>
    <w:rsid w:val="36FF7BE6"/>
    <w:rsid w:val="37250B7A"/>
    <w:rsid w:val="372E4AB2"/>
    <w:rsid w:val="374E70EC"/>
    <w:rsid w:val="376129EA"/>
    <w:rsid w:val="37C242B9"/>
    <w:rsid w:val="37EA0AA2"/>
    <w:rsid w:val="38176009"/>
    <w:rsid w:val="385A07E5"/>
    <w:rsid w:val="38602906"/>
    <w:rsid w:val="38733175"/>
    <w:rsid w:val="38797524"/>
    <w:rsid w:val="388A34DF"/>
    <w:rsid w:val="388A4EC6"/>
    <w:rsid w:val="389E008F"/>
    <w:rsid w:val="38A94C99"/>
    <w:rsid w:val="38CC7FAC"/>
    <w:rsid w:val="38D6246F"/>
    <w:rsid w:val="38D97279"/>
    <w:rsid w:val="38DF7CCF"/>
    <w:rsid w:val="38E26BF0"/>
    <w:rsid w:val="38F00189"/>
    <w:rsid w:val="39237490"/>
    <w:rsid w:val="392E5E59"/>
    <w:rsid w:val="393468E8"/>
    <w:rsid w:val="395806F3"/>
    <w:rsid w:val="39854BAA"/>
    <w:rsid w:val="39A30AFB"/>
    <w:rsid w:val="39AB7BB1"/>
    <w:rsid w:val="39BD1693"/>
    <w:rsid w:val="39D4728C"/>
    <w:rsid w:val="39D96DB9"/>
    <w:rsid w:val="39E76710"/>
    <w:rsid w:val="3A3C70DA"/>
    <w:rsid w:val="3A43428E"/>
    <w:rsid w:val="3A5D3099"/>
    <w:rsid w:val="3A7916ED"/>
    <w:rsid w:val="3A8E5D10"/>
    <w:rsid w:val="3AB55381"/>
    <w:rsid w:val="3ACC4283"/>
    <w:rsid w:val="3AE11A4E"/>
    <w:rsid w:val="3B0657AD"/>
    <w:rsid w:val="3B10495E"/>
    <w:rsid w:val="3B2A4FB6"/>
    <w:rsid w:val="3B3135D0"/>
    <w:rsid w:val="3B586183"/>
    <w:rsid w:val="3B586F18"/>
    <w:rsid w:val="3B8763FC"/>
    <w:rsid w:val="3B8C756F"/>
    <w:rsid w:val="3B8D6AEC"/>
    <w:rsid w:val="3B903503"/>
    <w:rsid w:val="3B932D9C"/>
    <w:rsid w:val="3BC94845"/>
    <w:rsid w:val="3BD26834"/>
    <w:rsid w:val="3C19288C"/>
    <w:rsid w:val="3C265C15"/>
    <w:rsid w:val="3C357C06"/>
    <w:rsid w:val="3C6B7ACC"/>
    <w:rsid w:val="3C830972"/>
    <w:rsid w:val="3C9E1C4F"/>
    <w:rsid w:val="3C9F2ED7"/>
    <w:rsid w:val="3CBA43FC"/>
    <w:rsid w:val="3CCE5FE8"/>
    <w:rsid w:val="3CF11D7F"/>
    <w:rsid w:val="3CFB49AC"/>
    <w:rsid w:val="3D0F48FB"/>
    <w:rsid w:val="3D182F2B"/>
    <w:rsid w:val="3D314871"/>
    <w:rsid w:val="3D4A5933"/>
    <w:rsid w:val="3D4B4DAF"/>
    <w:rsid w:val="3D573AAE"/>
    <w:rsid w:val="3D7C2E18"/>
    <w:rsid w:val="3DA9164D"/>
    <w:rsid w:val="3DA959C3"/>
    <w:rsid w:val="3DDC6AF7"/>
    <w:rsid w:val="3DEB072E"/>
    <w:rsid w:val="3DEE62BF"/>
    <w:rsid w:val="3DF2408F"/>
    <w:rsid w:val="3E101EDE"/>
    <w:rsid w:val="3E151A9D"/>
    <w:rsid w:val="3E3A1504"/>
    <w:rsid w:val="3E5F1E94"/>
    <w:rsid w:val="3E6415B0"/>
    <w:rsid w:val="3E846C23"/>
    <w:rsid w:val="3EA00DD4"/>
    <w:rsid w:val="3EC62D97"/>
    <w:rsid w:val="3EFE0737"/>
    <w:rsid w:val="3F022944"/>
    <w:rsid w:val="3F0D639D"/>
    <w:rsid w:val="3F125943"/>
    <w:rsid w:val="3F4940F4"/>
    <w:rsid w:val="3F5B2410"/>
    <w:rsid w:val="3F744EE9"/>
    <w:rsid w:val="3F817D6A"/>
    <w:rsid w:val="3F825AEE"/>
    <w:rsid w:val="3FA70E1B"/>
    <w:rsid w:val="3FAA7BDC"/>
    <w:rsid w:val="3FAF4912"/>
    <w:rsid w:val="3FC410CC"/>
    <w:rsid w:val="3FD11DB9"/>
    <w:rsid w:val="3FD55988"/>
    <w:rsid w:val="3FE67B95"/>
    <w:rsid w:val="3FF027C2"/>
    <w:rsid w:val="3FFD0D04"/>
    <w:rsid w:val="40093884"/>
    <w:rsid w:val="406A72FF"/>
    <w:rsid w:val="40784565"/>
    <w:rsid w:val="408979DD"/>
    <w:rsid w:val="409558F0"/>
    <w:rsid w:val="40AD4AAD"/>
    <w:rsid w:val="40CD787E"/>
    <w:rsid w:val="40D804D9"/>
    <w:rsid w:val="40E52904"/>
    <w:rsid w:val="40E5601A"/>
    <w:rsid w:val="41027729"/>
    <w:rsid w:val="410A78B3"/>
    <w:rsid w:val="41250249"/>
    <w:rsid w:val="41563BAB"/>
    <w:rsid w:val="41650F8E"/>
    <w:rsid w:val="416829D0"/>
    <w:rsid w:val="41765884"/>
    <w:rsid w:val="417B60BB"/>
    <w:rsid w:val="417D2532"/>
    <w:rsid w:val="41986C6D"/>
    <w:rsid w:val="41A21103"/>
    <w:rsid w:val="41FA08E5"/>
    <w:rsid w:val="42164036"/>
    <w:rsid w:val="421B7832"/>
    <w:rsid w:val="42254A34"/>
    <w:rsid w:val="42260A6F"/>
    <w:rsid w:val="42384FA7"/>
    <w:rsid w:val="425A2175"/>
    <w:rsid w:val="429462ED"/>
    <w:rsid w:val="429D02B3"/>
    <w:rsid w:val="42BC7DDF"/>
    <w:rsid w:val="42D261AF"/>
    <w:rsid w:val="42F11B77"/>
    <w:rsid w:val="43076C51"/>
    <w:rsid w:val="43144A19"/>
    <w:rsid w:val="431E796B"/>
    <w:rsid w:val="432B6824"/>
    <w:rsid w:val="437454B8"/>
    <w:rsid w:val="437E2698"/>
    <w:rsid w:val="439D7B60"/>
    <w:rsid w:val="43A050CE"/>
    <w:rsid w:val="43AD43B9"/>
    <w:rsid w:val="43B75827"/>
    <w:rsid w:val="43BB3965"/>
    <w:rsid w:val="43C31D8E"/>
    <w:rsid w:val="43C755E8"/>
    <w:rsid w:val="43D83C99"/>
    <w:rsid w:val="440510C2"/>
    <w:rsid w:val="44201AAB"/>
    <w:rsid w:val="44323EF7"/>
    <w:rsid w:val="443F7A85"/>
    <w:rsid w:val="444E13D2"/>
    <w:rsid w:val="446562CB"/>
    <w:rsid w:val="44894290"/>
    <w:rsid w:val="448A72D9"/>
    <w:rsid w:val="44CA4465"/>
    <w:rsid w:val="44DA134B"/>
    <w:rsid w:val="44EF1B82"/>
    <w:rsid w:val="45067A1F"/>
    <w:rsid w:val="451510B8"/>
    <w:rsid w:val="45170DF8"/>
    <w:rsid w:val="451E1B7F"/>
    <w:rsid w:val="452627E2"/>
    <w:rsid w:val="4554098B"/>
    <w:rsid w:val="455C04E9"/>
    <w:rsid w:val="455E3D2A"/>
    <w:rsid w:val="45797C51"/>
    <w:rsid w:val="45A168B6"/>
    <w:rsid w:val="45CD7101"/>
    <w:rsid w:val="45E226B4"/>
    <w:rsid w:val="45EE4E64"/>
    <w:rsid w:val="460103E6"/>
    <w:rsid w:val="461B2714"/>
    <w:rsid w:val="462D264E"/>
    <w:rsid w:val="46380A1F"/>
    <w:rsid w:val="46456C98"/>
    <w:rsid w:val="46843CA3"/>
    <w:rsid w:val="46A37606"/>
    <w:rsid w:val="46C13F14"/>
    <w:rsid w:val="46C2653A"/>
    <w:rsid w:val="46F41301"/>
    <w:rsid w:val="46FC6C97"/>
    <w:rsid w:val="471072A6"/>
    <w:rsid w:val="4723347D"/>
    <w:rsid w:val="472B0583"/>
    <w:rsid w:val="473D2DF8"/>
    <w:rsid w:val="474B29D4"/>
    <w:rsid w:val="474D1D51"/>
    <w:rsid w:val="47AA242D"/>
    <w:rsid w:val="47DF1BC9"/>
    <w:rsid w:val="47F06548"/>
    <w:rsid w:val="47F66832"/>
    <w:rsid w:val="48117779"/>
    <w:rsid w:val="48147089"/>
    <w:rsid w:val="4823125B"/>
    <w:rsid w:val="48355B83"/>
    <w:rsid w:val="48657AC5"/>
    <w:rsid w:val="488D7A30"/>
    <w:rsid w:val="489C0142"/>
    <w:rsid w:val="48A00A38"/>
    <w:rsid w:val="48B3438D"/>
    <w:rsid w:val="48BD520B"/>
    <w:rsid w:val="48D34A2F"/>
    <w:rsid w:val="493140C2"/>
    <w:rsid w:val="49335560"/>
    <w:rsid w:val="49374FBE"/>
    <w:rsid w:val="4998062F"/>
    <w:rsid w:val="49B26D3A"/>
    <w:rsid w:val="4A0A0924"/>
    <w:rsid w:val="4A200A4F"/>
    <w:rsid w:val="4A3B47D7"/>
    <w:rsid w:val="4A520FD4"/>
    <w:rsid w:val="4A6135FC"/>
    <w:rsid w:val="4A77763C"/>
    <w:rsid w:val="4AE4089B"/>
    <w:rsid w:val="4B0D06CC"/>
    <w:rsid w:val="4B2E0642"/>
    <w:rsid w:val="4B692739"/>
    <w:rsid w:val="4B6A37B8"/>
    <w:rsid w:val="4B79281D"/>
    <w:rsid w:val="4B807D59"/>
    <w:rsid w:val="4B914ACB"/>
    <w:rsid w:val="4BA72EF2"/>
    <w:rsid w:val="4BF5342C"/>
    <w:rsid w:val="4C086960"/>
    <w:rsid w:val="4C0A2876"/>
    <w:rsid w:val="4C172B42"/>
    <w:rsid w:val="4C1C265B"/>
    <w:rsid w:val="4C3E203F"/>
    <w:rsid w:val="4C43011D"/>
    <w:rsid w:val="4C4A2448"/>
    <w:rsid w:val="4C554A2E"/>
    <w:rsid w:val="4C5B0FC3"/>
    <w:rsid w:val="4C683269"/>
    <w:rsid w:val="4C8D47EB"/>
    <w:rsid w:val="4C9B1D07"/>
    <w:rsid w:val="4CC006FA"/>
    <w:rsid w:val="4CEF5BAF"/>
    <w:rsid w:val="4CF10802"/>
    <w:rsid w:val="4CF6285E"/>
    <w:rsid w:val="4D0C0115"/>
    <w:rsid w:val="4D13416C"/>
    <w:rsid w:val="4D155003"/>
    <w:rsid w:val="4D31441A"/>
    <w:rsid w:val="4D4F6AB4"/>
    <w:rsid w:val="4D554464"/>
    <w:rsid w:val="4DA1334D"/>
    <w:rsid w:val="4DED52D5"/>
    <w:rsid w:val="4E125FF9"/>
    <w:rsid w:val="4E287F63"/>
    <w:rsid w:val="4E3150E2"/>
    <w:rsid w:val="4E3B2540"/>
    <w:rsid w:val="4E736479"/>
    <w:rsid w:val="4E984750"/>
    <w:rsid w:val="4ECF17A1"/>
    <w:rsid w:val="4EE51018"/>
    <w:rsid w:val="4EF034BC"/>
    <w:rsid w:val="4F3A5808"/>
    <w:rsid w:val="4F4A3571"/>
    <w:rsid w:val="4F586C65"/>
    <w:rsid w:val="4F5A7340"/>
    <w:rsid w:val="4F73779A"/>
    <w:rsid w:val="4F882826"/>
    <w:rsid w:val="4F9658AD"/>
    <w:rsid w:val="4F986F22"/>
    <w:rsid w:val="4FB97DFA"/>
    <w:rsid w:val="4FCA62BD"/>
    <w:rsid w:val="4FD6299B"/>
    <w:rsid w:val="4FD9320F"/>
    <w:rsid w:val="4FDC241B"/>
    <w:rsid w:val="4FE31E02"/>
    <w:rsid w:val="4FFC5956"/>
    <w:rsid w:val="4FFD0323"/>
    <w:rsid w:val="50011E81"/>
    <w:rsid w:val="501222E0"/>
    <w:rsid w:val="50346648"/>
    <w:rsid w:val="50362B19"/>
    <w:rsid w:val="503746DC"/>
    <w:rsid w:val="508104D8"/>
    <w:rsid w:val="50902684"/>
    <w:rsid w:val="50DF56DA"/>
    <w:rsid w:val="51271DBC"/>
    <w:rsid w:val="512C74AF"/>
    <w:rsid w:val="512F6EC2"/>
    <w:rsid w:val="51501312"/>
    <w:rsid w:val="515B7DAD"/>
    <w:rsid w:val="516A1F01"/>
    <w:rsid w:val="51710A8D"/>
    <w:rsid w:val="51786173"/>
    <w:rsid w:val="51823496"/>
    <w:rsid w:val="51A72EFC"/>
    <w:rsid w:val="51B32165"/>
    <w:rsid w:val="51BF1FF4"/>
    <w:rsid w:val="51C25640"/>
    <w:rsid w:val="51C969CF"/>
    <w:rsid w:val="51CD2963"/>
    <w:rsid w:val="51E611C2"/>
    <w:rsid w:val="51EF617D"/>
    <w:rsid w:val="520277E1"/>
    <w:rsid w:val="52552958"/>
    <w:rsid w:val="52693681"/>
    <w:rsid w:val="526D7CA2"/>
    <w:rsid w:val="527103FC"/>
    <w:rsid w:val="5281374D"/>
    <w:rsid w:val="528A0854"/>
    <w:rsid w:val="528F19C6"/>
    <w:rsid w:val="52943481"/>
    <w:rsid w:val="529A792F"/>
    <w:rsid w:val="52A4759B"/>
    <w:rsid w:val="52B35629"/>
    <w:rsid w:val="52D32AFD"/>
    <w:rsid w:val="52E361B6"/>
    <w:rsid w:val="53085A69"/>
    <w:rsid w:val="532A16EF"/>
    <w:rsid w:val="532E7431"/>
    <w:rsid w:val="53430A03"/>
    <w:rsid w:val="53481136"/>
    <w:rsid w:val="537E4CD3"/>
    <w:rsid w:val="537F060E"/>
    <w:rsid w:val="539F3171"/>
    <w:rsid w:val="53AB5C87"/>
    <w:rsid w:val="53BC2B2A"/>
    <w:rsid w:val="53C50E71"/>
    <w:rsid w:val="53D85C9D"/>
    <w:rsid w:val="54065E7B"/>
    <w:rsid w:val="541303D5"/>
    <w:rsid w:val="5435659E"/>
    <w:rsid w:val="543C3DD0"/>
    <w:rsid w:val="54531F10"/>
    <w:rsid w:val="5492579E"/>
    <w:rsid w:val="54A656ED"/>
    <w:rsid w:val="54A84FC1"/>
    <w:rsid w:val="54C91FB4"/>
    <w:rsid w:val="54D1276A"/>
    <w:rsid w:val="54D31542"/>
    <w:rsid w:val="54D73AF9"/>
    <w:rsid w:val="54DD7595"/>
    <w:rsid w:val="54F975CB"/>
    <w:rsid w:val="551B6387"/>
    <w:rsid w:val="553625CD"/>
    <w:rsid w:val="55655D39"/>
    <w:rsid w:val="55992337"/>
    <w:rsid w:val="55A62DFB"/>
    <w:rsid w:val="55A90FF1"/>
    <w:rsid w:val="55B77495"/>
    <w:rsid w:val="55CD4E7B"/>
    <w:rsid w:val="55F06C20"/>
    <w:rsid w:val="56064695"/>
    <w:rsid w:val="561F1F50"/>
    <w:rsid w:val="56262AA1"/>
    <w:rsid w:val="562E2336"/>
    <w:rsid w:val="563F3703"/>
    <w:rsid w:val="565B7EBC"/>
    <w:rsid w:val="565D5647"/>
    <w:rsid w:val="565F1615"/>
    <w:rsid w:val="568D12C4"/>
    <w:rsid w:val="56A11E83"/>
    <w:rsid w:val="56B55774"/>
    <w:rsid w:val="56C53BC0"/>
    <w:rsid w:val="56CF0F2B"/>
    <w:rsid w:val="56D45260"/>
    <w:rsid w:val="56E12A0D"/>
    <w:rsid w:val="56F444EE"/>
    <w:rsid w:val="56FF57CA"/>
    <w:rsid w:val="57505063"/>
    <w:rsid w:val="5754628C"/>
    <w:rsid w:val="57787CE7"/>
    <w:rsid w:val="577B3F55"/>
    <w:rsid w:val="57961A49"/>
    <w:rsid w:val="57C2639A"/>
    <w:rsid w:val="57DB3900"/>
    <w:rsid w:val="57E74053"/>
    <w:rsid w:val="57EC7697"/>
    <w:rsid w:val="57F347A6"/>
    <w:rsid w:val="57F63298"/>
    <w:rsid w:val="5812789C"/>
    <w:rsid w:val="581B4698"/>
    <w:rsid w:val="58553578"/>
    <w:rsid w:val="58673D9A"/>
    <w:rsid w:val="5881560A"/>
    <w:rsid w:val="58AD2B6A"/>
    <w:rsid w:val="58C25462"/>
    <w:rsid w:val="58CC7FF4"/>
    <w:rsid w:val="58DF6CF4"/>
    <w:rsid w:val="58FE78A6"/>
    <w:rsid w:val="5904132B"/>
    <w:rsid w:val="590832CB"/>
    <w:rsid w:val="59157827"/>
    <w:rsid w:val="594400A5"/>
    <w:rsid w:val="59460EC7"/>
    <w:rsid w:val="59503C78"/>
    <w:rsid w:val="59561AE4"/>
    <w:rsid w:val="59814033"/>
    <w:rsid w:val="598322DB"/>
    <w:rsid w:val="599C18CE"/>
    <w:rsid w:val="59B2573B"/>
    <w:rsid w:val="59BB12F3"/>
    <w:rsid w:val="59C90F05"/>
    <w:rsid w:val="59DE43F5"/>
    <w:rsid w:val="5A0013FC"/>
    <w:rsid w:val="5A203F0F"/>
    <w:rsid w:val="5A3A3464"/>
    <w:rsid w:val="5A44753A"/>
    <w:rsid w:val="5A637F6F"/>
    <w:rsid w:val="5A6E6ED5"/>
    <w:rsid w:val="5A7176E4"/>
    <w:rsid w:val="5A785436"/>
    <w:rsid w:val="5A8E2D4C"/>
    <w:rsid w:val="5A9410D3"/>
    <w:rsid w:val="5AB23A35"/>
    <w:rsid w:val="5AB3646E"/>
    <w:rsid w:val="5ABC1175"/>
    <w:rsid w:val="5AD53B49"/>
    <w:rsid w:val="5AF413B3"/>
    <w:rsid w:val="5B3475AF"/>
    <w:rsid w:val="5B4F7AA0"/>
    <w:rsid w:val="5BD33445"/>
    <w:rsid w:val="5BF8682E"/>
    <w:rsid w:val="5C133668"/>
    <w:rsid w:val="5C183B88"/>
    <w:rsid w:val="5C2123A3"/>
    <w:rsid w:val="5C2B081A"/>
    <w:rsid w:val="5C3914B8"/>
    <w:rsid w:val="5C6514C0"/>
    <w:rsid w:val="5C6D68F5"/>
    <w:rsid w:val="5C85755D"/>
    <w:rsid w:val="5C887379"/>
    <w:rsid w:val="5CB36BF9"/>
    <w:rsid w:val="5CC606DB"/>
    <w:rsid w:val="5CD8040E"/>
    <w:rsid w:val="5CDC1CAC"/>
    <w:rsid w:val="5CEC5C67"/>
    <w:rsid w:val="5CF35248"/>
    <w:rsid w:val="5D0C00B7"/>
    <w:rsid w:val="5D2B3EA0"/>
    <w:rsid w:val="5D2C15D3"/>
    <w:rsid w:val="5D5932FD"/>
    <w:rsid w:val="5D5D033B"/>
    <w:rsid w:val="5D5E3ED5"/>
    <w:rsid w:val="5D7647EC"/>
    <w:rsid w:val="5D885990"/>
    <w:rsid w:val="5DB73C2F"/>
    <w:rsid w:val="5DBA1FF8"/>
    <w:rsid w:val="5DCC1110"/>
    <w:rsid w:val="5DCD4AF7"/>
    <w:rsid w:val="5DD1709F"/>
    <w:rsid w:val="5DD86807"/>
    <w:rsid w:val="5DDF0A45"/>
    <w:rsid w:val="5E104167"/>
    <w:rsid w:val="5E1D3725"/>
    <w:rsid w:val="5E303B80"/>
    <w:rsid w:val="5E37668B"/>
    <w:rsid w:val="5E483371"/>
    <w:rsid w:val="5E9A1E1F"/>
    <w:rsid w:val="5E9C51FA"/>
    <w:rsid w:val="5E9F5687"/>
    <w:rsid w:val="5EAA79D4"/>
    <w:rsid w:val="5EC155FD"/>
    <w:rsid w:val="5EC42D73"/>
    <w:rsid w:val="5ED54C52"/>
    <w:rsid w:val="5ED62FD5"/>
    <w:rsid w:val="5EE44E48"/>
    <w:rsid w:val="5EFA466C"/>
    <w:rsid w:val="5EFF6126"/>
    <w:rsid w:val="5F1D65AC"/>
    <w:rsid w:val="5F1F2324"/>
    <w:rsid w:val="5F2C67EF"/>
    <w:rsid w:val="5F364B80"/>
    <w:rsid w:val="5F6F45FF"/>
    <w:rsid w:val="5F906D7E"/>
    <w:rsid w:val="5F92436A"/>
    <w:rsid w:val="5F927F59"/>
    <w:rsid w:val="5F930CBD"/>
    <w:rsid w:val="5FAF1AEE"/>
    <w:rsid w:val="5FC1648A"/>
    <w:rsid w:val="5FD255E8"/>
    <w:rsid w:val="5FEB1B9D"/>
    <w:rsid w:val="5FEF5A95"/>
    <w:rsid w:val="5FF90DC7"/>
    <w:rsid w:val="5FFB4B3F"/>
    <w:rsid w:val="601249DE"/>
    <w:rsid w:val="6014175D"/>
    <w:rsid w:val="604751DF"/>
    <w:rsid w:val="604C539B"/>
    <w:rsid w:val="606445D9"/>
    <w:rsid w:val="6065645C"/>
    <w:rsid w:val="606C77EB"/>
    <w:rsid w:val="60C346C6"/>
    <w:rsid w:val="60C72C73"/>
    <w:rsid w:val="60C73328"/>
    <w:rsid w:val="60E308E3"/>
    <w:rsid w:val="60E40CF5"/>
    <w:rsid w:val="60F021CA"/>
    <w:rsid w:val="60F63558"/>
    <w:rsid w:val="60FE64C3"/>
    <w:rsid w:val="61023CAB"/>
    <w:rsid w:val="61141727"/>
    <w:rsid w:val="611E742B"/>
    <w:rsid w:val="61396DD0"/>
    <w:rsid w:val="61824BAB"/>
    <w:rsid w:val="618D7A19"/>
    <w:rsid w:val="619C1A0A"/>
    <w:rsid w:val="619F599E"/>
    <w:rsid w:val="61A52D11"/>
    <w:rsid w:val="61A95149"/>
    <w:rsid w:val="61AA08FE"/>
    <w:rsid w:val="61C41ACD"/>
    <w:rsid w:val="61D41829"/>
    <w:rsid w:val="61E239A6"/>
    <w:rsid w:val="621A5025"/>
    <w:rsid w:val="623258AE"/>
    <w:rsid w:val="623F15C0"/>
    <w:rsid w:val="625E1FC6"/>
    <w:rsid w:val="626738C6"/>
    <w:rsid w:val="6268150F"/>
    <w:rsid w:val="62764951"/>
    <w:rsid w:val="627971C3"/>
    <w:rsid w:val="62860F22"/>
    <w:rsid w:val="629628FD"/>
    <w:rsid w:val="62C54F90"/>
    <w:rsid w:val="62DF233A"/>
    <w:rsid w:val="630048F7"/>
    <w:rsid w:val="630A5BB9"/>
    <w:rsid w:val="63215DB8"/>
    <w:rsid w:val="632757F0"/>
    <w:rsid w:val="63473BF7"/>
    <w:rsid w:val="63690012"/>
    <w:rsid w:val="6372336A"/>
    <w:rsid w:val="638906B4"/>
    <w:rsid w:val="639257BA"/>
    <w:rsid w:val="63B77B8E"/>
    <w:rsid w:val="63FA3360"/>
    <w:rsid w:val="640A78AC"/>
    <w:rsid w:val="64124BF5"/>
    <w:rsid w:val="642D7291"/>
    <w:rsid w:val="645079A9"/>
    <w:rsid w:val="64587AB1"/>
    <w:rsid w:val="645A6E29"/>
    <w:rsid w:val="646D3FF3"/>
    <w:rsid w:val="64794284"/>
    <w:rsid w:val="64AB7435"/>
    <w:rsid w:val="64BC23C3"/>
    <w:rsid w:val="64BE130D"/>
    <w:rsid w:val="64F61D79"/>
    <w:rsid w:val="650A4AEB"/>
    <w:rsid w:val="650B601A"/>
    <w:rsid w:val="6534131C"/>
    <w:rsid w:val="65605444"/>
    <w:rsid w:val="656A1E1F"/>
    <w:rsid w:val="65A17F37"/>
    <w:rsid w:val="65A836AB"/>
    <w:rsid w:val="65A96DEB"/>
    <w:rsid w:val="65AC2341"/>
    <w:rsid w:val="65AD2600"/>
    <w:rsid w:val="65B732B6"/>
    <w:rsid w:val="65BD63F3"/>
    <w:rsid w:val="65E521DF"/>
    <w:rsid w:val="65E600DF"/>
    <w:rsid w:val="65F750F0"/>
    <w:rsid w:val="661F0E5C"/>
    <w:rsid w:val="663A2D5F"/>
    <w:rsid w:val="6666618F"/>
    <w:rsid w:val="666B5E4F"/>
    <w:rsid w:val="666E595E"/>
    <w:rsid w:val="66887883"/>
    <w:rsid w:val="668F7750"/>
    <w:rsid w:val="6698031B"/>
    <w:rsid w:val="669907B9"/>
    <w:rsid w:val="669B3919"/>
    <w:rsid w:val="66B27F22"/>
    <w:rsid w:val="66EF082E"/>
    <w:rsid w:val="6736645D"/>
    <w:rsid w:val="675C250A"/>
    <w:rsid w:val="675D1C3B"/>
    <w:rsid w:val="676A54F5"/>
    <w:rsid w:val="67727971"/>
    <w:rsid w:val="677F645C"/>
    <w:rsid w:val="6780684F"/>
    <w:rsid w:val="6796339F"/>
    <w:rsid w:val="67FA2386"/>
    <w:rsid w:val="68282249"/>
    <w:rsid w:val="685C6BAE"/>
    <w:rsid w:val="6878082B"/>
    <w:rsid w:val="687D1E6A"/>
    <w:rsid w:val="68C1269E"/>
    <w:rsid w:val="68D50FF4"/>
    <w:rsid w:val="68D57089"/>
    <w:rsid w:val="68E42F72"/>
    <w:rsid w:val="68F10571"/>
    <w:rsid w:val="691A5092"/>
    <w:rsid w:val="692B0CE1"/>
    <w:rsid w:val="69390486"/>
    <w:rsid w:val="69702ECB"/>
    <w:rsid w:val="69747710"/>
    <w:rsid w:val="69767C4D"/>
    <w:rsid w:val="699B34F7"/>
    <w:rsid w:val="69AC0C58"/>
    <w:rsid w:val="69BF0AD0"/>
    <w:rsid w:val="69D00DEB"/>
    <w:rsid w:val="69FA3D78"/>
    <w:rsid w:val="6A0E4479"/>
    <w:rsid w:val="6A160FCF"/>
    <w:rsid w:val="6A296146"/>
    <w:rsid w:val="6A452F6A"/>
    <w:rsid w:val="6A8345CE"/>
    <w:rsid w:val="6A885221"/>
    <w:rsid w:val="6A8F72B9"/>
    <w:rsid w:val="6AAB7F50"/>
    <w:rsid w:val="6AD40467"/>
    <w:rsid w:val="6AD61945"/>
    <w:rsid w:val="6AF20FCD"/>
    <w:rsid w:val="6B142F59"/>
    <w:rsid w:val="6B43383E"/>
    <w:rsid w:val="6B5C220A"/>
    <w:rsid w:val="6B6944EC"/>
    <w:rsid w:val="6B851761"/>
    <w:rsid w:val="6B8F7255"/>
    <w:rsid w:val="6BA3608B"/>
    <w:rsid w:val="6BA53BB1"/>
    <w:rsid w:val="6BB46349"/>
    <w:rsid w:val="6BC95AF1"/>
    <w:rsid w:val="6BD12BF8"/>
    <w:rsid w:val="6BD91127"/>
    <w:rsid w:val="6BF15048"/>
    <w:rsid w:val="6C310293"/>
    <w:rsid w:val="6C44786E"/>
    <w:rsid w:val="6C4706F9"/>
    <w:rsid w:val="6C5D7FE5"/>
    <w:rsid w:val="6C664745"/>
    <w:rsid w:val="6C8407CA"/>
    <w:rsid w:val="6CC90D79"/>
    <w:rsid w:val="6CD51EDD"/>
    <w:rsid w:val="6CEF1588"/>
    <w:rsid w:val="6CF94E2F"/>
    <w:rsid w:val="6D0B7AD0"/>
    <w:rsid w:val="6D111628"/>
    <w:rsid w:val="6D3276C6"/>
    <w:rsid w:val="6D6A2812"/>
    <w:rsid w:val="6D6A50B2"/>
    <w:rsid w:val="6D8771C3"/>
    <w:rsid w:val="6D8D7674"/>
    <w:rsid w:val="6D9956BA"/>
    <w:rsid w:val="6D9E2FAE"/>
    <w:rsid w:val="6DB21352"/>
    <w:rsid w:val="6DBD4F39"/>
    <w:rsid w:val="6DFC351E"/>
    <w:rsid w:val="6E1F40EF"/>
    <w:rsid w:val="6E2A554D"/>
    <w:rsid w:val="6E2E700B"/>
    <w:rsid w:val="6E625129"/>
    <w:rsid w:val="6E6733A0"/>
    <w:rsid w:val="6E7D0E15"/>
    <w:rsid w:val="6EA16987"/>
    <w:rsid w:val="6EA77C40"/>
    <w:rsid w:val="6EB8009F"/>
    <w:rsid w:val="6ED36C87"/>
    <w:rsid w:val="6EE56679"/>
    <w:rsid w:val="6EF104DD"/>
    <w:rsid w:val="6F190B3E"/>
    <w:rsid w:val="6F343BCA"/>
    <w:rsid w:val="6F484143"/>
    <w:rsid w:val="6F490CF7"/>
    <w:rsid w:val="6F574271"/>
    <w:rsid w:val="6F750F26"/>
    <w:rsid w:val="6F7B72E9"/>
    <w:rsid w:val="6F8445D4"/>
    <w:rsid w:val="6F8D5C1A"/>
    <w:rsid w:val="6F8E342E"/>
    <w:rsid w:val="6F925B2C"/>
    <w:rsid w:val="6FA523D2"/>
    <w:rsid w:val="6FA8133A"/>
    <w:rsid w:val="6FAA79E8"/>
    <w:rsid w:val="6FAC3760"/>
    <w:rsid w:val="6FB940CF"/>
    <w:rsid w:val="6FD27139"/>
    <w:rsid w:val="6FD818E9"/>
    <w:rsid w:val="6FEC0000"/>
    <w:rsid w:val="6FF82103"/>
    <w:rsid w:val="6FFB1846"/>
    <w:rsid w:val="70820965"/>
    <w:rsid w:val="70B84386"/>
    <w:rsid w:val="70CD2B48"/>
    <w:rsid w:val="70DF3B43"/>
    <w:rsid w:val="71126EE7"/>
    <w:rsid w:val="71340C72"/>
    <w:rsid w:val="714E7C4B"/>
    <w:rsid w:val="71621B42"/>
    <w:rsid w:val="71654E27"/>
    <w:rsid w:val="719E73CE"/>
    <w:rsid w:val="71F6500C"/>
    <w:rsid w:val="71FB09CF"/>
    <w:rsid w:val="72133F6A"/>
    <w:rsid w:val="721B37CB"/>
    <w:rsid w:val="722D677A"/>
    <w:rsid w:val="72677E12"/>
    <w:rsid w:val="729F135A"/>
    <w:rsid w:val="72AB1549"/>
    <w:rsid w:val="72B82F50"/>
    <w:rsid w:val="72C217B0"/>
    <w:rsid w:val="72C77465"/>
    <w:rsid w:val="72CE25B0"/>
    <w:rsid w:val="72D336FA"/>
    <w:rsid w:val="730438B3"/>
    <w:rsid w:val="73164867"/>
    <w:rsid w:val="733221CE"/>
    <w:rsid w:val="73702CF6"/>
    <w:rsid w:val="737E24ED"/>
    <w:rsid w:val="738461BF"/>
    <w:rsid w:val="738E367E"/>
    <w:rsid w:val="73914AA8"/>
    <w:rsid w:val="73934CDB"/>
    <w:rsid w:val="73AA3458"/>
    <w:rsid w:val="73AB1F81"/>
    <w:rsid w:val="73AD3F4B"/>
    <w:rsid w:val="73B01345"/>
    <w:rsid w:val="73C179F6"/>
    <w:rsid w:val="73C22DCA"/>
    <w:rsid w:val="73CB56AA"/>
    <w:rsid w:val="73F76C73"/>
    <w:rsid w:val="74203020"/>
    <w:rsid w:val="74234E43"/>
    <w:rsid w:val="746960C4"/>
    <w:rsid w:val="74852401"/>
    <w:rsid w:val="74A95947"/>
    <w:rsid w:val="74CD1C80"/>
    <w:rsid w:val="74E6192D"/>
    <w:rsid w:val="74E72327"/>
    <w:rsid w:val="74FD10EC"/>
    <w:rsid w:val="75023E22"/>
    <w:rsid w:val="750D20E7"/>
    <w:rsid w:val="75482A22"/>
    <w:rsid w:val="756211EE"/>
    <w:rsid w:val="756920F3"/>
    <w:rsid w:val="757C043C"/>
    <w:rsid w:val="758D39AB"/>
    <w:rsid w:val="758F0A0E"/>
    <w:rsid w:val="7590142E"/>
    <w:rsid w:val="75985BCF"/>
    <w:rsid w:val="75AF3FAA"/>
    <w:rsid w:val="75BA57C4"/>
    <w:rsid w:val="75BD0103"/>
    <w:rsid w:val="75F47C0F"/>
    <w:rsid w:val="76075E79"/>
    <w:rsid w:val="76134845"/>
    <w:rsid w:val="763922F4"/>
    <w:rsid w:val="765B1B03"/>
    <w:rsid w:val="767E1BCE"/>
    <w:rsid w:val="768C7E47"/>
    <w:rsid w:val="769D3E02"/>
    <w:rsid w:val="76B80955"/>
    <w:rsid w:val="76D90BB3"/>
    <w:rsid w:val="76EC740F"/>
    <w:rsid w:val="7736125B"/>
    <w:rsid w:val="774B075C"/>
    <w:rsid w:val="77545A55"/>
    <w:rsid w:val="775545EE"/>
    <w:rsid w:val="776D5A49"/>
    <w:rsid w:val="777F5BFE"/>
    <w:rsid w:val="77813724"/>
    <w:rsid w:val="77896DD2"/>
    <w:rsid w:val="77AA41E1"/>
    <w:rsid w:val="77BF6F51"/>
    <w:rsid w:val="77C91904"/>
    <w:rsid w:val="77D73344"/>
    <w:rsid w:val="77D777E8"/>
    <w:rsid w:val="77EB5041"/>
    <w:rsid w:val="781E5417"/>
    <w:rsid w:val="78271F54"/>
    <w:rsid w:val="78280C22"/>
    <w:rsid w:val="78283BA0"/>
    <w:rsid w:val="782A7F03"/>
    <w:rsid w:val="787615CF"/>
    <w:rsid w:val="78872FBC"/>
    <w:rsid w:val="78CD0CE6"/>
    <w:rsid w:val="794835E0"/>
    <w:rsid w:val="794E7636"/>
    <w:rsid w:val="79616DC4"/>
    <w:rsid w:val="79782241"/>
    <w:rsid w:val="797A667D"/>
    <w:rsid w:val="79927E6B"/>
    <w:rsid w:val="79BC1EC7"/>
    <w:rsid w:val="79E820BE"/>
    <w:rsid w:val="79E92E57"/>
    <w:rsid w:val="79F26B1E"/>
    <w:rsid w:val="7A000C8F"/>
    <w:rsid w:val="7A2D7B93"/>
    <w:rsid w:val="7A6730A5"/>
    <w:rsid w:val="7A835A05"/>
    <w:rsid w:val="7A862644"/>
    <w:rsid w:val="7AA037BE"/>
    <w:rsid w:val="7AAC0428"/>
    <w:rsid w:val="7ABD5C87"/>
    <w:rsid w:val="7AC21415"/>
    <w:rsid w:val="7AC74DEF"/>
    <w:rsid w:val="7ACA7190"/>
    <w:rsid w:val="7ACC0CD4"/>
    <w:rsid w:val="7AEA5A84"/>
    <w:rsid w:val="7AEC7106"/>
    <w:rsid w:val="7B010C17"/>
    <w:rsid w:val="7B031518"/>
    <w:rsid w:val="7B054F71"/>
    <w:rsid w:val="7B266AE8"/>
    <w:rsid w:val="7B3311D9"/>
    <w:rsid w:val="7B4128F5"/>
    <w:rsid w:val="7B4E6013"/>
    <w:rsid w:val="7B5B146A"/>
    <w:rsid w:val="7B681A01"/>
    <w:rsid w:val="7B7B492E"/>
    <w:rsid w:val="7B86410F"/>
    <w:rsid w:val="7B876E2F"/>
    <w:rsid w:val="7BD3539E"/>
    <w:rsid w:val="7BE35E80"/>
    <w:rsid w:val="7BF546E1"/>
    <w:rsid w:val="7C18217D"/>
    <w:rsid w:val="7C2B0102"/>
    <w:rsid w:val="7C397120"/>
    <w:rsid w:val="7C47478B"/>
    <w:rsid w:val="7C8932DF"/>
    <w:rsid w:val="7C9573B2"/>
    <w:rsid w:val="7CB42860"/>
    <w:rsid w:val="7CB71996"/>
    <w:rsid w:val="7CE502B1"/>
    <w:rsid w:val="7CF8678F"/>
    <w:rsid w:val="7CF945BE"/>
    <w:rsid w:val="7D021F92"/>
    <w:rsid w:val="7D11554A"/>
    <w:rsid w:val="7D123E77"/>
    <w:rsid w:val="7D180687"/>
    <w:rsid w:val="7D1E4059"/>
    <w:rsid w:val="7D2C2AE8"/>
    <w:rsid w:val="7D6A08F7"/>
    <w:rsid w:val="7D8E26F7"/>
    <w:rsid w:val="7DD7027D"/>
    <w:rsid w:val="7DE85837"/>
    <w:rsid w:val="7E074902"/>
    <w:rsid w:val="7E1C41A7"/>
    <w:rsid w:val="7E6E2E4D"/>
    <w:rsid w:val="7EB10D93"/>
    <w:rsid w:val="7EBE6F11"/>
    <w:rsid w:val="7EC40A46"/>
    <w:rsid w:val="7EDB5E10"/>
    <w:rsid w:val="7EE30DF1"/>
    <w:rsid w:val="7EFE1AFE"/>
    <w:rsid w:val="7F136667"/>
    <w:rsid w:val="7F1C3DA0"/>
    <w:rsid w:val="7F4828C6"/>
    <w:rsid w:val="7F580F12"/>
    <w:rsid w:val="7F7B09F1"/>
    <w:rsid w:val="7F7F71B2"/>
    <w:rsid w:val="7F833D8D"/>
    <w:rsid w:val="7FBF128D"/>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2"/>
    <w:next w:val="1"/>
    <w:link w:val="46"/>
    <w:qFormat/>
    <w:uiPriority w:val="0"/>
    <w:pPr>
      <w:keepNext/>
      <w:keepLines/>
      <w:autoSpaceDE w:val="0"/>
      <w:autoSpaceDN w:val="0"/>
      <w:adjustRightInd w:val="0"/>
      <w:spacing w:before="120" w:line="300" w:lineRule="auto"/>
      <w:jc w:val="center"/>
      <w:outlineLvl w:val="1"/>
    </w:pPr>
    <w:rPr>
      <w:rFonts w:ascii="Arial" w:hAnsi="Arial" w:eastAsia="黑体"/>
      <w:kern w:val="0"/>
      <w:sz w:val="30"/>
      <w:szCs w:val="20"/>
    </w:rPr>
  </w:style>
  <w:style w:type="paragraph" w:styleId="4">
    <w:name w:val="heading 3"/>
    <w:basedOn w:val="1"/>
    <w:next w:val="5"/>
    <w:link w:val="4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37">
    <w:name w:val="Default Paragraph Font"/>
    <w:semiHidden/>
    <w:qFormat/>
    <w:uiPriority w:val="0"/>
  </w:style>
  <w:style w:type="table" w:default="1" w:styleId="3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6">
    <w:name w:val="toc 7"/>
    <w:basedOn w:val="1"/>
    <w:next w:val="1"/>
    <w:qFormat/>
    <w:uiPriority w:val="39"/>
    <w:pPr>
      <w:ind w:left="2520" w:leftChars="1200"/>
    </w:pPr>
  </w:style>
  <w:style w:type="paragraph" w:styleId="7">
    <w:name w:val="toa heading"/>
    <w:basedOn w:val="1"/>
    <w:next w:val="1"/>
    <w:qFormat/>
    <w:uiPriority w:val="0"/>
    <w:pPr>
      <w:widowControl/>
      <w:autoSpaceDE/>
      <w:autoSpaceDN/>
      <w:spacing w:before="120" w:after="0" w:line="240" w:lineRule="auto"/>
      <w:ind w:left="0" w:firstLine="3584"/>
    </w:pPr>
  </w:style>
  <w:style w:type="paragraph" w:styleId="8">
    <w:name w:val="annotation text"/>
    <w:basedOn w:val="1"/>
    <w:link w:val="48"/>
    <w:qFormat/>
    <w:uiPriority w:val="99"/>
    <w:pPr>
      <w:jc w:val="left"/>
    </w:pPr>
  </w:style>
  <w:style w:type="paragraph" w:styleId="9">
    <w:name w:val="Body Text 3"/>
    <w:basedOn w:val="1"/>
    <w:qFormat/>
    <w:uiPriority w:val="0"/>
    <w:pPr>
      <w:tabs>
        <w:tab w:val="left" w:pos="1624"/>
      </w:tabs>
      <w:autoSpaceDE w:val="0"/>
      <w:autoSpaceDN w:val="0"/>
      <w:adjustRightInd w:val="0"/>
      <w:spacing w:line="400" w:lineRule="exact"/>
    </w:pPr>
    <w:rPr>
      <w:rFonts w:ascii="Calibri" w:hAnsi="Calibri" w:eastAsia="宋体" w:cs="Times New Roman"/>
      <w:color w:val="000000"/>
      <w:kern w:val="0"/>
      <w:sz w:val="20"/>
    </w:rPr>
  </w:style>
  <w:style w:type="paragraph" w:styleId="10">
    <w:name w:val="Body Text"/>
    <w:basedOn w:val="1"/>
    <w:link w:val="49"/>
    <w:qFormat/>
    <w:uiPriority w:val="0"/>
    <w:pPr>
      <w:tabs>
        <w:tab w:val="left" w:pos="567"/>
      </w:tabs>
      <w:spacing w:before="120" w:line="22" w:lineRule="atLeast"/>
    </w:pPr>
    <w:rPr>
      <w:rFonts w:ascii="宋体" w:hAnsi="宋体"/>
      <w:sz w:val="24"/>
    </w:rPr>
  </w:style>
  <w:style w:type="paragraph" w:styleId="11">
    <w:name w:val="Body Text Indent"/>
    <w:basedOn w:val="1"/>
    <w:next w:val="12"/>
    <w:qFormat/>
    <w:uiPriority w:val="0"/>
    <w:pPr>
      <w:spacing w:line="360" w:lineRule="auto"/>
      <w:ind w:firstLine="570"/>
    </w:pPr>
    <w:rPr>
      <w:sz w:val="24"/>
    </w:rPr>
  </w:style>
  <w:style w:type="paragraph" w:styleId="12">
    <w:name w:val="Body Text First Indent 2"/>
    <w:basedOn w:val="11"/>
    <w:unhideWhenUsed/>
    <w:qFormat/>
    <w:uiPriority w:val="99"/>
    <w:pPr>
      <w:ind w:firstLine="420" w:firstLineChars="200"/>
    </w:pPr>
  </w:style>
  <w:style w:type="paragraph" w:styleId="13">
    <w:name w:val="toc 5"/>
    <w:basedOn w:val="1"/>
    <w:next w:val="1"/>
    <w:qFormat/>
    <w:uiPriority w:val="39"/>
    <w:pPr>
      <w:ind w:left="1680" w:leftChars="800"/>
    </w:pPr>
  </w:style>
  <w:style w:type="paragraph" w:styleId="14">
    <w:name w:val="toc 3"/>
    <w:basedOn w:val="1"/>
    <w:next w:val="1"/>
    <w:qFormat/>
    <w:uiPriority w:val="39"/>
    <w:pPr>
      <w:tabs>
        <w:tab w:val="left" w:pos="1260"/>
        <w:tab w:val="right" w:leader="dot" w:pos="8630"/>
      </w:tabs>
      <w:ind w:left="840" w:leftChars="400"/>
    </w:pPr>
  </w:style>
  <w:style w:type="paragraph" w:styleId="15">
    <w:name w:val="Plain Text"/>
    <w:basedOn w:val="1"/>
    <w:next w:val="16"/>
    <w:link w:val="50"/>
    <w:qFormat/>
    <w:uiPriority w:val="0"/>
    <w:rPr>
      <w:rFonts w:ascii="宋体" w:hAnsi="Courier New"/>
      <w:szCs w:val="20"/>
    </w:rPr>
  </w:style>
  <w:style w:type="paragraph" w:styleId="16">
    <w:name w:val="toc 2"/>
    <w:basedOn w:val="1"/>
    <w:next w:val="1"/>
    <w:qFormat/>
    <w:uiPriority w:val="39"/>
    <w:pPr>
      <w:ind w:left="420" w:leftChars="200"/>
    </w:pPr>
  </w:style>
  <w:style w:type="paragraph" w:styleId="17">
    <w:name w:val="toc 8"/>
    <w:basedOn w:val="1"/>
    <w:next w:val="1"/>
    <w:qFormat/>
    <w:uiPriority w:val="39"/>
    <w:pPr>
      <w:ind w:left="2940" w:leftChars="1400"/>
    </w:pPr>
  </w:style>
  <w:style w:type="paragraph" w:styleId="18">
    <w:name w:val="Date"/>
    <w:basedOn w:val="1"/>
    <w:next w:val="1"/>
    <w:link w:val="51"/>
    <w:qFormat/>
    <w:uiPriority w:val="0"/>
    <w:pPr>
      <w:ind w:left="100" w:leftChars="2500"/>
    </w:pPr>
    <w:rPr>
      <w:rFonts w:ascii="仿宋_GB2312" w:hAnsi="宋体" w:eastAsia="仿宋_GB2312"/>
      <w:color w:val="000000"/>
      <w:sz w:val="24"/>
    </w:rPr>
  </w:style>
  <w:style w:type="paragraph" w:styleId="19">
    <w:name w:val="Body Text Indent 2"/>
    <w:basedOn w:val="1"/>
    <w:qFormat/>
    <w:uiPriority w:val="0"/>
    <w:pPr>
      <w:ind w:firstLine="480" w:firstLineChars="200"/>
    </w:pPr>
    <w:rPr>
      <w:rFonts w:ascii="仿宋_GB2312" w:eastAsia="仿宋_GB2312"/>
      <w:sz w:val="24"/>
    </w:rPr>
  </w:style>
  <w:style w:type="paragraph" w:styleId="20">
    <w:name w:val="Balloon Text"/>
    <w:basedOn w:val="1"/>
    <w:link w:val="52"/>
    <w:qFormat/>
    <w:uiPriority w:val="0"/>
    <w:rPr>
      <w:sz w:val="18"/>
      <w:szCs w:val="18"/>
    </w:rPr>
  </w:style>
  <w:style w:type="paragraph" w:styleId="21">
    <w:name w:val="footer"/>
    <w:basedOn w:val="1"/>
    <w:link w:val="5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2">
    <w:name w:val="header"/>
    <w:basedOn w:val="1"/>
    <w:link w:val="54"/>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39"/>
    <w:pPr>
      <w:ind w:left="1260" w:leftChars="600"/>
    </w:pPr>
  </w:style>
  <w:style w:type="paragraph" w:styleId="25">
    <w:name w:val="List"/>
    <w:basedOn w:val="1"/>
    <w:qFormat/>
    <w:uiPriority w:val="0"/>
    <w:pPr>
      <w:adjustRightInd w:val="0"/>
      <w:spacing w:line="312" w:lineRule="atLeast"/>
      <w:ind w:left="200" w:hanging="200" w:hangingChars="200"/>
      <w:textAlignment w:val="baseline"/>
    </w:pPr>
    <w:rPr>
      <w:rFonts w:eastAsia="仿宋"/>
      <w:kern w:val="0"/>
      <w:sz w:val="32"/>
      <w:szCs w:val="20"/>
    </w:rPr>
  </w:style>
  <w:style w:type="paragraph" w:styleId="26">
    <w:name w:val="footnote text"/>
    <w:basedOn w:val="1"/>
    <w:qFormat/>
    <w:uiPriority w:val="0"/>
    <w:pPr>
      <w:snapToGrid w:val="0"/>
      <w:jc w:val="left"/>
    </w:pPr>
    <w:rPr>
      <w:sz w:val="18"/>
    </w:rPr>
  </w:style>
  <w:style w:type="paragraph" w:styleId="27">
    <w:name w:val="toc 6"/>
    <w:basedOn w:val="1"/>
    <w:next w:val="1"/>
    <w:qFormat/>
    <w:uiPriority w:val="39"/>
    <w:pPr>
      <w:ind w:left="2100" w:leftChars="1000"/>
    </w:pPr>
  </w:style>
  <w:style w:type="paragraph" w:styleId="28">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9">
    <w:name w:val="index 7"/>
    <w:basedOn w:val="1"/>
    <w:next w:val="1"/>
    <w:qFormat/>
    <w:uiPriority w:val="0"/>
    <w:pPr>
      <w:autoSpaceDE/>
      <w:autoSpaceDN/>
      <w:adjustRightInd/>
      <w:ind w:left="1200" w:leftChars="1200"/>
    </w:pPr>
    <w:rPr>
      <w:color w:val="auto"/>
      <w:kern w:val="2"/>
      <w:szCs w:val="24"/>
    </w:rPr>
  </w:style>
  <w:style w:type="paragraph" w:styleId="30">
    <w:name w:val="toc 9"/>
    <w:basedOn w:val="1"/>
    <w:next w:val="1"/>
    <w:qFormat/>
    <w:uiPriority w:val="39"/>
    <w:pPr>
      <w:ind w:left="3360" w:leftChars="1600"/>
    </w:pPr>
  </w:style>
  <w:style w:type="paragraph" w:styleId="31">
    <w:name w:val="Normal (Web)"/>
    <w:basedOn w:val="1"/>
    <w:qFormat/>
    <w:uiPriority w:val="0"/>
    <w:pPr>
      <w:spacing w:before="75" w:after="75"/>
    </w:pPr>
    <w:rPr>
      <w:sz w:val="24"/>
    </w:rPr>
  </w:style>
  <w:style w:type="paragraph" w:styleId="32">
    <w:name w:val="index 1"/>
    <w:basedOn w:val="1"/>
    <w:next w:val="1"/>
    <w:semiHidden/>
    <w:qFormat/>
    <w:uiPriority w:val="0"/>
    <w:rPr>
      <w:szCs w:val="20"/>
    </w:rPr>
  </w:style>
  <w:style w:type="paragraph" w:styleId="33">
    <w:name w:val="annotation subject"/>
    <w:basedOn w:val="8"/>
    <w:next w:val="8"/>
    <w:link w:val="55"/>
    <w:qFormat/>
    <w:uiPriority w:val="0"/>
    <w:rPr>
      <w:b/>
      <w:bCs/>
    </w:rPr>
  </w:style>
  <w:style w:type="paragraph" w:styleId="34">
    <w:name w:val="Body Text First Indent"/>
    <w:basedOn w:val="10"/>
    <w:qFormat/>
    <w:uiPriority w:val="0"/>
    <w:pPr>
      <w:widowControl/>
      <w:spacing w:line="312" w:lineRule="auto"/>
      <w:ind w:firstLine="420" w:firstLineChars="100"/>
    </w:pPr>
    <w:rPr>
      <w:rFonts w:hint="eastAsia" w:ascii="微软雅黑" w:hAnsi="微软雅黑" w:eastAsia="微软雅黑" w:cs="微软雅黑"/>
      <w:szCs w:val="21"/>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b/>
    </w:rPr>
  </w:style>
  <w:style w:type="character" w:styleId="39">
    <w:name w:val="page number"/>
    <w:basedOn w:val="37"/>
    <w:qFormat/>
    <w:uiPriority w:val="0"/>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paragraph" w:customStyle="1" w:styleId="42">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character" w:customStyle="1" w:styleId="43">
    <w:name w:val="标题 3 Char"/>
    <w:link w:val="4"/>
    <w:qFormat/>
    <w:uiPriority w:val="0"/>
    <w:rPr>
      <w:rFonts w:ascii="宋体"/>
      <w:b/>
      <w:sz w:val="24"/>
      <w:u w:val="single"/>
    </w:rPr>
  </w:style>
  <w:style w:type="paragraph" w:customStyle="1" w:styleId="44">
    <w:name w:val="4正文"/>
    <w:basedOn w:val="1"/>
    <w:qFormat/>
    <w:uiPriority w:val="0"/>
    <w:pPr>
      <w:jc w:val="left"/>
    </w:pPr>
    <w:rPr>
      <w:szCs w:val="24"/>
    </w:rPr>
  </w:style>
  <w:style w:type="paragraph" w:customStyle="1" w:styleId="45">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46">
    <w:name w:val="标题 2 Char"/>
    <w:link w:val="3"/>
    <w:qFormat/>
    <w:uiPriority w:val="0"/>
    <w:rPr>
      <w:rFonts w:ascii="Arial" w:hAnsi="Arial" w:eastAsia="黑体"/>
      <w:b/>
      <w:sz w:val="30"/>
    </w:rPr>
  </w:style>
  <w:style w:type="character" w:customStyle="1" w:styleId="47">
    <w:name w:val="标题 1 Char"/>
    <w:link w:val="2"/>
    <w:qFormat/>
    <w:uiPriority w:val="0"/>
    <w:rPr>
      <w:rFonts w:ascii="宋体"/>
      <w:b/>
      <w:kern w:val="44"/>
      <w:sz w:val="32"/>
    </w:rPr>
  </w:style>
  <w:style w:type="character" w:customStyle="1" w:styleId="48">
    <w:name w:val="批注文字 Char"/>
    <w:link w:val="8"/>
    <w:qFormat/>
    <w:uiPriority w:val="99"/>
    <w:rPr>
      <w:kern w:val="2"/>
      <w:sz w:val="21"/>
      <w:szCs w:val="24"/>
    </w:rPr>
  </w:style>
  <w:style w:type="character" w:customStyle="1" w:styleId="49">
    <w:name w:val="正文文本 Char"/>
    <w:basedOn w:val="37"/>
    <w:link w:val="10"/>
    <w:qFormat/>
    <w:uiPriority w:val="0"/>
    <w:rPr>
      <w:rFonts w:ascii="宋体" w:hAnsi="宋体"/>
      <w:kern w:val="2"/>
      <w:sz w:val="24"/>
      <w:szCs w:val="24"/>
    </w:rPr>
  </w:style>
  <w:style w:type="character" w:customStyle="1" w:styleId="50">
    <w:name w:val="纯文本 Char"/>
    <w:link w:val="15"/>
    <w:qFormat/>
    <w:uiPriority w:val="0"/>
    <w:rPr>
      <w:rFonts w:ascii="宋体" w:hAnsi="Courier New"/>
      <w:kern w:val="2"/>
      <w:sz w:val="21"/>
    </w:rPr>
  </w:style>
  <w:style w:type="character" w:customStyle="1" w:styleId="51">
    <w:name w:val="日期 Char"/>
    <w:link w:val="18"/>
    <w:qFormat/>
    <w:uiPriority w:val="0"/>
    <w:rPr>
      <w:rFonts w:ascii="仿宋_GB2312" w:hAnsi="宋体" w:eastAsia="仿宋_GB2312"/>
      <w:color w:val="000000"/>
      <w:kern w:val="2"/>
      <w:sz w:val="24"/>
      <w:szCs w:val="24"/>
    </w:rPr>
  </w:style>
  <w:style w:type="character" w:customStyle="1" w:styleId="52">
    <w:name w:val="批注框文本 Char"/>
    <w:link w:val="20"/>
    <w:qFormat/>
    <w:uiPriority w:val="0"/>
    <w:rPr>
      <w:kern w:val="2"/>
      <w:sz w:val="18"/>
      <w:szCs w:val="18"/>
    </w:rPr>
  </w:style>
  <w:style w:type="character" w:customStyle="1" w:styleId="53">
    <w:name w:val="页脚 Char"/>
    <w:link w:val="21"/>
    <w:qFormat/>
    <w:uiPriority w:val="99"/>
    <w:rPr>
      <w:rFonts w:ascii="宋体"/>
      <w:sz w:val="18"/>
    </w:rPr>
  </w:style>
  <w:style w:type="character" w:customStyle="1" w:styleId="54">
    <w:name w:val="页眉 Char"/>
    <w:link w:val="22"/>
    <w:qFormat/>
    <w:uiPriority w:val="0"/>
    <w:rPr>
      <w:kern w:val="2"/>
      <w:sz w:val="18"/>
      <w:szCs w:val="18"/>
    </w:rPr>
  </w:style>
  <w:style w:type="character" w:customStyle="1" w:styleId="55">
    <w:name w:val="批注主题 Char"/>
    <w:link w:val="33"/>
    <w:qFormat/>
    <w:uiPriority w:val="0"/>
    <w:rPr>
      <w:b/>
      <w:bCs/>
      <w:kern w:val="2"/>
      <w:sz w:val="21"/>
      <w:szCs w:val="24"/>
    </w:rPr>
  </w:style>
  <w:style w:type="paragraph" w:customStyle="1" w:styleId="56">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character" w:customStyle="1" w:styleId="57">
    <w:name w:val="bookmark-item"/>
    <w:basedOn w:val="37"/>
    <w:qFormat/>
    <w:uiPriority w:val="0"/>
  </w:style>
  <w:style w:type="character" w:customStyle="1" w:styleId="58">
    <w:name w:val="font31"/>
    <w:basedOn w:val="37"/>
    <w:qFormat/>
    <w:uiPriority w:val="0"/>
    <w:rPr>
      <w:rFonts w:hint="eastAsia" w:ascii="宋体" w:hAnsi="宋体" w:eastAsia="宋体" w:cs="宋体"/>
      <w:color w:val="000000"/>
      <w:sz w:val="22"/>
      <w:szCs w:val="22"/>
      <w:u w:val="none"/>
    </w:rPr>
  </w:style>
  <w:style w:type="character" w:customStyle="1" w:styleId="59">
    <w:name w:val="批注框文本 Char1"/>
    <w:semiHidden/>
    <w:qFormat/>
    <w:uiPriority w:val="99"/>
    <w:rPr>
      <w:kern w:val="2"/>
      <w:sz w:val="18"/>
      <w:szCs w:val="18"/>
    </w:rPr>
  </w:style>
  <w:style w:type="character" w:customStyle="1" w:styleId="60">
    <w:name w:val="页眉 Char1"/>
    <w:semiHidden/>
    <w:qFormat/>
    <w:uiPriority w:val="99"/>
    <w:rPr>
      <w:kern w:val="2"/>
      <w:sz w:val="18"/>
      <w:szCs w:val="18"/>
    </w:rPr>
  </w:style>
  <w:style w:type="character" w:customStyle="1" w:styleId="61">
    <w:name w:val="纯文本 Char1"/>
    <w:link w:val="62"/>
    <w:qFormat/>
    <w:uiPriority w:val="0"/>
    <w:rPr>
      <w:rFonts w:ascii="宋体" w:hAnsi="Courier New"/>
    </w:rPr>
  </w:style>
  <w:style w:type="paragraph" w:customStyle="1" w:styleId="62">
    <w:name w:val="纯文本1"/>
    <w:basedOn w:val="1"/>
    <w:link w:val="61"/>
    <w:qFormat/>
    <w:uiPriority w:val="0"/>
    <w:rPr>
      <w:rFonts w:ascii="宋体" w:hAnsi="Courier New"/>
      <w:kern w:val="0"/>
      <w:sz w:val="20"/>
      <w:szCs w:val="20"/>
    </w:rPr>
  </w:style>
  <w:style w:type="character" w:customStyle="1" w:styleId="63">
    <w:name w:val="正文缩进 Char1"/>
    <w:link w:val="64"/>
    <w:qFormat/>
    <w:uiPriority w:val="0"/>
    <w:rPr>
      <w:rFonts w:ascii="宋体"/>
      <w:sz w:val="24"/>
    </w:rPr>
  </w:style>
  <w:style w:type="paragraph" w:customStyle="1" w:styleId="64">
    <w:name w:val="正文缩进1"/>
    <w:basedOn w:val="1"/>
    <w:link w:val="63"/>
    <w:qFormat/>
    <w:uiPriority w:val="0"/>
    <w:pPr>
      <w:autoSpaceDE w:val="0"/>
      <w:autoSpaceDN w:val="0"/>
      <w:adjustRightInd w:val="0"/>
      <w:ind w:firstLine="420"/>
      <w:jc w:val="left"/>
    </w:pPr>
    <w:rPr>
      <w:rFonts w:ascii="宋体"/>
      <w:kern w:val="0"/>
      <w:sz w:val="24"/>
      <w:szCs w:val="20"/>
    </w:rPr>
  </w:style>
  <w:style w:type="character" w:customStyle="1" w:styleId="65">
    <w:name w:val="font21"/>
    <w:basedOn w:val="37"/>
    <w:qFormat/>
    <w:uiPriority w:val="0"/>
    <w:rPr>
      <w:rFonts w:hint="eastAsia" w:ascii="宋体" w:hAnsi="宋体" w:eastAsia="宋体" w:cs="宋体"/>
      <w:b/>
      <w:color w:val="000000"/>
      <w:sz w:val="20"/>
      <w:szCs w:val="20"/>
      <w:u w:val="none"/>
    </w:rPr>
  </w:style>
  <w:style w:type="character" w:customStyle="1" w:styleId="66">
    <w:name w:val="批注文字 Char1"/>
    <w:semiHidden/>
    <w:qFormat/>
    <w:uiPriority w:val="99"/>
    <w:rPr>
      <w:kern w:val="2"/>
      <w:sz w:val="21"/>
      <w:szCs w:val="24"/>
    </w:rPr>
  </w:style>
  <w:style w:type="character" w:customStyle="1" w:styleId="67">
    <w:name w:val="批注主题 Char1"/>
    <w:semiHidden/>
    <w:qFormat/>
    <w:uiPriority w:val="99"/>
    <w:rPr>
      <w:b/>
      <w:bCs/>
      <w:kern w:val="2"/>
      <w:sz w:val="21"/>
      <w:szCs w:val="24"/>
    </w:rPr>
  </w:style>
  <w:style w:type="paragraph" w:styleId="68">
    <w:name w:val="List Paragraph"/>
    <w:basedOn w:val="1"/>
    <w:qFormat/>
    <w:uiPriority w:val="34"/>
    <w:pPr>
      <w:widowControl/>
      <w:ind w:firstLine="420" w:firstLineChars="200"/>
      <w:jc w:val="left"/>
    </w:pPr>
    <w:rPr>
      <w:kern w:val="0"/>
      <w:sz w:val="24"/>
    </w:rPr>
  </w:style>
  <w:style w:type="paragraph" w:customStyle="1" w:styleId="69">
    <w:name w:val="列出段落1"/>
    <w:basedOn w:val="1"/>
    <w:qFormat/>
    <w:uiPriority w:val="34"/>
    <w:pPr>
      <w:widowControl/>
      <w:ind w:firstLine="420" w:firstLineChars="200"/>
      <w:jc w:val="left"/>
    </w:pPr>
    <w:rPr>
      <w:kern w:val="0"/>
      <w:sz w:val="24"/>
    </w:rPr>
  </w:style>
  <w:style w:type="paragraph" w:customStyle="1" w:styleId="70">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71">
    <w:name w:val="Char"/>
    <w:basedOn w:val="1"/>
    <w:qFormat/>
    <w:uiPriority w:val="0"/>
    <w:pPr>
      <w:tabs>
        <w:tab w:val="left" w:pos="360"/>
      </w:tabs>
    </w:pPr>
    <w:rPr>
      <w:sz w:val="24"/>
    </w:rPr>
  </w:style>
  <w:style w:type="paragraph" w:customStyle="1" w:styleId="72">
    <w:name w:val="Style1"/>
    <w:basedOn w:val="1"/>
    <w:qFormat/>
    <w:uiPriority w:val="0"/>
    <w:pPr>
      <w:widowControl/>
      <w:tabs>
        <w:tab w:val="left" w:pos="-720"/>
      </w:tabs>
    </w:pPr>
    <w:rPr>
      <w:rFonts w:ascii="Times New Roman" w:hAnsi="Times New Roman" w:eastAsia="宋体" w:cs="Times New Roman"/>
      <w:spacing w:val="-3"/>
      <w:sz w:val="24"/>
      <w:szCs w:val="20"/>
      <w:lang w:val="en-AU"/>
    </w:rPr>
  </w:style>
  <w:style w:type="paragraph" w:customStyle="1" w:styleId="73">
    <w:name w:val="Table Paragraph"/>
    <w:basedOn w:val="1"/>
    <w:qFormat/>
    <w:uiPriority w:val="1"/>
    <w:rPr>
      <w:rFonts w:ascii="宋体" w:hAnsi="宋体" w:eastAsia="宋体" w:cs="宋体"/>
      <w:lang w:val="zh-CN" w:eastAsia="zh-CN" w:bidi="zh-CN"/>
    </w:rPr>
  </w:style>
  <w:style w:type="paragraph" w:customStyle="1" w:styleId="74">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75">
    <w:name w:val="Picture caption|1"/>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paragraph" w:customStyle="1" w:styleId="76">
    <w:name w:val="索引 11"/>
    <w:basedOn w:val="1"/>
    <w:next w:val="1"/>
    <w:qFormat/>
    <w:uiPriority w:val="0"/>
    <w:pPr>
      <w:spacing w:line="360" w:lineRule="auto"/>
    </w:pPr>
    <w:rPr>
      <w:rFonts w:ascii="仿宋_GB2312" w:eastAsia="仿宋_GB2312"/>
      <w:sz w:val="24"/>
      <w:szCs w:val="20"/>
    </w:rPr>
  </w:style>
  <w:style w:type="table" w:customStyle="1" w:styleId="77">
    <w:name w:val="Table Normal"/>
    <w:unhideWhenUsed/>
    <w:qFormat/>
    <w:uiPriority w:val="2"/>
    <w:rPr>
      <w:lang w:val="en-US" w:eastAsia="zh-CN" w:bidi="ar-SA"/>
    </w:rPr>
    <w:tblPr>
      <w:tblCellMar>
        <w:top w:w="0" w:type="dxa"/>
        <w:left w:w="0" w:type="dxa"/>
        <w:bottom w:w="0" w:type="dxa"/>
        <w:right w:w="0" w:type="dxa"/>
      </w:tblCellMar>
    </w:tblPr>
  </w:style>
  <w:style w:type="character" w:customStyle="1" w:styleId="78">
    <w:name w:val="font51"/>
    <w:basedOn w:val="37"/>
    <w:qFormat/>
    <w:uiPriority w:val="0"/>
    <w:rPr>
      <w:rFonts w:hint="eastAsia" w:ascii="宋体" w:hAnsi="宋体" w:eastAsia="宋体" w:cs="宋体"/>
      <w:color w:val="000000"/>
      <w:sz w:val="20"/>
      <w:szCs w:val="20"/>
      <w:u w:val="none"/>
    </w:rPr>
  </w:style>
  <w:style w:type="character" w:customStyle="1" w:styleId="79">
    <w:name w:val="font11"/>
    <w:basedOn w:val="37"/>
    <w:qFormat/>
    <w:uiPriority w:val="0"/>
    <w:rPr>
      <w:rFonts w:hint="default" w:ascii="Times New Roman" w:hAnsi="Times New Roman" w:cs="Times New Roman"/>
      <w:color w:val="000000"/>
      <w:sz w:val="20"/>
      <w:szCs w:val="20"/>
      <w:u w:val="none"/>
    </w:rPr>
  </w:style>
  <w:style w:type="character" w:customStyle="1" w:styleId="80">
    <w:name w:val="font71"/>
    <w:basedOn w:val="37"/>
    <w:qFormat/>
    <w:uiPriority w:val="0"/>
    <w:rPr>
      <w:rFonts w:hint="eastAsia" w:ascii="宋体" w:hAnsi="宋体" w:eastAsia="宋体" w:cs="宋体"/>
      <w:b/>
      <w:bCs/>
      <w:color w:val="000000"/>
      <w:sz w:val="24"/>
      <w:szCs w:val="24"/>
      <w:u w:val="none"/>
    </w:rPr>
  </w:style>
  <w:style w:type="character" w:customStyle="1" w:styleId="81">
    <w:name w:val="font121"/>
    <w:basedOn w:val="37"/>
    <w:qFormat/>
    <w:uiPriority w:val="0"/>
    <w:rPr>
      <w:rFonts w:hint="default" w:ascii="Times New Roman" w:hAnsi="Times New Roman" w:cs="Times New Roman"/>
      <w:b/>
      <w:bCs/>
      <w:color w:val="000000"/>
      <w:sz w:val="24"/>
      <w:szCs w:val="24"/>
      <w:u w:val="none"/>
    </w:rPr>
  </w:style>
  <w:style w:type="character" w:customStyle="1" w:styleId="82">
    <w:name w:val="font41"/>
    <w:basedOn w:val="37"/>
    <w:qFormat/>
    <w:uiPriority w:val="0"/>
    <w:rPr>
      <w:rFonts w:hint="eastAsia" w:ascii="宋体" w:hAnsi="宋体" w:eastAsia="宋体" w:cs="宋体"/>
      <w:color w:val="000000"/>
      <w:sz w:val="20"/>
      <w:szCs w:val="20"/>
      <w:u w:val="none"/>
    </w:rPr>
  </w:style>
  <w:style w:type="character" w:customStyle="1" w:styleId="83">
    <w:name w:val="font01"/>
    <w:basedOn w:val="37"/>
    <w:qFormat/>
    <w:uiPriority w:val="0"/>
    <w:rPr>
      <w:rFonts w:hint="default" w:ascii="Times New Roman" w:hAnsi="Times New Roman" w:cs="Times New Roman"/>
      <w:color w:val="000000"/>
      <w:sz w:val="20"/>
      <w:szCs w:val="20"/>
      <w:u w:val="none"/>
    </w:rPr>
  </w:style>
  <w:style w:type="character" w:customStyle="1" w:styleId="84">
    <w:name w:val="font91"/>
    <w:basedOn w:val="37"/>
    <w:qFormat/>
    <w:uiPriority w:val="0"/>
    <w:rPr>
      <w:rFonts w:hint="default" w:ascii="Times New Roman" w:hAnsi="Times New Roman" w:cs="Times New Roman"/>
      <w:b/>
      <w:bCs/>
      <w:color w:val="000000"/>
      <w:sz w:val="24"/>
      <w:szCs w:val="24"/>
      <w:u w:val="none"/>
    </w:rPr>
  </w:style>
  <w:style w:type="paragraph" w:customStyle="1" w:styleId="85">
    <w:name w:val="普通(网站)1"/>
    <w:basedOn w:val="1"/>
    <w:qFormat/>
    <w:uiPriority w:val="2"/>
    <w:pPr>
      <w:spacing w:before="75" w:after="75"/>
      <w:ind w:left="0" w:right="0" w:firstLine="0"/>
      <w:jc w:val="left"/>
    </w:pPr>
    <w:rPr>
      <w:kern w:val="0"/>
      <w:sz w:val="24"/>
      <w:lang w:val="en-US" w:eastAsia="zh-CN" w:bidi="ar"/>
    </w:rPr>
  </w:style>
  <w:style w:type="paragraph" w:customStyle="1" w:styleId="86">
    <w:name w:val="Table Text"/>
    <w:basedOn w:val="1"/>
    <w:semiHidden/>
    <w:qFormat/>
    <w:uiPriority w:val="0"/>
    <w:rPr>
      <w:rFonts w:ascii="宋体" w:hAnsi="宋体" w:eastAsia="宋体" w:cs="宋体"/>
      <w:sz w:val="20"/>
      <w:szCs w:val="20"/>
    </w:rPr>
  </w:style>
  <w:style w:type="character" w:customStyle="1" w:styleId="87">
    <w:name w:val="NormalCharacter"/>
    <w:autoRedefine/>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113</Pages>
  <Words>19367</Words>
  <Characters>20192</Characters>
  <Lines>374</Lines>
  <Paragraphs>105</Paragraphs>
  <TotalTime>21</TotalTime>
  <ScaleCrop>false</ScaleCrop>
  <LinksUpToDate>false</LinksUpToDate>
  <CharactersWithSpaces>23420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2018-08-15T03:05:00Z</dcterms:created>
  <dc:creator>USER-</dc:creator>
  <cp:lastModifiedBy>The stranger who lost</cp:lastModifiedBy>
  <cp:lastPrinted>2025-04-28T09:52:00Z</cp:lastPrinted>
  <dcterms:modified xsi:type="dcterms:W3CDTF">2026-05-15T11:51:19Z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33071F0674974680BC2F7418BD47C96F_13</vt:lpwstr>
  </property>
  <property fmtid="{D5CDD505-2E9C-101B-9397-08002B2CF9AE}" pid="4" name="KSOTemplateDocerSaveRecord">
    <vt:lpwstr>eyJoZGlkIjoiZDg1YTc4Y2NlNzg1MTJhMGFkOTBiZmEyNzI4ODQ3OTciLCJ1c2VySWQiOiI0MzU1NjQyMTIifQ==</vt:lpwstr>
  </property>
</Properties>
</file>