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8CE38">
      <w:pPr>
        <w:spacing w:line="400" w:lineRule="exact"/>
        <w:ind w:firstLine="482" w:firstLineChars="200"/>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一、工作背景</w:t>
      </w:r>
    </w:p>
    <w:p w14:paraId="6E29F6A0">
      <w:pPr>
        <w:spacing w:line="400" w:lineRule="exact"/>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成都市青白江区大弯街道作为成都市青白江区的政治、经济、文化中心及青白江区委、青白江区政府所在地，辖区面积约14.91平方公里，服务管理人口超30万，下辖18个社区，是全区城市化程度最高、人口最密集、治理结构最复杂的区域。街道历经老工业基地转型，正着力发展楼宇经济、商贸物流、现代服务业及生态旅游，治理场景兼具“老旧工业生活区改造更新”“新兴城市功能区精细管理”和“大型生态公园周边社区服务”等多重挑战与机遇。街道虽已建成“省级示范便民服务中心”，但在“微网实格”治理深化过程中，仍面临如何在超大街道尺度下实现治理资源均衡配置、跨社区治理经验高效流转、多元主体（含大量驻区单位）协同共治等深层课题。为破解这些课题，并在全区发挥中心城区的示范引领作用，大弯街道拟建设一个立足街道全域、辐射带动各社区、兼具统筹协调与实战支持功能的治理支持中心，探索超大型街道层面“基层治理现代化”的有效路径。</w:t>
      </w:r>
    </w:p>
    <w:p w14:paraId="4EAF13A9">
      <w:pPr>
        <w:spacing w:line="400" w:lineRule="exact"/>
        <w:ind w:firstLine="482" w:firstLineChars="200"/>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★二、总体目标</w:t>
      </w:r>
    </w:p>
    <w:p w14:paraId="144B7A4C">
      <w:pPr>
        <w:spacing w:line="400" w:lineRule="exact"/>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依托青白江区级专项资金支持，在大弯街道层面建立一个枢纽型、赋能型、研究型的“青治·小区（网格）治理支持中心”。项目紧密结合大弯街道作为区域中心的核心地位与复杂构成，致力于实现三大跃升：一是从“社区自发探索”向“街道系统规划”跃升，形成覆盖18个社区、标准统一且鼓励特色的支持体系；二是从“经验零散传递”向“知识系统沉淀与赋能”跃升，构建基于本街道大量实践案例的课程、工具与智库；三是从“单一问题解决”向“治理生态营造”跃升，强化街道层级整合辖区党政机关、企事业单位、社会资源的能力，构建更广泛的治理共同体。最终目标是形成一套可复制、可推广的“中心城区街道治理支持中心建设与运营标准”，输出“大弯经验”。</w:t>
      </w:r>
    </w:p>
    <w:p w14:paraId="60BDBB5C">
      <w:pPr>
        <w:spacing w:line="400" w:lineRule="exact"/>
        <w:ind w:firstLine="482" w:firstLineChars="200"/>
        <w:rPr>
          <w:rFonts w:hint="default" w:ascii="宋体" w:hAnsi="宋体" w:eastAsia="宋体" w:cs="宋体"/>
          <w:b/>
          <w:bCs/>
          <w:color w:val="000000"/>
          <w:kern w:val="2"/>
          <w:sz w:val="24"/>
          <w:szCs w:val="24"/>
          <w:highlight w:val="none"/>
          <w:lang w:val="en-US" w:eastAsia="zh-CN" w:bidi="ar-SA"/>
        </w:rPr>
      </w:pPr>
      <w:bookmarkStart w:id="0" w:name="_Toc4322"/>
      <w:r>
        <w:rPr>
          <w:rFonts w:hint="eastAsia" w:ascii="宋体" w:hAnsi="宋体" w:eastAsia="宋体" w:cs="宋体"/>
          <w:b/>
          <w:bCs/>
          <w:color w:val="000000"/>
          <w:kern w:val="2"/>
          <w:sz w:val="24"/>
          <w:szCs w:val="24"/>
          <w:highlight w:val="none"/>
          <w:lang w:val="en-US" w:eastAsia="zh-CN" w:bidi="ar-SA"/>
        </w:rPr>
        <w:t>★</w:t>
      </w:r>
      <w:bookmarkEnd w:id="0"/>
      <w:r>
        <w:rPr>
          <w:rFonts w:hint="eastAsia" w:ascii="宋体" w:hAnsi="宋体" w:eastAsia="宋体" w:cs="宋体"/>
          <w:b/>
          <w:bCs/>
          <w:color w:val="000000"/>
          <w:kern w:val="2"/>
          <w:sz w:val="24"/>
          <w:szCs w:val="24"/>
          <w:highlight w:val="none"/>
          <w:lang w:val="en-US" w:eastAsia="zh-CN" w:bidi="ar-SA"/>
        </w:rPr>
        <w:t>三、服务内容及要求</w:t>
      </w:r>
    </w:p>
    <w:p w14:paraId="08A32638">
      <w:pPr>
        <w:spacing w:line="400" w:lineRule="exact"/>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（一）支持中心规范化运营（街道枢纽定位）：建立中心内部制度与“五库清单”，突出街道层级的“中枢”功能。</w:t>
      </w:r>
    </w:p>
    <w:p w14:paraId="2F1BBDA3">
      <w:pPr>
        <w:spacing w:line="400" w:lineRule="exact"/>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1、建立“街道－社区”两级支持网络联动机制，中心负责标准制定、资源统筹、复杂案例会诊，各社区站点负责落地执行与信息反馈。</w:t>
      </w:r>
    </w:p>
    <w:p w14:paraId="0D11BFB1">
      <w:pPr>
        <w:spacing w:line="400" w:lineRule="exact"/>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2、重点建设“街道级资源统筹库”与“跨社区案例共享库”，系统整合辖区内区委区政府各部门资源、川化等企业资源，以及各个社区的特色资源与成功案例。</w:t>
      </w:r>
    </w:p>
    <w:p w14:paraId="3BB6375F">
      <w:pPr>
        <w:spacing w:line="400" w:lineRule="exact"/>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建立“季度治理联席会”制度，邀请区级部门、驻区单位、人大代表、政协委员、社区书记、网格代表共同参与，协商解决跨社区、跨部门的治理难题。确保“五库”动态条目不少于100条，且街道级战略性资源入库率达100%。</w:t>
      </w:r>
    </w:p>
    <w:p w14:paraId="22F589C5">
      <w:pPr>
        <w:spacing w:line="400" w:lineRule="exact"/>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（二）网格（小区）项目全流程督导（全域分类覆盖）：督导工作将覆盖街道内所有典型治理类型，年度督导不少于30次，形成1份小区分类治理指导手册。</w:t>
      </w:r>
    </w:p>
    <w:p w14:paraId="5CF18033">
      <w:pPr>
        <w:spacing w:line="400" w:lineRule="exact"/>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1、“老旧工业社区转型”项目督导：聚焦原川化、攀成钢等企业生活区，督导其物业社会化转型、公共空间再造、退休职工社会融入等项目。</w:t>
      </w:r>
    </w:p>
    <w:p w14:paraId="0229F6F8">
      <w:pPr>
        <w:spacing w:line="400" w:lineRule="exact"/>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2、“新兴城市社区治理”项目督导：针对新建商品房社区和高档商住区，督导其智慧安防建设、高品质物业服务、社群文化建设、业委会能力建设等项目。</w:t>
      </w:r>
    </w:p>
    <w:p w14:paraId="15D70F9E">
      <w:pPr>
        <w:spacing w:line="400" w:lineRule="exact"/>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3、“公园城市社区融合”项目督导：围绕凤凰湖湿地公园周边社区，督导其“文旅商住”功能融合、节假日大客流应对、生态环境共护等项目。</w:t>
      </w:r>
    </w:p>
    <w:p w14:paraId="5A0FFFDF">
      <w:pPr>
        <w:spacing w:line="400" w:lineRule="exact"/>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4、“中心城区复杂网格”项目督导：针对商业密集区、交通枢纽周边网格，督导其街区治理、流动商贩管理、安全隐患排查等项目。</w:t>
      </w:r>
    </w:p>
    <w:p w14:paraId="29A51C1F">
      <w:pPr>
        <w:spacing w:line="400" w:lineRule="exact"/>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（三）网格队伍赋能培训（体系化分层培养）：构建“通识+专业+领军”三级赋能体系，完成不少于5期、不少于500人次的培训，制作视频课程不少于5讲，制作系列反映中心城区治理特点的宣传产品。</w:t>
      </w:r>
    </w:p>
    <w:p w14:paraId="204D62B8">
      <w:pPr>
        <w:spacing w:line="400" w:lineRule="exact"/>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1、“通识能力”基础培训：面向全体网格员，进行基础能力提升培训。</w:t>
      </w:r>
    </w:p>
    <w:p w14:paraId="73871AE3">
      <w:pPr>
        <w:spacing w:line="400" w:lineRule="exact"/>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2、“专业领域”深度培训：针对不同类型社区网格员，开设“老旧小区更新政策与实践”“商务楼宇网格化管理”“公园社区服务与应急”等专题班。</w:t>
      </w:r>
    </w:p>
    <w:p w14:paraId="48CB4A5E">
      <w:pPr>
        <w:spacing w:line="400" w:lineRule="exact"/>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3、编制《实务指导手册》作为本土教材不少于500册，完成宣传海报、短视频等宣传产品不少于10个。</w:t>
      </w:r>
    </w:p>
    <w:p w14:paraId="6B4709F4">
      <w:pPr>
        <w:spacing w:line="400" w:lineRule="exact"/>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四）深入开展调查研究（前瞻性政策研发）：发挥街道作为治理实践“富矿”和接近决策层的优势，开展高水平研究。规定动作外，重点开展：例如：①《超大型街道“微网实格”治理效能评估与优化路径研究》；②《中心城区存量空间更新与社区治理耦合机制研究——以大弯街道为例》；③《党建引领下驻区单位参与基层治理的制度化渠道研究》。推动研究成果直接转化为街道层面的工作指引或政策建议。探索建立与大弯街道人口规模、复杂程度相匹配的“微网格员分级分类绩效评估体系”，完成1篇专题调研报告，形成不少于2篇工作动态报告，探索建立1套微网格员绩效评估体系，形成1份信义治理导则。</w:t>
      </w:r>
    </w:p>
    <w:p w14:paraId="301C23CE">
      <w:pPr>
        <w:spacing w:line="400" w:lineRule="exact"/>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五）“微光成炬·幸福满格”微创投及典型案例评选（品牌化全域推广）：将区级活动升级为街道品牌。微创投设立“街道统筹基金”，重点资助具有跨社区影响、创新性强、示范效应好的项目，如“街区共治”“校地融合”“智慧养老联合体”等。举办年度“大弯街道治理创新论坛”进行发布与研讨。确保服务期内支持不少于5个特色鲜明的微创投项目，收集不少于50个来自一线、代表街道最高水平的典型案例，并辑录1份案例集。</w:t>
      </w:r>
    </w:p>
    <w:p w14:paraId="7EFCD8C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四、其它要求</w:t>
      </w:r>
    </w:p>
    <w:p w14:paraId="16ED2DC1">
      <w:pPr>
        <w:pStyle w:val="4"/>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、供应商应按采购人要求，按时完成工作内容。必要时须按照采购人要求在规定时间、指定地点完成相关任务。</w:t>
      </w:r>
    </w:p>
    <w:p w14:paraId="290DF904">
      <w:pPr>
        <w:pStyle w:val="4"/>
        <w:spacing w:line="360" w:lineRule="auto"/>
        <w:rPr>
          <w:rFonts w:hint="eastAsia" w:ascii="宋体" w:hAnsi="宋体" w:eastAsia="宋体" w:cs="宋体"/>
          <w:color w:val="000000"/>
          <w:sz w:val="24"/>
          <w:szCs w:val="24"/>
          <w:highlight w:val="none"/>
        </w:rPr>
      </w:pPr>
      <w:r>
        <w:rPr>
          <w:rFonts w:hint="eastAsia" w:ascii="宋体" w:hAnsi="宋体" w:eastAsia="宋体" w:cs="宋体"/>
          <w:bCs/>
          <w:color w:val="000000"/>
          <w:sz w:val="24"/>
          <w:highlight w:val="none"/>
          <w:lang w:val="en-US" w:eastAsia="zh-CN"/>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供应商在项目实施过程中，必须严格遵守采购人的相关管理制度。项目成果产权归采购人所有，不得将成果泄露给任何第三方。如有泄密、不遵守采购人的相关管理制度等不法行为，由此造成的一切后果及法律责任由供应商承担</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（供应商须在电子响应文件中针对本项要求单独提供承诺函并进行电子签章，未按要求单独提供承诺函的，其响应文件按无效处理）</w:t>
      </w:r>
    </w:p>
    <w:p w14:paraId="5D8AB1EF">
      <w:pPr>
        <w:pStyle w:val="4"/>
        <w:spacing w:line="360" w:lineRule="auto"/>
        <w:rPr>
          <w:rFonts w:hint="eastAsia" w:ascii="宋体" w:hAnsi="宋体" w:eastAsia="宋体" w:cs="宋体"/>
          <w:color w:val="000000"/>
          <w:sz w:val="24"/>
          <w:szCs w:val="24"/>
          <w:highlight w:val="none"/>
        </w:rPr>
      </w:pPr>
      <w:r>
        <w:rPr>
          <w:rFonts w:hint="eastAsia" w:ascii="宋体" w:hAnsi="宋体" w:eastAsia="宋体" w:cs="宋体"/>
          <w:bCs/>
          <w:color w:val="000000"/>
          <w:sz w:val="24"/>
          <w:highlight w:val="none"/>
          <w:lang w:val="en-US" w:eastAsia="zh-CN"/>
        </w:rPr>
        <w:t>★3</w:t>
      </w:r>
      <w:r>
        <w:rPr>
          <w:rFonts w:hint="eastAsia" w:ascii="宋体" w:hAnsi="宋体" w:eastAsia="宋体" w:cs="宋体"/>
          <w:color w:val="000000"/>
          <w:sz w:val="24"/>
          <w:szCs w:val="24"/>
          <w:highlight w:val="none"/>
        </w:rPr>
        <w:t>、项目执行过程中，供应商违反磋商文件和合同规定的，采购人有权要求供应商退回项目经费，由此带来的一切后果由供应商承担</w:t>
      </w:r>
      <w:r>
        <w:rPr>
          <w:rFonts w:hint="eastAsia" w:ascii="宋体" w:hAnsi="宋体" w:eastAsia="宋体" w:cs="宋体"/>
          <w:b/>
          <w:bCs/>
          <w:color w:val="000000"/>
          <w:sz w:val="24"/>
          <w:szCs w:val="24"/>
          <w:highlight w:val="none"/>
        </w:rPr>
        <w:t>。（供应商须在电子响应文件中针对本项要求单独提供承诺函并进行电子签章，未按要求单独提供承诺函的，其响应文件按无效处理）</w:t>
      </w:r>
    </w:p>
    <w:p w14:paraId="47C8F035">
      <w:pPr>
        <w:pStyle w:val="4"/>
        <w:spacing w:line="360" w:lineRule="auto"/>
        <w:rPr>
          <w:rFonts w:hint="eastAsia" w:ascii="宋体" w:hAnsi="宋体" w:eastAsia="宋体" w:cs="宋体"/>
          <w:b/>
          <w:bCs/>
          <w:color w:val="000000"/>
          <w:sz w:val="24"/>
          <w:szCs w:val="24"/>
          <w:highlight w:val="none"/>
        </w:rPr>
      </w:pPr>
      <w:r>
        <w:rPr>
          <w:rFonts w:hint="eastAsia" w:ascii="宋体" w:hAnsi="宋体" w:eastAsia="宋体" w:cs="宋体"/>
          <w:bCs/>
          <w:color w:val="000000"/>
          <w:sz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供应商需承诺若中标（成交）后，服务过程中若因成交供应商的责任出现安全事故其责任和损失由成交供应商自行承担，采购人不承担任何责任</w:t>
      </w:r>
      <w:r>
        <w:rPr>
          <w:rFonts w:hint="eastAsia" w:ascii="宋体" w:hAnsi="宋体" w:eastAsia="宋体" w:cs="宋体"/>
          <w:b/>
          <w:bCs/>
          <w:color w:val="000000"/>
          <w:sz w:val="24"/>
          <w:szCs w:val="24"/>
          <w:highlight w:val="none"/>
          <w:lang w:val="en-US" w:eastAsia="zh-CN"/>
        </w:rPr>
        <w:t>。</w:t>
      </w:r>
      <w:r>
        <w:rPr>
          <w:rFonts w:hint="eastAsia" w:ascii="宋体" w:hAnsi="宋体" w:eastAsia="宋体" w:cs="宋体"/>
          <w:b/>
          <w:bCs/>
          <w:color w:val="000000"/>
          <w:sz w:val="24"/>
          <w:szCs w:val="24"/>
          <w:highlight w:val="none"/>
        </w:rPr>
        <w:t>（供应商须在电子响应文件中针对本项要求单独提供承诺函并进行电子签章，未按要求单独提供承诺函的，其响应文件按无效处理）</w:t>
      </w:r>
    </w:p>
    <w:p w14:paraId="0D76155B">
      <w:pPr>
        <w:pStyle w:val="4"/>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5、供应商针对本项目编制项目理解分析，包含：①对本项目的理解；②本项目重难点分析；③重难点解决方案。</w:t>
      </w:r>
    </w:p>
    <w:p w14:paraId="55275E3C">
      <w:pPr>
        <w:pStyle w:val="4"/>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6、供应商针对本项目编制</w:t>
      </w:r>
      <w:r>
        <w:rPr>
          <w:rFonts w:hint="eastAsia" w:ascii="宋体" w:hAnsi="宋体" w:eastAsia="宋体" w:cs="宋体"/>
          <w:color w:val="000000"/>
          <w:sz w:val="24"/>
          <w:szCs w:val="24"/>
          <w:highlight w:val="none"/>
          <w:lang w:val="zh-TW" w:eastAsia="zh-CN"/>
        </w:rPr>
        <w:t>服务方案</w:t>
      </w:r>
      <w:r>
        <w:rPr>
          <w:rFonts w:hint="eastAsia" w:ascii="宋体" w:hAnsi="宋体" w:eastAsia="宋体" w:cs="宋体"/>
          <w:color w:val="000000"/>
          <w:sz w:val="24"/>
          <w:szCs w:val="24"/>
          <w:highlight w:val="none"/>
          <w:lang w:val="en-US" w:eastAsia="zh-CN"/>
        </w:rPr>
        <w:t>，包含：①项目实施方案设计；②项目时间进度安排；③管理制度；④人员配置及分工；⑤</w:t>
      </w:r>
      <w:r>
        <w:rPr>
          <w:rFonts w:hint="eastAsia" w:ascii="宋体" w:hAnsi="宋体" w:eastAsia="宋体" w:cs="宋体"/>
          <w:color w:val="auto"/>
          <w:kern w:val="2"/>
          <w:sz w:val="24"/>
          <w:szCs w:val="24"/>
          <w:lang w:val="en-US" w:eastAsia="zh-CN" w:bidi="ar-SA"/>
        </w:rPr>
        <w:t>与采购人沟通措施</w:t>
      </w:r>
      <w:r>
        <w:rPr>
          <w:rFonts w:hint="eastAsia" w:ascii="宋体" w:hAnsi="宋体" w:eastAsia="宋体" w:cs="宋体"/>
          <w:color w:val="000000"/>
          <w:sz w:val="24"/>
          <w:szCs w:val="24"/>
          <w:highlight w:val="none"/>
          <w:lang w:val="en-US" w:eastAsia="zh-CN"/>
        </w:rPr>
        <w:t>；⑥安全应急预案；⑦项目实施保障措施；⑧风险防控措施。</w:t>
      </w:r>
    </w:p>
    <w:p w14:paraId="75A9319A">
      <w:pPr>
        <w:pStyle w:val="4"/>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7、供应商需针对本项目编制后续服务方案，包含：</w:t>
      </w:r>
      <w:r>
        <w:rPr>
          <w:rFonts w:hint="eastAsia" w:ascii="宋体" w:hAnsi="宋体" w:eastAsia="宋体" w:cs="宋体"/>
          <w:color w:val="auto"/>
          <w:kern w:val="2"/>
          <w:sz w:val="24"/>
          <w:szCs w:val="24"/>
          <w:highlight w:val="none"/>
          <w:lang w:val="en-US" w:eastAsia="zh-CN" w:bidi="ar-SA"/>
        </w:rPr>
        <w:t>①后续</w:t>
      </w:r>
      <w:r>
        <w:rPr>
          <w:rFonts w:hint="eastAsia" w:ascii="宋体" w:hAnsi="宋体" w:eastAsia="宋体" w:cs="宋体"/>
          <w:color w:val="auto"/>
          <w:kern w:val="2"/>
          <w:sz w:val="24"/>
          <w:szCs w:val="24"/>
          <w:highlight w:val="none"/>
          <w:lang w:val="en-US" w:eastAsia="zh-CN" w:bidi="ar"/>
        </w:rPr>
        <w:t>服务承诺</w:t>
      </w:r>
      <w:r>
        <w:rPr>
          <w:rFonts w:hint="eastAsia" w:ascii="宋体" w:hAnsi="宋体" w:eastAsia="宋体" w:cs="宋体"/>
          <w:color w:val="auto"/>
          <w:kern w:val="2"/>
          <w:sz w:val="24"/>
          <w:szCs w:val="24"/>
          <w:highlight w:val="none"/>
          <w:lang w:val="en-US" w:eastAsia="zh-CN" w:bidi="ar-SA"/>
        </w:rPr>
        <w:t>；②</w:t>
      </w:r>
      <w:r>
        <w:rPr>
          <w:rFonts w:hint="eastAsia" w:ascii="宋体" w:hAnsi="宋体" w:eastAsia="宋体" w:cs="宋体"/>
          <w:color w:val="auto"/>
          <w:kern w:val="2"/>
          <w:sz w:val="24"/>
          <w:szCs w:val="24"/>
          <w:highlight w:val="none"/>
          <w:lang w:val="en-US" w:eastAsia="zh-CN" w:bidi="ar"/>
        </w:rPr>
        <w:t>后续服务人员配置；</w:t>
      </w:r>
      <w:r>
        <w:rPr>
          <w:rFonts w:hint="eastAsia" w:ascii="宋体" w:hAnsi="宋体" w:eastAsia="宋体" w:cs="宋体"/>
          <w:sz w:val="24"/>
          <w:szCs w:val="24"/>
          <w:highlight w:val="none"/>
        </w:rPr>
        <w:t>③</w:t>
      </w:r>
      <w:r>
        <w:rPr>
          <w:rFonts w:hint="eastAsia" w:ascii="宋体" w:hAnsi="宋体" w:eastAsia="宋体" w:cs="宋体"/>
          <w:color w:val="auto"/>
          <w:kern w:val="2"/>
          <w:sz w:val="24"/>
          <w:szCs w:val="24"/>
          <w:highlight w:val="none"/>
          <w:lang w:val="en-US" w:eastAsia="zh-CN" w:bidi="ar"/>
        </w:rPr>
        <w:t>后续服务保障措施</w:t>
      </w:r>
      <w:r>
        <w:rPr>
          <w:rFonts w:hint="eastAsia" w:ascii="宋体" w:hAnsi="宋体" w:eastAsia="宋体" w:cs="宋体"/>
          <w:color w:val="000000"/>
          <w:sz w:val="24"/>
          <w:szCs w:val="24"/>
          <w:highlight w:val="none"/>
          <w:lang w:val="en-US" w:eastAsia="zh-CN"/>
        </w:rPr>
        <w:t>。</w:t>
      </w:r>
    </w:p>
    <w:p w14:paraId="4822EF09">
      <w:pPr>
        <w:pStyle w:val="4"/>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szCs w:val="24"/>
          <w:highlight w:val="none"/>
          <w:lang w:val="en-US" w:eastAsia="zh-CN"/>
        </w:rPr>
        <w:t>8、为保障本项目顺利执行，供应商需具备相应的服务团队及履约经验。</w:t>
      </w:r>
    </w:p>
    <w:p w14:paraId="30CC3220">
      <w:pPr>
        <w:spacing w:line="360" w:lineRule="auto"/>
        <w:ind w:firstLine="480" w:firstLineChars="200"/>
        <w:rPr>
          <w:rFonts w:hint="eastAsia" w:ascii="宋体" w:hAnsi="宋体" w:eastAsia="宋体" w:cs="宋体"/>
          <w:sz w:val="24"/>
          <w:highlight w:val="none"/>
        </w:rPr>
      </w:pPr>
      <w:bookmarkStart w:id="1" w:name="_GoBack"/>
      <w:bookmarkEnd w:id="1"/>
    </w:p>
    <w:p w14:paraId="4DD69EAC">
      <w:pPr>
        <w:spacing w:line="360" w:lineRule="auto"/>
        <w:ind w:firstLine="482" w:firstLineChars="20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说明：</w:t>
      </w:r>
    </w:p>
    <w:p w14:paraId="51421A8B">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1、以上带“★”号条款为本项目实质性要求，不允许负偏离；本项目明确要求提供证明材料或承诺函的，以提供的证明材料或承诺函为准判断是否偏离。未明确要求提供证明材料或承诺函的，以应答表或偏离表为准。</w:t>
      </w:r>
    </w:p>
    <w:p w14:paraId="5CCFCED3">
      <w:r>
        <w:rPr>
          <w:rFonts w:hint="eastAsia" w:ascii="宋体" w:hAnsi="宋体" w:eastAsia="宋体" w:cs="宋体"/>
          <w:b/>
          <w:sz w:val="24"/>
          <w:highlight w:val="none"/>
        </w:rPr>
        <w:t>2、本项目规定的国家、行业、地方等标准如有最新标准，均</w:t>
      </w:r>
      <w:r>
        <w:rPr>
          <w:rFonts w:hint="eastAsia" w:ascii="宋体" w:hAnsi="宋体" w:eastAsia="宋体" w:cs="宋体"/>
          <w:b/>
          <w:sz w:val="24"/>
        </w:rPr>
        <w:t>按最新标准执行。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
    <w:altName w:val="仿宋"/>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B33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eastAsia="宋体"/>
      <w:sz w:val="18"/>
    </w:rPr>
  </w:style>
  <w:style w:type="paragraph" w:styleId="3">
    <w:name w:val="Body Text Indent"/>
    <w:basedOn w:val="1"/>
    <w:next w:val="4"/>
    <w:qFormat/>
    <w:uiPriority w:val="0"/>
    <w:pPr>
      <w:ind w:firstLine="538" w:firstLineChars="168"/>
      <w:jc w:val="left"/>
    </w:pPr>
    <w:rPr>
      <w:rFonts w:ascii="仿宋_GB2312" w:eastAsia="仿宋_GB2312"/>
    </w:rPr>
  </w:style>
  <w:style w:type="paragraph" w:styleId="4">
    <w:name w:val="Body Text First Indent 2"/>
    <w:basedOn w:val="3"/>
    <w:next w:val="1"/>
    <w:qFormat/>
    <w:uiPriority w:val="0"/>
    <w:pPr>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2026-05-15T05:10:54Z</dcterms:created>
  <dc:creator>电脑</dc:creator>
  <cp:lastModifiedBy>Aurora、</cp:lastModifiedBy>
  <dcterms:modified xsi:type="dcterms:W3CDTF">2026-05-15T05:11:26Z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eyJoZGlkIjoiOGZmNzkxNDg3YWQ0NjdjM2IzMDk3NTE3OGNkNjBlZTEiLCJ1c2VySWQiOiIzMjUwODM3MzQifQ==</vt:lpwstr>
  </property>
  <property fmtid="{D5CDD505-2E9C-101B-9397-08002B2CF9AE}" pid="4" name="ICV">
    <vt:lpwstr>463E8B753C5A47A49DBF4F07726D042D_12</vt:lpwstr>
  </property>
</Properties>
</file>