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25FA">
      <w:pPr>
        <w:wordWrap w:val="0"/>
        <w:spacing w:before="240" w:line="360" w:lineRule="auto"/>
        <w:jc w:val="right"/>
        <w:rPr>
          <w:rFonts w:hint="default" w:ascii="宋体" w:hAnsi="宋体" w:eastAsia="宋体" w:cs="宋体"/>
          <w:color w:val="auto"/>
          <w:sz w:val="24"/>
          <w:highlight w:val="none"/>
          <w:u w:color="000000"/>
          <w:lang w:val="en-US" w:eastAsia="zh-CN"/>
        </w:rPr>
      </w:pPr>
      <w:r>
        <w:rPr>
          <w:rFonts w:hint="eastAsia" w:ascii="宋体" w:hAnsi="宋体" w:eastAsia="宋体" w:cs="宋体"/>
          <w:color w:val="auto"/>
          <w:sz w:val="24"/>
          <w:highlight w:val="none"/>
          <w:u w:color="000000"/>
          <w:lang w:eastAsia="zh-CN"/>
        </w:rPr>
        <w:t>项目编号：</w:t>
      </w:r>
      <w:r>
        <w:rPr>
          <w:rFonts w:hint="eastAsia" w:ascii="宋体" w:hAnsi="宋体" w:eastAsia="宋体" w:cs="宋体"/>
          <w:color w:val="auto"/>
          <w:sz w:val="24"/>
          <w:szCs w:val="24"/>
          <w:highlight w:val="none"/>
          <w:lang w:eastAsia="zh-CN"/>
        </w:rPr>
        <w:t>金采招字[2026]XJJZC-058-1</w:t>
      </w:r>
    </w:p>
    <w:p w14:paraId="5B6D93C2">
      <w:pPr>
        <w:spacing w:line="360" w:lineRule="auto"/>
        <w:ind w:left="1699" w:leftChars="809" w:right="1132" w:rightChars="539"/>
        <w:jc w:val="center"/>
        <w:rPr>
          <w:rFonts w:ascii="宋体" w:hAnsi="宋体" w:eastAsia="宋体" w:cs="宋体"/>
          <w:b/>
          <w:color w:val="auto"/>
          <w:sz w:val="44"/>
          <w:szCs w:val="44"/>
          <w:highlight w:val="none"/>
          <w:u w:color="000000"/>
          <w:lang w:eastAsia="zh-CN"/>
        </w:rPr>
      </w:pPr>
    </w:p>
    <w:p w14:paraId="2A7AA5A9">
      <w:pPr>
        <w:spacing w:line="360" w:lineRule="auto"/>
        <w:ind w:left="1699" w:leftChars="809" w:right="1132" w:rightChars="539"/>
        <w:jc w:val="center"/>
        <w:rPr>
          <w:rFonts w:ascii="宋体" w:hAnsi="宋体" w:eastAsia="宋体" w:cs="宋体"/>
          <w:b/>
          <w:color w:val="auto"/>
          <w:sz w:val="44"/>
          <w:szCs w:val="44"/>
          <w:highlight w:val="none"/>
          <w:u w:color="000000"/>
          <w:lang w:eastAsia="zh-CN"/>
        </w:rPr>
      </w:pPr>
    </w:p>
    <w:p w14:paraId="05689857">
      <w:pPr>
        <w:spacing w:line="360" w:lineRule="auto"/>
        <w:jc w:val="center"/>
        <w:rPr>
          <w:rFonts w:ascii="宋体" w:hAnsi="宋体" w:eastAsia="宋体" w:cs="宋体"/>
          <w:b/>
          <w:color w:val="auto"/>
          <w:sz w:val="52"/>
          <w:szCs w:val="52"/>
          <w:highlight w:val="none"/>
          <w:u w:color="000000"/>
          <w:lang w:eastAsia="zh-CN"/>
        </w:rPr>
      </w:pPr>
      <w:r>
        <w:rPr>
          <w:rFonts w:hint="eastAsia" w:ascii="宋体" w:hAnsi="宋体" w:eastAsia="宋体" w:cs="宋体"/>
          <w:b/>
          <w:color w:val="auto"/>
          <w:sz w:val="52"/>
          <w:szCs w:val="52"/>
          <w:highlight w:val="none"/>
          <w:u w:color="000000"/>
          <w:lang w:eastAsia="zh-CN"/>
        </w:rPr>
        <w:t>新疆维吾尔自治区昌吉某某单位食材采购项目标项二（</w:t>
      </w:r>
      <w:r>
        <w:rPr>
          <w:rFonts w:hint="eastAsia" w:ascii="宋体" w:hAnsi="宋体" w:eastAsia="宋体" w:cs="宋体"/>
          <w:b/>
          <w:color w:val="auto"/>
          <w:sz w:val="52"/>
          <w:szCs w:val="52"/>
          <w:highlight w:val="none"/>
          <w:u w:color="000000"/>
          <w:lang w:val="en-US" w:eastAsia="zh-CN"/>
        </w:rPr>
        <w:t>牛羊肉类）</w:t>
      </w:r>
    </w:p>
    <w:p w14:paraId="674AAA7E">
      <w:pPr>
        <w:tabs>
          <w:tab w:val="left" w:pos="6930"/>
        </w:tabs>
        <w:spacing w:line="360" w:lineRule="auto"/>
        <w:ind w:left="1699" w:leftChars="809" w:right="1132" w:rightChars="539"/>
        <w:rPr>
          <w:rFonts w:ascii="宋体" w:hAnsi="宋体" w:eastAsia="宋体" w:cs="宋体"/>
          <w:b/>
          <w:color w:val="auto"/>
          <w:sz w:val="36"/>
          <w:szCs w:val="36"/>
          <w:highlight w:val="none"/>
          <w:u w:color="000000"/>
          <w:lang w:eastAsia="zh-CN"/>
        </w:rPr>
      </w:pPr>
    </w:p>
    <w:p w14:paraId="17E77624">
      <w:pPr>
        <w:spacing w:line="360" w:lineRule="auto"/>
        <w:ind w:left="1699" w:leftChars="809" w:right="1132" w:rightChars="539"/>
        <w:rPr>
          <w:rFonts w:ascii="宋体" w:hAnsi="宋体" w:eastAsia="宋体" w:cs="宋体"/>
          <w:b/>
          <w:color w:val="auto"/>
          <w:sz w:val="36"/>
          <w:szCs w:val="36"/>
          <w:highlight w:val="none"/>
          <w:u w:color="000000"/>
          <w:lang w:eastAsia="zh-CN"/>
        </w:rPr>
      </w:pPr>
    </w:p>
    <w:p w14:paraId="74EA5805">
      <w:pPr>
        <w:spacing w:line="360" w:lineRule="auto"/>
        <w:ind w:left="1699" w:leftChars="809" w:right="1132" w:rightChars="539"/>
        <w:jc w:val="center"/>
        <w:rPr>
          <w:rFonts w:ascii="宋体" w:hAnsi="宋体" w:eastAsia="宋体" w:cs="宋体"/>
          <w:b/>
          <w:color w:val="auto"/>
          <w:sz w:val="84"/>
          <w:szCs w:val="84"/>
          <w:highlight w:val="none"/>
          <w:u w:color="000000"/>
          <w:lang w:eastAsia="zh-CN"/>
        </w:rPr>
      </w:pPr>
      <w:r>
        <w:rPr>
          <w:rFonts w:hint="eastAsia" w:ascii="宋体" w:hAnsi="宋体" w:eastAsia="宋体" w:cs="宋体"/>
          <w:b/>
          <w:color w:val="auto"/>
          <w:sz w:val="84"/>
          <w:szCs w:val="84"/>
          <w:highlight w:val="none"/>
          <w:u w:color="000000"/>
          <w:lang w:eastAsia="zh-CN"/>
        </w:rPr>
        <w:t>招 标 文 件</w:t>
      </w:r>
    </w:p>
    <w:p w14:paraId="3B8AA6E2">
      <w:pPr>
        <w:spacing w:line="360" w:lineRule="auto"/>
        <w:ind w:left="1699" w:leftChars="809" w:right="1132" w:rightChars="539"/>
        <w:jc w:val="center"/>
        <w:rPr>
          <w:rFonts w:ascii="宋体" w:hAnsi="宋体" w:eastAsia="宋体" w:cs="宋体"/>
          <w:b/>
          <w:color w:val="auto"/>
          <w:sz w:val="84"/>
          <w:szCs w:val="84"/>
          <w:highlight w:val="none"/>
          <w:u w:color="000000"/>
          <w:lang w:eastAsia="zh-CN"/>
        </w:rPr>
      </w:pPr>
    </w:p>
    <w:p w14:paraId="25F20D98">
      <w:pPr>
        <w:spacing w:line="360" w:lineRule="auto"/>
        <w:rPr>
          <w:rFonts w:hint="default" w:ascii="宋体" w:hAnsi="宋体" w:eastAsia="宋体" w:cs="宋体"/>
          <w:color w:val="auto"/>
          <w:sz w:val="30"/>
          <w:szCs w:val="30"/>
          <w:highlight w:val="none"/>
          <w:u w:val="single"/>
          <w:lang w:val="en-US" w:eastAsia="zh-CN"/>
        </w:rPr>
      </w:pPr>
      <w:r>
        <w:rPr>
          <w:rFonts w:hint="eastAsia" w:ascii="宋体" w:hAnsi="宋体" w:eastAsia="宋体" w:cs="宋体"/>
          <w:b/>
          <w:color w:val="auto"/>
          <w:spacing w:val="81"/>
          <w:sz w:val="30"/>
          <w:szCs w:val="30"/>
          <w:highlight w:val="none"/>
          <w:u w:color="000000"/>
          <w:lang w:eastAsia="zh-CN"/>
        </w:rPr>
        <w:t>采购</w:t>
      </w:r>
      <w:r>
        <w:rPr>
          <w:rFonts w:hint="eastAsia" w:ascii="宋体" w:hAnsi="宋体" w:eastAsia="宋体" w:cs="宋体"/>
          <w:b/>
          <w:color w:val="auto"/>
          <w:sz w:val="30"/>
          <w:szCs w:val="30"/>
          <w:highlight w:val="none"/>
          <w:u w:color="000000"/>
          <w:lang w:eastAsia="zh-CN"/>
        </w:rPr>
        <w:t>人（盖章）</w:t>
      </w:r>
      <w:r>
        <w:rPr>
          <w:rFonts w:hint="eastAsia" w:ascii="宋体" w:hAnsi="宋体" w:eastAsia="宋体" w:cs="宋体"/>
          <w:color w:val="auto"/>
          <w:sz w:val="30"/>
          <w:szCs w:val="30"/>
          <w:highlight w:val="none"/>
          <w:u w:color="000000"/>
          <w:lang w:eastAsia="zh-CN"/>
        </w:rPr>
        <w:t>：</w:t>
      </w:r>
      <w:r>
        <w:rPr>
          <w:rFonts w:hint="eastAsia" w:ascii="宋体" w:hAnsi="宋体" w:eastAsia="宋体" w:cs="宋体"/>
          <w:color w:val="auto"/>
          <w:sz w:val="30"/>
          <w:szCs w:val="30"/>
          <w:highlight w:val="none"/>
          <w:u w:val="single"/>
          <w:lang w:eastAsia="zh-CN"/>
        </w:rPr>
        <w:t>新疆维吾尔自治区昌吉某某单位</w:t>
      </w:r>
      <w:r>
        <w:rPr>
          <w:rFonts w:hint="eastAsia" w:ascii="宋体" w:hAnsi="宋体" w:eastAsia="宋体" w:cs="宋体"/>
          <w:color w:val="auto"/>
          <w:sz w:val="30"/>
          <w:szCs w:val="30"/>
          <w:highlight w:val="none"/>
          <w:u w:val="single"/>
          <w:lang w:val="en-US" w:eastAsia="zh-CN"/>
        </w:rPr>
        <w:t xml:space="preserve">     </w:t>
      </w:r>
    </w:p>
    <w:p w14:paraId="0BBCD202">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pacing w:val="41"/>
          <w:sz w:val="30"/>
          <w:szCs w:val="30"/>
          <w:highlight w:val="none"/>
          <w:u w:color="000000"/>
          <w:lang w:eastAsia="zh-CN"/>
        </w:rPr>
        <w:t>项目联系</w:t>
      </w:r>
      <w:r>
        <w:rPr>
          <w:rFonts w:hint="eastAsia" w:ascii="宋体" w:hAnsi="宋体" w:eastAsia="宋体" w:cs="宋体"/>
          <w:b/>
          <w:color w:val="auto"/>
          <w:sz w:val="30"/>
          <w:szCs w:val="30"/>
          <w:highlight w:val="none"/>
          <w:u w:color="000000"/>
          <w:lang w:eastAsia="zh-CN"/>
        </w:rPr>
        <w:t>人：</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张先生、赵先生</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p>
    <w:p w14:paraId="2348953C">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pacing w:val="108"/>
          <w:sz w:val="30"/>
          <w:szCs w:val="30"/>
          <w:highlight w:val="none"/>
          <w:u w:color="000000"/>
          <w:lang w:eastAsia="zh-CN"/>
        </w:rPr>
        <w:t>联系电</w:t>
      </w:r>
      <w:r>
        <w:rPr>
          <w:rFonts w:hint="eastAsia" w:ascii="宋体" w:hAnsi="宋体" w:eastAsia="宋体" w:cs="宋体"/>
          <w:b/>
          <w:color w:val="auto"/>
          <w:sz w:val="30"/>
          <w:szCs w:val="30"/>
          <w:highlight w:val="none"/>
          <w:u w:color="000000"/>
          <w:lang w:eastAsia="zh-CN"/>
        </w:rPr>
        <w:t>话：</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18997566658、18209068376</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p>
    <w:p w14:paraId="00D3C86D">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z w:val="30"/>
          <w:szCs w:val="30"/>
          <w:highlight w:val="none"/>
          <w:u w:color="000000"/>
          <w:lang w:eastAsia="zh-CN"/>
        </w:rPr>
        <w:t>采购代理机构（盖章）：</w:t>
      </w:r>
      <w:r>
        <w:rPr>
          <w:rFonts w:hint="eastAsia" w:ascii="宋体" w:hAnsi="宋体" w:eastAsia="宋体" w:cs="宋体"/>
          <w:color w:val="auto"/>
          <w:sz w:val="30"/>
          <w:szCs w:val="30"/>
          <w:highlight w:val="none"/>
          <w:u w:val="single"/>
          <w:lang w:eastAsia="zh-CN"/>
        </w:rPr>
        <w:t xml:space="preserve">新疆金正建设工程管理有限公司  </w:t>
      </w:r>
    </w:p>
    <w:p w14:paraId="1B36F92B">
      <w:pPr>
        <w:spacing w:line="360" w:lineRule="auto"/>
        <w:rPr>
          <w:rFonts w:ascii="宋体" w:hAnsi="宋体" w:eastAsia="宋体" w:cs="宋体"/>
          <w:color w:val="auto"/>
          <w:sz w:val="30"/>
          <w:szCs w:val="30"/>
          <w:highlight w:val="none"/>
          <w:u w:val="single"/>
          <w:lang w:eastAsia="zh-CN"/>
        </w:rPr>
      </w:pPr>
      <w:r>
        <w:rPr>
          <w:rFonts w:hint="eastAsia" w:ascii="宋体" w:hAnsi="宋体" w:eastAsia="宋体" w:cs="宋体"/>
          <w:b/>
          <w:color w:val="auto"/>
          <w:spacing w:val="41"/>
          <w:sz w:val="30"/>
          <w:szCs w:val="30"/>
          <w:highlight w:val="none"/>
          <w:u w:color="000000"/>
          <w:lang w:eastAsia="zh-CN"/>
        </w:rPr>
        <w:t>项目联系</w:t>
      </w:r>
      <w:r>
        <w:rPr>
          <w:rFonts w:hint="eastAsia" w:ascii="宋体" w:hAnsi="宋体" w:eastAsia="宋体" w:cs="宋体"/>
          <w:b/>
          <w:color w:val="auto"/>
          <w:sz w:val="30"/>
          <w:szCs w:val="30"/>
          <w:highlight w:val="none"/>
          <w:u w:color="000000"/>
          <w:lang w:eastAsia="zh-CN"/>
        </w:rPr>
        <w:t>人：</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2"/>
          <w:szCs w:val="32"/>
          <w:highlight w:val="none"/>
          <w:u w:val="single"/>
          <w:lang w:val="en-US" w:eastAsia="zh-CN"/>
        </w:rPr>
        <w:t>顾玮婷、施霞</w:t>
      </w:r>
      <w:r>
        <w:rPr>
          <w:rFonts w:hint="eastAsia" w:ascii="宋体" w:hAnsi="宋体" w:eastAsia="宋体" w:cs="宋体"/>
          <w:color w:val="auto"/>
          <w:sz w:val="30"/>
          <w:szCs w:val="30"/>
          <w:highlight w:val="none"/>
          <w:u w:val="single"/>
          <w:lang w:eastAsia="zh-CN"/>
        </w:rPr>
        <w:t xml:space="preserve">                        </w:t>
      </w:r>
    </w:p>
    <w:p w14:paraId="7A2C4B05">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pacing w:val="108"/>
          <w:sz w:val="30"/>
          <w:szCs w:val="30"/>
          <w:highlight w:val="none"/>
          <w:u w:color="000000"/>
          <w:lang w:eastAsia="zh-CN"/>
        </w:rPr>
        <w:t>联系电</w:t>
      </w:r>
      <w:r>
        <w:rPr>
          <w:rFonts w:hint="eastAsia" w:ascii="宋体" w:hAnsi="宋体" w:eastAsia="宋体" w:cs="宋体"/>
          <w:b/>
          <w:color w:val="auto"/>
          <w:sz w:val="30"/>
          <w:szCs w:val="30"/>
          <w:highlight w:val="none"/>
          <w:u w:color="000000"/>
          <w:lang w:eastAsia="zh-CN"/>
        </w:rPr>
        <w:t>话：</w:t>
      </w:r>
      <w:r>
        <w:rPr>
          <w:rFonts w:hint="eastAsia" w:ascii="宋体" w:hAnsi="宋体" w:eastAsia="宋体" w:cs="宋体"/>
          <w:color w:val="auto"/>
          <w:sz w:val="30"/>
          <w:szCs w:val="30"/>
          <w:highlight w:val="none"/>
          <w:u w:val="single"/>
          <w:lang w:eastAsia="zh-CN"/>
        </w:rPr>
        <w:t xml:space="preserve">  15699198804、</w:t>
      </w:r>
      <w:r>
        <w:rPr>
          <w:rFonts w:hint="eastAsia" w:ascii="宋体" w:hAnsi="宋体" w:eastAsia="宋体" w:cs="宋体"/>
          <w:color w:val="auto"/>
          <w:sz w:val="30"/>
          <w:szCs w:val="30"/>
          <w:highlight w:val="none"/>
          <w:u w:val="single"/>
          <w:lang w:val="en-US" w:eastAsia="zh-CN"/>
        </w:rPr>
        <w:t>18999120355</w:t>
      </w:r>
      <w:r>
        <w:rPr>
          <w:rFonts w:hint="eastAsia" w:ascii="宋体" w:hAnsi="宋体" w:eastAsia="宋体" w:cs="宋体"/>
          <w:color w:val="auto"/>
          <w:sz w:val="30"/>
          <w:szCs w:val="30"/>
          <w:highlight w:val="none"/>
          <w:u w:val="single"/>
          <w:lang w:eastAsia="zh-CN"/>
        </w:rPr>
        <w:t xml:space="preserve">              </w:t>
      </w:r>
    </w:p>
    <w:p w14:paraId="3DA51652">
      <w:pPr>
        <w:spacing w:line="360" w:lineRule="auto"/>
        <w:rPr>
          <w:rFonts w:ascii="宋体" w:hAnsi="宋体" w:eastAsia="宋体" w:cs="宋体"/>
          <w:color w:val="auto"/>
          <w:sz w:val="30"/>
          <w:szCs w:val="30"/>
          <w:highlight w:val="none"/>
          <w:lang w:eastAsia="zh-CN"/>
        </w:rPr>
      </w:pPr>
      <w:r>
        <w:rPr>
          <w:rFonts w:hint="eastAsia" w:ascii="宋体" w:hAnsi="宋体" w:eastAsia="宋体" w:cs="宋体"/>
          <w:b/>
          <w:color w:val="auto"/>
          <w:spacing w:val="64"/>
          <w:sz w:val="30"/>
          <w:szCs w:val="30"/>
          <w:highlight w:val="none"/>
          <w:u w:color="000000"/>
          <w:lang w:eastAsia="zh-CN"/>
        </w:rPr>
        <w:t xml:space="preserve">日    </w:t>
      </w:r>
      <w:r>
        <w:rPr>
          <w:rFonts w:hint="eastAsia" w:ascii="宋体" w:hAnsi="宋体" w:eastAsia="宋体" w:cs="宋体"/>
          <w:b/>
          <w:color w:val="auto"/>
          <w:spacing w:val="4"/>
          <w:sz w:val="30"/>
          <w:szCs w:val="30"/>
          <w:highlight w:val="none"/>
          <w:u w:color="000000"/>
          <w:lang w:eastAsia="zh-CN"/>
        </w:rPr>
        <w:t>期</w:t>
      </w:r>
      <w:r>
        <w:rPr>
          <w:rFonts w:hint="eastAsia" w:ascii="宋体" w:hAnsi="宋体" w:eastAsia="宋体" w:cs="宋体"/>
          <w:b/>
          <w:color w:val="auto"/>
          <w:sz w:val="30"/>
          <w:szCs w:val="30"/>
          <w:highlight w:val="none"/>
          <w:u w:color="000000"/>
          <w:lang w:eastAsia="zh-CN"/>
        </w:rPr>
        <w:t>：</w:t>
      </w:r>
      <w:r>
        <w:rPr>
          <w:rFonts w:hint="eastAsia" w:ascii="宋体" w:hAnsi="宋体" w:eastAsia="宋体" w:cs="宋体"/>
          <w:color w:val="auto"/>
          <w:sz w:val="30"/>
          <w:szCs w:val="30"/>
          <w:highlight w:val="none"/>
          <w:u w:val="single"/>
          <w:lang w:eastAsia="zh-CN"/>
        </w:rPr>
        <w:t xml:space="preserve">  2026年0</w:t>
      </w:r>
      <w:r>
        <w:rPr>
          <w:rFonts w:hint="eastAsia" w:ascii="宋体" w:hAnsi="宋体" w:eastAsia="宋体" w:cs="宋体"/>
          <w:color w:val="auto"/>
          <w:sz w:val="30"/>
          <w:szCs w:val="30"/>
          <w:highlight w:val="none"/>
          <w:u w:val="single"/>
          <w:lang w:val="en-US" w:eastAsia="zh-CN"/>
        </w:rPr>
        <w:t>4</w:t>
      </w:r>
      <w:r>
        <w:rPr>
          <w:rFonts w:hint="eastAsia" w:ascii="宋体" w:hAnsi="宋体" w:eastAsia="宋体" w:cs="宋体"/>
          <w:color w:val="auto"/>
          <w:sz w:val="30"/>
          <w:szCs w:val="30"/>
          <w:highlight w:val="none"/>
          <w:u w:val="single"/>
          <w:lang w:eastAsia="zh-CN"/>
        </w:rPr>
        <w:t xml:space="preserve">月                            </w:t>
      </w:r>
    </w:p>
    <w:p w14:paraId="75D91FF4">
      <w:pPr>
        <w:spacing w:line="360" w:lineRule="auto"/>
        <w:rPr>
          <w:rFonts w:ascii="宋体" w:hAnsi="宋体" w:eastAsia="宋体" w:cs="宋体"/>
          <w:color w:val="auto"/>
          <w:highlight w:val="none"/>
          <w:lang w:eastAsia="zh-CN"/>
        </w:rPr>
        <w:sectPr>
          <w:headerReference r:id="rId3" w:type="default"/>
          <w:footerReference r:id="rId4" w:type="default"/>
          <w:pgSz w:w="11906" w:h="16839"/>
          <w:pgMar w:top="1560" w:right="1416" w:bottom="0" w:left="1843" w:header="1134" w:footer="1134" w:gutter="0"/>
          <w:cols w:space="720" w:num="1"/>
        </w:sectPr>
      </w:pPr>
    </w:p>
    <w:p w14:paraId="0DBED896">
      <w:pPr>
        <w:spacing w:line="360" w:lineRule="auto"/>
        <w:rPr>
          <w:rFonts w:ascii="宋体" w:hAnsi="宋体" w:eastAsia="宋体" w:cs="宋体"/>
          <w:color w:val="auto"/>
          <w:highlight w:val="none"/>
          <w:lang w:eastAsia="zh-CN"/>
        </w:rPr>
      </w:pPr>
    </w:p>
    <w:sdt>
      <w:sdtPr>
        <w:rPr>
          <w:rFonts w:hint="eastAsia" w:ascii="宋体" w:hAnsi="宋体" w:eastAsia="宋体" w:cs="宋体"/>
          <w:b w:val="0"/>
          <w:bCs w:val="0"/>
          <w:snapToGrid w:val="0"/>
          <w:color w:val="auto"/>
          <w:sz w:val="21"/>
          <w:szCs w:val="21"/>
          <w:highlight w:val="none"/>
          <w:lang w:val="zh-CN" w:eastAsia="en-US"/>
        </w:rPr>
        <w:id w:val="30625065"/>
        <w:docPartObj>
          <w:docPartGallery w:val="Table of Contents"/>
          <w:docPartUnique/>
        </w:docPartObj>
      </w:sdtPr>
      <w:sdtEndPr>
        <w:rPr>
          <w:rFonts w:hint="eastAsia" w:ascii="宋体" w:hAnsi="宋体" w:eastAsia="宋体" w:cs="宋体"/>
          <w:b w:val="0"/>
          <w:bCs w:val="0"/>
          <w:snapToGrid w:val="0"/>
          <w:color w:val="auto"/>
          <w:sz w:val="24"/>
          <w:szCs w:val="24"/>
          <w:highlight w:val="none"/>
          <w:lang w:val="en-US" w:eastAsia="en-US"/>
        </w:rPr>
      </w:sdtEndPr>
      <w:sdtContent>
        <w:p w14:paraId="6FF74B81">
          <w:pPr>
            <w:pStyle w:val="36"/>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zh-CN"/>
            </w:rPr>
            <w:t>目</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录</w:t>
          </w:r>
        </w:p>
        <w:p w14:paraId="37B82811">
          <w:pPr>
            <w:pStyle w:val="17"/>
            <w:tabs>
              <w:tab w:val="right" w:leader="dot" w:pos="9355"/>
            </w:tabs>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TOC \o "1-3" \h \z \u </w:instrText>
          </w:r>
          <w:r>
            <w:rPr>
              <w:rFonts w:hint="eastAsia" w:ascii="宋体" w:hAnsi="宋体" w:eastAsia="宋体" w:cs="宋体"/>
              <w:color w:val="auto"/>
              <w:sz w:val="24"/>
              <w:szCs w:val="24"/>
              <w:highlight w:val="none"/>
              <w:lang w:eastAsia="zh-CN"/>
            </w:rPr>
            <w:fldChar w:fldCharType="separate"/>
          </w:r>
          <w:r>
            <w:rPr>
              <w:color w:val="auto"/>
              <w:highlight w:val="none"/>
            </w:rPr>
            <w:fldChar w:fldCharType="begin"/>
          </w:r>
          <w:r>
            <w:rPr>
              <w:color w:val="auto"/>
              <w:highlight w:val="none"/>
            </w:rPr>
            <w:instrText xml:space="preserve"> HYPERLINK \l "_Toc32299"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1013E6">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第二章投标人须知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3F7C03">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"_Toc23488" </w:instrText>
          </w:r>
          <w:r>
            <w:rPr>
              <w:color w:val="auto"/>
              <w:highlight w:val="none"/>
            </w:rPr>
            <w:fldChar w:fldCharType="separate"/>
          </w:r>
          <w:r>
            <w:rPr>
              <w:rFonts w:hint="eastAsia" w:ascii="宋体" w:hAnsi="宋体" w:eastAsia="宋体" w:cs="宋体"/>
              <w:bCs/>
              <w:color w:val="auto"/>
              <w:spacing w:val="6"/>
              <w:sz w:val="24"/>
              <w:szCs w:val="24"/>
              <w:highlight w:val="none"/>
              <w:lang w:eastAsia="zh-CN"/>
            </w:rPr>
            <w:t>一、投标人须知前附表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D8DAB1">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"_Toc25808" </w:instrText>
          </w:r>
          <w:r>
            <w:rPr>
              <w:color w:val="auto"/>
              <w:highlight w:val="none"/>
            </w:rPr>
            <w:fldChar w:fldCharType="separate"/>
          </w:r>
          <w:r>
            <w:rPr>
              <w:rFonts w:hint="eastAsia" w:ascii="宋体" w:hAnsi="宋体" w:eastAsia="宋体" w:cs="宋体"/>
              <w:bCs/>
              <w:color w:val="auto"/>
              <w:spacing w:val="5"/>
              <w:sz w:val="24"/>
              <w:szCs w:val="24"/>
              <w:highlight w:val="none"/>
              <w:lang w:eastAsia="zh-CN"/>
            </w:rPr>
            <w:t>二、投标人须知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B841B6">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"_Toc3777"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第三章采购需求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774B64">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"_Toc28055"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第四章资格审查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9E2143">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"_Toc18738" </w:instrText>
          </w:r>
          <w:r>
            <w:rPr>
              <w:color w:val="auto"/>
              <w:highlight w:val="none"/>
            </w:rPr>
            <w:fldChar w:fldCharType="separate"/>
          </w:r>
          <w:r>
            <w:rPr>
              <w:rFonts w:hint="eastAsia" w:ascii="宋体" w:hAnsi="宋体" w:eastAsia="宋体" w:cs="宋体"/>
              <w:bCs/>
              <w:color w:val="auto"/>
              <w:spacing w:val="5"/>
              <w:sz w:val="24"/>
              <w:szCs w:val="24"/>
              <w:highlight w:val="none"/>
              <w:lang w:eastAsia="zh-CN"/>
            </w:rPr>
            <w:t>一、资格审查程序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9BCD01">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"_Toc13885" </w:instrText>
          </w:r>
          <w:r>
            <w:rPr>
              <w:color w:val="auto"/>
              <w:highlight w:val="none"/>
            </w:rPr>
            <w:fldChar w:fldCharType="separate"/>
          </w:r>
          <w:r>
            <w:rPr>
              <w:rFonts w:hint="eastAsia" w:ascii="宋体" w:hAnsi="宋体" w:eastAsia="宋体" w:cs="宋体"/>
              <w:bCs/>
              <w:color w:val="auto"/>
              <w:spacing w:val="5"/>
              <w:sz w:val="24"/>
              <w:szCs w:val="24"/>
              <w:highlight w:val="none"/>
            </w:rPr>
            <w:t>二、资格审查要求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_Toc13885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4DEC16">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"_Toc30458" </w:instrText>
          </w:r>
          <w:r>
            <w:rPr>
              <w:color w:val="auto"/>
              <w:highlight w:val="none"/>
            </w:rPr>
            <w:fldChar w:fldCharType="separate"/>
          </w:r>
          <w:r>
            <w:rPr>
              <w:rFonts w:hint="eastAsia" w:ascii="宋体" w:hAnsi="宋体" w:eastAsia="宋体" w:cs="宋体"/>
              <w:bCs/>
              <w:color w:val="auto"/>
              <w:spacing w:val="5"/>
              <w:sz w:val="24"/>
              <w:szCs w:val="24"/>
              <w:highlight w:val="none"/>
              <w:lang w:eastAsia="zh-CN"/>
            </w:rPr>
            <w:t>第五章评标方法及标准(综合评分法)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EC6333">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"_Toc18135"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一、评标方法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39B2D9">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"_Toc25589"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二、评标程序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_Toc25589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200F77">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"_Toc6075" </w:instrText>
          </w:r>
          <w:r>
            <w:rPr>
              <w:color w:val="auto"/>
              <w:highlight w:val="none"/>
            </w:rPr>
            <w:fldChar w:fldCharType="separate"/>
          </w:r>
          <w:r>
            <w:rPr>
              <w:rFonts w:hint="eastAsia" w:ascii="宋体" w:hAnsi="宋体" w:eastAsia="宋体" w:cs="宋体"/>
              <w:bCs/>
              <w:color w:val="auto"/>
              <w:spacing w:val="6"/>
              <w:sz w:val="24"/>
              <w:szCs w:val="24"/>
              <w:highlight w:val="none"/>
              <w:lang w:eastAsia="zh-CN"/>
            </w:rPr>
            <w:t>三、评标其他要求：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_Toc6075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90A937">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"_Toc31859" </w:instrText>
          </w:r>
          <w:r>
            <w:rPr>
              <w:color w:val="auto"/>
              <w:highlight w:val="none"/>
            </w:rPr>
            <w:fldChar w:fldCharType="separate"/>
          </w:r>
          <w:r>
            <w:rPr>
              <w:rFonts w:hint="eastAsia" w:ascii="宋体" w:hAnsi="宋体" w:eastAsia="宋体" w:cs="宋体"/>
              <w:bCs/>
              <w:color w:val="auto"/>
              <w:sz w:val="24"/>
              <w:szCs w:val="24"/>
              <w:highlight w:val="none"/>
              <w:lang w:eastAsia="zh-CN"/>
            </w:rPr>
            <w:t>四、评标标准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_Toc31859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A65A84">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"_Toc13607"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第六章合同草案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1621B7">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"_Toc22784"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第七章投标文件格式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1C60D7">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36ADA8DA">
      <w:pPr>
        <w:pStyle w:val="10"/>
        <w:pageBreakBefore/>
        <w:widowControl w:val="0"/>
        <w:spacing w:before="140" w:after="240" w:line="360" w:lineRule="auto"/>
        <w:ind w:left="2625"/>
        <w:outlineLvl w:val="0"/>
        <w:rPr>
          <w:rFonts w:ascii="宋体" w:hAnsi="宋体" w:eastAsia="宋体" w:cs="宋体"/>
          <w:b/>
          <w:bCs/>
          <w:color w:val="auto"/>
          <w:spacing w:val="4"/>
          <w:sz w:val="30"/>
          <w:szCs w:val="30"/>
          <w:highlight w:val="none"/>
          <w:lang w:eastAsia="zh-CN"/>
        </w:rPr>
        <w:sectPr>
          <w:headerReference r:id="rId5" w:type="default"/>
          <w:footerReference r:id="rId6" w:type="default"/>
          <w:pgSz w:w="11906" w:h="16838"/>
          <w:pgMar w:top="1440" w:right="1133" w:bottom="1134" w:left="1418" w:header="851" w:footer="907" w:gutter="0"/>
          <w:pgNumType w:start="1"/>
          <w:cols w:space="720" w:num="1"/>
          <w:docGrid w:type="lines" w:linePitch="312" w:charSpace="0"/>
        </w:sectPr>
      </w:pPr>
      <w:bookmarkStart w:id="0" w:name="bookmark2"/>
      <w:bookmarkEnd w:id="0"/>
      <w:bookmarkStart w:id="1" w:name="bookmark1"/>
      <w:bookmarkEnd w:id="1"/>
      <w:bookmarkStart w:id="2" w:name="bookmark4"/>
      <w:bookmarkEnd w:id="2"/>
    </w:p>
    <w:p w14:paraId="1C97E528">
      <w:pPr>
        <w:pStyle w:val="10"/>
        <w:pageBreakBefore/>
        <w:widowControl w:val="0"/>
        <w:spacing w:before="140" w:after="240" w:line="360" w:lineRule="auto"/>
        <w:jc w:val="center"/>
        <w:outlineLvl w:val="0"/>
        <w:rPr>
          <w:rFonts w:ascii="宋体" w:hAnsi="宋体" w:eastAsia="宋体" w:cs="宋体"/>
          <w:color w:val="auto"/>
          <w:sz w:val="30"/>
          <w:szCs w:val="30"/>
          <w:highlight w:val="none"/>
          <w:lang w:eastAsia="zh-CN"/>
        </w:rPr>
      </w:pPr>
      <w:bookmarkStart w:id="3" w:name="_Toc32299"/>
      <w:r>
        <w:rPr>
          <w:rFonts w:hint="eastAsia" w:ascii="宋体" w:hAnsi="宋体" w:eastAsia="宋体" w:cs="宋体"/>
          <w:b/>
          <w:bCs/>
          <w:color w:val="auto"/>
          <w:spacing w:val="4"/>
          <w:sz w:val="30"/>
          <w:szCs w:val="30"/>
          <w:highlight w:val="none"/>
          <w:lang w:eastAsia="zh-CN"/>
        </w:rPr>
        <w:t>第一章招标公告</w:t>
      </w:r>
      <w:bookmarkEnd w:id="3"/>
    </w:p>
    <w:p w14:paraId="542B0CCE">
      <w:pPr>
        <w:spacing w:line="360" w:lineRule="auto"/>
        <w:jc w:val="center"/>
        <w:rPr>
          <w:rFonts w:ascii="宋体" w:hAnsi="宋体" w:eastAsia="宋体" w:cs="宋体"/>
          <w:b/>
          <w:bCs/>
          <w:color w:val="auto"/>
          <w:sz w:val="30"/>
          <w:szCs w:val="30"/>
          <w:highlight w:val="none"/>
          <w:lang w:eastAsia="zh-CN"/>
        </w:rPr>
      </w:pPr>
      <w:bookmarkStart w:id="4" w:name="_Toc15713"/>
      <w:r>
        <w:rPr>
          <w:rFonts w:hint="eastAsia" w:ascii="宋体" w:hAnsi="宋体" w:eastAsia="宋体" w:cs="宋体"/>
          <w:b/>
          <w:bCs/>
          <w:color w:val="auto"/>
          <w:sz w:val="24"/>
          <w:szCs w:val="24"/>
          <w:highlight w:val="none"/>
          <w:lang w:eastAsia="zh-CN"/>
        </w:rPr>
        <w:t>新疆维吾尔自治区昌吉某某单位食材采购项目标项二（牛羊肉类）招标公告</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06"/>
      </w:tblGrid>
      <w:tr w14:paraId="2D5F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1D160671">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项目概况：</w:t>
            </w:r>
          </w:p>
          <w:p w14:paraId="4B041981">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新疆维吾尔自治区昌吉某某单位食材采购项目标项二（牛羊肉类）的潜在供应商应在新疆政府采购网政采云平台（http://www.ccgp-xinjiang.gov.cn/）线上获取招标文件，并于2026年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日11:00（北京时间）前提交投标文件。</w:t>
            </w:r>
          </w:p>
        </w:tc>
      </w:tr>
    </w:tbl>
    <w:p w14:paraId="0E23BBCC">
      <w:pPr>
        <w:spacing w:line="360" w:lineRule="auto"/>
        <w:rPr>
          <w:rFonts w:ascii="宋体" w:hAnsi="宋体" w:eastAsia="宋体" w:cs="宋体"/>
          <w:color w:val="auto"/>
          <w:sz w:val="24"/>
          <w:szCs w:val="24"/>
          <w:highlight w:val="none"/>
          <w:lang w:eastAsia="zh-CN"/>
        </w:rPr>
      </w:pPr>
    </w:p>
    <w:p w14:paraId="00D72FFF">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一、项目基本情况</w:t>
      </w:r>
    </w:p>
    <w:p w14:paraId="44545173">
      <w:pPr>
        <w:spacing w:line="360" w:lineRule="auto"/>
        <w:ind w:firstLine="456" w:firstLineChars="19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项目编号：金采招字[2026]XJJZC-058-1</w:t>
      </w:r>
    </w:p>
    <w:p w14:paraId="5737C8FD">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项目名称：新疆维吾尔自治区昌吉某某单位食材采购项目标项二（牛羊肉类）</w:t>
      </w:r>
    </w:p>
    <w:p w14:paraId="09F56B0D">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采购方式：公开招标</w:t>
      </w:r>
    </w:p>
    <w:p w14:paraId="6D0F5A81">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kern w:val="0"/>
          <w:sz w:val="24"/>
          <w:szCs w:val="24"/>
          <w:highlight w:val="none"/>
          <w:lang w:val="en-US" w:eastAsia="zh-CN"/>
        </w:rPr>
        <w:t>3600000元</w:t>
      </w:r>
    </w:p>
    <w:p w14:paraId="4DD123B9">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采购需求：新疆维吾尔自治区昌吉某某单位大宗食材采购</w:t>
      </w:r>
      <w:r>
        <w:rPr>
          <w:rFonts w:hint="eastAsia" w:ascii="宋体" w:hAnsi="宋体" w:eastAsia="宋体" w:cs="宋体"/>
          <w:color w:val="auto"/>
          <w:sz w:val="24"/>
          <w:szCs w:val="24"/>
          <w:highlight w:val="none"/>
          <w:lang w:val="en-US" w:eastAsia="zh-CN"/>
        </w:rPr>
        <w:t>牛羊肉类</w:t>
      </w:r>
      <w:r>
        <w:rPr>
          <w:rFonts w:hint="eastAsia" w:ascii="宋体" w:hAnsi="宋体" w:eastAsia="宋体" w:cs="宋体"/>
          <w:color w:val="auto"/>
          <w:sz w:val="24"/>
          <w:szCs w:val="24"/>
          <w:highlight w:val="none"/>
          <w:lang w:eastAsia="zh-CN"/>
        </w:rPr>
        <w:t>。</w:t>
      </w:r>
    </w:p>
    <w:p w14:paraId="5545CD7C">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需满足的要求:食材达到国家标准、符合合同签订需求，提供相关佐证材料，并统一配送指定地点。</w:t>
      </w:r>
    </w:p>
    <w:p w14:paraId="0170CA10">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供货地点：甲方指定地点</w:t>
      </w:r>
    </w:p>
    <w:p w14:paraId="54BCB8E0">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单位：批</w:t>
      </w:r>
    </w:p>
    <w:p w14:paraId="2B3790F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合同履约期限：一年</w:t>
      </w:r>
    </w:p>
    <w:p w14:paraId="3A524D0B">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本项目（否）接受联合体投标。</w:t>
      </w:r>
    </w:p>
    <w:p w14:paraId="70418401">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二、申请人的资格要求：</w:t>
      </w:r>
    </w:p>
    <w:p w14:paraId="7CADA1E0">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1．供应商的资格要求：符合《中华人民共和国政府采购法》第二十二条规定条件；</w:t>
      </w:r>
    </w:p>
    <w:p w14:paraId="5A8B3FB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2．采购项目需要落实的政府采购政策:本项目</w:t>
      </w:r>
      <w:r>
        <w:rPr>
          <w:rFonts w:hint="eastAsia" w:ascii="宋体" w:hAnsi="宋体" w:eastAsia="宋体" w:cs="宋体"/>
          <w:color w:val="auto"/>
          <w:sz w:val="24"/>
          <w:szCs w:val="24"/>
          <w:highlight w:val="none"/>
          <w:lang w:val="en-US" w:eastAsia="zh-CN"/>
        </w:rPr>
        <w:t>专门面向中小企业采购；</w:t>
      </w:r>
    </w:p>
    <w:p w14:paraId="5BE0FF8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3．本项目的特定资格要求：</w:t>
      </w:r>
      <w:r>
        <w:rPr>
          <w:rFonts w:hint="eastAsia" w:ascii="宋体" w:hAnsi="宋体" w:eastAsia="宋体" w:cs="宋体"/>
          <w:color w:val="auto"/>
          <w:sz w:val="24"/>
          <w:szCs w:val="24"/>
          <w:highlight w:val="none"/>
          <w:lang w:val="en-US" w:eastAsia="zh-CN"/>
        </w:rPr>
        <w:t>无</w:t>
      </w:r>
    </w:p>
    <w:p w14:paraId="417F3782">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三、获取招标文件</w:t>
      </w:r>
    </w:p>
    <w:p w14:paraId="2EE5D80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日至2026年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日，每天上午00:00至12:00，下午12:00至23:59（北京时间）</w:t>
      </w:r>
    </w:p>
    <w:p w14:paraId="54F7762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地点：新疆政府采购网政采云平台：（http://www.ccgp-xinjiang.gov.cn/）</w:t>
      </w:r>
    </w:p>
    <w:p w14:paraId="1B7606A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方式：供应商登录新疆政府采购网政采云平台（http://www.ccgp-xinjiang.gov.cn/）在线申请获取招标文件（进入“项目采购”应用，在获取招标文件菜单中选择项目，申请获取招标文件）</w:t>
      </w:r>
    </w:p>
    <w:p w14:paraId="03B9DA48">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售价（元）：0</w:t>
      </w:r>
    </w:p>
    <w:p w14:paraId="57840739">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四、提交投标文件截止时间、开标时间和地点</w:t>
      </w:r>
    </w:p>
    <w:p w14:paraId="6DB7C4C0">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提交投标文件截止时间：2026年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日11:00（北京时间）</w:t>
      </w:r>
    </w:p>
    <w:p w14:paraId="2B23E92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w:t>
      </w:r>
    </w:p>
    <w:p w14:paraId="7CD710F3">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开标时间：2026年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日11:00（北京时间）</w:t>
      </w:r>
    </w:p>
    <w:p w14:paraId="4377B67A">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开标地点：新疆政府采购网政采云平台（http://www.ccgp-xinjiang.gov.cn/）  </w:t>
      </w:r>
    </w:p>
    <w:p w14:paraId="58D7CCD9">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五、公告期限</w:t>
      </w:r>
    </w:p>
    <w:p w14:paraId="444BF813">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自本公告发布之日起5个工作日。</w:t>
      </w:r>
    </w:p>
    <w:p w14:paraId="7618B199">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六、其他补充事宜</w:t>
      </w:r>
    </w:p>
    <w:p w14:paraId="4059BF70">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1.本项目实行网上投标，采用电子投标文件；</w:t>
      </w:r>
    </w:p>
    <w:p w14:paraId="7571E16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有意向参与电子开评标的供应商，可访问新疆数字证书认证中心官方网站（https://www.xjca.com.cn/）或下载“新疆政务通”APP自行申领。</w:t>
      </w:r>
    </w:p>
    <w:p w14:paraId="4D0B9893">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1DB2BD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4.供应商应当在投标截止时间前,将生成的“电子加密投标文件”上传递交至“政府采购云平台”,投标截止时间以后上传递交的投标文件将被“政府采购云平台”拒收；</w:t>
      </w:r>
    </w:p>
    <w:p w14:paraId="2CFDF52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4AB4BBFF">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6.供应商登录政采云平台，在开标时间后30分钟内用“项目采购-开标评标”功能进行解密投标文件。若供应商在规定时间内未按时解密的，视为无效投标。解密与加密投标文件须使用同一个CA。</w:t>
      </w:r>
    </w:p>
    <w:p w14:paraId="577689D5">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特别提示： </w:t>
      </w:r>
    </w:p>
    <w:p w14:paraId="715D0CF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1、采购限额标准以上，200万元以下的货物和服务采购项目、400万元以下的工程采购项目，适宜由中小企业提供的，采购人应当专门面向中小企业采购。</w:t>
      </w:r>
    </w:p>
    <w:p w14:paraId="117C1FD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2、超过200万元的货物和服务采购项目，预留该部分采购项目预算总额的30%以上专门面向中小企业采购，其中预留给小微企业的比例不低于60%。</w:t>
      </w:r>
    </w:p>
    <w:p w14:paraId="3C23735F">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3、超过400万元的工程采购项目中适宜由中小企业提供的，预留该部分采购项目预算总额的40%以上专门面向中小企业采购，其中预留给小微企业的比例不低于60%。</w:t>
      </w:r>
    </w:p>
    <w:p w14:paraId="4C6EC8B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794C00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B7353BF">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七、凡对本次招标提出询问，请按以下方式联系</w:t>
      </w:r>
    </w:p>
    <w:p w14:paraId="4AA844B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14:paraId="7E8ED099">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名称：新疆维吾尔自治区昌吉某某单位</w:t>
      </w:r>
      <w:r>
        <w:rPr>
          <w:rFonts w:hint="eastAsia" w:ascii="宋体" w:hAnsi="宋体" w:eastAsia="宋体" w:cs="宋体"/>
          <w:b w:val="0"/>
          <w:bCs w:val="0"/>
          <w:color w:val="auto"/>
          <w:sz w:val="24"/>
          <w:szCs w:val="24"/>
          <w:highlight w:val="none"/>
          <w:lang w:val="en-US" w:eastAsia="zh-CN"/>
        </w:rPr>
        <w:t xml:space="preserve"> </w:t>
      </w:r>
    </w:p>
    <w:p w14:paraId="75EE541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联系方式：18997566658、18209068376</w:t>
      </w:r>
    </w:p>
    <w:p w14:paraId="3D508D1D">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2.采购代理机构信息</w:t>
      </w:r>
      <w:bookmarkStart w:id="410" w:name="_GoBack"/>
      <w:bookmarkEnd w:id="410"/>
    </w:p>
    <w:p w14:paraId="26D38144">
      <w:pPr>
        <w:tabs>
          <w:tab w:val="left" w:pos="379"/>
        </w:tabs>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名称：新疆金正建设工程管理有限公司</w:t>
      </w:r>
    </w:p>
    <w:p w14:paraId="1E3DC1E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地址：乌鲁木齐市水磨沟区南湖南路66号水清木华A栋6层</w:t>
      </w:r>
    </w:p>
    <w:p w14:paraId="76971329">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联系方式：15699198804、</w:t>
      </w:r>
      <w:r>
        <w:rPr>
          <w:rFonts w:hint="eastAsia" w:ascii="宋体" w:hAnsi="宋体" w:eastAsia="宋体" w:cs="宋体"/>
          <w:color w:val="auto"/>
          <w:sz w:val="24"/>
          <w:szCs w:val="24"/>
          <w:highlight w:val="none"/>
          <w:lang w:val="en-US" w:eastAsia="zh-CN"/>
        </w:rPr>
        <w:t>18999120355</w:t>
      </w:r>
    </w:p>
    <w:p w14:paraId="524FAD59">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3.项目联系方式</w:t>
      </w:r>
    </w:p>
    <w:p w14:paraId="41BD0080">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lang w:val="en-US" w:eastAsia="zh-CN"/>
        </w:rPr>
        <w:t>顾玮婷、施霞</w:t>
      </w:r>
    </w:p>
    <w:p w14:paraId="1324987C">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电话：15699198804、</w:t>
      </w:r>
      <w:r>
        <w:rPr>
          <w:rFonts w:hint="eastAsia" w:ascii="宋体" w:hAnsi="宋体" w:eastAsia="宋体" w:cs="宋体"/>
          <w:color w:val="auto"/>
          <w:sz w:val="24"/>
          <w:szCs w:val="24"/>
          <w:highlight w:val="none"/>
          <w:lang w:val="en-US" w:eastAsia="zh-CN"/>
        </w:rPr>
        <w:t>18999120355</w:t>
      </w:r>
    </w:p>
    <w:p w14:paraId="4C92076F">
      <w:pPr>
        <w:spacing w:line="360" w:lineRule="auto"/>
        <w:ind w:firstLine="422" w:firstLineChars="200"/>
        <w:rPr>
          <w:rFonts w:ascii="宋体" w:hAnsi="宋体" w:eastAsia="宋体" w:cs="宋体"/>
          <w:b/>
          <w:color w:val="auto"/>
          <w:highlight w:val="none"/>
          <w:lang w:eastAsia="zh-CN"/>
        </w:rPr>
      </w:pPr>
    </w:p>
    <w:p w14:paraId="0E404BB6">
      <w:pPr>
        <w:pStyle w:val="10"/>
        <w:pageBreakBefore/>
        <w:spacing w:before="140" w:after="240" w:line="360" w:lineRule="auto"/>
        <w:jc w:val="center"/>
        <w:outlineLvl w:val="0"/>
        <w:rPr>
          <w:rFonts w:ascii="宋体" w:hAnsi="宋体" w:eastAsia="宋体" w:cs="宋体"/>
          <w:color w:val="auto"/>
          <w:sz w:val="30"/>
          <w:szCs w:val="30"/>
          <w:highlight w:val="none"/>
          <w:lang w:eastAsia="zh-CN"/>
        </w:rPr>
      </w:pPr>
      <w:r>
        <w:rPr>
          <w:rFonts w:hint="eastAsia" w:ascii="宋体" w:hAnsi="宋体" w:eastAsia="宋体" w:cs="宋体"/>
          <w:b/>
          <w:bCs/>
          <w:color w:val="auto"/>
          <w:spacing w:val="4"/>
          <w:sz w:val="30"/>
          <w:szCs w:val="30"/>
          <w:highlight w:val="none"/>
          <w:lang w:eastAsia="zh-CN"/>
        </w:rPr>
        <w:t>第二章投标人须知</w:t>
      </w:r>
      <w:bookmarkEnd w:id="4"/>
    </w:p>
    <w:p w14:paraId="5E3E0E71">
      <w:pPr>
        <w:spacing w:before="101" w:after="240" w:line="360" w:lineRule="auto"/>
        <w:ind w:left="482"/>
        <w:jc w:val="center"/>
        <w:outlineLvl w:val="1"/>
        <w:rPr>
          <w:rFonts w:ascii="宋体" w:hAnsi="宋体" w:eastAsia="宋体" w:cs="宋体"/>
          <w:color w:val="auto"/>
          <w:sz w:val="28"/>
          <w:szCs w:val="28"/>
          <w:highlight w:val="none"/>
          <w:lang w:eastAsia="zh-CN"/>
        </w:rPr>
      </w:pPr>
      <w:bookmarkStart w:id="5" w:name="bookmark19"/>
      <w:bookmarkEnd w:id="5"/>
      <w:bookmarkStart w:id="6" w:name="_Toc23488"/>
      <w:r>
        <w:rPr>
          <w:rFonts w:hint="eastAsia" w:ascii="宋体" w:hAnsi="宋体" w:eastAsia="宋体" w:cs="宋体"/>
          <w:bCs/>
          <w:color w:val="auto"/>
          <w:spacing w:val="6"/>
          <w:sz w:val="28"/>
          <w:szCs w:val="28"/>
          <w:highlight w:val="none"/>
          <w:lang w:eastAsia="zh-CN"/>
        </w:rPr>
        <w:t>一、投标人须知前附表</w:t>
      </w:r>
      <w:bookmarkEnd w:id="6"/>
    </w:p>
    <w:tbl>
      <w:tblPr>
        <w:tblStyle w:val="24"/>
        <w:tblW w:w="964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1"/>
        <w:gridCol w:w="1701"/>
        <w:gridCol w:w="3544"/>
        <w:gridCol w:w="3544"/>
      </w:tblGrid>
      <w:tr w14:paraId="309F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shd w:val="clear" w:color="auto" w:fill="D8D8D8"/>
            <w:vAlign w:val="center"/>
          </w:tcPr>
          <w:p w14:paraId="5AEDEE83">
            <w:pPr>
              <w:pStyle w:val="32"/>
              <w:spacing w:line="360" w:lineRule="auto"/>
              <w:ind w:left="-2" w:right="-90" w:rightChars="-43"/>
              <w:jc w:val="center"/>
              <w:rPr>
                <w:color w:val="auto"/>
                <w:highlight w:val="none"/>
              </w:rPr>
            </w:pPr>
            <w:r>
              <w:rPr>
                <w:rFonts w:hint="eastAsia"/>
                <w:b/>
                <w:bCs/>
                <w:color w:val="auto"/>
                <w:spacing w:val="-6"/>
                <w:highlight w:val="none"/>
              </w:rPr>
              <w:t>条款号</w:t>
            </w:r>
          </w:p>
        </w:tc>
        <w:tc>
          <w:tcPr>
            <w:tcW w:w="1701" w:type="dxa"/>
            <w:shd w:val="clear" w:color="auto" w:fill="D8D8D8"/>
            <w:vAlign w:val="center"/>
          </w:tcPr>
          <w:p w14:paraId="3EBC17FC">
            <w:pPr>
              <w:pStyle w:val="32"/>
              <w:spacing w:line="360" w:lineRule="auto"/>
              <w:jc w:val="center"/>
              <w:rPr>
                <w:color w:val="auto"/>
                <w:highlight w:val="none"/>
              </w:rPr>
            </w:pPr>
            <w:r>
              <w:rPr>
                <w:rFonts w:hint="eastAsia"/>
                <w:b/>
                <w:bCs/>
                <w:color w:val="auto"/>
                <w:spacing w:val="-5"/>
                <w:highlight w:val="none"/>
              </w:rPr>
              <w:t>条款名称</w:t>
            </w:r>
          </w:p>
        </w:tc>
        <w:tc>
          <w:tcPr>
            <w:tcW w:w="7088" w:type="dxa"/>
            <w:gridSpan w:val="2"/>
            <w:shd w:val="clear" w:color="auto" w:fill="D8D8D8"/>
            <w:vAlign w:val="center"/>
          </w:tcPr>
          <w:p w14:paraId="5C4EF1CF">
            <w:pPr>
              <w:pStyle w:val="32"/>
              <w:spacing w:line="360" w:lineRule="auto"/>
              <w:jc w:val="center"/>
              <w:rPr>
                <w:color w:val="auto"/>
                <w:highlight w:val="none"/>
              </w:rPr>
            </w:pPr>
            <w:r>
              <w:rPr>
                <w:rFonts w:hint="eastAsia"/>
                <w:b/>
                <w:bCs/>
                <w:color w:val="auto"/>
                <w:spacing w:val="-22"/>
                <w:highlight w:val="none"/>
              </w:rPr>
              <w:t>内容</w:t>
            </w:r>
          </w:p>
        </w:tc>
      </w:tr>
      <w:tr w14:paraId="16F5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F4B57A8">
            <w:pPr>
              <w:pStyle w:val="32"/>
              <w:spacing w:line="360" w:lineRule="auto"/>
              <w:jc w:val="center"/>
              <w:rPr>
                <w:color w:val="auto"/>
                <w:spacing w:val="-5"/>
                <w:highlight w:val="none"/>
                <w:lang w:eastAsia="zh-CN"/>
              </w:rPr>
            </w:pPr>
            <w:r>
              <w:rPr>
                <w:rFonts w:hint="eastAsia"/>
                <w:color w:val="auto"/>
                <w:spacing w:val="-5"/>
                <w:highlight w:val="none"/>
                <w:lang w:eastAsia="zh-CN"/>
              </w:rPr>
              <w:t>2.2</w:t>
            </w:r>
          </w:p>
        </w:tc>
        <w:tc>
          <w:tcPr>
            <w:tcW w:w="1701" w:type="dxa"/>
            <w:vAlign w:val="center"/>
          </w:tcPr>
          <w:p w14:paraId="57082CFB">
            <w:pPr>
              <w:pStyle w:val="32"/>
              <w:spacing w:line="360" w:lineRule="auto"/>
              <w:jc w:val="center"/>
              <w:rPr>
                <w:color w:val="auto"/>
                <w:spacing w:val="-4"/>
                <w:highlight w:val="none"/>
              </w:rPr>
            </w:pPr>
            <w:r>
              <w:rPr>
                <w:rFonts w:hint="eastAsia"/>
                <w:color w:val="auto"/>
                <w:spacing w:val="-4"/>
                <w:highlight w:val="none"/>
              </w:rPr>
              <w:t>采购人</w:t>
            </w:r>
          </w:p>
        </w:tc>
        <w:tc>
          <w:tcPr>
            <w:tcW w:w="7088" w:type="dxa"/>
            <w:gridSpan w:val="2"/>
            <w:vAlign w:val="center"/>
          </w:tcPr>
          <w:p w14:paraId="5E8EFCBC">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采购人：新疆维吾尔自治区昌吉某某单位　</w:t>
            </w:r>
          </w:p>
          <w:p w14:paraId="1FBE7960">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kern w:val="0"/>
                <w:sz w:val="24"/>
                <w:szCs w:val="24"/>
                <w:highlight w:val="none"/>
                <w:lang w:val="en-US" w:eastAsia="zh-CN"/>
              </w:rPr>
              <w:t>张先生、赵先生</w:t>
            </w:r>
            <w:r>
              <w:rPr>
                <w:rFonts w:hint="eastAsia" w:ascii="宋体" w:hAnsi="宋体" w:eastAsia="宋体" w:cs="宋体"/>
                <w:b w:val="0"/>
                <w:bCs w:val="0"/>
                <w:color w:val="auto"/>
                <w:sz w:val="24"/>
                <w:szCs w:val="24"/>
                <w:highlight w:val="none"/>
                <w:lang w:val="en-US" w:eastAsia="zh-CN"/>
              </w:rPr>
              <w:t xml:space="preserve"> </w:t>
            </w:r>
          </w:p>
          <w:p w14:paraId="60317A7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联系电话：18997566658、18209068376</w:t>
            </w:r>
          </w:p>
        </w:tc>
      </w:tr>
      <w:tr w14:paraId="5231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851" w:type="dxa"/>
            <w:vAlign w:val="center"/>
          </w:tcPr>
          <w:p w14:paraId="32BF3E71">
            <w:pPr>
              <w:pStyle w:val="32"/>
              <w:spacing w:line="360" w:lineRule="auto"/>
              <w:jc w:val="center"/>
              <w:rPr>
                <w:color w:val="auto"/>
                <w:spacing w:val="-5"/>
                <w:highlight w:val="none"/>
                <w:lang w:eastAsia="zh-CN"/>
              </w:rPr>
            </w:pPr>
            <w:r>
              <w:rPr>
                <w:rFonts w:hint="eastAsia"/>
                <w:color w:val="auto"/>
                <w:spacing w:val="-5"/>
                <w:highlight w:val="none"/>
                <w:lang w:eastAsia="zh-CN"/>
              </w:rPr>
              <w:t>2.3</w:t>
            </w:r>
          </w:p>
        </w:tc>
        <w:tc>
          <w:tcPr>
            <w:tcW w:w="1701" w:type="dxa"/>
            <w:vAlign w:val="center"/>
          </w:tcPr>
          <w:p w14:paraId="1D8EDCB3">
            <w:pPr>
              <w:pStyle w:val="32"/>
              <w:spacing w:line="360" w:lineRule="auto"/>
              <w:jc w:val="center"/>
              <w:rPr>
                <w:color w:val="auto"/>
                <w:spacing w:val="-4"/>
                <w:highlight w:val="none"/>
                <w:lang w:eastAsia="zh-CN"/>
              </w:rPr>
            </w:pPr>
            <w:r>
              <w:rPr>
                <w:rFonts w:hint="eastAsia"/>
                <w:color w:val="auto"/>
                <w:highlight w:val="none"/>
                <w:lang w:eastAsia="zh-CN"/>
              </w:rPr>
              <w:t>采购代理机构</w:t>
            </w:r>
          </w:p>
        </w:tc>
        <w:tc>
          <w:tcPr>
            <w:tcW w:w="7088" w:type="dxa"/>
            <w:gridSpan w:val="2"/>
            <w:vAlign w:val="center"/>
          </w:tcPr>
          <w:p w14:paraId="01AE926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采购代理机构：新疆金正建设工程管理有限公司 </w:t>
            </w:r>
          </w:p>
          <w:p w14:paraId="2609FCC1">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顾玮婷、施霞</w:t>
            </w:r>
            <w:r>
              <w:rPr>
                <w:rFonts w:hint="eastAsia" w:ascii="宋体" w:hAnsi="宋体" w:eastAsia="宋体" w:cs="宋体"/>
                <w:color w:val="auto"/>
                <w:sz w:val="24"/>
                <w:szCs w:val="24"/>
                <w:highlight w:val="none"/>
                <w:lang w:eastAsia="zh-CN"/>
              </w:rPr>
              <w:t xml:space="preserve">    </w:t>
            </w:r>
          </w:p>
          <w:p w14:paraId="25E34CB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联系电话：15699198804、</w:t>
            </w:r>
            <w:r>
              <w:rPr>
                <w:rFonts w:hint="eastAsia" w:ascii="宋体" w:hAnsi="宋体" w:eastAsia="宋体" w:cs="宋体"/>
                <w:color w:val="auto"/>
                <w:sz w:val="24"/>
                <w:szCs w:val="24"/>
                <w:highlight w:val="none"/>
                <w:lang w:val="en-US" w:eastAsia="zh-CN"/>
              </w:rPr>
              <w:t>18999120355</w:t>
            </w:r>
          </w:p>
        </w:tc>
      </w:tr>
      <w:tr w14:paraId="2D48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76F2D8DF">
            <w:pPr>
              <w:pStyle w:val="32"/>
              <w:spacing w:line="360" w:lineRule="auto"/>
              <w:jc w:val="center"/>
              <w:rPr>
                <w:color w:val="auto"/>
                <w:highlight w:val="none"/>
              </w:rPr>
            </w:pPr>
            <w:r>
              <w:rPr>
                <w:rFonts w:hint="eastAsia"/>
                <w:color w:val="auto"/>
                <w:spacing w:val="-5"/>
                <w:highlight w:val="none"/>
              </w:rPr>
              <w:t>2.5</w:t>
            </w:r>
          </w:p>
        </w:tc>
        <w:tc>
          <w:tcPr>
            <w:tcW w:w="1701" w:type="dxa"/>
            <w:vAlign w:val="center"/>
          </w:tcPr>
          <w:p w14:paraId="30F91BC4">
            <w:pPr>
              <w:pStyle w:val="32"/>
              <w:spacing w:line="360" w:lineRule="auto"/>
              <w:jc w:val="center"/>
              <w:rPr>
                <w:color w:val="auto"/>
                <w:highlight w:val="none"/>
              </w:rPr>
            </w:pPr>
            <w:r>
              <w:rPr>
                <w:rFonts w:hint="eastAsia"/>
                <w:color w:val="auto"/>
                <w:spacing w:val="-4"/>
                <w:highlight w:val="none"/>
              </w:rPr>
              <w:t>核心产品</w:t>
            </w:r>
          </w:p>
        </w:tc>
        <w:tc>
          <w:tcPr>
            <w:tcW w:w="7088" w:type="dxa"/>
            <w:gridSpan w:val="2"/>
            <w:vAlign w:val="center"/>
          </w:tcPr>
          <w:p w14:paraId="1CA3B913">
            <w:pPr>
              <w:pStyle w:val="32"/>
              <w:spacing w:line="360" w:lineRule="auto"/>
              <w:ind w:right="-15" w:rightChars="-7"/>
              <w:jc w:val="both"/>
              <w:rPr>
                <w:color w:val="auto"/>
                <w:highlight w:val="none"/>
                <w:lang w:eastAsia="zh-CN"/>
              </w:rPr>
            </w:pPr>
            <w:r>
              <w:rPr>
                <w:rFonts w:hint="eastAsia"/>
                <w:color w:val="auto"/>
                <w:spacing w:val="-1"/>
                <w:highlight w:val="none"/>
                <w:lang w:eastAsia="zh-CN"/>
              </w:rPr>
              <w:t>□本项目为非单一产品采购项目，</w:t>
            </w:r>
            <w:r>
              <w:rPr>
                <w:rFonts w:hint="eastAsia"/>
                <w:color w:val="auto"/>
                <w:spacing w:val="-2"/>
                <w:highlight w:val="none"/>
                <w:lang w:eastAsia="zh-CN"/>
              </w:rPr>
              <w:t>其中核心产品为：</w:t>
            </w:r>
            <w:r>
              <w:rPr>
                <w:rFonts w:hint="eastAsia" w:ascii="宋体" w:hAnsi="宋体" w:eastAsia="宋体" w:cs="宋体"/>
                <w:i w:val="0"/>
                <w:iCs w:val="0"/>
                <w:snapToGrid w:val="0"/>
                <w:color w:val="auto"/>
                <w:kern w:val="0"/>
                <w:sz w:val="24"/>
                <w:szCs w:val="24"/>
                <w:highlight w:val="none"/>
                <w:u w:val="none"/>
                <w:lang w:val="en-US" w:eastAsia="zh-CN" w:bidi="ar"/>
              </w:rPr>
              <w:t>牛腩</w:t>
            </w:r>
            <w:r>
              <w:rPr>
                <w:rFonts w:hint="eastAsia"/>
                <w:color w:val="auto"/>
                <w:highlight w:val="none"/>
                <w:lang w:eastAsia="zh-CN"/>
              </w:rPr>
              <w:t>。</w:t>
            </w:r>
          </w:p>
        </w:tc>
      </w:tr>
      <w:tr w14:paraId="199F2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6B54288">
            <w:pPr>
              <w:pStyle w:val="32"/>
              <w:spacing w:line="360" w:lineRule="auto"/>
              <w:jc w:val="center"/>
              <w:rPr>
                <w:color w:val="auto"/>
                <w:spacing w:val="-5"/>
                <w:highlight w:val="none"/>
                <w:lang w:eastAsia="zh-CN"/>
              </w:rPr>
            </w:pPr>
            <w:r>
              <w:rPr>
                <w:rFonts w:hint="eastAsia"/>
                <w:color w:val="auto"/>
                <w:spacing w:val="-5"/>
                <w:highlight w:val="none"/>
                <w:lang w:eastAsia="zh-CN"/>
              </w:rPr>
              <w:t>4</w:t>
            </w:r>
          </w:p>
        </w:tc>
        <w:tc>
          <w:tcPr>
            <w:tcW w:w="1701" w:type="dxa"/>
            <w:vAlign w:val="center"/>
          </w:tcPr>
          <w:p w14:paraId="1C052A35">
            <w:pPr>
              <w:pStyle w:val="32"/>
              <w:spacing w:line="360" w:lineRule="auto"/>
              <w:jc w:val="center"/>
              <w:rPr>
                <w:color w:val="auto"/>
                <w:spacing w:val="-2"/>
                <w:highlight w:val="none"/>
              </w:rPr>
            </w:pPr>
            <w:r>
              <w:rPr>
                <w:rFonts w:hint="eastAsia"/>
                <w:color w:val="auto"/>
                <w:spacing w:val="-2"/>
                <w:highlight w:val="none"/>
              </w:rPr>
              <w:t>投标人资格要求</w:t>
            </w:r>
          </w:p>
        </w:tc>
        <w:tc>
          <w:tcPr>
            <w:tcW w:w="7088" w:type="dxa"/>
            <w:gridSpan w:val="2"/>
            <w:vAlign w:val="center"/>
          </w:tcPr>
          <w:p w14:paraId="76695740">
            <w:pPr>
              <w:pStyle w:val="32"/>
              <w:spacing w:line="360" w:lineRule="auto"/>
              <w:jc w:val="both"/>
              <w:rPr>
                <w:color w:val="auto"/>
                <w:spacing w:val="-5"/>
                <w:highlight w:val="none"/>
                <w:lang w:eastAsia="zh-CN"/>
              </w:rPr>
            </w:pPr>
            <w:r>
              <w:rPr>
                <w:rFonts w:hint="eastAsia"/>
                <w:color w:val="auto"/>
                <w:spacing w:val="-5"/>
                <w:highlight w:val="none"/>
                <w:lang w:eastAsia="zh-CN"/>
              </w:rPr>
              <w:t>1.满足《中华人民共和国政府采购法》第二十二条规定；</w:t>
            </w:r>
          </w:p>
          <w:p w14:paraId="5C048526">
            <w:pPr>
              <w:pStyle w:val="32"/>
              <w:spacing w:line="360" w:lineRule="auto"/>
              <w:jc w:val="both"/>
              <w:rPr>
                <w:color w:val="auto"/>
                <w:spacing w:val="-5"/>
                <w:highlight w:val="none"/>
                <w:lang w:eastAsia="zh-CN"/>
              </w:rPr>
            </w:pPr>
            <w:r>
              <w:rPr>
                <w:rFonts w:hint="eastAsia"/>
                <w:color w:val="auto"/>
                <w:spacing w:val="-5"/>
                <w:highlight w:val="none"/>
                <w:lang w:eastAsia="zh-CN"/>
              </w:rPr>
              <w:t>2.落实政府采购政策需满足的资格要求:</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lang w:val="en-US" w:eastAsia="zh-CN"/>
              </w:rPr>
              <w:t>专门面向中小企业采购；</w:t>
            </w:r>
          </w:p>
          <w:p w14:paraId="0F5569AF">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3.本项目的特定资格要求：</w:t>
            </w:r>
            <w:r>
              <w:rPr>
                <w:rFonts w:hint="eastAsia" w:ascii="宋体" w:hAnsi="宋体" w:eastAsia="宋体" w:cs="宋体"/>
                <w:color w:val="auto"/>
                <w:spacing w:val="-5"/>
                <w:sz w:val="24"/>
                <w:szCs w:val="24"/>
                <w:highlight w:val="none"/>
                <w:lang w:val="en-US" w:eastAsia="zh-CN"/>
              </w:rPr>
              <w:t>无</w:t>
            </w:r>
          </w:p>
        </w:tc>
      </w:tr>
      <w:tr w14:paraId="12B8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22F4AE7">
            <w:pPr>
              <w:pStyle w:val="32"/>
              <w:spacing w:line="360" w:lineRule="auto"/>
              <w:jc w:val="center"/>
              <w:rPr>
                <w:color w:val="auto"/>
                <w:highlight w:val="none"/>
              </w:rPr>
            </w:pPr>
            <w:r>
              <w:rPr>
                <w:rFonts w:hint="eastAsia"/>
                <w:color w:val="auto"/>
                <w:spacing w:val="-4"/>
                <w:highlight w:val="none"/>
              </w:rPr>
              <w:t>9.1</w:t>
            </w:r>
          </w:p>
        </w:tc>
        <w:tc>
          <w:tcPr>
            <w:tcW w:w="1701" w:type="dxa"/>
            <w:vAlign w:val="center"/>
          </w:tcPr>
          <w:p w14:paraId="53794DAC">
            <w:pPr>
              <w:pStyle w:val="32"/>
              <w:spacing w:line="360" w:lineRule="auto"/>
              <w:jc w:val="center"/>
              <w:rPr>
                <w:color w:val="auto"/>
                <w:highlight w:val="none"/>
              </w:rPr>
            </w:pPr>
            <w:r>
              <w:rPr>
                <w:rFonts w:hint="eastAsia"/>
                <w:color w:val="auto"/>
                <w:spacing w:val="-3"/>
                <w:highlight w:val="none"/>
              </w:rPr>
              <w:t>现场考察</w:t>
            </w:r>
          </w:p>
        </w:tc>
        <w:tc>
          <w:tcPr>
            <w:tcW w:w="7088" w:type="dxa"/>
            <w:gridSpan w:val="2"/>
            <w:vAlign w:val="center"/>
          </w:tcPr>
          <w:p w14:paraId="7F2520A7">
            <w:pPr>
              <w:pStyle w:val="32"/>
              <w:spacing w:line="360" w:lineRule="auto"/>
              <w:jc w:val="both"/>
              <w:rPr>
                <w:color w:val="auto"/>
                <w:spacing w:val="-5"/>
                <w:highlight w:val="none"/>
                <w:lang w:eastAsia="zh-CN"/>
              </w:rPr>
            </w:pPr>
            <w:r>
              <w:rPr>
                <w:rFonts w:hint="eastAsia"/>
                <w:color w:val="auto"/>
                <w:spacing w:val="-5"/>
                <w:highlight w:val="none"/>
                <w:lang w:eastAsia="zh-CN"/>
              </w:rPr>
              <w:t>不组织</w:t>
            </w:r>
          </w:p>
        </w:tc>
      </w:tr>
      <w:tr w14:paraId="4271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BB9B2E8">
            <w:pPr>
              <w:pStyle w:val="32"/>
              <w:spacing w:line="360" w:lineRule="auto"/>
              <w:jc w:val="center"/>
              <w:rPr>
                <w:color w:val="auto"/>
                <w:highlight w:val="none"/>
              </w:rPr>
            </w:pPr>
            <w:r>
              <w:rPr>
                <w:rFonts w:hint="eastAsia"/>
                <w:color w:val="auto"/>
                <w:spacing w:val="-4"/>
                <w:highlight w:val="none"/>
              </w:rPr>
              <w:t>9.5</w:t>
            </w:r>
          </w:p>
        </w:tc>
        <w:tc>
          <w:tcPr>
            <w:tcW w:w="1701" w:type="dxa"/>
            <w:vAlign w:val="center"/>
          </w:tcPr>
          <w:p w14:paraId="4E846B30">
            <w:pPr>
              <w:pStyle w:val="32"/>
              <w:spacing w:line="360" w:lineRule="auto"/>
              <w:jc w:val="center"/>
              <w:rPr>
                <w:color w:val="auto"/>
                <w:highlight w:val="none"/>
              </w:rPr>
            </w:pPr>
            <w:r>
              <w:rPr>
                <w:rFonts w:hint="eastAsia"/>
                <w:color w:val="auto"/>
                <w:spacing w:val="-4"/>
                <w:highlight w:val="none"/>
              </w:rPr>
              <w:t>答疑会</w:t>
            </w:r>
          </w:p>
        </w:tc>
        <w:tc>
          <w:tcPr>
            <w:tcW w:w="7088" w:type="dxa"/>
            <w:gridSpan w:val="2"/>
            <w:vAlign w:val="center"/>
          </w:tcPr>
          <w:p w14:paraId="44C2D66F">
            <w:pPr>
              <w:pStyle w:val="32"/>
              <w:spacing w:line="360" w:lineRule="auto"/>
              <w:jc w:val="both"/>
              <w:rPr>
                <w:color w:val="auto"/>
                <w:spacing w:val="-5"/>
                <w:highlight w:val="none"/>
                <w:lang w:eastAsia="zh-CN"/>
              </w:rPr>
            </w:pPr>
            <w:r>
              <w:rPr>
                <w:rFonts w:hint="eastAsia"/>
                <w:color w:val="auto"/>
                <w:spacing w:val="-5"/>
                <w:highlight w:val="none"/>
                <w:lang w:eastAsia="zh-CN"/>
              </w:rPr>
              <w:t>不组织</w:t>
            </w:r>
          </w:p>
        </w:tc>
      </w:tr>
      <w:tr w14:paraId="73EC3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13DE80B">
            <w:pPr>
              <w:pStyle w:val="32"/>
              <w:spacing w:line="360" w:lineRule="auto"/>
              <w:jc w:val="center"/>
              <w:rPr>
                <w:color w:val="auto"/>
                <w:spacing w:val="-7"/>
                <w:highlight w:val="none"/>
                <w:lang w:eastAsia="zh-CN"/>
              </w:rPr>
            </w:pPr>
            <w:r>
              <w:rPr>
                <w:rFonts w:hint="eastAsia"/>
                <w:color w:val="auto"/>
                <w:spacing w:val="-7"/>
                <w:highlight w:val="none"/>
                <w:lang w:eastAsia="zh-CN"/>
              </w:rPr>
              <w:t>12.1</w:t>
            </w:r>
          </w:p>
        </w:tc>
        <w:tc>
          <w:tcPr>
            <w:tcW w:w="1701" w:type="dxa"/>
            <w:vAlign w:val="center"/>
          </w:tcPr>
          <w:p w14:paraId="3370148F">
            <w:pPr>
              <w:pStyle w:val="32"/>
              <w:spacing w:line="360" w:lineRule="auto"/>
              <w:ind w:left="114"/>
              <w:jc w:val="center"/>
              <w:rPr>
                <w:color w:val="auto"/>
                <w:spacing w:val="-3"/>
                <w:highlight w:val="none"/>
              </w:rPr>
            </w:pPr>
            <w:r>
              <w:rPr>
                <w:rFonts w:hint="eastAsia"/>
                <w:color w:val="auto"/>
                <w:spacing w:val="-3"/>
                <w:highlight w:val="none"/>
                <w:lang w:eastAsia="zh-CN"/>
              </w:rPr>
              <w:t>询问</w:t>
            </w:r>
          </w:p>
        </w:tc>
        <w:tc>
          <w:tcPr>
            <w:tcW w:w="7088" w:type="dxa"/>
            <w:gridSpan w:val="2"/>
            <w:vAlign w:val="center"/>
          </w:tcPr>
          <w:p w14:paraId="14F5B70D">
            <w:pPr>
              <w:pStyle w:val="32"/>
              <w:spacing w:line="360" w:lineRule="auto"/>
              <w:jc w:val="both"/>
              <w:rPr>
                <w:color w:val="auto"/>
                <w:spacing w:val="-5"/>
                <w:highlight w:val="none"/>
                <w:lang w:eastAsia="zh-CN"/>
              </w:rPr>
            </w:pPr>
            <w:r>
              <w:rPr>
                <w:rFonts w:hint="eastAsia"/>
                <w:color w:val="auto"/>
                <w:spacing w:val="-5"/>
                <w:highlight w:val="none"/>
                <w:lang w:eastAsia="zh-CN"/>
              </w:rPr>
              <w:t>1.方式：在供应商客户端中按照格式填写询问函，并在生成询问函后加盖电子印章提交。</w:t>
            </w:r>
          </w:p>
          <w:p w14:paraId="5D2DA605">
            <w:pPr>
              <w:pStyle w:val="32"/>
              <w:spacing w:line="360" w:lineRule="auto"/>
              <w:jc w:val="both"/>
              <w:rPr>
                <w:color w:val="auto"/>
                <w:spacing w:val="-5"/>
                <w:highlight w:val="none"/>
                <w:lang w:eastAsia="zh-CN"/>
              </w:rPr>
            </w:pPr>
            <w:r>
              <w:rPr>
                <w:rFonts w:hint="eastAsia"/>
                <w:color w:val="auto"/>
                <w:spacing w:val="-5"/>
                <w:highlight w:val="none"/>
                <w:lang w:eastAsia="zh-CN"/>
              </w:rPr>
              <w:t>2.时间要求：自投标人获取招标文件之日起7个工作日内。</w:t>
            </w:r>
          </w:p>
        </w:tc>
      </w:tr>
      <w:tr w14:paraId="44B4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851" w:type="dxa"/>
            <w:vAlign w:val="center"/>
          </w:tcPr>
          <w:p w14:paraId="71220186">
            <w:pPr>
              <w:pStyle w:val="32"/>
              <w:spacing w:line="360" w:lineRule="auto"/>
              <w:jc w:val="center"/>
              <w:rPr>
                <w:color w:val="auto"/>
                <w:spacing w:val="-7"/>
                <w:highlight w:val="none"/>
                <w:lang w:eastAsia="zh-CN"/>
              </w:rPr>
            </w:pPr>
          </w:p>
        </w:tc>
        <w:tc>
          <w:tcPr>
            <w:tcW w:w="1701" w:type="dxa"/>
            <w:vAlign w:val="center"/>
          </w:tcPr>
          <w:p w14:paraId="755EBA69">
            <w:pPr>
              <w:pStyle w:val="32"/>
              <w:spacing w:line="360" w:lineRule="auto"/>
              <w:ind w:left="114"/>
              <w:jc w:val="center"/>
              <w:rPr>
                <w:color w:val="auto"/>
                <w:spacing w:val="-3"/>
                <w:highlight w:val="none"/>
                <w:lang w:eastAsia="zh-CN"/>
              </w:rPr>
            </w:pPr>
            <w:r>
              <w:rPr>
                <w:rFonts w:hint="eastAsia"/>
                <w:color w:val="auto"/>
                <w:spacing w:val="-3"/>
                <w:highlight w:val="none"/>
                <w:lang w:eastAsia="zh-CN"/>
              </w:rPr>
              <w:t>投标报价要求</w:t>
            </w:r>
          </w:p>
        </w:tc>
        <w:tc>
          <w:tcPr>
            <w:tcW w:w="7088" w:type="dxa"/>
            <w:gridSpan w:val="2"/>
            <w:shd w:val="clear" w:color="auto" w:fill="auto"/>
            <w:vAlign w:val="center"/>
          </w:tcPr>
          <w:p w14:paraId="0F83DCB9">
            <w:pPr>
              <w:widowControl w:val="0"/>
              <w:autoSpaceDN/>
              <w:spacing w:line="360" w:lineRule="auto"/>
              <w:jc w:val="both"/>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1、本项目投标报价采用报折扣率方式（折扣率不得大于100%，例如：90%或91%或92%或95%等；不得在折扣率前填写“±”，例如：不得填报+101%或-101%等，折扣率以1%为间隔）。</w:t>
            </w:r>
          </w:p>
          <w:p w14:paraId="5AAF123C">
            <w:pPr>
              <w:widowControl w:val="0"/>
              <w:autoSpaceDN/>
              <w:spacing w:line="360" w:lineRule="auto"/>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spacing w:val="-5"/>
                <w:sz w:val="24"/>
                <w:szCs w:val="24"/>
                <w:highlight w:val="none"/>
                <w:lang w:eastAsia="zh-CN"/>
              </w:rPr>
              <w:t>2、所有</w:t>
            </w:r>
            <w:r>
              <w:rPr>
                <w:rFonts w:hint="eastAsia" w:ascii="宋体" w:hAnsi="宋体" w:eastAsia="宋体" w:cs="宋体"/>
                <w:color w:val="auto"/>
                <w:kern w:val="2"/>
                <w:sz w:val="24"/>
                <w:szCs w:val="24"/>
                <w:highlight w:val="none"/>
                <w:lang w:val="en-US" w:eastAsia="zh-CN" w:bidi="ar"/>
              </w:rPr>
              <w:t>货物</w:t>
            </w:r>
            <w:r>
              <w:rPr>
                <w:rFonts w:hint="eastAsia" w:ascii="宋体" w:hAnsi="宋体" w:eastAsia="宋体" w:cs="宋体"/>
                <w:color w:val="auto"/>
                <w:spacing w:val="-5"/>
                <w:sz w:val="24"/>
                <w:szCs w:val="24"/>
                <w:highlight w:val="none"/>
                <w:lang w:val="en-US" w:eastAsia="zh-CN"/>
              </w:rPr>
              <w:t>参照</w:t>
            </w:r>
            <w:r>
              <w:rPr>
                <w:rFonts w:hint="eastAsia" w:ascii="宋体" w:hAnsi="宋体" w:eastAsia="宋体" w:cs="宋体"/>
                <w:color w:val="auto"/>
                <w:kern w:val="2"/>
                <w:sz w:val="24"/>
                <w:szCs w:val="24"/>
                <w:highlight w:val="none"/>
                <w:lang w:eastAsia="zh-CN" w:bidi="ar"/>
              </w:rPr>
              <w:t>北园春集团网站（http://www.beiyuanchun.com）公布的价格（中间价）为基准价</w:t>
            </w:r>
            <w:r>
              <w:rPr>
                <w:rFonts w:hint="eastAsia" w:ascii="宋体" w:hAnsi="宋体" w:eastAsia="宋体" w:cs="宋体"/>
                <w:color w:val="auto"/>
                <w:spacing w:val="-5"/>
                <w:sz w:val="24"/>
                <w:szCs w:val="24"/>
                <w:highlight w:val="none"/>
                <w:lang w:eastAsia="zh-CN"/>
              </w:rPr>
              <w:t>报折扣率</w:t>
            </w:r>
            <w:r>
              <w:rPr>
                <w:rFonts w:hint="eastAsia" w:ascii="宋体" w:hAnsi="宋体" w:eastAsia="宋体" w:cs="宋体"/>
                <w:color w:val="auto"/>
                <w:kern w:val="2"/>
                <w:sz w:val="24"/>
                <w:szCs w:val="24"/>
                <w:highlight w:val="none"/>
                <w:lang w:eastAsia="zh-CN" w:bidi="ar"/>
              </w:rPr>
              <w:t>，如因上述网站信息发布的时效等因素导致该基准价明显高于供货当日实际市场价，需求单位有权与中标人协商对基准价进行下调。若出现上述网站没有信息价（基准价）的产品品目，则由需求单位在新联市场、九鼎农贸市场等大型专业批发市场或大中型商超市场以询价方式确定送货价格</w:t>
            </w:r>
            <w:r>
              <w:rPr>
                <w:rFonts w:hint="eastAsia" w:ascii="宋体" w:hAnsi="宋体" w:eastAsia="宋体" w:cs="宋体"/>
                <w:color w:val="auto"/>
                <w:spacing w:val="-5"/>
                <w:sz w:val="24"/>
                <w:szCs w:val="24"/>
                <w:highlight w:val="none"/>
                <w:lang w:eastAsia="zh-CN"/>
              </w:rPr>
              <w:t>(由招标人经三家及以上询价确定</w:t>
            </w:r>
            <w:r>
              <w:rPr>
                <w:rFonts w:hint="eastAsia" w:ascii="宋体" w:hAnsi="宋体" w:eastAsia="宋体" w:cs="宋体"/>
                <w:color w:val="auto"/>
                <w:kern w:val="2"/>
                <w:sz w:val="24"/>
                <w:szCs w:val="24"/>
                <w:highlight w:val="none"/>
                <w:lang w:eastAsia="zh-CN" w:bidi="ar"/>
              </w:rPr>
              <w:t>送货单价</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kern w:val="2"/>
                <w:sz w:val="24"/>
                <w:szCs w:val="24"/>
                <w:highlight w:val="none"/>
                <w:lang w:eastAsia="zh-CN" w:bidi="ar"/>
              </w:rPr>
              <w:t>，并以所询价的平均价作为送货单价，周询月结。月底结账时按中标的折扣率统一结算。</w:t>
            </w:r>
          </w:p>
          <w:p w14:paraId="015370D7">
            <w:pPr>
              <w:widowControl w:val="0"/>
              <w:autoSpaceDN/>
              <w:spacing w:line="360" w:lineRule="auto"/>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bidi="ar"/>
              </w:rPr>
              <w:t>3、结算价=基准价×中标折扣率；例如某产品信息价（基准价）为1000元，折扣率为95%，实际付款金额为950元（注：该措辞仅供解释使用，具体投标报价由供应商结合自身情况自主报价）。</w:t>
            </w:r>
          </w:p>
          <w:p w14:paraId="4A5BE7D6">
            <w:pPr>
              <w:pStyle w:val="32"/>
              <w:spacing w:line="360" w:lineRule="auto"/>
              <w:jc w:val="both"/>
              <w:rPr>
                <w:color w:val="auto"/>
                <w:spacing w:val="-5"/>
                <w:highlight w:val="none"/>
                <w:lang w:eastAsia="zh-CN"/>
              </w:rPr>
            </w:pPr>
            <w:r>
              <w:rPr>
                <w:rFonts w:hint="eastAsia"/>
                <w:color w:val="auto"/>
                <w:spacing w:val="-5"/>
                <w:highlight w:val="none"/>
                <w:lang w:eastAsia="zh-CN"/>
              </w:rPr>
              <w:t>4、本项目投标报价包括货物到达招标人指定地点的全部费用，包括但不限于项目实施所需的货物费、包装运输费、配送费、人工费、装卸费、管理费、利润、税费等一切费用。</w:t>
            </w:r>
          </w:p>
          <w:p w14:paraId="5B98BBCE">
            <w:pPr>
              <w:pStyle w:val="32"/>
              <w:spacing w:line="360" w:lineRule="auto"/>
              <w:jc w:val="both"/>
              <w:rPr>
                <w:color w:val="auto"/>
                <w:spacing w:val="-5"/>
                <w:highlight w:val="none"/>
                <w:lang w:eastAsia="zh-CN"/>
              </w:rPr>
            </w:pPr>
            <w:r>
              <w:rPr>
                <w:rFonts w:hint="eastAsia"/>
                <w:color w:val="auto"/>
                <w:spacing w:val="-5"/>
                <w:highlight w:val="none"/>
                <w:lang w:eastAsia="zh-CN"/>
              </w:rPr>
              <w:t>5、严格开具税务发票，投标报价为含税价格，供应商应按含税金额开具增值税普通发票。</w:t>
            </w:r>
          </w:p>
        </w:tc>
      </w:tr>
      <w:tr w14:paraId="556C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851" w:type="dxa"/>
            <w:vAlign w:val="center"/>
          </w:tcPr>
          <w:p w14:paraId="76D1BED0">
            <w:pPr>
              <w:pStyle w:val="32"/>
              <w:spacing w:line="360" w:lineRule="auto"/>
              <w:jc w:val="center"/>
              <w:rPr>
                <w:color w:val="auto"/>
                <w:spacing w:val="-7"/>
                <w:highlight w:val="none"/>
                <w:lang w:eastAsia="zh-CN"/>
              </w:rPr>
            </w:pPr>
          </w:p>
        </w:tc>
        <w:tc>
          <w:tcPr>
            <w:tcW w:w="1701" w:type="dxa"/>
            <w:vAlign w:val="center"/>
          </w:tcPr>
          <w:p w14:paraId="25883418">
            <w:pPr>
              <w:pStyle w:val="32"/>
              <w:spacing w:line="360" w:lineRule="auto"/>
              <w:ind w:left="114"/>
              <w:jc w:val="center"/>
              <w:rPr>
                <w:color w:val="auto"/>
                <w:spacing w:val="-3"/>
                <w:highlight w:val="none"/>
                <w:lang w:eastAsia="zh-CN"/>
              </w:rPr>
            </w:pPr>
            <w:r>
              <w:rPr>
                <w:rFonts w:hint="eastAsia"/>
                <w:color w:val="auto"/>
                <w:spacing w:val="-3"/>
                <w:highlight w:val="none"/>
                <w:lang w:eastAsia="zh-CN"/>
              </w:rPr>
              <w:t>异常低价投标（响应）审查程序</w:t>
            </w:r>
          </w:p>
        </w:tc>
        <w:tc>
          <w:tcPr>
            <w:tcW w:w="7088" w:type="dxa"/>
            <w:gridSpan w:val="2"/>
            <w:shd w:val="clear" w:color="auto" w:fill="auto"/>
            <w:vAlign w:val="center"/>
          </w:tcPr>
          <w:p w14:paraId="2BEA79CB">
            <w:pPr>
              <w:pStyle w:val="32"/>
              <w:spacing w:line="360" w:lineRule="auto"/>
              <w:jc w:val="both"/>
              <w:rPr>
                <w:color w:val="auto"/>
                <w:spacing w:val="-5"/>
                <w:highlight w:val="none"/>
                <w:lang w:eastAsia="zh-CN"/>
              </w:rPr>
            </w:pPr>
            <w:r>
              <w:rPr>
                <w:rFonts w:hint="eastAsia"/>
                <w:color w:val="auto"/>
                <w:spacing w:val="-5"/>
                <w:highlight w:val="none"/>
                <w:lang w:eastAsia="zh-CN"/>
              </w:rPr>
              <w:t>1.报价合理性说明：评审中出现下列情形之一的，评审委员会应当启动异常低价投标（响应）审查程序：</w:t>
            </w:r>
          </w:p>
          <w:p w14:paraId="1E8246EB">
            <w:pPr>
              <w:pStyle w:val="32"/>
              <w:spacing w:line="360" w:lineRule="auto"/>
              <w:jc w:val="both"/>
              <w:rPr>
                <w:color w:val="auto"/>
                <w:spacing w:val="-5"/>
                <w:highlight w:val="none"/>
                <w:lang w:eastAsia="zh-CN"/>
              </w:rPr>
            </w:pPr>
            <w:r>
              <w:rPr>
                <w:rFonts w:hint="eastAsia"/>
                <w:color w:val="auto"/>
                <w:spacing w:val="-5"/>
                <w:highlight w:val="none"/>
                <w:lang w:eastAsia="zh-CN"/>
              </w:rPr>
              <w:t>1.1投标（响应）报价低于全部通过符合性审查供应商投标（响应）报价平均值50%的，即投标（响应）报价＜全部通过符合性审查供应商投标（响应）报价平均值×50%；</w:t>
            </w:r>
          </w:p>
          <w:p w14:paraId="5A588E9F">
            <w:pPr>
              <w:pStyle w:val="32"/>
              <w:spacing w:line="360" w:lineRule="auto"/>
              <w:jc w:val="both"/>
              <w:rPr>
                <w:color w:val="auto"/>
                <w:spacing w:val="-5"/>
                <w:highlight w:val="none"/>
                <w:lang w:eastAsia="zh-CN"/>
              </w:rPr>
            </w:pPr>
            <w:r>
              <w:rPr>
                <w:rFonts w:hint="eastAsia"/>
                <w:color w:val="auto"/>
                <w:spacing w:val="-5"/>
                <w:highlight w:val="none"/>
                <w:lang w:eastAsia="zh-CN"/>
              </w:rPr>
              <w:t>1.2投标（响应）报价低于通过符合性审查的次低报价供应商投标（响应）报价50%的，即投标（响应）报价＜通过符合性审查的次低报价供应商投标（响应）报价×50%；</w:t>
            </w:r>
          </w:p>
          <w:p w14:paraId="4D07A5DA">
            <w:pPr>
              <w:pStyle w:val="32"/>
              <w:spacing w:line="360" w:lineRule="auto"/>
              <w:jc w:val="both"/>
              <w:rPr>
                <w:color w:val="auto"/>
                <w:spacing w:val="-5"/>
                <w:highlight w:val="none"/>
                <w:lang w:eastAsia="zh-CN"/>
              </w:rPr>
            </w:pPr>
            <w:r>
              <w:rPr>
                <w:rFonts w:hint="eastAsia"/>
                <w:color w:val="auto"/>
                <w:spacing w:val="-5"/>
                <w:highlight w:val="none"/>
                <w:lang w:eastAsia="zh-CN"/>
              </w:rPr>
              <w:t>1.3投标（响应）报价低于采购项目最高限价45%的，即投标（响应）报价＜采购项目最高限价×45%；</w:t>
            </w:r>
          </w:p>
          <w:p w14:paraId="27E5A525">
            <w:pPr>
              <w:pStyle w:val="32"/>
              <w:spacing w:line="360" w:lineRule="auto"/>
              <w:jc w:val="both"/>
              <w:rPr>
                <w:color w:val="auto"/>
                <w:spacing w:val="-5"/>
                <w:highlight w:val="none"/>
                <w:lang w:eastAsia="zh-CN"/>
              </w:rPr>
            </w:pPr>
            <w:r>
              <w:rPr>
                <w:rFonts w:hint="eastAsia"/>
                <w:color w:val="auto"/>
                <w:spacing w:val="-5"/>
                <w:highlight w:val="none"/>
                <w:lang w:eastAsia="zh-CN"/>
              </w:rPr>
              <w:t>1.4评审委员会基于专业判断，认为供应商报价过低，有可能影响产品质量或者不能诚信履约的其他情形。</w:t>
            </w:r>
          </w:p>
          <w:p w14:paraId="33907FB5">
            <w:pPr>
              <w:pStyle w:val="32"/>
              <w:spacing w:line="360" w:lineRule="auto"/>
              <w:jc w:val="both"/>
              <w:rPr>
                <w:color w:val="auto"/>
                <w:spacing w:val="-5"/>
                <w:highlight w:val="none"/>
                <w:lang w:eastAsia="zh-CN"/>
              </w:rPr>
            </w:pPr>
            <w:r>
              <w:rPr>
                <w:rFonts w:hint="eastAsia"/>
                <w:color w:val="auto"/>
                <w:spacing w:val="-5"/>
                <w:highlight w:val="none"/>
                <w:lang w:eastAsia="zh-CN"/>
              </w:rPr>
              <w:t>采购人可以结合具体项目实际情况，提高上述第1.1项至第1.3项中启动异常低价投标（响应）审查的数值标准，但是最高不得超过65%。</w:t>
            </w:r>
            <w:r>
              <w:rPr>
                <w:rFonts w:hint="eastAsia"/>
                <w:b/>
                <w:bCs/>
                <w:color w:val="auto"/>
                <w:spacing w:val="-5"/>
                <w:highlight w:val="none"/>
                <w:lang w:eastAsia="zh-CN"/>
              </w:rPr>
              <w:t>本项目将1.1至1.3项的数值标准修改为6</w:t>
            </w:r>
            <w:r>
              <w:rPr>
                <w:rFonts w:hint="eastAsia"/>
                <w:b/>
                <w:bCs/>
                <w:color w:val="auto"/>
                <w:spacing w:val="-5"/>
                <w:highlight w:val="none"/>
                <w:lang w:val="en-US" w:eastAsia="zh-CN"/>
              </w:rPr>
              <w:t>5</w:t>
            </w:r>
            <w:r>
              <w:rPr>
                <w:rFonts w:hint="eastAsia"/>
                <w:b/>
                <w:bCs/>
                <w:color w:val="auto"/>
                <w:spacing w:val="-5"/>
                <w:highlight w:val="none"/>
                <w:lang w:eastAsia="zh-CN"/>
              </w:rPr>
              <w:t>%</w:t>
            </w:r>
            <w:r>
              <w:rPr>
                <w:rFonts w:hint="eastAsia"/>
                <w:color w:val="auto"/>
                <w:spacing w:val="-5"/>
                <w:highlight w:val="none"/>
                <w:lang w:eastAsia="zh-CN"/>
              </w:rPr>
              <w:t>。</w:t>
            </w:r>
          </w:p>
          <w:p w14:paraId="09BA8562">
            <w:pPr>
              <w:pStyle w:val="32"/>
              <w:spacing w:line="360" w:lineRule="auto"/>
              <w:jc w:val="both"/>
              <w:rPr>
                <w:color w:val="auto"/>
                <w:spacing w:val="-5"/>
                <w:highlight w:val="none"/>
                <w:lang w:eastAsia="zh-CN"/>
              </w:rPr>
            </w:pPr>
            <w:r>
              <w:rPr>
                <w:rFonts w:hint="eastAsia"/>
                <w:color w:val="auto"/>
                <w:spacing w:val="-5"/>
                <w:highlight w:val="none"/>
                <w:lang w:eastAsia="zh-CN"/>
              </w:rPr>
              <w:t>相关法律法规对供应商报价有规定的，从其规定。</w:t>
            </w:r>
          </w:p>
          <w:p w14:paraId="29993C91">
            <w:pPr>
              <w:pStyle w:val="32"/>
              <w:spacing w:line="360" w:lineRule="auto"/>
              <w:jc w:val="both"/>
              <w:rPr>
                <w:color w:val="auto"/>
                <w:spacing w:val="-5"/>
                <w:highlight w:val="none"/>
                <w:lang w:eastAsia="zh-CN"/>
              </w:rPr>
            </w:pPr>
            <w:r>
              <w:rPr>
                <w:rFonts w:hint="eastAsia"/>
                <w:color w:val="auto"/>
                <w:spacing w:val="-5"/>
                <w:highlight w:val="none"/>
                <w:lang w:eastAsia="zh-CN"/>
              </w:rPr>
              <w:t>2 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投标（响应）文件一并提交相关书面说明及必要的证明材料的，在评审现场可不再重复提交。</w:t>
            </w:r>
          </w:p>
          <w:p w14:paraId="461D7AB2">
            <w:pPr>
              <w:pStyle w:val="32"/>
              <w:spacing w:line="360" w:lineRule="auto"/>
              <w:jc w:val="both"/>
              <w:rPr>
                <w:color w:val="auto"/>
                <w:spacing w:val="-5"/>
                <w:highlight w:val="none"/>
                <w:lang w:eastAsia="zh-CN"/>
              </w:rPr>
            </w:pPr>
            <w:r>
              <w:rPr>
                <w:rFonts w:hint="eastAsia"/>
                <w:color w:val="auto"/>
                <w:spacing w:val="-5"/>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53556C">
            <w:pPr>
              <w:pStyle w:val="32"/>
              <w:spacing w:line="360" w:lineRule="auto"/>
              <w:jc w:val="both"/>
              <w:rPr>
                <w:color w:val="auto"/>
                <w:spacing w:val="-5"/>
                <w:highlight w:val="none"/>
                <w:lang w:eastAsia="zh-CN"/>
              </w:rPr>
            </w:pPr>
            <w:r>
              <w:rPr>
                <w:rFonts w:hint="eastAsia"/>
                <w:color w:val="auto"/>
                <w:spacing w:val="-5"/>
                <w:highlight w:val="none"/>
                <w:lang w:eastAsia="zh-CN"/>
              </w:rPr>
              <w:t>供应商也可以有预见性地准备好上述要求的书面说明和相关证明材料并加盖公章。</w:t>
            </w:r>
          </w:p>
          <w:p w14:paraId="238D5B64">
            <w:pPr>
              <w:pStyle w:val="32"/>
              <w:spacing w:line="360" w:lineRule="auto"/>
              <w:jc w:val="both"/>
              <w:rPr>
                <w:color w:val="auto"/>
                <w:spacing w:val="-5"/>
                <w:highlight w:val="none"/>
                <w:lang w:eastAsia="zh-CN"/>
              </w:rPr>
            </w:pPr>
            <w:r>
              <w:rPr>
                <w:rFonts w:hint="eastAsia"/>
                <w:color w:val="auto"/>
                <w:spacing w:val="-5"/>
                <w:highlight w:val="none"/>
                <w:lang w:eastAsia="zh-CN"/>
              </w:rPr>
              <w:t>注：本项目计算报价合理性时根据投标人填报的折扣率计算，例如：本项目投标折扣率设置的最高限价为100%，根据上述1.3项的规定，采购项目最低折扣率限价为6</w:t>
            </w:r>
            <w:r>
              <w:rPr>
                <w:rFonts w:hint="eastAsia"/>
                <w:color w:val="auto"/>
                <w:spacing w:val="-5"/>
                <w:highlight w:val="none"/>
                <w:lang w:val="en-US" w:eastAsia="zh-CN"/>
              </w:rPr>
              <w:t>5</w:t>
            </w:r>
            <w:r>
              <w:rPr>
                <w:rFonts w:hint="eastAsia"/>
                <w:color w:val="auto"/>
                <w:spacing w:val="-5"/>
                <w:highlight w:val="none"/>
                <w:lang w:eastAsia="zh-CN"/>
              </w:rPr>
              <w:t>%，如果投标人填报的折扣率数值低于6</w:t>
            </w:r>
            <w:r>
              <w:rPr>
                <w:rFonts w:hint="eastAsia"/>
                <w:color w:val="auto"/>
                <w:spacing w:val="-5"/>
                <w:highlight w:val="none"/>
                <w:lang w:val="en-US" w:eastAsia="zh-CN"/>
              </w:rPr>
              <w:t>5</w:t>
            </w:r>
            <w:r>
              <w:rPr>
                <w:rFonts w:hint="eastAsia"/>
                <w:color w:val="auto"/>
                <w:spacing w:val="-5"/>
                <w:highlight w:val="none"/>
                <w:lang w:eastAsia="zh-CN"/>
              </w:rPr>
              <w:t>%（例如：折扣率</w:t>
            </w:r>
            <w:r>
              <w:rPr>
                <w:rFonts w:hint="eastAsia"/>
                <w:color w:val="auto"/>
                <w:spacing w:val="-5"/>
                <w:highlight w:val="none"/>
                <w:lang w:val="en-US" w:eastAsia="zh-CN"/>
              </w:rPr>
              <w:t>59</w:t>
            </w:r>
            <w:r>
              <w:rPr>
                <w:rFonts w:hint="eastAsia"/>
                <w:color w:val="auto"/>
                <w:spacing w:val="-5"/>
                <w:highlight w:val="none"/>
                <w:lang w:eastAsia="zh-CN"/>
              </w:rPr>
              <w:t>%是低于6</w:t>
            </w:r>
            <w:r>
              <w:rPr>
                <w:rFonts w:hint="eastAsia"/>
                <w:color w:val="auto"/>
                <w:spacing w:val="-5"/>
                <w:highlight w:val="none"/>
                <w:lang w:val="en-US" w:eastAsia="zh-CN"/>
              </w:rPr>
              <w:t>5</w:t>
            </w:r>
            <w:r>
              <w:rPr>
                <w:rFonts w:hint="eastAsia"/>
                <w:color w:val="auto"/>
                <w:spacing w:val="-5"/>
                <w:highlight w:val="none"/>
                <w:lang w:eastAsia="zh-CN"/>
              </w:rPr>
              <w:t>%），将会对该投标人启动异常低价投标（响应）审查程序。</w:t>
            </w:r>
          </w:p>
        </w:tc>
      </w:tr>
      <w:tr w14:paraId="1C08A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AC93D7D">
            <w:pPr>
              <w:pStyle w:val="32"/>
              <w:spacing w:line="360" w:lineRule="auto"/>
              <w:jc w:val="center"/>
              <w:rPr>
                <w:color w:val="auto"/>
                <w:highlight w:val="none"/>
              </w:rPr>
            </w:pPr>
            <w:r>
              <w:rPr>
                <w:rFonts w:hint="eastAsia"/>
                <w:color w:val="auto"/>
                <w:spacing w:val="-7"/>
                <w:highlight w:val="none"/>
              </w:rPr>
              <w:t>15.1</w:t>
            </w:r>
          </w:p>
        </w:tc>
        <w:tc>
          <w:tcPr>
            <w:tcW w:w="1701" w:type="dxa"/>
            <w:vAlign w:val="center"/>
          </w:tcPr>
          <w:p w14:paraId="5DFFDD52">
            <w:pPr>
              <w:pStyle w:val="32"/>
              <w:spacing w:line="360" w:lineRule="auto"/>
              <w:ind w:left="114"/>
              <w:jc w:val="center"/>
              <w:rPr>
                <w:color w:val="auto"/>
                <w:highlight w:val="none"/>
              </w:rPr>
            </w:pPr>
            <w:r>
              <w:rPr>
                <w:rFonts w:hint="eastAsia"/>
                <w:color w:val="auto"/>
                <w:spacing w:val="-3"/>
                <w:highlight w:val="none"/>
              </w:rPr>
              <w:t>投标有效期</w:t>
            </w:r>
          </w:p>
        </w:tc>
        <w:tc>
          <w:tcPr>
            <w:tcW w:w="7088" w:type="dxa"/>
            <w:gridSpan w:val="2"/>
            <w:vAlign w:val="center"/>
          </w:tcPr>
          <w:p w14:paraId="1744DEE6">
            <w:pPr>
              <w:pStyle w:val="32"/>
              <w:spacing w:line="360" w:lineRule="auto"/>
              <w:ind w:left="-2" w:leftChars="-7" w:hanging="13" w:hangingChars="6"/>
              <w:jc w:val="both"/>
              <w:rPr>
                <w:color w:val="auto"/>
                <w:spacing w:val="-5"/>
                <w:highlight w:val="none"/>
                <w:lang w:eastAsia="zh-CN"/>
              </w:rPr>
            </w:pPr>
            <w:r>
              <w:rPr>
                <w:rFonts w:hint="eastAsia"/>
                <w:color w:val="auto"/>
                <w:spacing w:val="-5"/>
                <w:highlight w:val="none"/>
                <w:lang w:eastAsia="zh-CN"/>
              </w:rPr>
              <w:t xml:space="preserve">投标截止时间后 </w:t>
            </w:r>
            <w:r>
              <w:rPr>
                <w:rFonts w:hint="eastAsia"/>
                <w:color w:val="auto"/>
                <w:spacing w:val="-5"/>
                <w:highlight w:val="none"/>
                <w:u w:val="single"/>
                <w:lang w:eastAsia="zh-CN"/>
              </w:rPr>
              <w:t xml:space="preserve">90 </w:t>
            </w:r>
            <w:r>
              <w:rPr>
                <w:rFonts w:hint="eastAsia"/>
                <w:color w:val="auto"/>
                <w:spacing w:val="-5"/>
                <w:highlight w:val="none"/>
                <w:lang w:eastAsia="zh-CN"/>
              </w:rPr>
              <w:t>日历日。</w:t>
            </w:r>
          </w:p>
        </w:tc>
      </w:tr>
      <w:tr w14:paraId="65B5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306427FC">
            <w:pPr>
              <w:pStyle w:val="32"/>
              <w:spacing w:line="360" w:lineRule="auto"/>
              <w:jc w:val="center"/>
              <w:rPr>
                <w:color w:val="auto"/>
                <w:spacing w:val="-7"/>
                <w:highlight w:val="none"/>
                <w:lang w:eastAsia="zh-CN"/>
              </w:rPr>
            </w:pPr>
            <w:r>
              <w:rPr>
                <w:rFonts w:hint="eastAsia"/>
                <w:color w:val="auto"/>
                <w:spacing w:val="-7"/>
                <w:highlight w:val="none"/>
                <w:lang w:eastAsia="zh-CN"/>
              </w:rPr>
              <w:t>15.2</w:t>
            </w:r>
          </w:p>
        </w:tc>
        <w:tc>
          <w:tcPr>
            <w:tcW w:w="1701" w:type="dxa"/>
            <w:vAlign w:val="center"/>
          </w:tcPr>
          <w:p w14:paraId="1C48F3F5">
            <w:pPr>
              <w:pStyle w:val="32"/>
              <w:spacing w:line="360" w:lineRule="auto"/>
              <w:ind w:left="114"/>
              <w:jc w:val="center"/>
              <w:rPr>
                <w:color w:val="auto"/>
                <w:spacing w:val="-3"/>
                <w:highlight w:val="none"/>
                <w:lang w:eastAsia="zh-CN"/>
              </w:rPr>
            </w:pPr>
            <w:r>
              <w:rPr>
                <w:rFonts w:hint="eastAsia"/>
                <w:color w:val="auto"/>
                <w:spacing w:val="-3"/>
                <w:highlight w:val="none"/>
                <w:lang w:eastAsia="zh-CN"/>
              </w:rPr>
              <w:t>报价方式</w:t>
            </w:r>
          </w:p>
        </w:tc>
        <w:tc>
          <w:tcPr>
            <w:tcW w:w="7088" w:type="dxa"/>
            <w:gridSpan w:val="2"/>
            <w:vAlign w:val="center"/>
          </w:tcPr>
          <w:p w14:paraId="44359862">
            <w:pPr>
              <w:pStyle w:val="32"/>
              <w:spacing w:line="360" w:lineRule="auto"/>
              <w:ind w:left="-2" w:leftChars="-7" w:hanging="13" w:hangingChars="6"/>
              <w:jc w:val="both"/>
              <w:rPr>
                <w:color w:val="auto"/>
                <w:spacing w:val="-5"/>
                <w:highlight w:val="none"/>
                <w:lang w:eastAsia="zh-CN"/>
              </w:rPr>
            </w:pPr>
            <w:r>
              <w:rPr>
                <w:rFonts w:hint="eastAsia"/>
                <w:color w:val="auto"/>
                <w:spacing w:val="-5"/>
                <w:highlight w:val="none"/>
                <w:lang w:eastAsia="zh-CN"/>
              </w:rPr>
              <w:t>折扣率</w:t>
            </w:r>
          </w:p>
        </w:tc>
      </w:tr>
      <w:tr w14:paraId="6A50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3ED44C6A">
            <w:pPr>
              <w:pStyle w:val="32"/>
              <w:spacing w:line="360" w:lineRule="auto"/>
              <w:jc w:val="center"/>
              <w:rPr>
                <w:color w:val="auto"/>
                <w:highlight w:val="none"/>
              </w:rPr>
            </w:pPr>
            <w:r>
              <w:rPr>
                <w:rFonts w:hint="eastAsia"/>
                <w:color w:val="auto"/>
                <w:spacing w:val="-7"/>
                <w:highlight w:val="none"/>
              </w:rPr>
              <w:t>17.1</w:t>
            </w:r>
          </w:p>
        </w:tc>
        <w:tc>
          <w:tcPr>
            <w:tcW w:w="1701" w:type="dxa"/>
            <w:vAlign w:val="center"/>
          </w:tcPr>
          <w:p w14:paraId="5C3DA066">
            <w:pPr>
              <w:pStyle w:val="32"/>
              <w:spacing w:line="360" w:lineRule="auto"/>
              <w:jc w:val="center"/>
              <w:rPr>
                <w:color w:val="auto"/>
                <w:highlight w:val="none"/>
              </w:rPr>
            </w:pPr>
            <w:r>
              <w:rPr>
                <w:rFonts w:hint="eastAsia"/>
                <w:color w:val="auto"/>
                <w:spacing w:val="-3"/>
                <w:highlight w:val="none"/>
              </w:rPr>
              <w:t>投标保证金</w:t>
            </w:r>
          </w:p>
        </w:tc>
        <w:tc>
          <w:tcPr>
            <w:tcW w:w="7088" w:type="dxa"/>
            <w:gridSpan w:val="2"/>
            <w:vAlign w:val="center"/>
          </w:tcPr>
          <w:p w14:paraId="07F2B559">
            <w:pPr>
              <w:pStyle w:val="32"/>
              <w:spacing w:line="360" w:lineRule="auto"/>
              <w:jc w:val="both"/>
              <w:rPr>
                <w:color w:val="auto"/>
                <w:spacing w:val="-5"/>
                <w:highlight w:val="none"/>
                <w:lang w:eastAsia="zh-CN"/>
              </w:rPr>
            </w:pPr>
            <w:r>
              <w:rPr>
                <w:rFonts w:hint="eastAsia"/>
                <w:color w:val="auto"/>
                <w:spacing w:val="-5"/>
                <w:highlight w:val="none"/>
                <w:lang w:eastAsia="zh-CN"/>
              </w:rPr>
              <w:t>投标保证金/电子保函：☑需要缴纳     □不需要缴纳</w:t>
            </w:r>
          </w:p>
          <w:p w14:paraId="1E7972B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数额不得超过招标项目委托合计金额的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%，本项目的投标保证金为人民币：</w:t>
            </w:r>
            <w:r>
              <w:rPr>
                <w:rFonts w:hint="eastAsia" w:ascii="宋体" w:hAnsi="宋体" w:eastAsia="宋体" w:cs="宋体"/>
                <w:color w:val="auto"/>
                <w:sz w:val="24"/>
                <w:szCs w:val="24"/>
                <w:highlight w:val="none"/>
                <w:lang w:val="en-US" w:eastAsia="zh-CN"/>
              </w:rPr>
              <w:t>71300</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柒万壹仟叁佰</w:t>
            </w:r>
            <w:r>
              <w:rPr>
                <w:rFonts w:hint="eastAsia" w:ascii="宋体" w:hAnsi="宋体" w:eastAsia="宋体" w:cs="宋体"/>
                <w:color w:val="auto"/>
                <w:sz w:val="24"/>
                <w:szCs w:val="24"/>
                <w:highlight w:val="none"/>
                <w:lang w:eastAsia="zh-CN"/>
              </w:rPr>
              <w:t>元整）</w:t>
            </w:r>
          </w:p>
          <w:p w14:paraId="0176C44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投标保证金到账截止时间：同招标截止时间</w:t>
            </w:r>
          </w:p>
          <w:p w14:paraId="1E05B70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提交方式：须从供应商账户转出或以网银、银行电汇等非现金形式缴纳。</w:t>
            </w:r>
          </w:p>
          <w:p w14:paraId="001050B8">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账户信息：</w:t>
            </w:r>
          </w:p>
          <w:p w14:paraId="0BA51DF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开户单位名称：新疆金正建设工程管理有限公司</w:t>
            </w:r>
          </w:p>
          <w:p w14:paraId="5A7C21ED">
            <w:pPr>
              <w:spacing w:line="360" w:lineRule="auto"/>
              <w:ind w:left="1135" w:hanging="1135" w:hangingChars="47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开户行：中国银行股份有限公司乌鲁木齐市友好南路支行</w:t>
            </w:r>
          </w:p>
          <w:p w14:paraId="7EF1296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行号：104881005062</w:t>
            </w:r>
          </w:p>
          <w:p w14:paraId="7629C465">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银行帐号：107601654453</w:t>
            </w:r>
          </w:p>
          <w:p w14:paraId="49DACB47">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联系电话：0991-4508736</w:t>
            </w:r>
          </w:p>
          <w:p w14:paraId="38F319C8">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联系人：杜香</w:t>
            </w:r>
          </w:p>
          <w:p w14:paraId="7C981A93">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投标保证金以到账信息为准，供应商应充分考虑在途时间，供应商未按照招标文件要求提交投标保证金的，投标无效。</w:t>
            </w:r>
          </w:p>
          <w:p w14:paraId="6A16D7F4">
            <w:pPr>
              <w:pStyle w:val="32"/>
              <w:spacing w:line="360" w:lineRule="auto"/>
              <w:rPr>
                <w:color w:val="auto"/>
                <w:spacing w:val="9"/>
                <w:highlight w:val="none"/>
                <w:lang w:eastAsia="zh-CN"/>
              </w:rPr>
            </w:pPr>
            <w:r>
              <w:rPr>
                <w:rFonts w:hint="eastAsia"/>
                <w:color w:val="auto"/>
                <w:highlight w:val="none"/>
                <w:lang w:eastAsia="zh-CN"/>
              </w:rPr>
              <w:t>注：以电汇方式递交投标保证金须在电汇凭据附言栏中写明招标编号、包号及用途(投标保证金)。</w:t>
            </w:r>
          </w:p>
        </w:tc>
      </w:tr>
      <w:tr w14:paraId="72E2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87BB5EE">
            <w:pPr>
              <w:pStyle w:val="32"/>
              <w:spacing w:before="78" w:line="360" w:lineRule="auto"/>
              <w:jc w:val="center"/>
              <w:rPr>
                <w:color w:val="auto"/>
                <w:highlight w:val="none"/>
              </w:rPr>
            </w:pPr>
            <w:r>
              <w:rPr>
                <w:rFonts w:hint="eastAsia"/>
                <w:color w:val="auto"/>
                <w:spacing w:val="-7"/>
                <w:highlight w:val="none"/>
              </w:rPr>
              <w:t>22</w:t>
            </w:r>
          </w:p>
        </w:tc>
        <w:tc>
          <w:tcPr>
            <w:tcW w:w="1701" w:type="dxa"/>
            <w:vAlign w:val="center"/>
          </w:tcPr>
          <w:p w14:paraId="7DCDD176">
            <w:pPr>
              <w:pStyle w:val="32"/>
              <w:spacing w:before="78" w:line="360" w:lineRule="auto"/>
              <w:jc w:val="center"/>
              <w:rPr>
                <w:color w:val="auto"/>
                <w:highlight w:val="none"/>
              </w:rPr>
            </w:pPr>
            <w:r>
              <w:rPr>
                <w:rFonts w:hint="eastAsia"/>
                <w:color w:val="auto"/>
                <w:spacing w:val="-4"/>
                <w:highlight w:val="none"/>
              </w:rPr>
              <w:t>实物样品</w:t>
            </w:r>
          </w:p>
        </w:tc>
        <w:tc>
          <w:tcPr>
            <w:tcW w:w="7088" w:type="dxa"/>
            <w:gridSpan w:val="2"/>
          </w:tcPr>
          <w:p w14:paraId="52A9B911">
            <w:pPr>
              <w:pStyle w:val="32"/>
              <w:spacing w:line="360" w:lineRule="auto"/>
              <w:jc w:val="both"/>
              <w:rPr>
                <w:color w:val="auto"/>
                <w:spacing w:val="-5"/>
                <w:highlight w:val="none"/>
                <w:lang w:eastAsia="zh-CN"/>
              </w:rPr>
            </w:pPr>
            <w:r>
              <w:rPr>
                <w:rFonts w:hint="eastAsia"/>
                <w:color w:val="auto"/>
                <w:spacing w:val="-5"/>
                <w:highlight w:val="none"/>
                <w:lang w:eastAsia="zh-CN"/>
              </w:rPr>
              <w:t>投标样品递交：☑不需要  □需要，具体要求如下：</w:t>
            </w:r>
          </w:p>
          <w:p w14:paraId="5C468EF2">
            <w:pPr>
              <w:pStyle w:val="32"/>
              <w:spacing w:line="360" w:lineRule="auto"/>
              <w:jc w:val="both"/>
              <w:rPr>
                <w:color w:val="auto"/>
                <w:spacing w:val="-5"/>
                <w:highlight w:val="none"/>
                <w:lang w:eastAsia="zh-CN"/>
              </w:rPr>
            </w:pPr>
            <w:r>
              <w:rPr>
                <w:rFonts w:hint="eastAsia"/>
                <w:color w:val="auto"/>
                <w:spacing w:val="-5"/>
                <w:highlight w:val="none"/>
                <w:lang w:eastAsia="zh-CN"/>
              </w:rPr>
              <w:t>1.样品制作的标准和要求：</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78BF9C68">
            <w:pPr>
              <w:pStyle w:val="32"/>
              <w:spacing w:line="360" w:lineRule="auto"/>
              <w:jc w:val="both"/>
              <w:rPr>
                <w:color w:val="auto"/>
                <w:spacing w:val="-5"/>
                <w:highlight w:val="none"/>
                <w:lang w:eastAsia="zh-CN"/>
              </w:rPr>
            </w:pPr>
            <w:r>
              <w:rPr>
                <w:rFonts w:hint="eastAsia"/>
                <w:color w:val="auto"/>
                <w:spacing w:val="-5"/>
                <w:highlight w:val="none"/>
                <w:lang w:eastAsia="zh-CN"/>
              </w:rPr>
              <w:t>2.是否需要随样品提交相关检测报告：□不需要  □需要</w:t>
            </w:r>
          </w:p>
          <w:p w14:paraId="457B1D44">
            <w:pPr>
              <w:pStyle w:val="32"/>
              <w:spacing w:line="360" w:lineRule="auto"/>
              <w:jc w:val="both"/>
              <w:rPr>
                <w:color w:val="auto"/>
                <w:spacing w:val="-5"/>
                <w:highlight w:val="none"/>
                <w:lang w:eastAsia="zh-CN"/>
              </w:rPr>
            </w:pPr>
            <w:r>
              <w:rPr>
                <w:rFonts w:hint="eastAsia"/>
                <w:color w:val="auto"/>
                <w:spacing w:val="-5"/>
                <w:highlight w:val="none"/>
                <w:lang w:eastAsia="zh-CN"/>
              </w:rPr>
              <w:t>3.样品递交要求：递交时间：</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0D2A4B94">
            <w:pPr>
              <w:pStyle w:val="32"/>
              <w:spacing w:line="360" w:lineRule="auto"/>
              <w:jc w:val="both"/>
              <w:rPr>
                <w:color w:val="auto"/>
                <w:spacing w:val="-5"/>
                <w:highlight w:val="none"/>
                <w:lang w:eastAsia="zh-CN"/>
              </w:rPr>
            </w:pPr>
            <w:r>
              <w:rPr>
                <w:rFonts w:hint="eastAsia"/>
                <w:color w:val="auto"/>
                <w:spacing w:val="-5"/>
                <w:highlight w:val="none"/>
                <w:lang w:eastAsia="zh-CN"/>
              </w:rPr>
              <w:t>递交地点：</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622AD23B">
            <w:pPr>
              <w:pStyle w:val="32"/>
              <w:spacing w:line="360" w:lineRule="auto"/>
              <w:jc w:val="both"/>
              <w:rPr>
                <w:color w:val="auto"/>
                <w:spacing w:val="-5"/>
                <w:highlight w:val="none"/>
                <w:lang w:eastAsia="zh-CN"/>
              </w:rPr>
            </w:pPr>
            <w:r>
              <w:rPr>
                <w:rFonts w:hint="eastAsia"/>
                <w:color w:val="auto"/>
                <w:spacing w:val="-5"/>
                <w:highlight w:val="none"/>
                <w:lang w:eastAsia="zh-CN"/>
              </w:rPr>
              <w:t>逾期提供的样品将不予接受。</w:t>
            </w:r>
          </w:p>
          <w:p w14:paraId="38E9A6A7">
            <w:pPr>
              <w:pStyle w:val="32"/>
              <w:spacing w:line="360" w:lineRule="auto"/>
              <w:jc w:val="both"/>
              <w:rPr>
                <w:color w:val="auto"/>
                <w:spacing w:val="-5"/>
                <w:highlight w:val="none"/>
                <w:lang w:eastAsia="zh-CN"/>
              </w:rPr>
            </w:pPr>
            <w:r>
              <w:rPr>
                <w:rFonts w:hint="eastAsia"/>
                <w:color w:val="auto"/>
                <w:spacing w:val="-5"/>
                <w:highlight w:val="none"/>
                <w:lang w:eastAsia="zh-CN"/>
              </w:rPr>
              <w:t>4.未中标人样品退还：</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7F41BCAF">
            <w:pPr>
              <w:pStyle w:val="32"/>
              <w:spacing w:line="360" w:lineRule="auto"/>
              <w:jc w:val="both"/>
              <w:rPr>
                <w:color w:val="auto"/>
                <w:spacing w:val="-5"/>
                <w:highlight w:val="none"/>
                <w:lang w:eastAsia="zh-CN"/>
              </w:rPr>
            </w:pPr>
            <w:r>
              <w:rPr>
                <w:rFonts w:hint="eastAsia"/>
                <w:color w:val="auto"/>
                <w:spacing w:val="-5"/>
                <w:highlight w:val="none"/>
                <w:lang w:eastAsia="zh-CN"/>
              </w:rPr>
              <w:t>5.中标人样品保管、封存及退还：</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0C82811F">
            <w:pPr>
              <w:pStyle w:val="32"/>
              <w:spacing w:line="360" w:lineRule="auto"/>
              <w:jc w:val="both"/>
              <w:rPr>
                <w:color w:val="auto"/>
                <w:spacing w:val="-5"/>
                <w:highlight w:val="none"/>
                <w:lang w:eastAsia="zh-CN"/>
              </w:rPr>
            </w:pPr>
            <w:r>
              <w:rPr>
                <w:rFonts w:hint="eastAsia"/>
                <w:color w:val="auto"/>
                <w:spacing w:val="-5"/>
                <w:highlight w:val="none"/>
                <w:lang w:eastAsia="zh-CN"/>
              </w:rPr>
              <w:t>6.其他要求（如有）：</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tc>
      </w:tr>
      <w:tr w14:paraId="7E76B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C1EB95B">
            <w:pPr>
              <w:pStyle w:val="32"/>
              <w:spacing w:before="78" w:line="360" w:lineRule="auto"/>
              <w:jc w:val="center"/>
              <w:rPr>
                <w:color w:val="auto"/>
                <w:highlight w:val="none"/>
              </w:rPr>
            </w:pPr>
            <w:r>
              <w:rPr>
                <w:rFonts w:hint="eastAsia"/>
                <w:color w:val="auto"/>
                <w:spacing w:val="-4"/>
                <w:highlight w:val="none"/>
              </w:rPr>
              <w:t>23.1</w:t>
            </w:r>
          </w:p>
        </w:tc>
        <w:tc>
          <w:tcPr>
            <w:tcW w:w="1701" w:type="dxa"/>
            <w:vAlign w:val="center"/>
          </w:tcPr>
          <w:p w14:paraId="5C5CCD4A">
            <w:pPr>
              <w:pStyle w:val="32"/>
              <w:spacing w:before="78" w:line="360" w:lineRule="auto"/>
              <w:jc w:val="center"/>
              <w:rPr>
                <w:color w:val="auto"/>
                <w:highlight w:val="none"/>
              </w:rPr>
            </w:pPr>
            <w:r>
              <w:rPr>
                <w:rFonts w:hint="eastAsia"/>
                <w:color w:val="auto"/>
                <w:spacing w:val="-6"/>
                <w:highlight w:val="none"/>
              </w:rPr>
              <w:t>演示</w:t>
            </w:r>
          </w:p>
        </w:tc>
        <w:tc>
          <w:tcPr>
            <w:tcW w:w="7088" w:type="dxa"/>
            <w:gridSpan w:val="2"/>
          </w:tcPr>
          <w:p w14:paraId="6663905A">
            <w:pPr>
              <w:pStyle w:val="32"/>
              <w:spacing w:line="360" w:lineRule="auto"/>
              <w:jc w:val="both"/>
              <w:rPr>
                <w:color w:val="auto"/>
                <w:spacing w:val="-5"/>
                <w:highlight w:val="none"/>
                <w:lang w:eastAsia="zh-CN"/>
              </w:rPr>
            </w:pPr>
            <w:r>
              <w:rPr>
                <w:rFonts w:hint="eastAsia"/>
                <w:color w:val="auto"/>
                <w:spacing w:val="-5"/>
                <w:highlight w:val="none"/>
                <w:lang w:eastAsia="zh-CN"/>
              </w:rPr>
              <w:t>☑不进行 □进行，远程线上演示/现场演示</w:t>
            </w:r>
          </w:p>
          <w:p w14:paraId="1F56C148">
            <w:pPr>
              <w:pStyle w:val="32"/>
              <w:spacing w:line="360" w:lineRule="auto"/>
              <w:jc w:val="both"/>
              <w:rPr>
                <w:color w:val="auto"/>
                <w:spacing w:val="-5"/>
                <w:highlight w:val="none"/>
                <w:lang w:eastAsia="zh-CN"/>
              </w:rPr>
            </w:pPr>
            <w:r>
              <w:rPr>
                <w:rFonts w:hint="eastAsia"/>
                <w:color w:val="auto"/>
                <w:spacing w:val="-5"/>
                <w:highlight w:val="none"/>
                <w:lang w:eastAsia="zh-CN"/>
              </w:rPr>
              <w:t>1.演示时间不得超过</w:t>
            </w:r>
            <w:r>
              <w:rPr>
                <w:rFonts w:hint="eastAsia"/>
                <w:color w:val="auto"/>
                <w:spacing w:val="-5"/>
                <w:highlight w:val="none"/>
                <w:u w:val="single"/>
                <w:lang w:eastAsia="zh-CN"/>
              </w:rPr>
              <w:t xml:space="preserve">  /  </w:t>
            </w:r>
            <w:r>
              <w:rPr>
                <w:rFonts w:hint="eastAsia"/>
                <w:color w:val="auto"/>
                <w:spacing w:val="-5"/>
                <w:highlight w:val="none"/>
                <w:lang w:eastAsia="zh-CN"/>
              </w:rPr>
              <w:t>分钟；</w:t>
            </w:r>
          </w:p>
          <w:p w14:paraId="157555F1">
            <w:pPr>
              <w:pStyle w:val="32"/>
              <w:spacing w:line="360" w:lineRule="auto"/>
              <w:jc w:val="both"/>
              <w:rPr>
                <w:color w:val="auto"/>
                <w:spacing w:val="-5"/>
                <w:highlight w:val="none"/>
                <w:lang w:eastAsia="zh-CN"/>
              </w:rPr>
            </w:pPr>
            <w:r>
              <w:rPr>
                <w:rFonts w:hint="eastAsia"/>
                <w:color w:val="auto"/>
                <w:spacing w:val="-5"/>
                <w:highlight w:val="none"/>
                <w:lang w:eastAsia="zh-CN"/>
              </w:rPr>
              <w:t>2.进行远程线上演示的，投标人应提前自行准备好演示的软硬配置环境和网络环境，做好演示的各项准备工作。因投标人自身原因无法演示或者演示效果不理想的，导致的后果由投标人自行承担；</w:t>
            </w:r>
          </w:p>
        </w:tc>
      </w:tr>
      <w:tr w14:paraId="57FA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64201DD">
            <w:pPr>
              <w:pStyle w:val="32"/>
              <w:spacing w:line="360" w:lineRule="auto"/>
              <w:jc w:val="center"/>
              <w:rPr>
                <w:color w:val="auto"/>
                <w:spacing w:val="-4"/>
                <w:highlight w:val="none"/>
              </w:rPr>
            </w:pPr>
            <w:r>
              <w:rPr>
                <w:rFonts w:hint="eastAsia"/>
                <w:color w:val="auto"/>
                <w:spacing w:val="-4"/>
                <w:highlight w:val="none"/>
              </w:rPr>
              <w:t>25.3</w:t>
            </w:r>
          </w:p>
          <w:p w14:paraId="5EEBD2E8">
            <w:pPr>
              <w:pStyle w:val="32"/>
              <w:spacing w:line="360" w:lineRule="auto"/>
              <w:jc w:val="center"/>
              <w:rPr>
                <w:color w:val="auto"/>
                <w:spacing w:val="-4"/>
                <w:highlight w:val="none"/>
                <w:lang w:eastAsia="zh-CN"/>
              </w:rPr>
            </w:pPr>
            <w:r>
              <w:rPr>
                <w:rFonts w:hint="eastAsia"/>
                <w:color w:val="auto"/>
                <w:spacing w:val="-4"/>
                <w:highlight w:val="none"/>
                <w:lang w:eastAsia="zh-CN"/>
              </w:rPr>
              <w:t>（3）</w:t>
            </w:r>
          </w:p>
        </w:tc>
        <w:tc>
          <w:tcPr>
            <w:tcW w:w="1701" w:type="dxa"/>
            <w:vAlign w:val="center"/>
          </w:tcPr>
          <w:p w14:paraId="18473493">
            <w:pPr>
              <w:pStyle w:val="32"/>
              <w:spacing w:line="360" w:lineRule="auto"/>
              <w:ind w:right="87"/>
              <w:jc w:val="center"/>
              <w:rPr>
                <w:color w:val="auto"/>
                <w:highlight w:val="none"/>
              </w:rPr>
            </w:pPr>
            <w:r>
              <w:rPr>
                <w:rFonts w:hint="eastAsia"/>
                <w:color w:val="auto"/>
                <w:spacing w:val="-2"/>
                <w:highlight w:val="none"/>
              </w:rPr>
              <w:t>解密投标文件</w:t>
            </w:r>
            <w:r>
              <w:rPr>
                <w:rFonts w:hint="eastAsia"/>
                <w:color w:val="auto"/>
                <w:spacing w:val="-10"/>
                <w:highlight w:val="none"/>
              </w:rPr>
              <w:t>的时限</w:t>
            </w:r>
          </w:p>
        </w:tc>
        <w:tc>
          <w:tcPr>
            <w:tcW w:w="7088" w:type="dxa"/>
            <w:gridSpan w:val="2"/>
          </w:tcPr>
          <w:p w14:paraId="56964806">
            <w:pPr>
              <w:pStyle w:val="32"/>
              <w:spacing w:line="360" w:lineRule="auto"/>
              <w:jc w:val="both"/>
              <w:rPr>
                <w:color w:val="auto"/>
                <w:spacing w:val="-5"/>
                <w:highlight w:val="none"/>
                <w:lang w:eastAsia="zh-CN"/>
              </w:rPr>
            </w:pPr>
            <w:r>
              <w:rPr>
                <w:rFonts w:hint="eastAsia"/>
                <w:color w:val="auto"/>
                <w:spacing w:val="-5"/>
                <w:highlight w:val="none"/>
                <w:lang w:eastAsia="zh-CN"/>
              </w:rPr>
              <w:t>不见面开标默认解密时长：</w:t>
            </w:r>
            <w:r>
              <w:rPr>
                <w:rFonts w:hint="eastAsia"/>
                <w:color w:val="auto"/>
                <w:spacing w:val="-5"/>
                <w:highlight w:val="none"/>
                <w:u w:val="single"/>
                <w:lang w:eastAsia="zh-CN"/>
              </w:rPr>
              <w:t xml:space="preserve">   30  </w:t>
            </w:r>
            <w:r>
              <w:rPr>
                <w:rFonts w:hint="eastAsia"/>
                <w:color w:val="auto"/>
                <w:spacing w:val="-5"/>
                <w:highlight w:val="none"/>
                <w:lang w:eastAsia="zh-CN"/>
              </w:rPr>
              <w:t>分钟。</w:t>
            </w:r>
          </w:p>
          <w:p w14:paraId="30E432E5">
            <w:pPr>
              <w:pStyle w:val="32"/>
              <w:spacing w:line="360" w:lineRule="auto"/>
              <w:jc w:val="both"/>
              <w:rPr>
                <w:color w:val="auto"/>
                <w:spacing w:val="-5"/>
                <w:highlight w:val="none"/>
                <w:lang w:eastAsia="zh-CN"/>
              </w:rPr>
            </w:pPr>
            <w:r>
              <w:rPr>
                <w:rFonts w:hint="eastAsia"/>
                <w:color w:val="auto"/>
                <w:spacing w:val="-5"/>
                <w:highlight w:val="none"/>
                <w:lang w:eastAsia="zh-CN"/>
              </w:rPr>
              <w:t>除因交易平台发生故障导致投标文件无法按时解密外，投标文件未按时解密的，视为未按规定提交投标文件。</w:t>
            </w:r>
          </w:p>
        </w:tc>
      </w:tr>
      <w:tr w14:paraId="0AEC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542BF28">
            <w:pPr>
              <w:pStyle w:val="32"/>
              <w:spacing w:line="360" w:lineRule="auto"/>
              <w:jc w:val="center"/>
              <w:rPr>
                <w:color w:val="auto"/>
                <w:highlight w:val="none"/>
              </w:rPr>
            </w:pPr>
            <w:r>
              <w:rPr>
                <w:rFonts w:hint="eastAsia"/>
                <w:color w:val="auto"/>
                <w:spacing w:val="-4"/>
                <w:highlight w:val="none"/>
              </w:rPr>
              <w:t>29.1</w:t>
            </w:r>
          </w:p>
        </w:tc>
        <w:tc>
          <w:tcPr>
            <w:tcW w:w="1701" w:type="dxa"/>
            <w:vAlign w:val="center"/>
          </w:tcPr>
          <w:p w14:paraId="55117676">
            <w:pPr>
              <w:pStyle w:val="32"/>
              <w:spacing w:line="360" w:lineRule="auto"/>
              <w:jc w:val="center"/>
              <w:rPr>
                <w:color w:val="auto"/>
                <w:highlight w:val="none"/>
              </w:rPr>
            </w:pPr>
            <w:r>
              <w:rPr>
                <w:rFonts w:hint="eastAsia"/>
                <w:color w:val="auto"/>
                <w:spacing w:val="-3"/>
                <w:highlight w:val="none"/>
              </w:rPr>
              <w:t>评标方法</w:t>
            </w:r>
          </w:p>
        </w:tc>
        <w:tc>
          <w:tcPr>
            <w:tcW w:w="7088" w:type="dxa"/>
            <w:gridSpan w:val="2"/>
            <w:vAlign w:val="center"/>
          </w:tcPr>
          <w:p w14:paraId="7D8B0CE7">
            <w:pPr>
              <w:pStyle w:val="32"/>
              <w:spacing w:line="360" w:lineRule="auto"/>
              <w:jc w:val="both"/>
              <w:rPr>
                <w:color w:val="auto"/>
                <w:spacing w:val="-5"/>
                <w:highlight w:val="none"/>
                <w:lang w:eastAsia="zh-CN"/>
              </w:rPr>
            </w:pPr>
            <w:r>
              <w:rPr>
                <w:rFonts w:hint="eastAsia"/>
                <w:color w:val="auto"/>
                <w:spacing w:val="-5"/>
                <w:highlight w:val="none"/>
                <w:lang w:eastAsia="zh-CN"/>
              </w:rPr>
              <w:t>☑综合评分法</w:t>
            </w:r>
          </w:p>
          <w:p w14:paraId="52159B1B">
            <w:pPr>
              <w:pStyle w:val="32"/>
              <w:spacing w:line="360" w:lineRule="auto"/>
              <w:jc w:val="both"/>
              <w:rPr>
                <w:color w:val="auto"/>
                <w:spacing w:val="-5"/>
                <w:highlight w:val="none"/>
                <w:lang w:eastAsia="zh-CN"/>
              </w:rPr>
            </w:pPr>
            <w:r>
              <w:rPr>
                <w:rFonts w:hint="eastAsia"/>
                <w:color w:val="auto"/>
                <w:spacing w:val="-5"/>
                <w:highlight w:val="none"/>
                <w:lang w:eastAsia="zh-CN"/>
              </w:rPr>
              <w:t>□最低评标价法</w:t>
            </w:r>
          </w:p>
        </w:tc>
      </w:tr>
      <w:tr w14:paraId="4C07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783DD82">
            <w:pPr>
              <w:pStyle w:val="32"/>
              <w:spacing w:line="360" w:lineRule="auto"/>
              <w:jc w:val="center"/>
              <w:rPr>
                <w:color w:val="auto"/>
                <w:highlight w:val="none"/>
              </w:rPr>
            </w:pPr>
            <w:r>
              <w:rPr>
                <w:rFonts w:hint="eastAsia"/>
                <w:color w:val="auto"/>
                <w:spacing w:val="-4"/>
                <w:highlight w:val="none"/>
              </w:rPr>
              <w:t>29.3</w:t>
            </w:r>
          </w:p>
        </w:tc>
        <w:tc>
          <w:tcPr>
            <w:tcW w:w="1701" w:type="dxa"/>
            <w:vAlign w:val="center"/>
          </w:tcPr>
          <w:p w14:paraId="51813ACB">
            <w:pPr>
              <w:pStyle w:val="32"/>
              <w:spacing w:line="360" w:lineRule="auto"/>
              <w:ind w:left="112" w:right="189" w:hanging="1"/>
              <w:jc w:val="center"/>
              <w:rPr>
                <w:color w:val="auto"/>
                <w:highlight w:val="none"/>
              </w:rPr>
            </w:pPr>
            <w:r>
              <w:rPr>
                <w:rFonts w:hint="eastAsia"/>
                <w:color w:val="auto"/>
                <w:spacing w:val="-2"/>
                <w:highlight w:val="none"/>
              </w:rPr>
              <w:t>推荐中标候选</w:t>
            </w:r>
            <w:r>
              <w:rPr>
                <w:rFonts w:hint="eastAsia"/>
                <w:color w:val="auto"/>
                <w:highlight w:val="none"/>
              </w:rPr>
              <w:t>人</w:t>
            </w:r>
          </w:p>
        </w:tc>
        <w:tc>
          <w:tcPr>
            <w:tcW w:w="7088" w:type="dxa"/>
            <w:gridSpan w:val="2"/>
            <w:vAlign w:val="center"/>
          </w:tcPr>
          <w:p w14:paraId="13555EBD">
            <w:pPr>
              <w:pStyle w:val="32"/>
              <w:spacing w:line="360" w:lineRule="auto"/>
              <w:jc w:val="both"/>
              <w:rPr>
                <w:color w:val="auto"/>
                <w:spacing w:val="-5"/>
                <w:highlight w:val="none"/>
                <w:lang w:eastAsia="zh-CN"/>
              </w:rPr>
            </w:pPr>
            <w:r>
              <w:rPr>
                <w:rFonts w:hint="eastAsia"/>
                <w:color w:val="auto"/>
                <w:spacing w:val="-5"/>
                <w:highlight w:val="none"/>
                <w:lang w:eastAsia="zh-CN"/>
              </w:rPr>
              <w:t>中标候选人数量</w:t>
            </w:r>
            <w:r>
              <w:rPr>
                <w:rFonts w:hint="eastAsia"/>
                <w:color w:val="auto"/>
                <w:spacing w:val="-5"/>
                <w:highlight w:val="none"/>
                <w:u w:val="single"/>
                <w:lang w:eastAsia="zh-CN"/>
              </w:rPr>
              <w:t xml:space="preserve">   3   </w:t>
            </w:r>
            <w:r>
              <w:rPr>
                <w:rFonts w:hint="eastAsia"/>
                <w:color w:val="auto"/>
                <w:spacing w:val="-5"/>
                <w:highlight w:val="none"/>
                <w:lang w:eastAsia="zh-CN"/>
              </w:rPr>
              <w:t>家</w:t>
            </w:r>
          </w:p>
        </w:tc>
      </w:tr>
      <w:tr w14:paraId="556C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28DB433">
            <w:pPr>
              <w:pStyle w:val="32"/>
              <w:spacing w:line="360" w:lineRule="auto"/>
              <w:jc w:val="center"/>
              <w:rPr>
                <w:color w:val="auto"/>
                <w:highlight w:val="none"/>
              </w:rPr>
            </w:pPr>
            <w:r>
              <w:rPr>
                <w:rFonts w:hint="eastAsia"/>
                <w:color w:val="auto"/>
                <w:spacing w:val="-4"/>
                <w:highlight w:val="none"/>
              </w:rPr>
              <w:t>30.1</w:t>
            </w:r>
          </w:p>
        </w:tc>
        <w:tc>
          <w:tcPr>
            <w:tcW w:w="1701" w:type="dxa"/>
            <w:vAlign w:val="center"/>
          </w:tcPr>
          <w:p w14:paraId="4B9C4D39">
            <w:pPr>
              <w:pStyle w:val="32"/>
              <w:spacing w:line="360" w:lineRule="auto"/>
              <w:jc w:val="center"/>
              <w:rPr>
                <w:color w:val="auto"/>
                <w:highlight w:val="none"/>
              </w:rPr>
            </w:pPr>
            <w:r>
              <w:rPr>
                <w:rFonts w:hint="eastAsia"/>
                <w:color w:val="auto"/>
                <w:spacing w:val="-2"/>
                <w:highlight w:val="none"/>
              </w:rPr>
              <w:t>确定中标人</w:t>
            </w:r>
          </w:p>
        </w:tc>
        <w:tc>
          <w:tcPr>
            <w:tcW w:w="7088" w:type="dxa"/>
            <w:gridSpan w:val="2"/>
            <w:vAlign w:val="center"/>
          </w:tcPr>
          <w:p w14:paraId="781258B8">
            <w:pPr>
              <w:pStyle w:val="32"/>
              <w:spacing w:line="360" w:lineRule="auto"/>
              <w:jc w:val="both"/>
              <w:rPr>
                <w:color w:val="auto"/>
                <w:spacing w:val="-5"/>
                <w:highlight w:val="none"/>
                <w:lang w:eastAsia="zh-CN"/>
              </w:rPr>
            </w:pPr>
            <w:r>
              <w:rPr>
                <w:rFonts w:hint="eastAsia"/>
                <w:color w:val="auto"/>
                <w:spacing w:val="-5"/>
                <w:highlight w:val="none"/>
                <w:lang w:eastAsia="zh-CN"/>
              </w:rPr>
              <w:t>☑ 采购人按评审报告中推荐的中标候选人排序确定中标人。</w:t>
            </w:r>
          </w:p>
          <w:p w14:paraId="646E2CCA">
            <w:pPr>
              <w:pStyle w:val="32"/>
              <w:spacing w:line="360" w:lineRule="auto"/>
              <w:jc w:val="both"/>
              <w:rPr>
                <w:color w:val="auto"/>
                <w:spacing w:val="-5"/>
                <w:highlight w:val="none"/>
                <w:lang w:eastAsia="zh-CN"/>
              </w:rPr>
            </w:pPr>
            <w:r>
              <w:rPr>
                <w:rFonts w:hint="eastAsia"/>
                <w:color w:val="auto"/>
                <w:spacing w:val="-5"/>
                <w:highlight w:val="none"/>
                <w:lang w:eastAsia="zh-CN"/>
              </w:rPr>
              <w:t>□ 采购人委托评标委员会直接确定中标人。</w:t>
            </w:r>
          </w:p>
        </w:tc>
      </w:tr>
      <w:tr w14:paraId="587BD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F562A52">
            <w:pPr>
              <w:pStyle w:val="32"/>
              <w:spacing w:line="360" w:lineRule="auto"/>
              <w:ind w:right="-108"/>
              <w:jc w:val="center"/>
              <w:rPr>
                <w:color w:val="auto"/>
                <w:spacing w:val="-4"/>
                <w:highlight w:val="none"/>
                <w:lang w:eastAsia="zh-CN"/>
              </w:rPr>
            </w:pPr>
            <w:r>
              <w:rPr>
                <w:rFonts w:hint="eastAsia"/>
                <w:color w:val="auto"/>
                <w:spacing w:val="-4"/>
                <w:highlight w:val="none"/>
              </w:rPr>
              <w:t>30.2</w:t>
            </w:r>
          </w:p>
          <w:p w14:paraId="4CAE0787">
            <w:pPr>
              <w:pStyle w:val="32"/>
              <w:spacing w:before="78" w:line="360" w:lineRule="auto"/>
              <w:ind w:right="-108"/>
              <w:jc w:val="center"/>
              <w:rPr>
                <w:color w:val="auto"/>
                <w:highlight w:val="none"/>
              </w:rPr>
            </w:pPr>
            <w:r>
              <w:rPr>
                <w:rFonts w:hint="eastAsia"/>
                <w:color w:val="auto"/>
                <w:spacing w:val="-4"/>
                <w:highlight w:val="none"/>
              </w:rPr>
              <w:t>30.3</w:t>
            </w:r>
          </w:p>
        </w:tc>
        <w:tc>
          <w:tcPr>
            <w:tcW w:w="1701" w:type="dxa"/>
            <w:vAlign w:val="center"/>
          </w:tcPr>
          <w:p w14:paraId="1808CA66">
            <w:pPr>
              <w:pStyle w:val="32"/>
              <w:spacing w:line="360" w:lineRule="auto"/>
              <w:jc w:val="both"/>
              <w:rPr>
                <w:color w:val="auto"/>
                <w:spacing w:val="-5"/>
                <w:highlight w:val="none"/>
                <w:lang w:eastAsia="zh-CN"/>
              </w:rPr>
            </w:pPr>
            <w:r>
              <w:rPr>
                <w:rFonts w:hint="eastAsia"/>
                <w:color w:val="auto"/>
                <w:spacing w:val="-5"/>
                <w:highlight w:val="none"/>
                <w:lang w:eastAsia="zh-CN"/>
              </w:rPr>
              <w:t>提供相同品牌产品的不同投标人确定中标候选人的规定</w:t>
            </w:r>
          </w:p>
        </w:tc>
        <w:tc>
          <w:tcPr>
            <w:tcW w:w="7088" w:type="dxa"/>
            <w:gridSpan w:val="2"/>
            <w:vAlign w:val="center"/>
          </w:tcPr>
          <w:p w14:paraId="4EED4E38">
            <w:pPr>
              <w:pStyle w:val="32"/>
              <w:spacing w:line="360" w:lineRule="auto"/>
              <w:jc w:val="both"/>
              <w:rPr>
                <w:color w:val="auto"/>
                <w:spacing w:val="-5"/>
                <w:highlight w:val="none"/>
                <w:lang w:eastAsia="zh-CN"/>
              </w:rPr>
            </w:pPr>
            <w:r>
              <w:rPr>
                <w:rFonts w:hint="eastAsia"/>
                <w:color w:val="auto"/>
                <w:spacing w:val="-5"/>
                <w:highlight w:val="none"/>
                <w:lang w:eastAsia="zh-CN"/>
              </w:rPr>
              <w:t>☑ 综合评分法的采购项目，提供相同品牌产品且通过资格审查、符合性审查的不同投标人参加同一合同项下投标的，按一家投标人计算，评审后得分相同的，按照方式确定一个投标人获得中标人推荐资格，其他同品牌投标人不作为中标候选人。</w:t>
            </w:r>
          </w:p>
          <w:p w14:paraId="23EE07D6">
            <w:pPr>
              <w:pStyle w:val="32"/>
              <w:spacing w:line="360" w:lineRule="auto"/>
              <w:jc w:val="both"/>
              <w:rPr>
                <w:color w:val="auto"/>
                <w:spacing w:val="-5"/>
                <w:highlight w:val="none"/>
                <w:lang w:eastAsia="zh-CN"/>
              </w:rPr>
            </w:pPr>
            <w:r>
              <w:rPr>
                <w:rFonts w:hint="eastAsia"/>
                <w:color w:val="auto"/>
                <w:spacing w:val="-5"/>
                <w:highlight w:val="none"/>
                <w:lang w:eastAsia="zh-CN"/>
              </w:rPr>
              <w:t>□ 最低评标价法的采购项目，提供相同品牌产品的不同投标人参加同一合同项下投标的，以其中通过资格审查、符合性审查且报价最低的参加评标；报价相同的，按照方式确定一个参加评标的投标人，其他投标无效。</w:t>
            </w:r>
          </w:p>
        </w:tc>
      </w:tr>
      <w:tr w14:paraId="6122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6B4DA33">
            <w:pPr>
              <w:pStyle w:val="32"/>
              <w:spacing w:before="78" w:line="360" w:lineRule="auto"/>
              <w:jc w:val="center"/>
              <w:rPr>
                <w:color w:val="auto"/>
                <w:highlight w:val="none"/>
              </w:rPr>
            </w:pPr>
            <w:r>
              <w:rPr>
                <w:rFonts w:hint="eastAsia"/>
                <w:color w:val="auto"/>
                <w:spacing w:val="-4"/>
                <w:highlight w:val="none"/>
              </w:rPr>
              <w:t>33.1</w:t>
            </w:r>
          </w:p>
        </w:tc>
        <w:tc>
          <w:tcPr>
            <w:tcW w:w="1701" w:type="dxa"/>
            <w:vAlign w:val="center"/>
          </w:tcPr>
          <w:p w14:paraId="2CE98102">
            <w:pPr>
              <w:pStyle w:val="32"/>
              <w:spacing w:before="78" w:line="360" w:lineRule="auto"/>
              <w:jc w:val="center"/>
              <w:rPr>
                <w:color w:val="auto"/>
                <w:highlight w:val="none"/>
              </w:rPr>
            </w:pPr>
            <w:r>
              <w:rPr>
                <w:rFonts w:hint="eastAsia"/>
                <w:color w:val="auto"/>
                <w:spacing w:val="-3"/>
                <w:highlight w:val="none"/>
              </w:rPr>
              <w:t>履约保证金</w:t>
            </w:r>
          </w:p>
        </w:tc>
        <w:tc>
          <w:tcPr>
            <w:tcW w:w="7088" w:type="dxa"/>
            <w:gridSpan w:val="2"/>
          </w:tcPr>
          <w:p w14:paraId="55FA599D">
            <w:pPr>
              <w:pStyle w:val="32"/>
              <w:spacing w:line="360" w:lineRule="auto"/>
              <w:jc w:val="both"/>
              <w:rPr>
                <w:color w:val="auto"/>
                <w:spacing w:val="-5"/>
                <w:highlight w:val="none"/>
                <w:lang w:eastAsia="zh-CN"/>
              </w:rPr>
            </w:pPr>
            <w:r>
              <w:rPr>
                <w:rFonts w:hint="eastAsia"/>
                <w:color w:val="auto"/>
                <w:spacing w:val="-5"/>
                <w:highlight w:val="none"/>
                <w:lang w:eastAsia="zh-CN"/>
              </w:rPr>
              <w:t>履约保证金：☑需要缴纳     □不需要缴纳</w:t>
            </w:r>
          </w:p>
          <w:p w14:paraId="62D0F30E">
            <w:pPr>
              <w:pStyle w:val="32"/>
              <w:spacing w:line="360" w:lineRule="auto"/>
              <w:jc w:val="both"/>
              <w:rPr>
                <w:color w:val="auto"/>
                <w:spacing w:val="-5"/>
                <w:highlight w:val="none"/>
                <w:lang w:eastAsia="zh-CN"/>
              </w:rPr>
            </w:pPr>
            <w:r>
              <w:rPr>
                <w:rFonts w:hint="eastAsia"/>
                <w:color w:val="auto"/>
                <w:spacing w:val="-5"/>
                <w:highlight w:val="none"/>
                <w:lang w:eastAsia="zh-CN"/>
              </w:rPr>
              <w:t>1.金额：</w:t>
            </w:r>
            <w:r>
              <w:rPr>
                <w:rFonts w:hint="eastAsia"/>
                <w:color w:val="auto"/>
                <w:spacing w:val="-5"/>
                <w:highlight w:val="none"/>
                <w:lang w:val="en-US" w:eastAsia="zh-CN"/>
              </w:rPr>
              <w:t>预算</w:t>
            </w:r>
            <w:r>
              <w:rPr>
                <w:rFonts w:hint="eastAsia"/>
                <w:color w:val="auto"/>
                <w:spacing w:val="-5"/>
                <w:highlight w:val="none"/>
                <w:lang w:eastAsia="zh-CN"/>
              </w:rPr>
              <w:t>价的10%</w:t>
            </w:r>
          </w:p>
          <w:p w14:paraId="75C84646">
            <w:pPr>
              <w:pStyle w:val="32"/>
              <w:spacing w:line="360" w:lineRule="auto"/>
              <w:jc w:val="both"/>
              <w:rPr>
                <w:color w:val="auto"/>
                <w:spacing w:val="-5"/>
                <w:highlight w:val="none"/>
                <w:lang w:eastAsia="zh-CN"/>
              </w:rPr>
            </w:pPr>
            <w:r>
              <w:rPr>
                <w:rFonts w:hint="eastAsia"/>
                <w:color w:val="auto"/>
                <w:spacing w:val="-5"/>
                <w:highlight w:val="none"/>
                <w:lang w:eastAsia="zh-CN"/>
              </w:rPr>
              <w:t>2.支付方式：</w:t>
            </w:r>
          </w:p>
          <w:p w14:paraId="14538CD5">
            <w:pPr>
              <w:pStyle w:val="32"/>
              <w:spacing w:line="360" w:lineRule="auto"/>
              <w:jc w:val="both"/>
              <w:rPr>
                <w:color w:val="auto"/>
                <w:spacing w:val="-5"/>
                <w:highlight w:val="none"/>
                <w:lang w:eastAsia="zh-CN"/>
              </w:rPr>
            </w:pPr>
            <w:r>
              <w:rPr>
                <w:rFonts w:hint="eastAsia"/>
                <w:color w:val="auto"/>
                <w:spacing w:val="-5"/>
                <w:highlight w:val="none"/>
                <w:lang w:eastAsia="zh-CN"/>
              </w:rPr>
              <w:t>投标人可自主选择以支票、汇票、本票、电汇、转账、网银、保函等非现金形式缴纳或提交保证金。</w:t>
            </w:r>
          </w:p>
          <w:p w14:paraId="6F8D3B98">
            <w:pPr>
              <w:pStyle w:val="32"/>
              <w:spacing w:line="360" w:lineRule="auto"/>
              <w:jc w:val="both"/>
              <w:rPr>
                <w:b/>
                <w:color w:val="auto"/>
                <w:spacing w:val="-5"/>
                <w:highlight w:val="none"/>
                <w:lang w:eastAsia="zh-CN"/>
              </w:rPr>
            </w:pPr>
            <w:r>
              <w:rPr>
                <w:rFonts w:hint="eastAsia"/>
                <w:b/>
                <w:color w:val="auto"/>
                <w:spacing w:val="-5"/>
                <w:highlight w:val="none"/>
                <w:lang w:eastAsia="zh-CN"/>
              </w:rPr>
              <w:t>注意事项：</w:t>
            </w:r>
          </w:p>
          <w:p w14:paraId="5FA073A6">
            <w:pPr>
              <w:pStyle w:val="32"/>
              <w:spacing w:line="360" w:lineRule="auto"/>
              <w:jc w:val="both"/>
              <w:rPr>
                <w:color w:val="auto"/>
                <w:spacing w:val="-5"/>
                <w:highlight w:val="none"/>
                <w:lang w:eastAsia="zh-CN"/>
              </w:rPr>
            </w:pPr>
            <w:r>
              <w:rPr>
                <w:rFonts w:hint="eastAsia"/>
                <w:color w:val="auto"/>
                <w:spacing w:val="-5"/>
                <w:highlight w:val="none"/>
                <w:lang w:eastAsia="zh-CN"/>
              </w:rPr>
              <w:t>1.以上各类机构出具的以担保函、保证保险承担责任的方式均须满足无条件见索即付条件。</w:t>
            </w:r>
          </w:p>
          <w:p w14:paraId="101E5907">
            <w:pPr>
              <w:pStyle w:val="32"/>
              <w:spacing w:line="360" w:lineRule="auto"/>
              <w:jc w:val="both"/>
              <w:rPr>
                <w:color w:val="auto"/>
                <w:spacing w:val="-1"/>
                <w:highlight w:val="none"/>
                <w:lang w:eastAsia="zh-CN"/>
              </w:rPr>
            </w:pPr>
            <w:r>
              <w:rPr>
                <w:rFonts w:hint="eastAsia"/>
                <w:color w:val="auto"/>
                <w:spacing w:val="-5"/>
                <w:highlight w:val="none"/>
                <w:lang w:eastAsia="zh-CN"/>
              </w:rPr>
              <w:t>2.以担保函、保证保险形式缴纳履约保证金的，受益人和收取单位须为采购人。</w:t>
            </w:r>
          </w:p>
        </w:tc>
      </w:tr>
      <w:tr w14:paraId="49D0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B2D10F5">
            <w:pPr>
              <w:pStyle w:val="32"/>
              <w:spacing w:before="78" w:line="360" w:lineRule="auto"/>
              <w:jc w:val="center"/>
              <w:rPr>
                <w:color w:val="auto"/>
                <w:highlight w:val="none"/>
              </w:rPr>
            </w:pPr>
            <w:r>
              <w:rPr>
                <w:rFonts w:hint="eastAsia"/>
                <w:color w:val="auto"/>
                <w:spacing w:val="-4"/>
                <w:highlight w:val="none"/>
              </w:rPr>
              <w:t>34.5</w:t>
            </w:r>
          </w:p>
        </w:tc>
        <w:tc>
          <w:tcPr>
            <w:tcW w:w="1701" w:type="dxa"/>
            <w:vAlign w:val="center"/>
          </w:tcPr>
          <w:p w14:paraId="36FCCD91">
            <w:pPr>
              <w:pStyle w:val="32"/>
              <w:spacing w:before="78" w:line="360" w:lineRule="auto"/>
              <w:jc w:val="center"/>
              <w:rPr>
                <w:color w:val="auto"/>
                <w:highlight w:val="none"/>
              </w:rPr>
            </w:pPr>
            <w:r>
              <w:rPr>
                <w:rFonts w:hint="eastAsia"/>
                <w:color w:val="auto"/>
                <w:spacing w:val="-7"/>
                <w:highlight w:val="none"/>
              </w:rPr>
              <w:t>中标后分包</w:t>
            </w:r>
          </w:p>
        </w:tc>
        <w:tc>
          <w:tcPr>
            <w:tcW w:w="7088" w:type="dxa"/>
            <w:gridSpan w:val="2"/>
          </w:tcPr>
          <w:p w14:paraId="0F2743AF">
            <w:pPr>
              <w:pStyle w:val="32"/>
              <w:spacing w:line="360" w:lineRule="auto"/>
              <w:jc w:val="both"/>
              <w:rPr>
                <w:color w:val="auto"/>
                <w:spacing w:val="-5"/>
                <w:highlight w:val="none"/>
                <w:lang w:eastAsia="zh-CN"/>
              </w:rPr>
            </w:pPr>
            <w:r>
              <w:rPr>
                <w:rFonts w:hint="eastAsia"/>
                <w:color w:val="auto"/>
                <w:spacing w:val="-5"/>
                <w:highlight w:val="none"/>
                <w:lang w:eastAsia="zh-CN"/>
              </w:rPr>
              <w:t>本项目的非主体、非关键性工作是否允许分包：</w:t>
            </w:r>
          </w:p>
          <w:p w14:paraId="02F7D4B1">
            <w:pPr>
              <w:pStyle w:val="32"/>
              <w:spacing w:line="360" w:lineRule="auto"/>
              <w:jc w:val="both"/>
              <w:rPr>
                <w:color w:val="auto"/>
                <w:spacing w:val="-5"/>
                <w:highlight w:val="none"/>
                <w:lang w:eastAsia="zh-CN"/>
              </w:rPr>
            </w:pPr>
            <w:r>
              <w:rPr>
                <w:rFonts w:hint="eastAsia"/>
                <w:color w:val="auto"/>
                <w:spacing w:val="-5"/>
                <w:highlight w:val="none"/>
                <w:lang w:eastAsia="zh-CN"/>
              </w:rPr>
              <w:t>☑不允许； □允许</w:t>
            </w:r>
          </w:p>
          <w:p w14:paraId="2D5E4CD0">
            <w:pPr>
              <w:pStyle w:val="32"/>
              <w:spacing w:line="360" w:lineRule="auto"/>
              <w:jc w:val="both"/>
              <w:rPr>
                <w:b/>
                <w:color w:val="auto"/>
                <w:spacing w:val="-1"/>
                <w:highlight w:val="none"/>
                <w:lang w:eastAsia="zh-CN"/>
              </w:rPr>
            </w:pPr>
            <w:r>
              <w:rPr>
                <w:rFonts w:hint="eastAsia"/>
                <w:color w:val="auto"/>
                <w:spacing w:val="-5"/>
                <w:highlight w:val="none"/>
                <w:lang w:eastAsia="zh-CN"/>
              </w:rPr>
              <w:t>具体要求：/</w:t>
            </w:r>
          </w:p>
        </w:tc>
      </w:tr>
      <w:tr w14:paraId="6E53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928FF00">
            <w:pPr>
              <w:pStyle w:val="32"/>
              <w:spacing w:before="78" w:line="360" w:lineRule="auto"/>
              <w:jc w:val="center"/>
              <w:rPr>
                <w:color w:val="auto"/>
                <w:highlight w:val="none"/>
              </w:rPr>
            </w:pPr>
            <w:r>
              <w:rPr>
                <w:rFonts w:hint="eastAsia"/>
                <w:color w:val="auto"/>
                <w:spacing w:val="-4"/>
                <w:highlight w:val="none"/>
              </w:rPr>
              <w:t>35.1</w:t>
            </w:r>
          </w:p>
        </w:tc>
        <w:tc>
          <w:tcPr>
            <w:tcW w:w="1701" w:type="dxa"/>
            <w:vAlign w:val="center"/>
          </w:tcPr>
          <w:p w14:paraId="169FA784">
            <w:pPr>
              <w:pStyle w:val="32"/>
              <w:spacing w:before="78" w:line="360" w:lineRule="auto"/>
              <w:jc w:val="center"/>
              <w:rPr>
                <w:color w:val="auto"/>
                <w:highlight w:val="none"/>
              </w:rPr>
            </w:pPr>
            <w:r>
              <w:rPr>
                <w:rFonts w:hint="eastAsia"/>
                <w:color w:val="auto"/>
                <w:spacing w:val="-6"/>
                <w:highlight w:val="none"/>
              </w:rPr>
              <w:t>质疑</w:t>
            </w:r>
          </w:p>
        </w:tc>
        <w:tc>
          <w:tcPr>
            <w:tcW w:w="7088" w:type="dxa"/>
            <w:gridSpan w:val="2"/>
          </w:tcPr>
          <w:p w14:paraId="048EED45">
            <w:pPr>
              <w:pStyle w:val="32"/>
              <w:spacing w:line="360" w:lineRule="auto"/>
              <w:jc w:val="both"/>
              <w:rPr>
                <w:color w:val="auto"/>
                <w:spacing w:val="-1"/>
                <w:highlight w:val="none"/>
                <w:lang w:eastAsia="zh-CN"/>
              </w:rPr>
            </w:pPr>
            <w:r>
              <w:rPr>
                <w:rFonts w:hint="eastAsia"/>
                <w:color w:val="auto"/>
                <w:spacing w:val="-1"/>
                <w:highlight w:val="none"/>
                <w:lang w:eastAsia="zh-CN"/>
              </w:rPr>
              <w:t>递交方式：</w:t>
            </w:r>
            <w:r>
              <w:rPr>
                <w:rFonts w:hint="eastAsia"/>
                <w:color w:val="auto"/>
                <w:spacing w:val="-1"/>
                <w:highlight w:val="none"/>
                <w:u w:val="single"/>
                <w:lang w:eastAsia="zh-CN"/>
              </w:rPr>
              <w:t>只接收以纸质原件形式当面递交的质疑（不接收传真、邮寄、电子邮件等非纸质原件方式）</w:t>
            </w:r>
          </w:p>
          <w:p w14:paraId="7208253F">
            <w:pPr>
              <w:pStyle w:val="32"/>
              <w:spacing w:line="360" w:lineRule="auto"/>
              <w:jc w:val="both"/>
              <w:rPr>
                <w:color w:val="auto"/>
                <w:spacing w:val="-1"/>
                <w:highlight w:val="none"/>
                <w:lang w:eastAsia="zh-CN"/>
              </w:rPr>
            </w:pPr>
            <w:r>
              <w:rPr>
                <w:rFonts w:hint="eastAsia"/>
                <w:color w:val="auto"/>
                <w:spacing w:val="-1"/>
                <w:highlight w:val="none"/>
                <w:lang w:eastAsia="zh-CN"/>
              </w:rPr>
              <w:t>接收部门：</w:t>
            </w:r>
            <w:r>
              <w:rPr>
                <w:rFonts w:hint="eastAsia"/>
                <w:color w:val="auto"/>
                <w:spacing w:val="-1"/>
                <w:highlight w:val="none"/>
                <w:u w:val="single"/>
                <w:lang w:eastAsia="zh-CN"/>
              </w:rPr>
              <w:t>采购人及采购代理机构</w:t>
            </w:r>
            <w:r>
              <w:rPr>
                <w:rFonts w:hint="eastAsia"/>
                <w:color w:val="auto"/>
                <w:spacing w:val="-1"/>
                <w:highlight w:val="none"/>
                <w:lang w:eastAsia="zh-CN"/>
              </w:rPr>
              <w:tab/>
            </w:r>
          </w:p>
          <w:p w14:paraId="1A1329C4">
            <w:pPr>
              <w:pStyle w:val="32"/>
              <w:spacing w:line="360" w:lineRule="auto"/>
              <w:jc w:val="both"/>
              <w:rPr>
                <w:color w:val="auto"/>
                <w:spacing w:val="-1"/>
                <w:highlight w:val="none"/>
                <w:lang w:eastAsia="zh-CN"/>
              </w:rPr>
            </w:pPr>
            <w:r>
              <w:rPr>
                <w:rFonts w:hint="eastAsia"/>
                <w:color w:val="auto"/>
                <w:spacing w:val="-1"/>
                <w:highlight w:val="none"/>
                <w:lang w:eastAsia="zh-CN"/>
              </w:rPr>
              <w:t>针对同一采购程序环节的质疑次数：</w:t>
            </w:r>
            <w:r>
              <w:rPr>
                <w:rFonts w:hint="eastAsia"/>
                <w:color w:val="auto"/>
                <w:spacing w:val="-1"/>
                <w:highlight w:val="none"/>
                <w:u w:val="single"/>
                <w:lang w:eastAsia="zh-CN"/>
              </w:rPr>
              <w:t>一次性提出</w:t>
            </w:r>
          </w:p>
        </w:tc>
      </w:tr>
      <w:tr w14:paraId="0759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51DCC1E">
            <w:pPr>
              <w:pStyle w:val="32"/>
              <w:spacing w:before="78" w:line="360" w:lineRule="auto"/>
              <w:jc w:val="center"/>
              <w:rPr>
                <w:color w:val="auto"/>
                <w:highlight w:val="none"/>
              </w:rPr>
            </w:pPr>
            <w:r>
              <w:rPr>
                <w:rFonts w:hint="eastAsia"/>
                <w:color w:val="auto"/>
                <w:spacing w:val="-4"/>
                <w:highlight w:val="none"/>
              </w:rPr>
              <w:t>38.1</w:t>
            </w:r>
          </w:p>
        </w:tc>
        <w:tc>
          <w:tcPr>
            <w:tcW w:w="1701" w:type="dxa"/>
            <w:vAlign w:val="center"/>
          </w:tcPr>
          <w:p w14:paraId="11073C5B">
            <w:pPr>
              <w:pStyle w:val="32"/>
              <w:spacing w:before="78" w:line="360" w:lineRule="auto"/>
              <w:ind w:right="189"/>
              <w:jc w:val="center"/>
              <w:rPr>
                <w:color w:val="auto"/>
                <w:highlight w:val="none"/>
              </w:rPr>
            </w:pPr>
            <w:r>
              <w:rPr>
                <w:rFonts w:hint="eastAsia"/>
                <w:color w:val="auto"/>
                <w:spacing w:val="-2"/>
                <w:highlight w:val="none"/>
              </w:rPr>
              <w:t>采购代理服务</w:t>
            </w:r>
            <w:r>
              <w:rPr>
                <w:rFonts w:hint="eastAsia"/>
                <w:color w:val="auto"/>
                <w:highlight w:val="none"/>
              </w:rPr>
              <w:t>费</w:t>
            </w:r>
          </w:p>
        </w:tc>
        <w:tc>
          <w:tcPr>
            <w:tcW w:w="7088" w:type="dxa"/>
            <w:gridSpan w:val="2"/>
          </w:tcPr>
          <w:p w14:paraId="336DE3A5">
            <w:pPr>
              <w:pStyle w:val="32"/>
              <w:spacing w:line="360" w:lineRule="auto"/>
              <w:jc w:val="both"/>
              <w:rPr>
                <w:color w:val="auto"/>
                <w:spacing w:val="-1"/>
                <w:highlight w:val="none"/>
                <w:lang w:eastAsia="zh-CN"/>
              </w:rPr>
            </w:pPr>
            <w:r>
              <w:rPr>
                <w:rFonts w:hint="eastAsia"/>
                <w:color w:val="auto"/>
                <w:spacing w:val="-1"/>
                <w:highlight w:val="none"/>
                <w:lang w:eastAsia="zh-CN"/>
              </w:rPr>
              <w:t>1.收费对象：</w:t>
            </w:r>
            <w:r>
              <w:rPr>
                <w:rFonts w:hint="eastAsia"/>
                <w:color w:val="auto"/>
                <w:spacing w:val="-1"/>
                <w:highlight w:val="none"/>
                <w:u w:val="single"/>
                <w:lang w:eastAsia="zh-CN"/>
              </w:rPr>
              <w:t>中标人支付</w:t>
            </w:r>
          </w:p>
          <w:p w14:paraId="10DE6AA5">
            <w:pPr>
              <w:pStyle w:val="32"/>
              <w:spacing w:line="360" w:lineRule="auto"/>
              <w:jc w:val="both"/>
              <w:rPr>
                <w:color w:val="auto"/>
                <w:spacing w:val="-1"/>
                <w:highlight w:val="none"/>
                <w:lang w:eastAsia="zh-CN"/>
              </w:rPr>
            </w:pPr>
            <w:r>
              <w:rPr>
                <w:rFonts w:hint="eastAsia"/>
                <w:color w:val="auto"/>
                <w:spacing w:val="-1"/>
                <w:highlight w:val="none"/>
                <w:lang w:eastAsia="zh-CN"/>
              </w:rPr>
              <w:t>2.收费标准：</w:t>
            </w:r>
            <w:r>
              <w:rPr>
                <w:rFonts w:hint="eastAsia"/>
                <w:color w:val="auto"/>
                <w:highlight w:val="none"/>
                <w:u w:val="single"/>
                <w:lang w:eastAsia="zh-CN"/>
              </w:rPr>
              <w:t>代理服务费参照《招标代理服务收费管理暂行办法》(国家发展计划委员会计价格〔2002〕1980号文)</w:t>
            </w:r>
            <w:r>
              <w:rPr>
                <w:rFonts w:hint="eastAsia"/>
                <w:color w:val="auto"/>
                <w:highlight w:val="none"/>
                <w:lang w:eastAsia="zh-CN"/>
              </w:rPr>
              <w:t>。</w:t>
            </w:r>
          </w:p>
        </w:tc>
      </w:tr>
      <w:tr w14:paraId="6370D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6F56AC5">
            <w:pPr>
              <w:pStyle w:val="32"/>
              <w:spacing w:before="78" w:line="360" w:lineRule="auto"/>
              <w:jc w:val="center"/>
              <w:rPr>
                <w:color w:val="auto"/>
                <w:highlight w:val="none"/>
              </w:rPr>
            </w:pPr>
            <w:r>
              <w:rPr>
                <w:rFonts w:hint="eastAsia"/>
                <w:color w:val="auto"/>
                <w:spacing w:val="-3"/>
                <w:highlight w:val="none"/>
              </w:rPr>
              <w:t>41.1</w:t>
            </w:r>
          </w:p>
        </w:tc>
        <w:tc>
          <w:tcPr>
            <w:tcW w:w="1701" w:type="dxa"/>
            <w:vAlign w:val="center"/>
          </w:tcPr>
          <w:p w14:paraId="5F0805F2">
            <w:pPr>
              <w:pStyle w:val="32"/>
              <w:spacing w:before="146" w:line="360" w:lineRule="auto"/>
              <w:ind w:right="189"/>
              <w:jc w:val="center"/>
              <w:rPr>
                <w:color w:val="auto"/>
                <w:highlight w:val="none"/>
              </w:rPr>
            </w:pPr>
            <w:r>
              <w:rPr>
                <w:rFonts w:hint="eastAsia"/>
                <w:color w:val="auto"/>
                <w:spacing w:val="-3"/>
                <w:highlight w:val="none"/>
              </w:rPr>
              <w:t>是否接受进口</w:t>
            </w:r>
            <w:r>
              <w:rPr>
                <w:rFonts w:hint="eastAsia"/>
                <w:color w:val="auto"/>
                <w:spacing w:val="-5"/>
                <w:highlight w:val="none"/>
              </w:rPr>
              <w:t>产品</w:t>
            </w:r>
          </w:p>
        </w:tc>
        <w:tc>
          <w:tcPr>
            <w:tcW w:w="7088" w:type="dxa"/>
            <w:gridSpan w:val="2"/>
            <w:vAlign w:val="center"/>
          </w:tcPr>
          <w:p w14:paraId="4596CA7B">
            <w:pPr>
              <w:pStyle w:val="32"/>
              <w:spacing w:before="28" w:line="360" w:lineRule="auto"/>
              <w:jc w:val="both"/>
              <w:rPr>
                <w:color w:val="auto"/>
                <w:spacing w:val="-1"/>
                <w:highlight w:val="none"/>
                <w:lang w:eastAsia="zh-CN"/>
              </w:rPr>
            </w:pPr>
            <w:r>
              <w:rPr>
                <w:rFonts w:hint="eastAsia"/>
                <w:color w:val="auto"/>
                <w:spacing w:val="-1"/>
                <w:highlight w:val="none"/>
                <w:lang w:eastAsia="zh-CN"/>
              </w:rPr>
              <w:t>不接受</w:t>
            </w:r>
          </w:p>
        </w:tc>
      </w:tr>
      <w:tr w14:paraId="4B20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918D159">
            <w:pPr>
              <w:pStyle w:val="32"/>
              <w:spacing w:line="360" w:lineRule="auto"/>
              <w:jc w:val="center"/>
              <w:rPr>
                <w:color w:val="auto"/>
                <w:highlight w:val="none"/>
              </w:rPr>
            </w:pPr>
            <w:r>
              <w:rPr>
                <w:rFonts w:hint="eastAsia"/>
                <w:color w:val="auto"/>
                <w:spacing w:val="-5"/>
                <w:highlight w:val="none"/>
              </w:rPr>
              <w:t>42</w:t>
            </w:r>
          </w:p>
        </w:tc>
        <w:tc>
          <w:tcPr>
            <w:tcW w:w="1701" w:type="dxa"/>
            <w:vAlign w:val="center"/>
          </w:tcPr>
          <w:p w14:paraId="1A54A690">
            <w:pPr>
              <w:pStyle w:val="32"/>
              <w:spacing w:line="360" w:lineRule="auto"/>
              <w:ind w:left="-107" w:leftChars="-51" w:right="-55"/>
              <w:jc w:val="center"/>
              <w:rPr>
                <w:color w:val="auto"/>
                <w:highlight w:val="none"/>
                <w:lang w:eastAsia="zh-CN"/>
              </w:rPr>
            </w:pPr>
            <w:r>
              <w:rPr>
                <w:rFonts w:hint="eastAsia"/>
                <w:color w:val="auto"/>
                <w:spacing w:val="-2"/>
                <w:highlight w:val="none"/>
                <w:lang w:eastAsia="zh-CN"/>
              </w:rPr>
              <w:t>支持中小企业政策</w:t>
            </w:r>
            <w:r>
              <w:rPr>
                <w:rFonts w:hint="eastAsia"/>
                <w:b/>
                <w:bCs/>
                <w:color w:val="auto"/>
                <w:spacing w:val="-2"/>
                <w:highlight w:val="none"/>
                <w:lang w:eastAsia="zh-CN"/>
              </w:rPr>
              <w:t>（非专门面向中小企业采购项目适</w:t>
            </w:r>
            <w:r>
              <w:rPr>
                <w:rFonts w:hint="eastAsia"/>
                <w:b/>
                <w:bCs/>
                <w:color w:val="auto"/>
                <w:spacing w:val="-6"/>
                <w:highlight w:val="none"/>
                <w:lang w:eastAsia="zh-CN"/>
              </w:rPr>
              <w:t>用）</w:t>
            </w:r>
          </w:p>
        </w:tc>
        <w:tc>
          <w:tcPr>
            <w:tcW w:w="7088" w:type="dxa"/>
            <w:gridSpan w:val="2"/>
            <w:vAlign w:val="center"/>
          </w:tcPr>
          <w:p w14:paraId="49CC3678">
            <w:pPr>
              <w:pStyle w:val="32"/>
              <w:spacing w:line="360" w:lineRule="auto"/>
              <w:jc w:val="both"/>
              <w:rPr>
                <w:color w:val="auto"/>
                <w:spacing w:val="-1"/>
                <w:highlight w:val="none"/>
                <w:lang w:eastAsia="zh-CN"/>
              </w:rPr>
            </w:pPr>
            <w:r>
              <w:rPr>
                <w:rFonts w:hint="eastAsia"/>
                <w:color w:val="auto"/>
                <w:spacing w:val="-1"/>
                <w:highlight w:val="none"/>
                <w:lang w:eastAsia="zh-CN"/>
              </w:rPr>
              <w:t>1.小型和微型企业价格扣除：</w:t>
            </w:r>
            <w:r>
              <w:rPr>
                <w:rFonts w:hint="eastAsia"/>
                <w:color w:val="auto"/>
                <w:spacing w:val="-1"/>
                <w:highlight w:val="none"/>
                <w:u w:val="single"/>
                <w:lang w:eastAsia="zh-CN"/>
              </w:rPr>
              <w:t xml:space="preserve">10%  </w:t>
            </w:r>
            <w:r>
              <w:rPr>
                <w:rFonts w:hint="eastAsia"/>
                <w:color w:val="auto"/>
                <w:spacing w:val="-1"/>
                <w:highlight w:val="none"/>
                <w:lang w:eastAsia="zh-CN"/>
              </w:rPr>
              <w:t>。</w:t>
            </w:r>
          </w:p>
          <w:p w14:paraId="72A6C157">
            <w:pPr>
              <w:pStyle w:val="32"/>
              <w:spacing w:line="360" w:lineRule="auto"/>
              <w:jc w:val="both"/>
              <w:rPr>
                <w:color w:val="auto"/>
                <w:spacing w:val="-1"/>
                <w:highlight w:val="none"/>
                <w:lang w:eastAsia="zh-CN"/>
              </w:rPr>
            </w:pPr>
            <w:r>
              <w:rPr>
                <w:rFonts w:hint="eastAsia"/>
                <w:color w:val="auto"/>
                <w:spacing w:val="-1"/>
                <w:highlight w:val="none"/>
                <w:lang w:eastAsia="zh-CN"/>
              </w:rPr>
              <w:t>2.监狱企业价格扣除：</w:t>
            </w:r>
            <w:r>
              <w:rPr>
                <w:rFonts w:hint="eastAsia"/>
                <w:color w:val="auto"/>
                <w:spacing w:val="-1"/>
                <w:highlight w:val="none"/>
                <w:u w:val="single"/>
                <w:lang w:eastAsia="zh-CN"/>
              </w:rPr>
              <w:t>同小型和微型企业</w:t>
            </w:r>
            <w:r>
              <w:rPr>
                <w:rFonts w:hint="eastAsia"/>
                <w:color w:val="auto"/>
                <w:spacing w:val="-1"/>
                <w:highlight w:val="none"/>
                <w:lang w:eastAsia="zh-CN"/>
              </w:rPr>
              <w:t>。</w:t>
            </w:r>
          </w:p>
          <w:p w14:paraId="19D7F349">
            <w:pPr>
              <w:pStyle w:val="32"/>
              <w:spacing w:line="360" w:lineRule="auto"/>
              <w:ind w:right="-16" w:firstLine="5"/>
              <w:jc w:val="both"/>
              <w:rPr>
                <w:color w:val="auto"/>
                <w:spacing w:val="-1"/>
                <w:highlight w:val="none"/>
                <w:lang w:eastAsia="zh-CN"/>
              </w:rPr>
            </w:pPr>
            <w:r>
              <w:rPr>
                <w:rFonts w:hint="eastAsia"/>
                <w:color w:val="auto"/>
                <w:spacing w:val="-1"/>
                <w:highlight w:val="none"/>
                <w:lang w:eastAsia="zh-CN"/>
              </w:rPr>
              <w:t>3.残疾人福利性单位价格扣除：</w:t>
            </w:r>
            <w:r>
              <w:rPr>
                <w:rFonts w:hint="eastAsia"/>
                <w:color w:val="auto"/>
                <w:spacing w:val="-1"/>
                <w:highlight w:val="none"/>
                <w:u w:val="single"/>
                <w:lang w:eastAsia="zh-CN"/>
              </w:rPr>
              <w:t>同小型和微型企业</w:t>
            </w:r>
            <w:r>
              <w:rPr>
                <w:rFonts w:hint="eastAsia"/>
                <w:color w:val="auto"/>
                <w:spacing w:val="-1"/>
                <w:highlight w:val="none"/>
                <w:lang w:eastAsia="zh-CN"/>
              </w:rPr>
              <w:t>。</w:t>
            </w:r>
          </w:p>
        </w:tc>
      </w:tr>
      <w:tr w14:paraId="52C8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restart"/>
            <w:vAlign w:val="center"/>
          </w:tcPr>
          <w:p w14:paraId="610A6377">
            <w:pPr>
              <w:pStyle w:val="32"/>
              <w:spacing w:line="360" w:lineRule="auto"/>
              <w:jc w:val="center"/>
              <w:rPr>
                <w:color w:val="auto"/>
                <w:highlight w:val="none"/>
                <w:lang w:eastAsia="zh-CN"/>
              </w:rPr>
            </w:pPr>
            <w:r>
              <w:rPr>
                <w:rFonts w:hint="eastAsia"/>
                <w:color w:val="auto"/>
                <w:spacing w:val="-3"/>
                <w:highlight w:val="none"/>
              </w:rPr>
              <w:t>42.</w:t>
            </w:r>
            <w:r>
              <w:rPr>
                <w:rFonts w:hint="eastAsia"/>
                <w:color w:val="auto"/>
                <w:spacing w:val="-3"/>
                <w:highlight w:val="none"/>
                <w:lang w:eastAsia="zh-CN"/>
              </w:rPr>
              <w:t>9</w:t>
            </w:r>
          </w:p>
        </w:tc>
        <w:tc>
          <w:tcPr>
            <w:tcW w:w="1701" w:type="dxa"/>
            <w:vMerge w:val="restart"/>
            <w:vAlign w:val="center"/>
          </w:tcPr>
          <w:p w14:paraId="3357CC3F">
            <w:pPr>
              <w:pStyle w:val="32"/>
              <w:spacing w:line="360" w:lineRule="auto"/>
              <w:ind w:left="-107" w:leftChars="-51" w:right="-55"/>
              <w:jc w:val="center"/>
              <w:rPr>
                <w:color w:val="auto"/>
                <w:highlight w:val="none"/>
                <w:lang w:eastAsia="zh-CN"/>
              </w:rPr>
            </w:pPr>
            <w:r>
              <w:rPr>
                <w:rFonts w:hint="eastAsia"/>
                <w:color w:val="auto"/>
                <w:spacing w:val="-2"/>
                <w:highlight w:val="none"/>
                <w:lang w:eastAsia="zh-CN"/>
              </w:rPr>
              <w:t>标的所属行业参照后附《工信部联企业</w:t>
            </w:r>
            <w:r>
              <w:rPr>
                <w:rFonts w:hint="eastAsia"/>
                <w:color w:val="auto"/>
                <w:spacing w:val="-5"/>
                <w:highlight w:val="none"/>
                <w:lang w:eastAsia="zh-CN"/>
              </w:rPr>
              <w:t>〔2011〕300</w:t>
            </w:r>
            <w:r>
              <w:rPr>
                <w:rFonts w:hint="eastAsia"/>
                <w:color w:val="auto"/>
                <w:spacing w:val="-8"/>
                <w:highlight w:val="none"/>
                <w:lang w:eastAsia="zh-CN"/>
              </w:rPr>
              <w:t>号》</w:t>
            </w:r>
          </w:p>
        </w:tc>
        <w:tc>
          <w:tcPr>
            <w:tcW w:w="7088" w:type="dxa"/>
            <w:gridSpan w:val="2"/>
            <w:vAlign w:val="center"/>
          </w:tcPr>
          <w:p w14:paraId="5EBAA140">
            <w:pPr>
              <w:pStyle w:val="32"/>
              <w:spacing w:line="360" w:lineRule="auto"/>
              <w:rPr>
                <w:rFonts w:hint="eastAsia"/>
                <w:color w:val="auto"/>
                <w:spacing w:val="-1"/>
                <w:highlight w:val="none"/>
                <w:lang w:eastAsia="zh-CN"/>
              </w:rPr>
            </w:pPr>
            <w:r>
              <w:rPr>
                <w:rFonts w:hint="eastAsia"/>
                <w:color w:val="auto"/>
                <w:spacing w:val="-1"/>
                <w:highlight w:val="none"/>
                <w:lang w:eastAsia="zh-CN"/>
              </w:rPr>
              <w:t>本项目采购标的对应的中小企业划分标准所属行业：</w:t>
            </w:r>
          </w:p>
        </w:tc>
      </w:tr>
      <w:tr w14:paraId="0D0B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13CAF0A0">
            <w:pPr>
              <w:pStyle w:val="32"/>
              <w:spacing w:line="360" w:lineRule="auto"/>
              <w:rPr>
                <w:color w:val="auto"/>
                <w:highlight w:val="none"/>
              </w:rPr>
            </w:pPr>
          </w:p>
        </w:tc>
        <w:tc>
          <w:tcPr>
            <w:tcW w:w="1701" w:type="dxa"/>
            <w:vMerge w:val="continue"/>
            <w:vAlign w:val="center"/>
          </w:tcPr>
          <w:p w14:paraId="2A9A6B17">
            <w:pPr>
              <w:pStyle w:val="32"/>
              <w:spacing w:line="360" w:lineRule="auto"/>
              <w:rPr>
                <w:color w:val="auto"/>
                <w:highlight w:val="none"/>
              </w:rPr>
            </w:pPr>
          </w:p>
        </w:tc>
        <w:tc>
          <w:tcPr>
            <w:tcW w:w="3544" w:type="dxa"/>
            <w:vAlign w:val="top"/>
          </w:tcPr>
          <w:p w14:paraId="614ED129">
            <w:pPr>
              <w:pStyle w:val="32"/>
              <w:spacing w:before="61" w:line="219" w:lineRule="auto"/>
              <w:ind w:left="540" w:leftChars="0"/>
              <w:rPr>
                <w:color w:val="auto"/>
                <w:highlight w:val="none"/>
              </w:rPr>
            </w:pPr>
            <w:r>
              <w:rPr>
                <w:b/>
                <w:bCs/>
                <w:color w:val="auto"/>
                <w:spacing w:val="-6"/>
                <w:highlight w:val="none"/>
              </w:rPr>
              <w:t>货物名称（标的名称）</w:t>
            </w:r>
          </w:p>
        </w:tc>
        <w:tc>
          <w:tcPr>
            <w:tcW w:w="3544" w:type="dxa"/>
            <w:vAlign w:val="top"/>
          </w:tcPr>
          <w:p w14:paraId="5A5B88C5">
            <w:pPr>
              <w:pStyle w:val="32"/>
              <w:spacing w:before="62" w:line="220" w:lineRule="auto"/>
              <w:ind w:left="1250" w:leftChars="0"/>
              <w:rPr>
                <w:color w:val="auto"/>
                <w:highlight w:val="none"/>
              </w:rPr>
            </w:pPr>
            <w:r>
              <w:rPr>
                <w:b/>
                <w:bCs/>
                <w:color w:val="auto"/>
                <w:spacing w:val="-7"/>
                <w:highlight w:val="none"/>
              </w:rPr>
              <w:t>所属行业</w:t>
            </w:r>
          </w:p>
        </w:tc>
      </w:tr>
      <w:tr w14:paraId="283B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3E0672DC">
            <w:pPr>
              <w:pStyle w:val="32"/>
              <w:spacing w:line="360" w:lineRule="auto"/>
              <w:rPr>
                <w:color w:val="auto"/>
                <w:highlight w:val="none"/>
              </w:rPr>
            </w:pPr>
          </w:p>
        </w:tc>
        <w:tc>
          <w:tcPr>
            <w:tcW w:w="1701" w:type="dxa"/>
            <w:vMerge w:val="continue"/>
            <w:vAlign w:val="center"/>
          </w:tcPr>
          <w:p w14:paraId="6EA87BAA">
            <w:pPr>
              <w:pStyle w:val="32"/>
              <w:spacing w:line="360" w:lineRule="auto"/>
              <w:rPr>
                <w:color w:val="auto"/>
                <w:highlight w:val="none"/>
              </w:rPr>
            </w:pPr>
          </w:p>
        </w:tc>
        <w:tc>
          <w:tcPr>
            <w:tcW w:w="3544" w:type="dxa"/>
            <w:vAlign w:val="top"/>
          </w:tcPr>
          <w:p w14:paraId="12FC1026">
            <w:pPr>
              <w:pStyle w:val="32"/>
              <w:spacing w:before="63" w:line="219" w:lineRule="auto"/>
              <w:ind w:left="1014" w:leftChars="0"/>
              <w:rPr>
                <w:color w:val="auto"/>
                <w:highlight w:val="none"/>
              </w:rPr>
            </w:pPr>
            <w:r>
              <w:rPr>
                <w:rFonts w:hint="eastAsia"/>
                <w:b/>
                <w:bCs/>
                <w:color w:val="auto"/>
                <w:spacing w:val="-7"/>
                <w:highlight w:val="none"/>
                <w:lang w:val="en-US" w:eastAsia="zh-CN"/>
              </w:rPr>
              <w:t>牛羊肉类食材</w:t>
            </w:r>
          </w:p>
        </w:tc>
        <w:tc>
          <w:tcPr>
            <w:tcW w:w="3544" w:type="dxa"/>
            <w:vAlign w:val="top"/>
          </w:tcPr>
          <w:p w14:paraId="07DD320A">
            <w:pPr>
              <w:pStyle w:val="32"/>
              <w:spacing w:before="62" w:line="232" w:lineRule="auto"/>
              <w:ind w:left="853" w:leftChars="0" w:hanging="853" w:hangingChars="376"/>
              <w:jc w:val="center"/>
              <w:rPr>
                <w:color w:val="auto"/>
                <w:highlight w:val="none"/>
              </w:rPr>
            </w:pPr>
            <w:r>
              <w:rPr>
                <w:rFonts w:hint="eastAsia"/>
                <w:b/>
                <w:bCs/>
                <w:color w:val="auto"/>
                <w:spacing w:val="-7"/>
                <w:highlight w:val="none"/>
                <w:lang w:val="en-US" w:eastAsia="zh-CN"/>
              </w:rPr>
              <w:t>农、林、牧、渔业</w:t>
            </w:r>
          </w:p>
        </w:tc>
      </w:tr>
      <w:tr w14:paraId="10EE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1A9B2053">
            <w:pPr>
              <w:pStyle w:val="32"/>
              <w:spacing w:line="360" w:lineRule="auto"/>
              <w:rPr>
                <w:color w:val="auto"/>
                <w:highlight w:val="none"/>
              </w:rPr>
            </w:pPr>
          </w:p>
        </w:tc>
        <w:tc>
          <w:tcPr>
            <w:tcW w:w="1701" w:type="dxa"/>
            <w:vMerge w:val="continue"/>
            <w:vAlign w:val="center"/>
          </w:tcPr>
          <w:p w14:paraId="2A03FF2A">
            <w:pPr>
              <w:pStyle w:val="32"/>
              <w:spacing w:line="360" w:lineRule="auto"/>
              <w:rPr>
                <w:color w:val="auto"/>
                <w:highlight w:val="none"/>
              </w:rPr>
            </w:pPr>
          </w:p>
        </w:tc>
        <w:tc>
          <w:tcPr>
            <w:tcW w:w="7088" w:type="dxa"/>
            <w:gridSpan w:val="2"/>
            <w:vAlign w:val="top"/>
          </w:tcPr>
          <w:p w14:paraId="02B77000">
            <w:pPr>
              <w:pStyle w:val="32"/>
              <w:spacing w:before="37" w:line="271" w:lineRule="auto"/>
              <w:ind w:left="12" w:leftChars="0" w:right="1" w:rightChars="0" w:hanging="1" w:firstLineChars="0"/>
              <w:rPr>
                <w:color w:val="auto"/>
                <w:highlight w:val="none"/>
              </w:rPr>
            </w:pPr>
            <w:r>
              <w:rPr>
                <w:b/>
                <w:bCs/>
                <w:color w:val="auto"/>
                <w:spacing w:val="2"/>
                <w:highlight w:val="none"/>
              </w:rPr>
              <w:t>注：投标人填写《中小企业声明函》时，按照货物所属行业分别</w:t>
            </w:r>
            <w:r>
              <w:rPr>
                <w:b/>
                <w:bCs/>
                <w:color w:val="auto"/>
                <w:spacing w:val="-8"/>
                <w:highlight w:val="none"/>
              </w:rPr>
              <w:t>填写。</w:t>
            </w:r>
          </w:p>
        </w:tc>
      </w:tr>
      <w:tr w14:paraId="0ACB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657EA5E">
            <w:pPr>
              <w:pStyle w:val="32"/>
              <w:spacing w:before="78" w:line="360" w:lineRule="auto"/>
              <w:jc w:val="center"/>
              <w:rPr>
                <w:color w:val="auto"/>
                <w:highlight w:val="none"/>
              </w:rPr>
            </w:pPr>
            <w:r>
              <w:rPr>
                <w:rFonts w:hint="eastAsia"/>
                <w:color w:val="auto"/>
                <w:spacing w:val="-3"/>
                <w:highlight w:val="none"/>
              </w:rPr>
              <w:t>48.1</w:t>
            </w:r>
          </w:p>
        </w:tc>
        <w:tc>
          <w:tcPr>
            <w:tcW w:w="1701" w:type="dxa"/>
            <w:vAlign w:val="center"/>
          </w:tcPr>
          <w:p w14:paraId="614CEFAB">
            <w:pPr>
              <w:pStyle w:val="32"/>
              <w:spacing w:before="282" w:line="360" w:lineRule="auto"/>
              <w:ind w:left="-107" w:leftChars="-51" w:right="-108"/>
              <w:jc w:val="center"/>
              <w:rPr>
                <w:color w:val="auto"/>
                <w:highlight w:val="none"/>
              </w:rPr>
            </w:pPr>
            <w:r>
              <w:rPr>
                <w:rFonts w:hint="eastAsia"/>
                <w:color w:val="auto"/>
                <w:spacing w:val="-4"/>
                <w:highlight w:val="none"/>
              </w:rPr>
              <w:t>需要补充的其他内容</w:t>
            </w:r>
          </w:p>
        </w:tc>
        <w:tc>
          <w:tcPr>
            <w:tcW w:w="7088" w:type="dxa"/>
            <w:gridSpan w:val="2"/>
            <w:vAlign w:val="center"/>
          </w:tcPr>
          <w:p w14:paraId="1370C960">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投标人需自行准备电脑笔记本并调试好解密,在政采云远程不见面开标大厅进行投标文件解密，如因投标人自身原因导致在规定时间内无法正常解密的（如：浏览器故障、未安装相关驱动、网络故障、加密CA与解密 CA 不一致等），代理机构不予异常处理，视为投标人自动弃标。</w:t>
            </w:r>
          </w:p>
          <w:p w14:paraId="4D8CF3C8">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2、当出现下列情形之一，投标文件将予以退回：</w:t>
            </w:r>
          </w:p>
          <w:p w14:paraId="3C46FC3D">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1）投标人在提交投标文件截止时间前未成功上传加密电子投标文件（ .bttf）；</w:t>
            </w:r>
          </w:p>
          <w:p w14:paraId="4016A4C8">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2）投标人开标现场携带CA数字证书与上传加密投标文件使用的 CA 数字证书不一致；</w:t>
            </w:r>
          </w:p>
          <w:p w14:paraId="08CF9AF0">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3）投标人解密时 CA 数字证书已过期，导致无法正常解密；</w:t>
            </w:r>
          </w:p>
          <w:p w14:paraId="22D69F41">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4）加密投标文件时，CA 数字证书未过期，开标解密时，显示CA数字证书已过期，导致无法正常解密；</w:t>
            </w:r>
          </w:p>
          <w:p w14:paraId="381CF942">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5）投标人个人原因导致无法解密的其他情形。</w:t>
            </w:r>
          </w:p>
          <w:p w14:paraId="437E6F1B">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3、请各潜在投标人及时在政采云平台 https://www.zcygov.cn 上领取最新的采购文件制作投标文件。</w:t>
            </w:r>
          </w:p>
          <w:p w14:paraId="253335ED">
            <w:pPr>
              <w:pStyle w:val="32"/>
              <w:spacing w:before="28" w:line="360" w:lineRule="auto"/>
              <w:jc w:val="both"/>
              <w:rPr>
                <w:color w:val="auto"/>
                <w:spacing w:val="-1"/>
                <w:highlight w:val="none"/>
                <w:lang w:eastAsia="zh-CN"/>
              </w:rPr>
            </w:pPr>
            <w:r>
              <w:rPr>
                <w:rFonts w:hint="eastAsia"/>
                <w:color w:val="auto"/>
                <w:highlight w:val="none"/>
                <w:lang w:eastAsia="zh-CN"/>
              </w:rPr>
              <w:t>4、本项目的招标投标活动以及相关当事人须接受财政监督部门依法实施的监督。</w:t>
            </w:r>
          </w:p>
        </w:tc>
      </w:tr>
      <w:tr w14:paraId="29D30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2236802">
            <w:pPr>
              <w:pStyle w:val="32"/>
              <w:spacing w:before="78" w:line="360" w:lineRule="auto"/>
              <w:jc w:val="center"/>
              <w:rPr>
                <w:color w:val="auto"/>
                <w:spacing w:val="-3"/>
                <w:highlight w:val="none"/>
                <w:lang w:eastAsia="zh-CN"/>
              </w:rPr>
            </w:pPr>
          </w:p>
        </w:tc>
        <w:tc>
          <w:tcPr>
            <w:tcW w:w="1701" w:type="dxa"/>
            <w:vAlign w:val="center"/>
          </w:tcPr>
          <w:p w14:paraId="5FF7C7A6">
            <w:pPr>
              <w:pStyle w:val="32"/>
              <w:spacing w:before="282" w:line="360" w:lineRule="auto"/>
              <w:ind w:left="-107" w:leftChars="-51" w:right="-108"/>
              <w:jc w:val="center"/>
              <w:rPr>
                <w:color w:val="auto"/>
                <w:spacing w:val="-4"/>
                <w:highlight w:val="none"/>
                <w:lang w:eastAsia="zh-CN"/>
              </w:rPr>
            </w:pPr>
            <w:r>
              <w:rPr>
                <w:rFonts w:hint="eastAsia"/>
                <w:color w:val="auto"/>
                <w:spacing w:val="-4"/>
                <w:highlight w:val="none"/>
              </w:rPr>
              <w:t>增加的</w:t>
            </w:r>
            <w:r>
              <w:rPr>
                <w:rFonts w:hint="eastAsia"/>
                <w:color w:val="auto"/>
                <w:spacing w:val="-4"/>
                <w:highlight w:val="none"/>
                <w:lang w:eastAsia="zh-CN"/>
              </w:rPr>
              <w:t>内容</w:t>
            </w:r>
          </w:p>
        </w:tc>
        <w:tc>
          <w:tcPr>
            <w:tcW w:w="7088" w:type="dxa"/>
            <w:gridSpan w:val="2"/>
            <w:vAlign w:val="center"/>
          </w:tcPr>
          <w:p w14:paraId="093711AB">
            <w:pPr>
              <w:pStyle w:val="32"/>
              <w:spacing w:before="28" w:line="360" w:lineRule="auto"/>
              <w:jc w:val="both"/>
              <w:rPr>
                <w:b/>
                <w:bCs/>
                <w:color w:val="auto"/>
                <w:highlight w:val="none"/>
                <w:lang w:eastAsia="zh-CN"/>
              </w:rPr>
            </w:pPr>
            <w:r>
              <w:rPr>
                <w:rFonts w:hint="eastAsia"/>
                <w:b/>
                <w:bCs/>
                <w:color w:val="auto"/>
                <w:highlight w:val="none"/>
                <w:lang w:eastAsia="zh-CN"/>
              </w:rPr>
              <w:t>1、合同履约期限：一年</w:t>
            </w:r>
          </w:p>
          <w:p w14:paraId="45D7C368">
            <w:pPr>
              <w:pStyle w:val="32"/>
              <w:spacing w:before="28" w:line="360" w:lineRule="auto"/>
              <w:jc w:val="both"/>
              <w:rPr>
                <w:rFonts w:hint="eastAsia"/>
                <w:color w:val="auto"/>
                <w:highlight w:val="none"/>
                <w:lang w:eastAsia="zh-CN"/>
              </w:rPr>
            </w:pPr>
            <w:r>
              <w:rPr>
                <w:rFonts w:hint="eastAsia"/>
                <w:b/>
                <w:bCs/>
                <w:color w:val="auto"/>
                <w:highlight w:val="none"/>
                <w:lang w:eastAsia="zh-CN"/>
              </w:rPr>
              <w:t>2、供货地点：</w:t>
            </w:r>
            <w:r>
              <w:rPr>
                <w:rFonts w:hint="eastAsia"/>
                <w:color w:val="auto"/>
                <w:highlight w:val="none"/>
                <w:lang w:eastAsia="zh-CN"/>
              </w:rPr>
              <w:t>甲方指定地点。</w:t>
            </w:r>
          </w:p>
          <w:p w14:paraId="15310D8E">
            <w:pPr>
              <w:pStyle w:val="32"/>
              <w:spacing w:before="28" w:line="360" w:lineRule="auto"/>
              <w:jc w:val="both"/>
              <w:rPr>
                <w:rFonts w:hint="eastAsia"/>
                <w:color w:val="auto"/>
                <w:highlight w:val="none"/>
                <w:lang w:val="en-US" w:eastAsia="zh-CN"/>
              </w:rPr>
            </w:pPr>
            <w:r>
              <w:rPr>
                <w:rFonts w:hint="eastAsia"/>
                <w:color w:val="auto"/>
                <w:highlight w:val="none"/>
                <w:lang w:val="en-US" w:eastAsia="zh-CN"/>
              </w:rPr>
              <w:t>3、质保期：按招标文件要求。</w:t>
            </w:r>
          </w:p>
          <w:p w14:paraId="7A53BA3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本项目共分为8个标包，分别为：</w:t>
            </w:r>
          </w:p>
          <w:p w14:paraId="0998FE06">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标包一：米面油类</w:t>
            </w:r>
          </w:p>
          <w:p w14:paraId="7B3A9527">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标包二：牛羊肉类</w:t>
            </w:r>
          </w:p>
          <w:p w14:paraId="14A190A8">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标包三：禽鱼肉（鸡鸭鹅鱼）类</w:t>
            </w:r>
          </w:p>
          <w:p w14:paraId="690DE465">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标包四：猪肉类</w:t>
            </w:r>
          </w:p>
          <w:p w14:paraId="42A74AD7">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标包五：乳制品类</w:t>
            </w:r>
          </w:p>
          <w:p w14:paraId="1C85FE4F">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标包六：水果类</w:t>
            </w:r>
          </w:p>
          <w:p w14:paraId="3F3FFEAE">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标包七：蔬菜、鸡蛋类</w:t>
            </w:r>
          </w:p>
          <w:p w14:paraId="509DCEBE">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标包八：副食杂支类</w:t>
            </w:r>
          </w:p>
          <w:p w14:paraId="6B8B0BD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开标顺序为：具体根据采购人开标标包顺序依次确定。</w:t>
            </w:r>
          </w:p>
          <w:p w14:paraId="641D206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评标顺序为：具体根据采购人开标标包顺序依次确定。</w:t>
            </w:r>
          </w:p>
          <w:p w14:paraId="2F6F2A02">
            <w:pPr>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供应商可兼投不能兼中，如供应商在前续标包中被推荐为第一中标候选人，则在后续标包中不能被推荐为中标候选人。</w:t>
            </w:r>
          </w:p>
        </w:tc>
      </w:tr>
      <w:tr w14:paraId="26D8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9640" w:type="dxa"/>
            <w:gridSpan w:val="4"/>
            <w:vAlign w:val="center"/>
          </w:tcPr>
          <w:p w14:paraId="01EB5FAA">
            <w:pPr>
              <w:pStyle w:val="32"/>
              <w:spacing w:line="360" w:lineRule="auto"/>
              <w:rPr>
                <w:color w:val="auto"/>
                <w:highlight w:val="none"/>
                <w:lang w:eastAsia="zh-CN"/>
              </w:rPr>
            </w:pPr>
            <w:r>
              <w:rPr>
                <w:rFonts w:hint="eastAsia"/>
                <w:color w:val="auto"/>
                <w:spacing w:val="10"/>
                <w:highlight w:val="none"/>
                <w:lang w:eastAsia="zh-CN"/>
              </w:rPr>
              <w:t>备注:</w:t>
            </w:r>
          </w:p>
          <w:p w14:paraId="6ED073A3">
            <w:pPr>
              <w:pStyle w:val="32"/>
              <w:spacing w:line="360" w:lineRule="auto"/>
              <w:ind w:right="-15" w:rightChars="-7"/>
              <w:rPr>
                <w:color w:val="auto"/>
                <w:spacing w:val="10"/>
                <w:highlight w:val="none"/>
                <w:lang w:eastAsia="zh-CN"/>
              </w:rPr>
            </w:pPr>
            <w:r>
              <w:rPr>
                <w:rFonts w:hint="eastAsia"/>
                <w:color w:val="auto"/>
                <w:spacing w:val="10"/>
                <w:highlight w:val="none"/>
                <w:lang w:eastAsia="zh-CN"/>
              </w:rPr>
              <w:t>1.除本招标文件另有规定外，招标文件中出现的类似于“近三年”或“前三年”、“近五年”或“前五年”均指提交投标文件截止时间之前三年或前五年，以此类推。</w:t>
            </w:r>
          </w:p>
          <w:p w14:paraId="125C3101">
            <w:pPr>
              <w:pStyle w:val="32"/>
              <w:spacing w:line="360" w:lineRule="auto"/>
              <w:ind w:right="-15" w:rightChars="-7"/>
              <w:rPr>
                <w:color w:val="auto"/>
                <w:spacing w:val="10"/>
                <w:highlight w:val="none"/>
                <w:lang w:eastAsia="zh-CN"/>
              </w:rPr>
            </w:pPr>
            <w:r>
              <w:rPr>
                <w:rFonts w:hint="eastAsia"/>
                <w:color w:val="auto"/>
                <w:spacing w:val="10"/>
                <w:highlight w:val="none"/>
                <w:lang w:eastAsia="zh-CN"/>
              </w:rPr>
              <w:t>如：提交投标文件截止时间为202</w:t>
            </w:r>
            <w:r>
              <w:rPr>
                <w:rFonts w:hint="eastAsia"/>
                <w:color w:val="auto"/>
                <w:spacing w:val="10"/>
                <w:highlight w:val="none"/>
                <w:lang w:val="en-US" w:eastAsia="zh-CN"/>
              </w:rPr>
              <w:t>6</w:t>
            </w:r>
            <w:r>
              <w:rPr>
                <w:rFonts w:hint="eastAsia"/>
                <w:color w:val="auto"/>
                <w:spacing w:val="10"/>
                <w:highlight w:val="none"/>
                <w:lang w:eastAsia="zh-CN"/>
              </w:rPr>
              <w:t>年0</w:t>
            </w:r>
            <w:r>
              <w:rPr>
                <w:rFonts w:hint="eastAsia"/>
                <w:color w:val="auto"/>
                <w:spacing w:val="10"/>
                <w:highlight w:val="none"/>
                <w:lang w:val="en-US" w:eastAsia="zh-CN"/>
              </w:rPr>
              <w:t>4</w:t>
            </w:r>
            <w:r>
              <w:rPr>
                <w:rFonts w:hint="eastAsia"/>
                <w:color w:val="auto"/>
                <w:spacing w:val="10"/>
                <w:highlight w:val="none"/>
                <w:lang w:eastAsia="zh-CN"/>
              </w:rPr>
              <w:t>月03日，则“近三年”是指202</w:t>
            </w:r>
            <w:r>
              <w:rPr>
                <w:rFonts w:hint="eastAsia"/>
                <w:color w:val="auto"/>
                <w:spacing w:val="10"/>
                <w:highlight w:val="none"/>
                <w:lang w:val="en-US" w:eastAsia="zh-CN"/>
              </w:rPr>
              <w:t>3</w:t>
            </w:r>
            <w:r>
              <w:rPr>
                <w:rFonts w:hint="eastAsia"/>
                <w:color w:val="auto"/>
                <w:spacing w:val="10"/>
                <w:highlight w:val="none"/>
                <w:lang w:eastAsia="zh-CN"/>
              </w:rPr>
              <w:t>年0</w:t>
            </w:r>
            <w:r>
              <w:rPr>
                <w:rFonts w:hint="eastAsia"/>
                <w:color w:val="auto"/>
                <w:spacing w:val="10"/>
                <w:highlight w:val="none"/>
                <w:lang w:val="en-US" w:eastAsia="zh-CN"/>
              </w:rPr>
              <w:t>4</w:t>
            </w:r>
            <w:r>
              <w:rPr>
                <w:rFonts w:hint="eastAsia"/>
                <w:color w:val="auto"/>
                <w:spacing w:val="10"/>
                <w:highlight w:val="none"/>
                <w:lang w:eastAsia="zh-CN"/>
              </w:rPr>
              <w:t>月03日至202</w:t>
            </w:r>
            <w:r>
              <w:rPr>
                <w:rFonts w:hint="eastAsia"/>
                <w:color w:val="auto"/>
                <w:spacing w:val="10"/>
                <w:highlight w:val="none"/>
                <w:lang w:val="en-US" w:eastAsia="zh-CN"/>
              </w:rPr>
              <w:t>6</w:t>
            </w:r>
            <w:r>
              <w:rPr>
                <w:rFonts w:hint="eastAsia"/>
                <w:color w:val="auto"/>
                <w:spacing w:val="10"/>
                <w:highlight w:val="none"/>
                <w:lang w:eastAsia="zh-CN"/>
              </w:rPr>
              <w:t>年0</w:t>
            </w:r>
            <w:r>
              <w:rPr>
                <w:rFonts w:hint="eastAsia"/>
                <w:color w:val="auto"/>
                <w:spacing w:val="10"/>
                <w:highlight w:val="none"/>
                <w:lang w:val="en-US" w:eastAsia="zh-CN"/>
              </w:rPr>
              <w:t>4</w:t>
            </w:r>
            <w:r>
              <w:rPr>
                <w:rFonts w:hint="eastAsia"/>
                <w:color w:val="auto"/>
                <w:spacing w:val="10"/>
                <w:highlight w:val="none"/>
                <w:lang w:eastAsia="zh-CN"/>
              </w:rPr>
              <w:t>月0</w:t>
            </w:r>
            <w:r>
              <w:rPr>
                <w:rFonts w:hint="eastAsia"/>
                <w:color w:val="auto"/>
                <w:spacing w:val="10"/>
                <w:highlight w:val="none"/>
                <w:lang w:val="en-US" w:eastAsia="zh-CN"/>
              </w:rPr>
              <w:t>3</w:t>
            </w:r>
            <w:r>
              <w:rPr>
                <w:rFonts w:hint="eastAsia"/>
                <w:color w:val="auto"/>
                <w:spacing w:val="10"/>
                <w:highlight w:val="none"/>
                <w:lang w:eastAsia="zh-CN"/>
              </w:rPr>
              <w:t>日。</w:t>
            </w:r>
          </w:p>
          <w:p w14:paraId="3FE90B0F">
            <w:pPr>
              <w:pStyle w:val="32"/>
              <w:numPr>
                <w:ilvl w:val="0"/>
                <w:numId w:val="1"/>
              </w:numPr>
              <w:spacing w:line="360" w:lineRule="auto"/>
              <w:ind w:right="-15" w:rightChars="-7"/>
              <w:rPr>
                <w:color w:val="auto"/>
                <w:spacing w:val="10"/>
                <w:highlight w:val="none"/>
                <w:lang w:eastAsia="zh-CN"/>
              </w:rPr>
            </w:pPr>
            <w:r>
              <w:rPr>
                <w:rFonts w:hint="eastAsia"/>
                <w:color w:val="auto"/>
                <w:spacing w:val="10"/>
                <w:highlight w:val="none"/>
                <w:lang w:eastAsia="zh-CN"/>
              </w:rPr>
              <w:t>本招标文件所称的“以上”、“以下”、“内”、“以内”，包括本数；所称的“不足”，不包括本数。</w:t>
            </w:r>
          </w:p>
          <w:p w14:paraId="7F3EFC16">
            <w:pPr>
              <w:pStyle w:val="32"/>
              <w:numPr>
                <w:ilvl w:val="0"/>
                <w:numId w:val="1"/>
              </w:numPr>
              <w:spacing w:line="360" w:lineRule="auto"/>
              <w:ind w:right="-15" w:rightChars="-7"/>
              <w:rPr>
                <w:color w:val="auto"/>
                <w:spacing w:val="10"/>
                <w:highlight w:val="none"/>
                <w:lang w:eastAsia="zh-CN"/>
              </w:rPr>
            </w:pPr>
            <w:r>
              <w:rPr>
                <w:rFonts w:hint="eastAsia"/>
                <w:b/>
                <w:bCs/>
                <w:color w:val="auto"/>
                <w:spacing w:val="10"/>
                <w:highlight w:val="none"/>
                <w:lang w:eastAsia="zh-CN"/>
              </w:rPr>
              <w:t>投标须知正文内容与投标人须知前附表内容不一致时，以投标人须知前附表内容为准。</w:t>
            </w:r>
          </w:p>
        </w:tc>
      </w:tr>
    </w:tbl>
    <w:p w14:paraId="60B1894B">
      <w:pPr>
        <w:spacing w:line="360" w:lineRule="auto"/>
        <w:rPr>
          <w:rFonts w:ascii="宋体" w:hAnsi="宋体" w:eastAsia="宋体" w:cs="宋体"/>
          <w:color w:val="auto"/>
          <w:highlight w:val="none"/>
          <w:lang w:eastAsia="zh-CN"/>
        </w:rPr>
      </w:pPr>
    </w:p>
    <w:p w14:paraId="3F433CAF">
      <w:pPr>
        <w:pageBreakBefore/>
        <w:spacing w:line="360" w:lineRule="auto"/>
        <w:ind w:left="28" w:right="-27" w:rightChars="-13"/>
        <w:jc w:val="center"/>
        <w:outlineLvl w:val="1"/>
        <w:rPr>
          <w:rFonts w:ascii="宋体" w:hAnsi="宋体" w:eastAsia="宋体" w:cs="宋体"/>
          <w:color w:val="auto"/>
          <w:sz w:val="24"/>
          <w:szCs w:val="24"/>
          <w:highlight w:val="none"/>
          <w:lang w:eastAsia="zh-CN"/>
        </w:rPr>
      </w:pPr>
      <w:bookmarkStart w:id="7" w:name="bookmark22"/>
      <w:bookmarkEnd w:id="7"/>
      <w:bookmarkStart w:id="8" w:name="bookmark21"/>
      <w:bookmarkEnd w:id="8"/>
      <w:bookmarkStart w:id="9" w:name="_Toc25808"/>
      <w:r>
        <w:rPr>
          <w:rFonts w:hint="eastAsia" w:ascii="宋体" w:hAnsi="宋体" w:eastAsia="宋体" w:cs="宋体"/>
          <w:b/>
          <w:bCs/>
          <w:color w:val="auto"/>
          <w:spacing w:val="5"/>
          <w:sz w:val="24"/>
          <w:szCs w:val="24"/>
          <w:highlight w:val="none"/>
          <w:lang w:eastAsia="zh-CN"/>
        </w:rPr>
        <w:t>二、投标人须知</w:t>
      </w:r>
      <w:bookmarkEnd w:id="9"/>
    </w:p>
    <w:p w14:paraId="23FCC6E0">
      <w:pPr>
        <w:spacing w:line="360" w:lineRule="auto"/>
        <w:ind w:left="31" w:right="-27" w:rightChars="-13"/>
        <w:outlineLvl w:val="2"/>
        <w:rPr>
          <w:rFonts w:ascii="宋体" w:hAnsi="宋体" w:eastAsia="宋体" w:cs="宋体"/>
          <w:color w:val="auto"/>
          <w:sz w:val="24"/>
          <w:szCs w:val="24"/>
          <w:highlight w:val="none"/>
          <w:lang w:eastAsia="zh-CN"/>
        </w:rPr>
      </w:pPr>
      <w:bookmarkStart w:id="10" w:name="bookmark24"/>
      <w:bookmarkEnd w:id="10"/>
      <w:bookmarkStart w:id="11" w:name="bookmark23"/>
      <w:bookmarkEnd w:id="11"/>
      <w:bookmarkStart w:id="12" w:name="_Toc186477687"/>
      <w:bookmarkStart w:id="13" w:name="_Toc29827"/>
      <w:r>
        <w:rPr>
          <w:rFonts w:hint="eastAsia" w:ascii="宋体" w:hAnsi="宋体" w:eastAsia="宋体" w:cs="宋体"/>
          <w:b/>
          <w:bCs/>
          <w:color w:val="auto"/>
          <w:spacing w:val="-8"/>
          <w:sz w:val="24"/>
          <w:szCs w:val="24"/>
          <w:highlight w:val="none"/>
          <w:lang w:eastAsia="zh-CN"/>
        </w:rPr>
        <w:t>（一）总则</w:t>
      </w:r>
      <w:bookmarkEnd w:id="12"/>
      <w:bookmarkEnd w:id="13"/>
    </w:p>
    <w:p w14:paraId="44D74E0A">
      <w:pPr>
        <w:spacing w:line="360" w:lineRule="auto"/>
        <w:ind w:left="31" w:right="-27" w:rightChars="-13"/>
        <w:outlineLvl w:val="2"/>
        <w:rPr>
          <w:rFonts w:ascii="宋体" w:hAnsi="宋体" w:eastAsia="宋体" w:cs="宋体"/>
          <w:color w:val="auto"/>
          <w:sz w:val="24"/>
          <w:szCs w:val="24"/>
          <w:highlight w:val="none"/>
          <w:lang w:eastAsia="zh-CN"/>
        </w:rPr>
      </w:pPr>
      <w:bookmarkStart w:id="14" w:name="bookmark26"/>
      <w:bookmarkEnd w:id="14"/>
      <w:bookmarkStart w:id="15" w:name="bookmark25"/>
      <w:bookmarkEnd w:id="15"/>
      <w:bookmarkStart w:id="16" w:name="_Toc32372"/>
      <w:bookmarkStart w:id="17" w:name="_Toc186477688"/>
      <w:r>
        <w:rPr>
          <w:rFonts w:hint="eastAsia" w:ascii="宋体" w:hAnsi="宋体" w:eastAsia="宋体" w:cs="宋体"/>
          <w:b/>
          <w:bCs/>
          <w:color w:val="auto"/>
          <w:spacing w:val="-8"/>
          <w:sz w:val="24"/>
          <w:szCs w:val="24"/>
          <w:highlight w:val="none"/>
          <w:lang w:eastAsia="zh-CN"/>
        </w:rPr>
        <w:t>1.适用范围</w:t>
      </w:r>
      <w:bookmarkEnd w:id="16"/>
      <w:bookmarkEnd w:id="17"/>
    </w:p>
    <w:p w14:paraId="347B53C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1.1本招标文件仅适用于本项目的采购活动。</w:t>
      </w:r>
    </w:p>
    <w:p w14:paraId="7F17C081">
      <w:pPr>
        <w:spacing w:line="360" w:lineRule="auto"/>
        <w:ind w:left="31" w:right="-27" w:rightChars="-13"/>
        <w:outlineLvl w:val="2"/>
        <w:rPr>
          <w:rFonts w:ascii="宋体" w:hAnsi="宋体" w:eastAsia="宋体" w:cs="宋体"/>
          <w:color w:val="auto"/>
          <w:sz w:val="24"/>
          <w:szCs w:val="24"/>
          <w:highlight w:val="none"/>
          <w:lang w:eastAsia="zh-CN"/>
        </w:rPr>
      </w:pPr>
      <w:bookmarkStart w:id="18" w:name="bookmark27"/>
      <w:bookmarkEnd w:id="18"/>
      <w:bookmarkStart w:id="19" w:name="bookmark28"/>
      <w:bookmarkEnd w:id="19"/>
      <w:bookmarkStart w:id="20" w:name="_Toc186477689"/>
      <w:bookmarkStart w:id="21" w:name="_Toc18552"/>
      <w:r>
        <w:rPr>
          <w:rFonts w:hint="eastAsia" w:ascii="宋体" w:hAnsi="宋体" w:eastAsia="宋体" w:cs="宋体"/>
          <w:b/>
          <w:bCs/>
          <w:color w:val="auto"/>
          <w:spacing w:val="-5"/>
          <w:sz w:val="24"/>
          <w:szCs w:val="24"/>
          <w:highlight w:val="none"/>
          <w:lang w:eastAsia="zh-CN"/>
        </w:rPr>
        <w:t>2.基本定义</w:t>
      </w:r>
      <w:bookmarkEnd w:id="20"/>
      <w:bookmarkEnd w:id="21"/>
    </w:p>
    <w:p w14:paraId="0FC965D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2.1根据《中华人民共和国政府采购法》及其实施条例等有关法律、法规和</w:t>
      </w:r>
      <w:r>
        <w:rPr>
          <w:rFonts w:hint="eastAsia" w:ascii="宋体" w:hAnsi="宋体" w:eastAsia="宋体" w:cs="宋体"/>
          <w:color w:val="auto"/>
          <w:spacing w:val="-1"/>
          <w:sz w:val="24"/>
          <w:szCs w:val="24"/>
          <w:highlight w:val="none"/>
          <w:lang w:eastAsia="zh-CN"/>
        </w:rPr>
        <w:t>规章的规定，制定本招标文件。</w:t>
      </w:r>
    </w:p>
    <w:p w14:paraId="5142791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2.2采购人：指依法进行政府采购的国家机关、事业单位、团体组织。</w:t>
      </w:r>
    </w:p>
    <w:p w14:paraId="3B0B208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2.3采购代理机构：指依法进行政府采购的国家机关、事业单位、团体组织</w:t>
      </w:r>
      <w:r>
        <w:rPr>
          <w:rFonts w:hint="eastAsia" w:ascii="宋体" w:hAnsi="宋体" w:eastAsia="宋体" w:cs="宋体"/>
          <w:color w:val="auto"/>
          <w:spacing w:val="-1"/>
          <w:sz w:val="24"/>
          <w:szCs w:val="24"/>
          <w:highlight w:val="none"/>
          <w:lang w:eastAsia="zh-CN"/>
        </w:rPr>
        <w:t>委托的采购代理机构。</w:t>
      </w:r>
    </w:p>
    <w:p w14:paraId="5AEBA5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2.4政府采购监督管理部门：各级人民政府财政部门是负责政府采购监督管</w:t>
      </w:r>
      <w:r>
        <w:rPr>
          <w:rFonts w:hint="eastAsia" w:ascii="宋体" w:hAnsi="宋体" w:eastAsia="宋体" w:cs="宋体"/>
          <w:color w:val="auto"/>
          <w:spacing w:val="-3"/>
          <w:sz w:val="24"/>
          <w:szCs w:val="24"/>
          <w:highlight w:val="none"/>
          <w:lang w:eastAsia="zh-CN"/>
        </w:rPr>
        <w:t>理的部门，依法履行对政府采购活动的监督管理职责。各级人民政府其他有</w:t>
      </w:r>
      <w:r>
        <w:rPr>
          <w:rFonts w:hint="eastAsia" w:ascii="宋体" w:hAnsi="宋体" w:eastAsia="宋体" w:cs="宋体"/>
          <w:color w:val="auto"/>
          <w:spacing w:val="-4"/>
          <w:sz w:val="24"/>
          <w:szCs w:val="24"/>
          <w:highlight w:val="none"/>
          <w:lang w:eastAsia="zh-CN"/>
        </w:rPr>
        <w:t>关部</w:t>
      </w:r>
      <w:r>
        <w:rPr>
          <w:rFonts w:hint="eastAsia" w:ascii="宋体" w:hAnsi="宋体" w:eastAsia="宋体" w:cs="宋体"/>
          <w:color w:val="auto"/>
          <w:spacing w:val="-1"/>
          <w:sz w:val="24"/>
          <w:szCs w:val="24"/>
          <w:highlight w:val="none"/>
          <w:lang w:eastAsia="zh-CN"/>
        </w:rPr>
        <w:t>门依法履行与政府采购活动有关的监督管理职责。</w:t>
      </w:r>
    </w:p>
    <w:p w14:paraId="633AEF5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 核心产品见“投标人须知前附表”。</w:t>
      </w:r>
    </w:p>
    <w:p w14:paraId="306E212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2.6投标人（也称“供应商”、“申请人”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4"/>
          <w:sz w:val="24"/>
          <w:szCs w:val="24"/>
          <w:highlight w:val="none"/>
          <w:lang w:eastAsia="zh-CN"/>
        </w:rPr>
        <w:t>指向采购人提</w:t>
      </w:r>
      <w:r>
        <w:rPr>
          <w:rFonts w:hint="eastAsia" w:ascii="宋体" w:hAnsi="宋体" w:eastAsia="宋体" w:cs="宋体"/>
          <w:color w:val="auto"/>
          <w:spacing w:val="-5"/>
          <w:sz w:val="24"/>
          <w:szCs w:val="24"/>
          <w:highlight w:val="none"/>
          <w:lang w:eastAsia="zh-CN"/>
        </w:rPr>
        <w:t>供货物、工程</w:t>
      </w:r>
      <w:r>
        <w:rPr>
          <w:rFonts w:hint="eastAsia" w:ascii="宋体" w:hAnsi="宋体" w:eastAsia="宋体" w:cs="宋体"/>
          <w:color w:val="auto"/>
          <w:spacing w:val="-3"/>
          <w:sz w:val="24"/>
          <w:szCs w:val="24"/>
          <w:highlight w:val="none"/>
          <w:lang w:eastAsia="zh-CN"/>
        </w:rPr>
        <w:t>或者服务的法人、其他组织或者自然人。分支机构不得参加政府采购活动，但银行、保险、石油石化、电力、电信等有行业特殊情况的除外。本项目的投标人须</w:t>
      </w:r>
      <w:r>
        <w:rPr>
          <w:rFonts w:hint="eastAsia" w:ascii="宋体" w:hAnsi="宋体" w:eastAsia="宋体" w:cs="宋体"/>
          <w:color w:val="auto"/>
          <w:spacing w:val="-2"/>
          <w:sz w:val="24"/>
          <w:szCs w:val="24"/>
          <w:highlight w:val="none"/>
          <w:lang w:eastAsia="zh-CN"/>
        </w:rPr>
        <w:t>满足以下条件：</w:t>
      </w:r>
    </w:p>
    <w:p w14:paraId="77083EF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2.6.1具备《中华人民共和国政府采购法》第二十二条规定的条件，遵守本</w:t>
      </w:r>
      <w:r>
        <w:rPr>
          <w:rFonts w:hint="eastAsia" w:ascii="宋体" w:hAnsi="宋体" w:eastAsia="宋体" w:cs="宋体"/>
          <w:color w:val="auto"/>
          <w:spacing w:val="-1"/>
          <w:sz w:val="24"/>
          <w:szCs w:val="24"/>
          <w:highlight w:val="none"/>
          <w:lang w:eastAsia="zh-CN"/>
        </w:rPr>
        <w:t>项目采购人本级和上级财政部门政府采购的有关规定。</w:t>
      </w:r>
    </w:p>
    <w:p w14:paraId="2B8BEFE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2.6.2以招标公告中发布的方式依法获得了本项目的招标文件。</w:t>
      </w:r>
    </w:p>
    <w:p w14:paraId="333824A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2.6.3符合本招标文件规定并参加投标的供应商。</w:t>
      </w:r>
    </w:p>
    <w:p w14:paraId="6D80348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2.8潜在投标人、潜在供应商：指符合本招标文件规定的供应商。</w:t>
      </w:r>
    </w:p>
    <w:p w14:paraId="09EBBFF1">
      <w:pPr>
        <w:spacing w:line="360" w:lineRule="auto"/>
        <w:ind w:left="31" w:right="-27" w:rightChars="-13"/>
        <w:outlineLvl w:val="2"/>
        <w:rPr>
          <w:rFonts w:ascii="宋体" w:hAnsi="宋体" w:eastAsia="宋体" w:cs="宋体"/>
          <w:color w:val="auto"/>
          <w:sz w:val="24"/>
          <w:szCs w:val="24"/>
          <w:highlight w:val="none"/>
          <w:lang w:eastAsia="zh-CN"/>
        </w:rPr>
      </w:pPr>
      <w:bookmarkStart w:id="22" w:name="bookmark29"/>
      <w:bookmarkEnd w:id="22"/>
      <w:bookmarkStart w:id="23" w:name="bookmark30"/>
      <w:bookmarkEnd w:id="23"/>
      <w:bookmarkStart w:id="24" w:name="_Toc14866"/>
      <w:bookmarkStart w:id="25" w:name="_Toc186477690"/>
      <w:r>
        <w:rPr>
          <w:rFonts w:hint="eastAsia" w:ascii="宋体" w:hAnsi="宋体" w:eastAsia="宋体" w:cs="宋体"/>
          <w:b/>
          <w:bCs/>
          <w:color w:val="auto"/>
          <w:spacing w:val="-6"/>
          <w:sz w:val="24"/>
          <w:szCs w:val="24"/>
          <w:highlight w:val="none"/>
          <w:lang w:eastAsia="zh-CN"/>
        </w:rPr>
        <w:t>3.资金来源</w:t>
      </w:r>
      <w:bookmarkEnd w:id="24"/>
      <w:bookmarkEnd w:id="25"/>
    </w:p>
    <w:p w14:paraId="4BC991EA">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67DA1F01">
      <w:pPr>
        <w:spacing w:line="360" w:lineRule="auto"/>
        <w:ind w:left="31" w:right="-27" w:rightChars="-13"/>
        <w:outlineLvl w:val="2"/>
        <w:rPr>
          <w:rFonts w:ascii="宋体" w:hAnsi="宋体" w:eastAsia="宋体" w:cs="宋体"/>
          <w:color w:val="auto"/>
          <w:sz w:val="24"/>
          <w:szCs w:val="24"/>
          <w:highlight w:val="none"/>
          <w:lang w:eastAsia="zh-CN"/>
        </w:rPr>
      </w:pPr>
      <w:bookmarkStart w:id="26" w:name="bookmark31"/>
      <w:bookmarkEnd w:id="26"/>
      <w:bookmarkStart w:id="27" w:name="bookmark32"/>
      <w:bookmarkEnd w:id="27"/>
      <w:bookmarkStart w:id="28" w:name="_Toc8381"/>
      <w:bookmarkStart w:id="29" w:name="_Toc186477691"/>
      <w:r>
        <w:rPr>
          <w:rFonts w:hint="eastAsia" w:ascii="宋体" w:hAnsi="宋体" w:eastAsia="宋体" w:cs="宋体"/>
          <w:b/>
          <w:bCs/>
          <w:color w:val="auto"/>
          <w:spacing w:val="-4"/>
          <w:sz w:val="24"/>
          <w:szCs w:val="24"/>
          <w:highlight w:val="none"/>
          <w:lang w:eastAsia="zh-CN"/>
        </w:rPr>
        <w:t>4.投标人资格要求</w:t>
      </w:r>
      <w:bookmarkEnd w:id="28"/>
      <w:bookmarkEnd w:id="29"/>
    </w:p>
    <w:p w14:paraId="04C079F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4.1投标人资格要求：见“第一章 招标公告”；</w:t>
      </w:r>
    </w:p>
    <w:p w14:paraId="531D9F0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4.2“第一章 招标公告”规定接受联合体投标的，</w:t>
      </w:r>
      <w:r>
        <w:rPr>
          <w:rFonts w:hint="eastAsia" w:ascii="宋体" w:hAnsi="宋体" w:eastAsia="宋体" w:cs="宋体"/>
          <w:color w:val="auto"/>
          <w:spacing w:val="-2"/>
          <w:sz w:val="24"/>
          <w:szCs w:val="24"/>
          <w:highlight w:val="none"/>
          <w:lang w:eastAsia="zh-CN"/>
        </w:rPr>
        <w:t>还应遵守以下规定：</w:t>
      </w:r>
    </w:p>
    <w:p w14:paraId="41598D76">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4.2.1两个以上的自然人、法人或者其他组织可以组成一个联合体，以一个</w:t>
      </w:r>
      <w:r>
        <w:rPr>
          <w:rFonts w:hint="eastAsia" w:ascii="宋体" w:hAnsi="宋体" w:eastAsia="宋体" w:cs="宋体"/>
          <w:color w:val="auto"/>
          <w:spacing w:val="-3"/>
          <w:sz w:val="24"/>
          <w:szCs w:val="24"/>
          <w:highlight w:val="none"/>
          <w:lang w:eastAsia="zh-CN"/>
        </w:rPr>
        <w:t>投标人的身份共同参加政府采购。以联合体形式进行政府采购的，参加联合体的</w:t>
      </w:r>
      <w:r>
        <w:rPr>
          <w:rFonts w:hint="eastAsia" w:ascii="宋体" w:hAnsi="宋体" w:eastAsia="宋体" w:cs="宋体"/>
          <w:color w:val="auto"/>
          <w:sz w:val="24"/>
          <w:szCs w:val="24"/>
          <w:highlight w:val="none"/>
          <w:lang w:eastAsia="zh-CN"/>
        </w:rPr>
        <w:t>供应商均应当具备《中华人民共和国政府采购法》</w:t>
      </w:r>
      <w:r>
        <w:rPr>
          <w:rFonts w:hint="eastAsia" w:ascii="宋体" w:hAnsi="宋体" w:eastAsia="宋体" w:cs="宋体"/>
          <w:color w:val="auto"/>
          <w:spacing w:val="-1"/>
          <w:sz w:val="24"/>
          <w:szCs w:val="24"/>
          <w:highlight w:val="none"/>
          <w:lang w:eastAsia="zh-CN"/>
        </w:rPr>
        <w:t>第二十二条规定的条件。</w:t>
      </w:r>
    </w:p>
    <w:p w14:paraId="656056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4.2.2联合体各方应按招标文件提供的格式签订联合体协议书，明确约定联</w:t>
      </w:r>
      <w:r>
        <w:rPr>
          <w:rFonts w:hint="eastAsia" w:ascii="宋体" w:hAnsi="宋体" w:eastAsia="宋体" w:cs="宋体"/>
          <w:color w:val="auto"/>
          <w:spacing w:val="-3"/>
          <w:sz w:val="24"/>
          <w:szCs w:val="24"/>
          <w:highlight w:val="none"/>
          <w:lang w:eastAsia="zh-CN"/>
        </w:rPr>
        <w:t>合体各方承担的工作和相应的责任，并将联合体协议书作为投标文件的一部分提</w:t>
      </w:r>
      <w:r>
        <w:rPr>
          <w:rFonts w:hint="eastAsia" w:ascii="宋体" w:hAnsi="宋体" w:eastAsia="宋体" w:cs="宋体"/>
          <w:color w:val="auto"/>
          <w:spacing w:val="-1"/>
          <w:sz w:val="24"/>
          <w:szCs w:val="24"/>
          <w:highlight w:val="none"/>
          <w:lang w:eastAsia="zh-CN"/>
        </w:rPr>
        <w:t>交，该协议书对联合体所有成员均具有法律约束力。</w:t>
      </w:r>
    </w:p>
    <w:p w14:paraId="4501833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4.2.3联合体中有同类资质的供应商按照联合体分工承担相同工作的，应当</w:t>
      </w:r>
      <w:r>
        <w:rPr>
          <w:rFonts w:hint="eastAsia" w:ascii="宋体" w:hAnsi="宋体" w:eastAsia="宋体" w:cs="宋体"/>
          <w:color w:val="auto"/>
          <w:spacing w:val="-1"/>
          <w:sz w:val="24"/>
          <w:szCs w:val="24"/>
          <w:highlight w:val="none"/>
          <w:lang w:eastAsia="zh-CN"/>
        </w:rPr>
        <w:t>按照资质等级较低的供应商确定资质等级。</w:t>
      </w:r>
    </w:p>
    <w:p w14:paraId="50E500C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4.2.4以联合体形式参加政府采购活动的，联合体各</w:t>
      </w:r>
      <w:r>
        <w:rPr>
          <w:rFonts w:hint="eastAsia" w:ascii="宋体" w:hAnsi="宋体" w:eastAsia="宋体" w:cs="宋体"/>
          <w:color w:val="auto"/>
          <w:spacing w:val="-3"/>
          <w:sz w:val="24"/>
          <w:szCs w:val="24"/>
          <w:highlight w:val="none"/>
          <w:lang w:eastAsia="zh-CN"/>
        </w:rPr>
        <w:t>方不得再单独参加或者与其他供应商另外组成联合体参加同一合同项下的投标，否则相关投标将被</w:t>
      </w:r>
      <w:r>
        <w:rPr>
          <w:rFonts w:hint="eastAsia" w:ascii="宋体" w:hAnsi="宋体" w:eastAsia="宋体" w:cs="宋体"/>
          <w:color w:val="auto"/>
          <w:spacing w:val="-4"/>
          <w:sz w:val="24"/>
          <w:szCs w:val="24"/>
          <w:highlight w:val="none"/>
          <w:lang w:eastAsia="zh-CN"/>
        </w:rPr>
        <w:t>认定为</w:t>
      </w:r>
      <w:r>
        <w:rPr>
          <w:rFonts w:hint="eastAsia" w:ascii="宋体" w:hAnsi="宋体" w:eastAsia="宋体" w:cs="宋体"/>
          <w:b/>
          <w:bCs/>
          <w:color w:val="auto"/>
          <w:spacing w:val="-4"/>
          <w:sz w:val="24"/>
          <w:szCs w:val="24"/>
          <w:highlight w:val="none"/>
          <w:lang w:eastAsia="zh-CN"/>
        </w:rPr>
        <w:t>投标无效</w:t>
      </w:r>
      <w:r>
        <w:rPr>
          <w:rFonts w:hint="eastAsia" w:ascii="宋体" w:hAnsi="宋体" w:eastAsia="宋体" w:cs="宋体"/>
          <w:color w:val="auto"/>
          <w:spacing w:val="-4"/>
          <w:sz w:val="24"/>
          <w:szCs w:val="24"/>
          <w:highlight w:val="none"/>
          <w:lang w:eastAsia="zh-CN"/>
        </w:rPr>
        <w:t>。</w:t>
      </w:r>
    </w:p>
    <w:p w14:paraId="2021CE4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4.2.5大中型企业、其他自然人、法人或者非法人组织与小型、微型企业组</w:t>
      </w:r>
      <w:r>
        <w:rPr>
          <w:rFonts w:hint="eastAsia" w:ascii="宋体" w:hAnsi="宋体" w:eastAsia="宋体" w:cs="宋体"/>
          <w:color w:val="auto"/>
          <w:spacing w:val="-3"/>
          <w:sz w:val="24"/>
          <w:szCs w:val="24"/>
          <w:highlight w:val="none"/>
          <w:lang w:eastAsia="zh-CN"/>
        </w:rPr>
        <w:t>成联合体共同参加投标的，联合体协议书中应写明小型、微型企业的合同金额占</w:t>
      </w:r>
      <w:r>
        <w:rPr>
          <w:rFonts w:hint="eastAsia" w:ascii="宋体" w:hAnsi="宋体" w:eastAsia="宋体" w:cs="宋体"/>
          <w:color w:val="auto"/>
          <w:spacing w:val="-1"/>
          <w:sz w:val="24"/>
          <w:szCs w:val="24"/>
          <w:highlight w:val="none"/>
          <w:lang w:eastAsia="zh-CN"/>
        </w:rPr>
        <w:t>到联合体投标合同总金额的比例。</w:t>
      </w:r>
    </w:p>
    <w:p w14:paraId="6FD3FE4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4.2.6 联合体中标的，采购合同应由联合体各成员的合法授权代表签字及加</w:t>
      </w:r>
      <w:r>
        <w:rPr>
          <w:rFonts w:hint="eastAsia" w:ascii="宋体" w:hAnsi="宋体" w:eastAsia="宋体" w:cs="宋体"/>
          <w:color w:val="auto"/>
          <w:spacing w:val="-3"/>
          <w:sz w:val="24"/>
          <w:szCs w:val="24"/>
          <w:highlight w:val="none"/>
          <w:lang w:eastAsia="zh-CN"/>
        </w:rPr>
        <w:t>盖联合体各成员公章，并对联合体成员作为整体和他们各自作为独立体均具有法律约束力，但若该签字或公章不齐全或缺乏，该联合体的牵头人的签署或类似的意思表示人具有代表该联合体的签署或意思表示的法律效力，并且据此各成员为</w:t>
      </w:r>
      <w:r>
        <w:rPr>
          <w:rFonts w:hint="eastAsia" w:ascii="宋体" w:hAnsi="宋体" w:eastAsia="宋体" w:cs="宋体"/>
          <w:color w:val="auto"/>
          <w:spacing w:val="-1"/>
          <w:sz w:val="24"/>
          <w:szCs w:val="24"/>
          <w:highlight w:val="none"/>
          <w:lang w:eastAsia="zh-CN"/>
        </w:rPr>
        <w:t>履行合同应向采购人与采购代理机构承担连带责任。</w:t>
      </w:r>
    </w:p>
    <w:p w14:paraId="0CD99FD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4.2.7 联合体或其成员不得将其在合同项下的权利或义务全部或部分转让</w:t>
      </w:r>
      <w:r>
        <w:rPr>
          <w:rFonts w:hint="eastAsia" w:ascii="宋体" w:hAnsi="宋体" w:eastAsia="宋体" w:cs="宋体"/>
          <w:color w:val="auto"/>
          <w:spacing w:val="-7"/>
          <w:sz w:val="24"/>
          <w:szCs w:val="24"/>
          <w:highlight w:val="none"/>
          <w:lang w:eastAsia="zh-CN"/>
        </w:rPr>
        <w:t>给第三人，有关分包事项须事先取得采购人书面同意</w:t>
      </w:r>
      <w:r>
        <w:rPr>
          <w:rFonts w:hint="eastAsia" w:ascii="宋体" w:hAnsi="宋体" w:eastAsia="宋体" w:cs="宋体"/>
          <w:color w:val="auto"/>
          <w:spacing w:val="-8"/>
          <w:sz w:val="24"/>
          <w:szCs w:val="24"/>
          <w:highlight w:val="none"/>
          <w:lang w:eastAsia="zh-CN"/>
        </w:rPr>
        <w:t>并且须遵守相关法律、法规、</w:t>
      </w:r>
      <w:r>
        <w:rPr>
          <w:rFonts w:hint="eastAsia" w:ascii="宋体" w:hAnsi="宋体" w:eastAsia="宋体" w:cs="宋体"/>
          <w:color w:val="auto"/>
          <w:spacing w:val="-1"/>
          <w:sz w:val="24"/>
          <w:szCs w:val="24"/>
          <w:highlight w:val="none"/>
          <w:lang w:eastAsia="zh-CN"/>
        </w:rPr>
        <w:t>本次招标的全部相关规定。</w:t>
      </w:r>
    </w:p>
    <w:p w14:paraId="6161ADC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4.2.8 对联合体投标的其他资格要求见“</w:t>
      </w:r>
      <w:r>
        <w:rPr>
          <w:rFonts w:hint="eastAsia" w:ascii="宋体" w:hAnsi="宋体" w:eastAsia="宋体" w:cs="宋体"/>
          <w:color w:val="auto"/>
          <w:spacing w:val="-2"/>
          <w:sz w:val="24"/>
          <w:szCs w:val="24"/>
          <w:highlight w:val="none"/>
          <w:lang w:eastAsia="zh-CN"/>
        </w:rPr>
        <w:t>第一章 招标公告”中的“二、申</w:t>
      </w:r>
      <w:r>
        <w:rPr>
          <w:rFonts w:hint="eastAsia" w:ascii="宋体" w:hAnsi="宋体" w:eastAsia="宋体" w:cs="宋体"/>
          <w:color w:val="auto"/>
          <w:spacing w:val="-1"/>
          <w:sz w:val="24"/>
          <w:szCs w:val="24"/>
          <w:highlight w:val="none"/>
          <w:lang w:eastAsia="zh-CN"/>
        </w:rPr>
        <w:t>请人的资格要求”。</w:t>
      </w:r>
    </w:p>
    <w:p w14:paraId="36A9270E">
      <w:pPr>
        <w:spacing w:line="360" w:lineRule="auto"/>
        <w:ind w:left="31" w:right="-27" w:rightChars="-13"/>
        <w:outlineLvl w:val="2"/>
        <w:rPr>
          <w:rFonts w:ascii="宋体" w:hAnsi="宋体" w:eastAsia="宋体" w:cs="宋体"/>
          <w:color w:val="auto"/>
          <w:sz w:val="24"/>
          <w:szCs w:val="24"/>
          <w:highlight w:val="none"/>
          <w:lang w:eastAsia="zh-CN"/>
        </w:rPr>
      </w:pPr>
      <w:bookmarkStart w:id="30" w:name="bookmark33"/>
      <w:bookmarkEnd w:id="30"/>
      <w:bookmarkStart w:id="31" w:name="bookmark34"/>
      <w:bookmarkEnd w:id="31"/>
      <w:bookmarkStart w:id="32" w:name="_Toc31491"/>
      <w:bookmarkStart w:id="33" w:name="_Toc186477692"/>
      <w:r>
        <w:rPr>
          <w:rFonts w:hint="eastAsia" w:ascii="宋体" w:hAnsi="宋体" w:eastAsia="宋体" w:cs="宋体"/>
          <w:b/>
          <w:bCs/>
          <w:color w:val="auto"/>
          <w:spacing w:val="-6"/>
          <w:sz w:val="24"/>
          <w:szCs w:val="24"/>
          <w:highlight w:val="none"/>
          <w:lang w:eastAsia="zh-CN"/>
        </w:rPr>
        <w:t>5.费用承担</w:t>
      </w:r>
      <w:bookmarkEnd w:id="32"/>
      <w:bookmarkEnd w:id="33"/>
    </w:p>
    <w:p w14:paraId="568A7F67">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5.1不论投标的结果如何，投标人应承担所有与准备和参加投标有关的费用。</w:t>
      </w:r>
    </w:p>
    <w:p w14:paraId="778549F0">
      <w:pPr>
        <w:spacing w:line="360" w:lineRule="auto"/>
        <w:ind w:left="31" w:right="-27" w:rightChars="-13"/>
        <w:outlineLvl w:val="2"/>
        <w:rPr>
          <w:rFonts w:ascii="宋体" w:hAnsi="宋体" w:eastAsia="宋体" w:cs="宋体"/>
          <w:color w:val="auto"/>
          <w:sz w:val="24"/>
          <w:szCs w:val="24"/>
          <w:highlight w:val="none"/>
          <w:lang w:eastAsia="zh-CN"/>
        </w:rPr>
      </w:pPr>
      <w:bookmarkStart w:id="34" w:name="bookmark35"/>
      <w:bookmarkEnd w:id="34"/>
      <w:bookmarkStart w:id="35" w:name="bookmark36"/>
      <w:bookmarkEnd w:id="35"/>
      <w:bookmarkStart w:id="36" w:name="_Toc16206"/>
      <w:bookmarkStart w:id="37" w:name="_Toc186477693"/>
      <w:r>
        <w:rPr>
          <w:rFonts w:hint="eastAsia" w:ascii="宋体" w:hAnsi="宋体" w:eastAsia="宋体" w:cs="宋体"/>
          <w:b/>
          <w:bCs/>
          <w:color w:val="auto"/>
          <w:spacing w:val="-6"/>
          <w:sz w:val="24"/>
          <w:szCs w:val="24"/>
          <w:highlight w:val="none"/>
          <w:lang w:eastAsia="zh-CN"/>
        </w:rPr>
        <w:t>6.保密</w:t>
      </w:r>
      <w:bookmarkEnd w:id="36"/>
      <w:bookmarkEnd w:id="37"/>
    </w:p>
    <w:p w14:paraId="20BEC62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 参与招标投标活动的各方应对招标文件</w:t>
      </w:r>
      <w:r>
        <w:rPr>
          <w:rFonts w:hint="eastAsia" w:ascii="宋体" w:hAnsi="宋体" w:eastAsia="宋体" w:cs="宋体"/>
          <w:color w:val="auto"/>
          <w:spacing w:val="-1"/>
          <w:sz w:val="24"/>
          <w:szCs w:val="24"/>
          <w:highlight w:val="none"/>
          <w:lang w:eastAsia="zh-CN"/>
        </w:rPr>
        <w:t>和投标文件中的商业和技术等秘密保密，否则应承担相应的法律责任。</w:t>
      </w:r>
    </w:p>
    <w:p w14:paraId="246D48B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6.2 投标人自领取招标文件之日起，须承担本招标项目保密义务，不得将因</w:t>
      </w:r>
      <w:r>
        <w:rPr>
          <w:rFonts w:hint="eastAsia" w:ascii="宋体" w:hAnsi="宋体" w:eastAsia="宋体" w:cs="宋体"/>
          <w:color w:val="auto"/>
          <w:spacing w:val="-1"/>
          <w:sz w:val="24"/>
          <w:szCs w:val="24"/>
          <w:highlight w:val="none"/>
          <w:lang w:eastAsia="zh-CN"/>
        </w:rPr>
        <w:t>本次招标获得的信息向第三人外传。由采购人向投标人提供的图纸、详细资料、</w:t>
      </w:r>
      <w:r>
        <w:rPr>
          <w:rFonts w:hint="eastAsia" w:ascii="宋体" w:hAnsi="宋体" w:eastAsia="宋体" w:cs="宋体"/>
          <w:color w:val="auto"/>
          <w:spacing w:val="-7"/>
          <w:sz w:val="24"/>
          <w:szCs w:val="24"/>
          <w:highlight w:val="none"/>
          <w:lang w:eastAsia="zh-CN"/>
        </w:rPr>
        <w:t>样品、模型、模件和所有其它资料，被视为保密资料，仅</w:t>
      </w:r>
      <w:r>
        <w:rPr>
          <w:rFonts w:hint="eastAsia" w:ascii="宋体" w:hAnsi="宋体" w:eastAsia="宋体" w:cs="宋体"/>
          <w:color w:val="auto"/>
          <w:spacing w:val="-8"/>
          <w:sz w:val="24"/>
          <w:szCs w:val="24"/>
          <w:highlight w:val="none"/>
          <w:lang w:eastAsia="zh-CN"/>
        </w:rPr>
        <w:t>被用于它所规定的用途。</w:t>
      </w:r>
      <w:r>
        <w:rPr>
          <w:rFonts w:hint="eastAsia" w:ascii="宋体" w:hAnsi="宋体" w:eastAsia="宋体" w:cs="宋体"/>
          <w:color w:val="auto"/>
          <w:spacing w:val="-1"/>
          <w:sz w:val="24"/>
          <w:szCs w:val="24"/>
          <w:highlight w:val="none"/>
          <w:lang w:eastAsia="zh-CN"/>
        </w:rPr>
        <w:t>除非得到采购人的同意，不能向任何第三方透露。开标结束后，应采购人要求，投标人应归还所有从采购人处获得的保密资料。</w:t>
      </w:r>
    </w:p>
    <w:p w14:paraId="7806E7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6.3 采购代理机构有权将投标人提供的所有资料向有关政府部</w:t>
      </w:r>
      <w:r>
        <w:rPr>
          <w:rFonts w:hint="eastAsia" w:ascii="宋体" w:hAnsi="宋体" w:eastAsia="宋体" w:cs="宋体"/>
          <w:color w:val="auto"/>
          <w:spacing w:val="3"/>
          <w:sz w:val="24"/>
          <w:szCs w:val="24"/>
          <w:highlight w:val="none"/>
          <w:lang w:eastAsia="zh-CN"/>
        </w:rPr>
        <w:t>门或评审投</w:t>
      </w:r>
      <w:r>
        <w:rPr>
          <w:rFonts w:hint="eastAsia" w:ascii="宋体" w:hAnsi="宋体" w:eastAsia="宋体" w:cs="宋体"/>
          <w:color w:val="auto"/>
          <w:spacing w:val="-1"/>
          <w:sz w:val="24"/>
          <w:szCs w:val="24"/>
          <w:highlight w:val="none"/>
          <w:lang w:eastAsia="zh-CN"/>
        </w:rPr>
        <w:t>标文件的有关人员披露。</w:t>
      </w:r>
    </w:p>
    <w:p w14:paraId="4BAF0FB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6.4 各级人民政府财政部门对政府采购活动进行监督检查，有权查阅、复制</w:t>
      </w:r>
      <w:r>
        <w:rPr>
          <w:rFonts w:hint="eastAsia" w:ascii="宋体" w:hAnsi="宋体" w:eastAsia="宋体" w:cs="宋体"/>
          <w:color w:val="auto"/>
          <w:spacing w:val="-1"/>
          <w:sz w:val="24"/>
          <w:szCs w:val="24"/>
          <w:highlight w:val="none"/>
          <w:lang w:eastAsia="zh-CN"/>
        </w:rPr>
        <w:t>有关文件、资料，相关单位和人员应当予以配合。</w:t>
      </w:r>
    </w:p>
    <w:p w14:paraId="6A575F76">
      <w:pPr>
        <w:spacing w:line="360" w:lineRule="auto"/>
        <w:ind w:left="31" w:right="-27" w:rightChars="-13"/>
        <w:outlineLvl w:val="2"/>
        <w:rPr>
          <w:rFonts w:ascii="宋体" w:hAnsi="宋体" w:eastAsia="宋体" w:cs="宋体"/>
          <w:color w:val="auto"/>
          <w:sz w:val="24"/>
          <w:szCs w:val="24"/>
          <w:highlight w:val="none"/>
          <w:lang w:eastAsia="zh-CN"/>
        </w:rPr>
      </w:pPr>
      <w:bookmarkStart w:id="38" w:name="bookmark37"/>
      <w:bookmarkEnd w:id="38"/>
      <w:bookmarkStart w:id="39" w:name="bookmark38"/>
      <w:bookmarkEnd w:id="39"/>
      <w:bookmarkStart w:id="40" w:name="_Toc186477694"/>
      <w:bookmarkStart w:id="41" w:name="_Toc16202"/>
      <w:r>
        <w:rPr>
          <w:rFonts w:hint="eastAsia" w:ascii="宋体" w:hAnsi="宋体" w:eastAsia="宋体" w:cs="宋体"/>
          <w:b/>
          <w:bCs/>
          <w:color w:val="auto"/>
          <w:spacing w:val="-6"/>
          <w:sz w:val="24"/>
          <w:szCs w:val="24"/>
          <w:highlight w:val="none"/>
          <w:lang w:eastAsia="zh-CN"/>
        </w:rPr>
        <w:t>7.语言文字</w:t>
      </w:r>
      <w:bookmarkEnd w:id="40"/>
      <w:bookmarkEnd w:id="41"/>
    </w:p>
    <w:p w14:paraId="5CCEF954">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7.1招标投标过程文件使用的语言文字为中文。专用术语使用外文的，应附</w:t>
      </w:r>
      <w:r>
        <w:rPr>
          <w:rFonts w:hint="eastAsia" w:ascii="宋体" w:hAnsi="宋体" w:eastAsia="宋体" w:cs="宋体"/>
          <w:color w:val="auto"/>
          <w:spacing w:val="-3"/>
          <w:sz w:val="24"/>
          <w:szCs w:val="24"/>
          <w:highlight w:val="none"/>
          <w:lang w:eastAsia="zh-CN"/>
        </w:rPr>
        <w:t>有中文注释。投标人提交的支持资料和已印制的文献可以用外文，但相应内容应附有中文翻译本，在解释投标文件时以中文翻译本为准。未附中文翻译本或翻译</w:t>
      </w:r>
      <w:r>
        <w:rPr>
          <w:rFonts w:hint="eastAsia" w:ascii="宋体" w:hAnsi="宋体" w:eastAsia="宋体" w:cs="宋体"/>
          <w:color w:val="auto"/>
          <w:sz w:val="24"/>
          <w:szCs w:val="24"/>
          <w:highlight w:val="none"/>
          <w:lang w:eastAsia="zh-CN"/>
        </w:rPr>
        <w:t>本中文内容明显与外文内容不一致的，其不</w:t>
      </w:r>
      <w:r>
        <w:rPr>
          <w:rFonts w:hint="eastAsia" w:ascii="宋体" w:hAnsi="宋体" w:eastAsia="宋体" w:cs="宋体"/>
          <w:color w:val="auto"/>
          <w:spacing w:val="-1"/>
          <w:sz w:val="24"/>
          <w:szCs w:val="24"/>
          <w:highlight w:val="none"/>
          <w:lang w:eastAsia="zh-CN"/>
        </w:rPr>
        <w:t>利后果由投标人自行承担。</w:t>
      </w:r>
    </w:p>
    <w:p w14:paraId="6482C50A">
      <w:pPr>
        <w:spacing w:line="360" w:lineRule="auto"/>
        <w:ind w:left="31" w:right="-27" w:rightChars="-13"/>
        <w:outlineLvl w:val="2"/>
        <w:rPr>
          <w:rFonts w:ascii="宋体" w:hAnsi="宋体" w:eastAsia="宋体" w:cs="宋体"/>
          <w:color w:val="auto"/>
          <w:sz w:val="24"/>
          <w:szCs w:val="24"/>
          <w:highlight w:val="none"/>
          <w:lang w:eastAsia="zh-CN"/>
        </w:rPr>
      </w:pPr>
      <w:bookmarkStart w:id="42" w:name="bookmark40"/>
      <w:bookmarkEnd w:id="42"/>
      <w:bookmarkStart w:id="43" w:name="bookmark39"/>
      <w:bookmarkEnd w:id="43"/>
      <w:bookmarkStart w:id="44" w:name="_Toc17969"/>
      <w:bookmarkStart w:id="45" w:name="_Toc186477695"/>
      <w:r>
        <w:rPr>
          <w:rFonts w:hint="eastAsia" w:ascii="宋体" w:hAnsi="宋体" w:eastAsia="宋体" w:cs="宋体"/>
          <w:b/>
          <w:bCs/>
          <w:color w:val="auto"/>
          <w:spacing w:val="-5"/>
          <w:sz w:val="24"/>
          <w:szCs w:val="24"/>
          <w:highlight w:val="none"/>
          <w:lang w:eastAsia="zh-CN"/>
        </w:rPr>
        <w:t>8.计量单位</w:t>
      </w:r>
      <w:bookmarkEnd w:id="44"/>
      <w:bookmarkEnd w:id="45"/>
    </w:p>
    <w:p w14:paraId="6C49548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8.1所有计量均采用中华人民共和国法定计量单位。</w:t>
      </w:r>
    </w:p>
    <w:p w14:paraId="28BA9B6E">
      <w:pPr>
        <w:spacing w:line="360" w:lineRule="auto"/>
        <w:ind w:left="31" w:right="-27" w:rightChars="-13"/>
        <w:outlineLvl w:val="2"/>
        <w:rPr>
          <w:rFonts w:ascii="宋体" w:hAnsi="宋体" w:eastAsia="宋体" w:cs="宋体"/>
          <w:color w:val="auto"/>
          <w:sz w:val="24"/>
          <w:szCs w:val="24"/>
          <w:highlight w:val="none"/>
          <w:lang w:eastAsia="zh-CN"/>
        </w:rPr>
      </w:pPr>
      <w:bookmarkStart w:id="46" w:name="bookmark41"/>
      <w:bookmarkEnd w:id="46"/>
      <w:bookmarkStart w:id="47" w:name="bookmark42"/>
      <w:bookmarkEnd w:id="47"/>
      <w:bookmarkStart w:id="48" w:name="_Toc5277"/>
      <w:bookmarkStart w:id="49" w:name="_Toc186477696"/>
      <w:r>
        <w:rPr>
          <w:rFonts w:hint="eastAsia" w:ascii="宋体" w:hAnsi="宋体" w:eastAsia="宋体" w:cs="宋体"/>
          <w:b/>
          <w:bCs/>
          <w:color w:val="auto"/>
          <w:spacing w:val="-4"/>
          <w:sz w:val="24"/>
          <w:szCs w:val="24"/>
          <w:highlight w:val="none"/>
          <w:lang w:eastAsia="zh-CN"/>
        </w:rPr>
        <w:t>9.现场考察和答疑会</w:t>
      </w:r>
      <w:bookmarkEnd w:id="48"/>
      <w:bookmarkEnd w:id="49"/>
    </w:p>
    <w:p w14:paraId="0D7E8D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9.1“投标人须知前附表”规定组织现场考察的，</w:t>
      </w:r>
      <w:r>
        <w:rPr>
          <w:rFonts w:hint="eastAsia" w:ascii="宋体" w:hAnsi="宋体" w:eastAsia="宋体" w:cs="宋体"/>
          <w:color w:val="auto"/>
          <w:spacing w:val="-4"/>
          <w:sz w:val="24"/>
          <w:szCs w:val="24"/>
          <w:highlight w:val="none"/>
          <w:lang w:eastAsia="zh-CN"/>
        </w:rPr>
        <w:t>采购代理机构按“投标人</w:t>
      </w:r>
      <w:r>
        <w:rPr>
          <w:rFonts w:hint="eastAsia" w:ascii="宋体" w:hAnsi="宋体" w:eastAsia="宋体" w:cs="宋体"/>
          <w:color w:val="auto"/>
          <w:spacing w:val="-2"/>
          <w:sz w:val="24"/>
          <w:szCs w:val="24"/>
          <w:highlight w:val="none"/>
          <w:lang w:eastAsia="zh-CN"/>
        </w:rPr>
        <w:t>须知前附表”规定的时间、地点组织投标人项目现场考察。</w:t>
      </w:r>
    </w:p>
    <w:p w14:paraId="6F0776A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9.2 投标人现场考察发生的费用自理。</w:t>
      </w:r>
    </w:p>
    <w:p w14:paraId="0F6E220C">
      <w:pPr>
        <w:spacing w:line="360" w:lineRule="auto"/>
        <w:ind w:left="31"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9.3 在现场考察中，因投标人自身原因发生的人员伤亡和财产损失，由投标人自行负责。</w:t>
      </w:r>
    </w:p>
    <w:p w14:paraId="1FB33F4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9.4 采购人在现场考察中介绍的项目场地和相关的周边环境情况，仅供投标人在编制投标文件时参考，采购人和采购代理机构不对投标人据此作出的判断和决策负责。</w:t>
      </w:r>
    </w:p>
    <w:p w14:paraId="4E5ECDA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9.5“投标人须知前附表”规定召开答疑会的，采</w:t>
      </w:r>
      <w:r>
        <w:rPr>
          <w:rFonts w:hint="eastAsia" w:ascii="宋体" w:hAnsi="宋体" w:eastAsia="宋体" w:cs="宋体"/>
          <w:color w:val="auto"/>
          <w:spacing w:val="-4"/>
          <w:sz w:val="24"/>
          <w:szCs w:val="24"/>
          <w:highlight w:val="none"/>
          <w:lang w:eastAsia="zh-CN"/>
        </w:rPr>
        <w:t>购代理机构按“投标人须</w:t>
      </w:r>
      <w:r>
        <w:rPr>
          <w:rFonts w:hint="eastAsia" w:ascii="宋体" w:hAnsi="宋体" w:eastAsia="宋体" w:cs="宋体"/>
          <w:color w:val="auto"/>
          <w:spacing w:val="-2"/>
          <w:sz w:val="24"/>
          <w:szCs w:val="24"/>
          <w:highlight w:val="none"/>
          <w:lang w:eastAsia="zh-CN"/>
        </w:rPr>
        <w:t>知前附表”规定的时间和地点召开答疑会，澄清投标人提出的问题。</w:t>
      </w:r>
    </w:p>
    <w:p w14:paraId="452ADE3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9.6由于未参加现场考察或未参加标前答疑会而导致对项目实际情况不了</w:t>
      </w:r>
      <w:r>
        <w:rPr>
          <w:rFonts w:hint="eastAsia" w:ascii="宋体" w:hAnsi="宋体" w:eastAsia="宋体" w:cs="宋体"/>
          <w:color w:val="auto"/>
          <w:spacing w:val="-3"/>
          <w:sz w:val="24"/>
          <w:szCs w:val="24"/>
          <w:highlight w:val="none"/>
          <w:lang w:eastAsia="zh-CN"/>
        </w:rPr>
        <w:t>解，影响投标文件编制、投标报价准确性、综合因素响应不全面等问题的，由投</w:t>
      </w:r>
      <w:r>
        <w:rPr>
          <w:rFonts w:hint="eastAsia" w:ascii="宋体" w:hAnsi="宋体" w:eastAsia="宋体" w:cs="宋体"/>
          <w:color w:val="auto"/>
          <w:spacing w:val="-1"/>
          <w:sz w:val="24"/>
          <w:szCs w:val="24"/>
          <w:highlight w:val="none"/>
          <w:lang w:eastAsia="zh-CN"/>
        </w:rPr>
        <w:t>标人自行承担不利评审后果。</w:t>
      </w:r>
    </w:p>
    <w:p w14:paraId="3B1E63FD">
      <w:pPr>
        <w:spacing w:line="360" w:lineRule="auto"/>
        <w:ind w:left="31" w:right="-27" w:rightChars="-13"/>
        <w:outlineLvl w:val="2"/>
        <w:rPr>
          <w:rFonts w:ascii="宋体" w:hAnsi="宋体" w:eastAsia="宋体" w:cs="宋体"/>
          <w:color w:val="auto"/>
          <w:sz w:val="24"/>
          <w:szCs w:val="24"/>
          <w:highlight w:val="none"/>
          <w:lang w:eastAsia="zh-CN"/>
        </w:rPr>
      </w:pPr>
      <w:bookmarkStart w:id="50" w:name="bookmark44"/>
      <w:bookmarkEnd w:id="50"/>
      <w:bookmarkStart w:id="51" w:name="bookmark43"/>
      <w:bookmarkEnd w:id="51"/>
      <w:bookmarkStart w:id="52" w:name="_Toc186477697"/>
      <w:bookmarkStart w:id="53" w:name="_Toc22755"/>
      <w:r>
        <w:rPr>
          <w:rFonts w:hint="eastAsia" w:ascii="宋体" w:hAnsi="宋体" w:eastAsia="宋体" w:cs="宋体"/>
          <w:b/>
          <w:bCs/>
          <w:color w:val="auto"/>
          <w:spacing w:val="-6"/>
          <w:sz w:val="24"/>
          <w:szCs w:val="24"/>
          <w:highlight w:val="none"/>
          <w:lang w:eastAsia="zh-CN"/>
        </w:rPr>
        <w:t>10.电子投标说明</w:t>
      </w:r>
      <w:bookmarkEnd w:id="52"/>
      <w:bookmarkEnd w:id="53"/>
    </w:p>
    <w:p w14:paraId="555C5E69">
      <w:pPr>
        <w:spacing w:line="360" w:lineRule="auto"/>
        <w:rPr>
          <w:rFonts w:ascii="宋体" w:hAnsi="宋体" w:eastAsia="宋体" w:cs="宋体"/>
          <w:color w:val="auto"/>
          <w:sz w:val="24"/>
          <w:highlight w:val="none"/>
          <w:shd w:val="clear" w:color="auto" w:fill="FFFFFF"/>
          <w:lang w:eastAsia="zh-CN"/>
        </w:rPr>
      </w:pPr>
      <w:bookmarkStart w:id="54" w:name="bookmark46"/>
      <w:bookmarkEnd w:id="54"/>
      <w:bookmarkStart w:id="55" w:name="bookmark45"/>
      <w:bookmarkEnd w:id="55"/>
      <w:bookmarkStart w:id="56" w:name="_Toc186477698"/>
      <w:r>
        <w:rPr>
          <w:rFonts w:hint="eastAsia" w:ascii="宋体" w:hAnsi="宋体" w:eastAsia="宋体" w:cs="宋体"/>
          <w:color w:val="auto"/>
          <w:sz w:val="24"/>
          <w:highlight w:val="none"/>
          <w:shd w:val="clear" w:color="auto" w:fill="FFFFFF"/>
          <w:lang w:eastAsia="zh-CN"/>
        </w:rPr>
        <w:t>10.1、本项目采用全流程不见面电子开评标。</w:t>
      </w:r>
    </w:p>
    <w:p w14:paraId="59FA5C86">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10.2、本项目实行网上投标，采用加密电子投标响应文件(投标人须使用CA加密设备通过政采云电子投标客户端制作投标响应文件)。若投标人参与投标，自行承担投标一切费用。</w:t>
      </w:r>
    </w:p>
    <w:p w14:paraId="0F44B0E4">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10.3、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申领。如需咨询，请联系新疆CA服务热线0991-2819290；</w:t>
      </w:r>
    </w:p>
    <w:p w14:paraId="5D19F11F">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10.4、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4E076558">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10.5、本项目采用不见面开标，投标人应当在投标截止时间前,将生成的“电子加密投标文件”上传递交至“政府采购云平台”,投标截止时间以后上传递交的投标文件将被“政府采购云平台”拒收。投标人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7A103319">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10.6、投标人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投标人在规定时间内因自身原因导致无法正常解密,后果由投标人自行承担。</w:t>
      </w:r>
    </w:p>
    <w:p w14:paraId="4A906B15">
      <w:pPr>
        <w:spacing w:before="240" w:line="360" w:lineRule="auto"/>
        <w:ind w:left="31" w:right="-27" w:rightChars="-13"/>
        <w:outlineLvl w:val="2"/>
        <w:rPr>
          <w:rFonts w:ascii="宋体" w:hAnsi="宋体" w:eastAsia="宋体" w:cs="宋体"/>
          <w:b/>
          <w:bCs/>
          <w:color w:val="auto"/>
          <w:spacing w:val="-6"/>
          <w:sz w:val="24"/>
          <w:szCs w:val="24"/>
          <w:highlight w:val="none"/>
          <w:lang w:eastAsia="zh-CN"/>
        </w:rPr>
      </w:pPr>
      <w:bookmarkStart w:id="57" w:name="_Toc12958"/>
      <w:r>
        <w:rPr>
          <w:rFonts w:hint="eastAsia" w:ascii="宋体" w:hAnsi="宋体" w:eastAsia="宋体" w:cs="宋体"/>
          <w:b/>
          <w:bCs/>
          <w:color w:val="auto"/>
          <w:spacing w:val="-6"/>
          <w:sz w:val="24"/>
          <w:szCs w:val="24"/>
          <w:highlight w:val="none"/>
          <w:lang w:eastAsia="zh-CN"/>
        </w:rPr>
        <w:t>（二）招标文件</w:t>
      </w:r>
      <w:bookmarkEnd w:id="56"/>
      <w:bookmarkEnd w:id="57"/>
    </w:p>
    <w:p w14:paraId="5A1DD471">
      <w:pPr>
        <w:spacing w:line="360" w:lineRule="auto"/>
        <w:ind w:left="31" w:right="-27" w:rightChars="-13"/>
        <w:outlineLvl w:val="2"/>
        <w:rPr>
          <w:rFonts w:ascii="宋体" w:hAnsi="宋体" w:eastAsia="宋体" w:cs="宋体"/>
          <w:color w:val="auto"/>
          <w:sz w:val="24"/>
          <w:szCs w:val="24"/>
          <w:highlight w:val="none"/>
          <w:lang w:eastAsia="zh-CN"/>
        </w:rPr>
      </w:pPr>
      <w:bookmarkStart w:id="58" w:name="bookmark47"/>
      <w:bookmarkEnd w:id="58"/>
      <w:bookmarkStart w:id="59" w:name="bookmark48"/>
      <w:bookmarkEnd w:id="59"/>
      <w:bookmarkStart w:id="60" w:name="_Toc186477699"/>
      <w:bookmarkStart w:id="61" w:name="_Toc21045"/>
      <w:r>
        <w:rPr>
          <w:rFonts w:hint="eastAsia" w:ascii="宋体" w:hAnsi="宋体" w:eastAsia="宋体" w:cs="宋体"/>
          <w:b/>
          <w:bCs/>
          <w:color w:val="auto"/>
          <w:spacing w:val="-6"/>
          <w:sz w:val="24"/>
          <w:szCs w:val="24"/>
          <w:highlight w:val="none"/>
          <w:lang w:eastAsia="zh-CN"/>
        </w:rPr>
        <w:t>11.招标文件的组成</w:t>
      </w:r>
      <w:bookmarkEnd w:id="60"/>
      <w:bookmarkEnd w:id="61"/>
    </w:p>
    <w:p w14:paraId="1B9CA1D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11.1本招标文件包括下列文件及根据本章第9款、第12款对招标文件所作的澄清或者修改。</w:t>
      </w:r>
    </w:p>
    <w:p w14:paraId="473DD5D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第一章 招标公告</w:t>
      </w:r>
    </w:p>
    <w:p w14:paraId="5B961D34">
      <w:pPr>
        <w:spacing w:line="360" w:lineRule="auto"/>
        <w:ind w:left="31" w:right="-27" w:rightChars="-1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第二章 投标人须知</w:t>
      </w:r>
    </w:p>
    <w:p w14:paraId="1AD3AE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第三章 采购需求</w:t>
      </w:r>
    </w:p>
    <w:p w14:paraId="1FCEC9D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第四章资格审查</w:t>
      </w:r>
    </w:p>
    <w:p w14:paraId="30F18D5A">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第五章 评标方法及标准</w:t>
      </w:r>
    </w:p>
    <w:p w14:paraId="35B2D9E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第六章 合同草案</w:t>
      </w:r>
    </w:p>
    <w:p w14:paraId="10FE2DC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第七章 投标文件的格式</w:t>
      </w:r>
    </w:p>
    <w:p w14:paraId="02DF9F49">
      <w:pPr>
        <w:spacing w:line="360" w:lineRule="auto"/>
        <w:ind w:left="31" w:right="-27" w:rightChars="-13"/>
        <w:outlineLvl w:val="2"/>
        <w:rPr>
          <w:rFonts w:ascii="宋体" w:hAnsi="宋体" w:eastAsia="宋体" w:cs="宋体"/>
          <w:color w:val="auto"/>
          <w:sz w:val="24"/>
          <w:szCs w:val="24"/>
          <w:highlight w:val="none"/>
          <w:lang w:eastAsia="zh-CN"/>
        </w:rPr>
      </w:pPr>
      <w:bookmarkStart w:id="62" w:name="bookmark50"/>
      <w:bookmarkEnd w:id="62"/>
      <w:bookmarkStart w:id="63" w:name="bookmark49"/>
      <w:bookmarkEnd w:id="63"/>
      <w:bookmarkStart w:id="64" w:name="_Toc186477700"/>
      <w:bookmarkStart w:id="65" w:name="_Toc19400"/>
      <w:r>
        <w:rPr>
          <w:rFonts w:hint="eastAsia" w:ascii="宋体" w:hAnsi="宋体" w:eastAsia="宋体" w:cs="宋体"/>
          <w:b/>
          <w:bCs/>
          <w:color w:val="auto"/>
          <w:spacing w:val="-4"/>
          <w:sz w:val="24"/>
          <w:szCs w:val="24"/>
          <w:highlight w:val="none"/>
          <w:lang w:eastAsia="zh-CN"/>
        </w:rPr>
        <w:t>12.招标文件的询问、澄清或者修改</w:t>
      </w:r>
      <w:bookmarkEnd w:id="64"/>
      <w:bookmarkEnd w:id="65"/>
    </w:p>
    <w:p w14:paraId="05B143FA">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12.1 投标人对采购项目有疑问的，可以按照“投标人须知前附表”中的规</w:t>
      </w:r>
      <w:r>
        <w:rPr>
          <w:rFonts w:hint="eastAsia" w:ascii="宋体" w:hAnsi="宋体" w:eastAsia="宋体" w:cs="宋体"/>
          <w:color w:val="auto"/>
          <w:spacing w:val="-4"/>
          <w:sz w:val="24"/>
          <w:szCs w:val="24"/>
          <w:highlight w:val="none"/>
          <w:lang w:eastAsia="zh-CN"/>
        </w:rPr>
        <w:t>定提出询问。提出后，请投标人及时通过交易平台“答疑文件下载”栏目查看答</w:t>
      </w:r>
      <w:r>
        <w:rPr>
          <w:rFonts w:hint="eastAsia" w:ascii="宋体" w:hAnsi="宋体" w:eastAsia="宋体" w:cs="宋体"/>
          <w:color w:val="auto"/>
          <w:spacing w:val="-8"/>
          <w:sz w:val="24"/>
          <w:szCs w:val="24"/>
          <w:highlight w:val="none"/>
          <w:lang w:eastAsia="zh-CN"/>
        </w:rPr>
        <w:t>疑文件或澄清文件。必要时，采购代理机构将组织相关专家召开答疑会，如召开，</w:t>
      </w:r>
      <w:r>
        <w:rPr>
          <w:rFonts w:hint="eastAsia" w:ascii="宋体" w:hAnsi="宋体" w:eastAsia="宋体" w:cs="宋体"/>
          <w:color w:val="auto"/>
          <w:spacing w:val="-3"/>
          <w:sz w:val="24"/>
          <w:szCs w:val="24"/>
          <w:highlight w:val="none"/>
          <w:lang w:eastAsia="zh-CN"/>
        </w:rPr>
        <w:t>答疑会安排另行通知。采购人或采购代理机构将在收到询问后依法予以答复。对招标文件询问的答复，在必要时将以澄清形式推送给每个获取招标文件的潜在投</w:t>
      </w:r>
      <w:r>
        <w:rPr>
          <w:rFonts w:hint="eastAsia" w:ascii="宋体" w:hAnsi="宋体" w:eastAsia="宋体" w:cs="宋体"/>
          <w:color w:val="auto"/>
          <w:spacing w:val="-1"/>
          <w:sz w:val="24"/>
          <w:szCs w:val="24"/>
          <w:highlight w:val="none"/>
          <w:lang w:eastAsia="zh-CN"/>
        </w:rPr>
        <w:t>标人(答复中不包括问题的来源)。</w:t>
      </w:r>
    </w:p>
    <w:p w14:paraId="76E632D7">
      <w:pPr>
        <w:spacing w:line="360" w:lineRule="auto"/>
        <w:ind w:left="31" w:leftChars="15" w:right="-27" w:rightChars="-13" w:firstLine="458" w:firstLineChars="19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投标人在规定的时间内未对招标文件提出疑问或要求澄清</w:t>
      </w:r>
      <w:r>
        <w:rPr>
          <w:rFonts w:hint="eastAsia" w:ascii="宋体" w:hAnsi="宋体" w:eastAsia="宋体" w:cs="宋体"/>
          <w:color w:val="auto"/>
          <w:spacing w:val="-4"/>
          <w:sz w:val="24"/>
          <w:szCs w:val="24"/>
          <w:highlight w:val="none"/>
          <w:lang w:eastAsia="zh-CN"/>
        </w:rPr>
        <w:t>的，采购代理机构</w:t>
      </w:r>
      <w:r>
        <w:rPr>
          <w:rFonts w:hint="eastAsia" w:ascii="宋体" w:hAnsi="宋体" w:eastAsia="宋体" w:cs="宋体"/>
          <w:color w:val="auto"/>
          <w:spacing w:val="-5"/>
          <w:sz w:val="24"/>
          <w:szCs w:val="24"/>
          <w:highlight w:val="none"/>
          <w:lang w:eastAsia="zh-CN"/>
        </w:rPr>
        <w:t>将视其为同意，对在“投标人须知前附表”中“提出询问的时间要求”之后就招</w:t>
      </w:r>
      <w:r>
        <w:rPr>
          <w:rFonts w:hint="eastAsia" w:ascii="宋体" w:hAnsi="宋体" w:eastAsia="宋体" w:cs="宋体"/>
          <w:color w:val="auto"/>
          <w:spacing w:val="-1"/>
          <w:sz w:val="24"/>
          <w:szCs w:val="24"/>
          <w:highlight w:val="none"/>
          <w:lang w:eastAsia="zh-CN"/>
        </w:rPr>
        <w:t>标文件内容提出的疑问及澄清要求将不予受理。</w:t>
      </w:r>
    </w:p>
    <w:p w14:paraId="092EB76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12.2 采购人或者采购代理机构可以对已发出的招标文件进行必要的澄清或</w:t>
      </w:r>
      <w:r>
        <w:rPr>
          <w:rFonts w:hint="eastAsia" w:ascii="宋体" w:hAnsi="宋体" w:eastAsia="宋体" w:cs="宋体"/>
          <w:color w:val="auto"/>
          <w:spacing w:val="-3"/>
          <w:sz w:val="24"/>
          <w:szCs w:val="24"/>
          <w:highlight w:val="none"/>
          <w:lang w:eastAsia="zh-CN"/>
        </w:rPr>
        <w:t>者修改。澄清或修改的内容为招标文件的组成部分，并对所有获取招标文件的潜</w:t>
      </w:r>
      <w:r>
        <w:rPr>
          <w:rFonts w:hint="eastAsia" w:ascii="宋体" w:hAnsi="宋体" w:eastAsia="宋体" w:cs="宋体"/>
          <w:color w:val="auto"/>
          <w:spacing w:val="-1"/>
          <w:sz w:val="24"/>
          <w:szCs w:val="24"/>
          <w:highlight w:val="none"/>
          <w:lang w:eastAsia="zh-CN"/>
        </w:rPr>
        <w:t>在投标人具有约束力。</w:t>
      </w:r>
    </w:p>
    <w:p w14:paraId="28E96D7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12.3 招标文件的澄清或者修改以当面交接、邮寄、传真或电子邮件、网站</w:t>
      </w:r>
      <w:r>
        <w:rPr>
          <w:rFonts w:hint="eastAsia" w:ascii="宋体" w:hAnsi="宋体" w:eastAsia="宋体" w:cs="宋体"/>
          <w:color w:val="auto"/>
          <w:spacing w:val="-3"/>
          <w:sz w:val="24"/>
          <w:szCs w:val="24"/>
          <w:highlight w:val="none"/>
          <w:lang w:eastAsia="zh-CN"/>
        </w:rPr>
        <w:t>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w:t>
      </w:r>
      <w:r>
        <w:rPr>
          <w:rFonts w:hint="eastAsia" w:ascii="宋体" w:hAnsi="宋体" w:eastAsia="宋体" w:cs="宋体"/>
          <w:color w:val="auto"/>
          <w:spacing w:val="-4"/>
          <w:sz w:val="24"/>
          <w:szCs w:val="24"/>
          <w:highlight w:val="none"/>
          <w:lang w:eastAsia="zh-CN"/>
        </w:rPr>
        <w:t>时间。</w:t>
      </w:r>
    </w:p>
    <w:p w14:paraId="7396BD7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12.4 “投标人须知”所称“书面形式”包括系统消息、政府采购云平台发</w:t>
      </w:r>
      <w:r>
        <w:rPr>
          <w:rFonts w:hint="eastAsia" w:ascii="宋体" w:hAnsi="宋体" w:eastAsia="宋体" w:cs="宋体"/>
          <w:color w:val="auto"/>
          <w:spacing w:val="-2"/>
          <w:sz w:val="24"/>
          <w:szCs w:val="24"/>
          <w:highlight w:val="none"/>
          <w:lang w:eastAsia="zh-CN"/>
        </w:rPr>
        <w:t>布的公告。</w:t>
      </w:r>
    </w:p>
    <w:p w14:paraId="6DDBEED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12.5采购代理机构一旦对招标文件作出了澄清、修改，即刻发生效力，采</w:t>
      </w:r>
      <w:r>
        <w:rPr>
          <w:rFonts w:hint="eastAsia" w:ascii="宋体" w:hAnsi="宋体" w:eastAsia="宋体" w:cs="宋体"/>
          <w:color w:val="auto"/>
          <w:spacing w:val="-3"/>
          <w:sz w:val="24"/>
          <w:szCs w:val="24"/>
          <w:highlight w:val="none"/>
          <w:lang w:eastAsia="zh-CN"/>
        </w:rPr>
        <w:t>购代理机构有关的澄清、修改文件，将作为招标文件的组成部分，对所有现实的或潜在的投标人均具有约束力，而无论是否已经实际收到上述文件。同时，采购</w:t>
      </w:r>
      <w:r>
        <w:rPr>
          <w:rFonts w:hint="eastAsia" w:ascii="宋体" w:hAnsi="宋体" w:eastAsia="宋体" w:cs="宋体"/>
          <w:color w:val="auto"/>
          <w:spacing w:val="-1"/>
          <w:sz w:val="24"/>
          <w:szCs w:val="24"/>
          <w:highlight w:val="none"/>
          <w:lang w:eastAsia="zh-CN"/>
        </w:rPr>
        <w:t>代理机构和投标人的权利及义务将受到新的截止期的约束。</w:t>
      </w:r>
    </w:p>
    <w:p w14:paraId="2ED96C5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12.6采购代理机构对招标文件作出的澄清、修改在平台内进行披露，请投</w:t>
      </w:r>
      <w:r>
        <w:rPr>
          <w:rFonts w:hint="eastAsia" w:ascii="宋体" w:hAnsi="宋体" w:eastAsia="宋体" w:cs="宋体"/>
          <w:color w:val="auto"/>
          <w:spacing w:val="-3"/>
          <w:sz w:val="24"/>
          <w:szCs w:val="24"/>
          <w:highlight w:val="none"/>
          <w:lang w:eastAsia="zh-CN"/>
        </w:rPr>
        <w:t>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w:t>
      </w:r>
      <w:r>
        <w:rPr>
          <w:rFonts w:hint="eastAsia" w:ascii="宋体" w:hAnsi="宋体" w:eastAsia="宋体" w:cs="宋体"/>
          <w:color w:val="auto"/>
          <w:spacing w:val="-1"/>
          <w:sz w:val="24"/>
          <w:szCs w:val="24"/>
          <w:highlight w:val="none"/>
          <w:lang w:eastAsia="zh-CN"/>
        </w:rPr>
        <w:t>不一致时，以最后发布的内容为准。</w:t>
      </w:r>
    </w:p>
    <w:p w14:paraId="43192EBB">
      <w:pPr>
        <w:spacing w:line="360" w:lineRule="auto"/>
        <w:ind w:left="31" w:right="-27" w:rightChars="-13"/>
        <w:outlineLvl w:val="2"/>
        <w:rPr>
          <w:rFonts w:ascii="宋体" w:hAnsi="宋体" w:eastAsia="宋体" w:cs="宋体"/>
          <w:color w:val="auto"/>
          <w:sz w:val="24"/>
          <w:szCs w:val="24"/>
          <w:highlight w:val="none"/>
          <w:lang w:eastAsia="zh-CN"/>
        </w:rPr>
      </w:pPr>
      <w:bookmarkStart w:id="66" w:name="bookmark51"/>
      <w:bookmarkEnd w:id="66"/>
      <w:bookmarkStart w:id="67" w:name="bookmark52"/>
      <w:bookmarkEnd w:id="67"/>
      <w:bookmarkStart w:id="68" w:name="_Toc186477701"/>
      <w:bookmarkStart w:id="69" w:name="_Toc31225"/>
      <w:r>
        <w:rPr>
          <w:rFonts w:hint="eastAsia" w:ascii="宋体" w:hAnsi="宋体" w:eastAsia="宋体" w:cs="宋体"/>
          <w:b/>
          <w:bCs/>
          <w:color w:val="auto"/>
          <w:spacing w:val="-6"/>
          <w:sz w:val="24"/>
          <w:szCs w:val="24"/>
          <w:highlight w:val="none"/>
          <w:lang w:eastAsia="zh-CN"/>
        </w:rPr>
        <w:t>（三）投标文件</w:t>
      </w:r>
      <w:bookmarkEnd w:id="68"/>
      <w:bookmarkEnd w:id="69"/>
    </w:p>
    <w:p w14:paraId="78876521">
      <w:pPr>
        <w:spacing w:line="360" w:lineRule="auto"/>
        <w:ind w:left="31" w:right="-27" w:rightChars="-13"/>
        <w:outlineLvl w:val="2"/>
        <w:rPr>
          <w:rFonts w:ascii="宋体" w:hAnsi="宋体" w:eastAsia="宋体" w:cs="宋体"/>
          <w:color w:val="auto"/>
          <w:sz w:val="24"/>
          <w:szCs w:val="24"/>
          <w:highlight w:val="none"/>
          <w:lang w:eastAsia="zh-CN"/>
        </w:rPr>
      </w:pPr>
      <w:bookmarkStart w:id="70" w:name="bookmark56"/>
      <w:bookmarkEnd w:id="70"/>
      <w:bookmarkStart w:id="71" w:name="bookmark54"/>
      <w:bookmarkEnd w:id="71"/>
      <w:bookmarkStart w:id="72" w:name="bookmark53"/>
      <w:bookmarkEnd w:id="72"/>
      <w:bookmarkStart w:id="73" w:name="_Toc29408"/>
      <w:bookmarkStart w:id="74" w:name="_Toc186477702"/>
      <w:r>
        <w:rPr>
          <w:rFonts w:hint="eastAsia" w:ascii="宋体" w:hAnsi="宋体" w:eastAsia="宋体" w:cs="宋体"/>
          <w:b/>
          <w:bCs/>
          <w:color w:val="auto"/>
          <w:spacing w:val="-6"/>
          <w:sz w:val="24"/>
          <w:szCs w:val="24"/>
          <w:highlight w:val="none"/>
          <w:lang w:eastAsia="zh-CN"/>
        </w:rPr>
        <w:t>13.投标文件的组成</w:t>
      </w:r>
      <w:bookmarkEnd w:id="73"/>
      <w:bookmarkEnd w:id="74"/>
    </w:p>
    <w:p w14:paraId="4463A5D5">
      <w:pPr>
        <w:widowControl w:val="0"/>
        <w:spacing w:line="360" w:lineRule="auto"/>
        <w:ind w:left="28"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13.1投标人应完整地按招标文件提供的投标文件格式及要求编写投标文件，具体内容详见“第七章 投标文件格式”的相关内容。</w:t>
      </w:r>
    </w:p>
    <w:p w14:paraId="6475C33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13.2投标人应提交招标文件要求的证明文件，证明其投标内容符合招标文</w:t>
      </w:r>
      <w:r>
        <w:rPr>
          <w:rFonts w:hint="eastAsia" w:ascii="宋体" w:hAnsi="宋体" w:eastAsia="宋体" w:cs="宋体"/>
          <w:color w:val="auto"/>
          <w:spacing w:val="-3"/>
          <w:sz w:val="24"/>
          <w:szCs w:val="24"/>
          <w:highlight w:val="none"/>
          <w:lang w:eastAsia="zh-CN"/>
        </w:rPr>
        <w:t>件规定，该证明文件是投标文件的一部分。证明文件形式可以是文字资料、图纸</w:t>
      </w:r>
      <w:r>
        <w:rPr>
          <w:rFonts w:hint="eastAsia" w:ascii="宋体" w:hAnsi="宋体" w:eastAsia="宋体" w:cs="宋体"/>
          <w:color w:val="auto"/>
          <w:spacing w:val="-2"/>
          <w:sz w:val="24"/>
          <w:szCs w:val="24"/>
          <w:highlight w:val="none"/>
          <w:lang w:eastAsia="zh-CN"/>
        </w:rPr>
        <w:t>和数据等。</w:t>
      </w:r>
    </w:p>
    <w:p w14:paraId="1C91C10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13.3为保证公平公正，除非本招标文件另有规定或说明，投标人对同一项</w:t>
      </w:r>
      <w:r>
        <w:rPr>
          <w:rFonts w:hint="eastAsia" w:ascii="宋体" w:hAnsi="宋体" w:eastAsia="宋体" w:cs="宋体"/>
          <w:color w:val="auto"/>
          <w:spacing w:val="-4"/>
          <w:sz w:val="24"/>
          <w:szCs w:val="24"/>
          <w:highlight w:val="none"/>
          <w:lang w:eastAsia="zh-CN"/>
        </w:rPr>
        <w:t>目投标时，不得同时提供备选投标方案。</w:t>
      </w:r>
    </w:p>
    <w:p w14:paraId="4E0C7ACA">
      <w:pPr>
        <w:spacing w:line="360" w:lineRule="auto"/>
        <w:ind w:left="31" w:right="-27" w:rightChars="-13"/>
        <w:outlineLvl w:val="3"/>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14.投标报价</w:t>
      </w:r>
    </w:p>
    <w:p w14:paraId="0DCF387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14.1 投标人的报价均应以人民币进行报价。</w:t>
      </w:r>
    </w:p>
    <w:p w14:paraId="335FA66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14.2 投标人应按照本招标文件规定的报价方式进行报价，投标报价中不得</w:t>
      </w:r>
      <w:r>
        <w:rPr>
          <w:rFonts w:hint="eastAsia" w:ascii="宋体" w:hAnsi="宋体" w:eastAsia="宋体" w:cs="宋体"/>
          <w:color w:val="auto"/>
          <w:spacing w:val="-3"/>
          <w:sz w:val="24"/>
          <w:szCs w:val="24"/>
          <w:highlight w:val="none"/>
          <w:lang w:eastAsia="zh-CN"/>
        </w:rPr>
        <w:t>包含招标文件要求以外的内容，否则，在评标时不予核减。投标报价中也不得缺</w:t>
      </w:r>
      <w:r>
        <w:rPr>
          <w:rFonts w:hint="eastAsia" w:ascii="宋体" w:hAnsi="宋体" w:eastAsia="宋体" w:cs="宋体"/>
          <w:color w:val="auto"/>
          <w:spacing w:val="-1"/>
          <w:sz w:val="24"/>
          <w:szCs w:val="24"/>
          <w:highlight w:val="none"/>
          <w:lang w:eastAsia="zh-CN"/>
        </w:rPr>
        <w:t>漏招标文件所要求的内容，否则，其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27000489">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投标人的报价应包括为完成本项目所发生的一切费用和税</w:t>
      </w:r>
      <w:r>
        <w:rPr>
          <w:rFonts w:hint="eastAsia" w:ascii="宋体" w:hAnsi="宋体" w:eastAsia="宋体" w:cs="宋体"/>
          <w:color w:val="auto"/>
          <w:spacing w:val="-4"/>
          <w:sz w:val="24"/>
          <w:szCs w:val="24"/>
          <w:highlight w:val="none"/>
          <w:lang w:eastAsia="zh-CN"/>
        </w:rPr>
        <w:t>费，采购人将不再</w:t>
      </w:r>
      <w:r>
        <w:rPr>
          <w:rFonts w:hint="eastAsia" w:ascii="宋体" w:hAnsi="宋体" w:eastAsia="宋体" w:cs="宋体"/>
          <w:color w:val="auto"/>
          <w:spacing w:val="-3"/>
          <w:sz w:val="24"/>
          <w:szCs w:val="24"/>
          <w:highlight w:val="none"/>
          <w:lang w:eastAsia="zh-CN"/>
        </w:rPr>
        <w:t>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w:t>
      </w:r>
      <w:r>
        <w:rPr>
          <w:rFonts w:hint="eastAsia" w:ascii="宋体" w:hAnsi="宋体" w:eastAsia="宋体" w:cs="宋体"/>
          <w:color w:val="auto"/>
          <w:spacing w:val="-1"/>
          <w:sz w:val="24"/>
          <w:szCs w:val="24"/>
          <w:highlight w:val="none"/>
          <w:lang w:eastAsia="zh-CN"/>
        </w:rPr>
        <w:t>任何失误，所导致的任何不利后果均应当由投标人自行承担。</w:t>
      </w:r>
    </w:p>
    <w:p w14:paraId="15892C1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14.3 投标人须严格按照分项报价表规定的内容填写投标报价以及其他事项。</w:t>
      </w:r>
      <w:r>
        <w:rPr>
          <w:rFonts w:hint="eastAsia" w:ascii="宋体" w:hAnsi="宋体" w:eastAsia="宋体" w:cs="宋体"/>
          <w:color w:val="auto"/>
          <w:spacing w:val="-3"/>
          <w:sz w:val="24"/>
          <w:szCs w:val="24"/>
          <w:highlight w:val="none"/>
          <w:lang w:eastAsia="zh-CN"/>
        </w:rPr>
        <w:t>投标人应根据本招标文件的规定和要求、市场价格水平及其走势、投标人的管理水平、投标人的方案和由这些因素决定的投标人之于本项目的成本水平等提出自</w:t>
      </w:r>
      <w:r>
        <w:rPr>
          <w:rFonts w:hint="eastAsia" w:ascii="宋体" w:hAnsi="宋体" w:eastAsia="宋体" w:cs="宋体"/>
          <w:color w:val="auto"/>
          <w:sz w:val="24"/>
          <w:szCs w:val="24"/>
          <w:highlight w:val="none"/>
          <w:lang w:eastAsia="zh-CN"/>
        </w:rPr>
        <w:t>己的报价。报价应合理，并包含完成本招标文件采购需求全部内容的所有费用，所有根据本招标文件或其它原因应由投标人支付的税</w:t>
      </w:r>
      <w:r>
        <w:rPr>
          <w:rFonts w:hint="eastAsia" w:ascii="宋体" w:hAnsi="宋体" w:eastAsia="宋体" w:cs="宋体"/>
          <w:color w:val="auto"/>
          <w:spacing w:val="-1"/>
          <w:sz w:val="24"/>
          <w:szCs w:val="24"/>
          <w:highlight w:val="none"/>
          <w:lang w:eastAsia="zh-CN"/>
        </w:rPr>
        <w:t>款和其他应缴纳的费用都应包括在投标人提交的投标报价中。</w:t>
      </w:r>
    </w:p>
    <w:p w14:paraId="5D0317A2">
      <w:pPr>
        <w:spacing w:line="360" w:lineRule="auto"/>
        <w:ind w:left="31" w:right="-27" w:rightChars="-1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14.4 投标人在投标文件中注明免费的项目将视为包含在投标报价中。</w:t>
      </w:r>
    </w:p>
    <w:p w14:paraId="70920F4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14.5 每一种采购内容只允许有一个报价，否则其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。除非招标文件</w:t>
      </w:r>
      <w:r>
        <w:rPr>
          <w:rFonts w:hint="eastAsia" w:ascii="宋体" w:hAnsi="宋体" w:eastAsia="宋体" w:cs="宋体"/>
          <w:color w:val="auto"/>
          <w:spacing w:val="-3"/>
          <w:sz w:val="24"/>
          <w:szCs w:val="24"/>
          <w:highlight w:val="none"/>
          <w:lang w:eastAsia="zh-CN"/>
        </w:rPr>
        <w:t>另有规定，不接受可选择或可调整的投标方案和报价，任何有选择的或可调</w:t>
      </w:r>
      <w:r>
        <w:rPr>
          <w:rFonts w:hint="eastAsia" w:ascii="宋体" w:hAnsi="宋体" w:eastAsia="宋体" w:cs="宋体"/>
          <w:color w:val="auto"/>
          <w:spacing w:val="-4"/>
          <w:sz w:val="24"/>
          <w:szCs w:val="24"/>
          <w:highlight w:val="none"/>
          <w:lang w:eastAsia="zh-CN"/>
        </w:rPr>
        <w:t>整的</w:t>
      </w:r>
      <w:r>
        <w:rPr>
          <w:rFonts w:hint="eastAsia" w:ascii="宋体" w:hAnsi="宋体" w:eastAsia="宋体" w:cs="宋体"/>
          <w:color w:val="auto"/>
          <w:spacing w:val="-1"/>
          <w:sz w:val="24"/>
          <w:szCs w:val="24"/>
          <w:highlight w:val="none"/>
          <w:lang w:eastAsia="zh-CN"/>
        </w:rPr>
        <w:t>投标方案和报价将被视为非实质性响应招标文件,其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171C79B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14.6 投标报价不得超过“第一章 招标公告”中规定</w:t>
      </w:r>
      <w:r>
        <w:rPr>
          <w:rFonts w:hint="eastAsia" w:ascii="宋体" w:hAnsi="宋体" w:eastAsia="宋体" w:cs="宋体"/>
          <w:color w:val="auto"/>
          <w:spacing w:val="-5"/>
          <w:sz w:val="24"/>
          <w:szCs w:val="24"/>
          <w:highlight w:val="none"/>
          <w:lang w:eastAsia="zh-CN"/>
        </w:rPr>
        <w:t>的最高投标限价或者委托合计金额</w:t>
      </w:r>
      <w:r>
        <w:rPr>
          <w:rFonts w:hint="eastAsia" w:ascii="宋体" w:hAnsi="宋体" w:eastAsia="宋体" w:cs="宋体"/>
          <w:color w:val="auto"/>
          <w:spacing w:val="-1"/>
          <w:sz w:val="24"/>
          <w:szCs w:val="24"/>
          <w:highlight w:val="none"/>
          <w:lang w:eastAsia="zh-CN"/>
        </w:rPr>
        <w:t>，否则评标委员会将对其作</w:t>
      </w:r>
      <w:r>
        <w:rPr>
          <w:rFonts w:hint="eastAsia" w:ascii="宋体" w:hAnsi="宋体" w:eastAsia="宋体" w:cs="宋体"/>
          <w:b/>
          <w:bCs/>
          <w:color w:val="auto"/>
          <w:spacing w:val="-1"/>
          <w:sz w:val="24"/>
          <w:szCs w:val="24"/>
          <w:highlight w:val="none"/>
          <w:lang w:eastAsia="zh-CN"/>
        </w:rPr>
        <w:t>无效投</w:t>
      </w:r>
      <w:r>
        <w:rPr>
          <w:rFonts w:hint="eastAsia" w:ascii="宋体" w:hAnsi="宋体" w:eastAsia="宋体" w:cs="宋体"/>
          <w:b/>
          <w:bCs/>
          <w:color w:val="auto"/>
          <w:spacing w:val="-2"/>
          <w:sz w:val="24"/>
          <w:szCs w:val="24"/>
          <w:highlight w:val="none"/>
          <w:lang w:eastAsia="zh-CN"/>
        </w:rPr>
        <w:t>标处理</w:t>
      </w:r>
      <w:r>
        <w:rPr>
          <w:rFonts w:hint="eastAsia" w:ascii="宋体" w:hAnsi="宋体" w:eastAsia="宋体" w:cs="宋体"/>
          <w:color w:val="auto"/>
          <w:spacing w:val="-2"/>
          <w:sz w:val="24"/>
          <w:szCs w:val="24"/>
          <w:highlight w:val="none"/>
          <w:lang w:eastAsia="zh-CN"/>
        </w:rPr>
        <w:t>。</w:t>
      </w:r>
    </w:p>
    <w:p w14:paraId="554690A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14.7 投标人对投标报价若有说明应在投标文件中显著处注明。</w:t>
      </w:r>
    </w:p>
    <w:p w14:paraId="0A22E1A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除政策性文件规定以外，投标人所报价格在合同实施期间不因市场变化因素</w:t>
      </w:r>
      <w:r>
        <w:rPr>
          <w:rFonts w:hint="eastAsia" w:ascii="宋体" w:hAnsi="宋体" w:eastAsia="宋体" w:cs="宋体"/>
          <w:color w:val="auto"/>
          <w:spacing w:val="-3"/>
          <w:sz w:val="24"/>
          <w:szCs w:val="24"/>
          <w:highlight w:val="none"/>
          <w:lang w:eastAsia="zh-CN"/>
        </w:rPr>
        <w:t>而变动。</w:t>
      </w:r>
    </w:p>
    <w:p w14:paraId="1773299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14.8 </w:t>
      </w:r>
      <w:r>
        <w:rPr>
          <w:rFonts w:hint="eastAsia" w:ascii="宋体" w:hAnsi="宋体" w:eastAsia="宋体" w:cs="宋体"/>
          <w:color w:val="auto"/>
          <w:spacing w:val="-2"/>
          <w:sz w:val="24"/>
          <w:szCs w:val="24"/>
          <w:highlight w:val="none"/>
          <w:lang w:eastAsia="zh-CN"/>
        </w:rPr>
        <w:t>最低报价不能作为中标的保证。</w:t>
      </w:r>
    </w:p>
    <w:p w14:paraId="63CE29F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14.9采购人不得向投标人索要或者接受其给予的赠品、回扣或者与采购无关的其他商品、服务。</w:t>
      </w:r>
    </w:p>
    <w:p w14:paraId="6C0A0365">
      <w:pPr>
        <w:spacing w:line="360" w:lineRule="auto"/>
        <w:ind w:left="31" w:right="-27" w:rightChars="-13"/>
        <w:outlineLvl w:val="2"/>
        <w:rPr>
          <w:rFonts w:ascii="宋体" w:hAnsi="宋体" w:eastAsia="宋体" w:cs="宋体"/>
          <w:color w:val="auto"/>
          <w:sz w:val="24"/>
          <w:szCs w:val="24"/>
          <w:highlight w:val="none"/>
          <w:lang w:eastAsia="zh-CN"/>
        </w:rPr>
      </w:pPr>
      <w:bookmarkStart w:id="75" w:name="bookmark58"/>
      <w:bookmarkEnd w:id="75"/>
      <w:bookmarkStart w:id="76" w:name="bookmark57"/>
      <w:bookmarkEnd w:id="76"/>
      <w:bookmarkStart w:id="77" w:name="_Toc186477703"/>
      <w:bookmarkStart w:id="78" w:name="_Toc16684"/>
      <w:r>
        <w:rPr>
          <w:rFonts w:hint="eastAsia" w:ascii="宋体" w:hAnsi="宋体" w:eastAsia="宋体" w:cs="宋体"/>
          <w:b/>
          <w:bCs/>
          <w:color w:val="auto"/>
          <w:spacing w:val="-7"/>
          <w:sz w:val="24"/>
          <w:szCs w:val="24"/>
          <w:highlight w:val="none"/>
          <w:lang w:eastAsia="zh-CN"/>
        </w:rPr>
        <w:t>15.投标有效期</w:t>
      </w:r>
      <w:bookmarkEnd w:id="77"/>
      <w:bookmarkEnd w:id="78"/>
    </w:p>
    <w:p w14:paraId="27F6C80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15.1 投标有效期见“第二章 投标人须知前附</w:t>
      </w:r>
      <w:r>
        <w:rPr>
          <w:rFonts w:hint="eastAsia" w:ascii="宋体" w:hAnsi="宋体" w:eastAsia="宋体" w:cs="宋体"/>
          <w:color w:val="auto"/>
          <w:spacing w:val="-5"/>
          <w:sz w:val="24"/>
          <w:szCs w:val="24"/>
          <w:highlight w:val="none"/>
          <w:lang w:eastAsia="zh-CN"/>
        </w:rPr>
        <w:t>表”，投标人承诺的投标有效</w:t>
      </w:r>
      <w:r>
        <w:rPr>
          <w:rFonts w:hint="eastAsia" w:ascii="宋体" w:hAnsi="宋体" w:eastAsia="宋体" w:cs="宋体"/>
          <w:color w:val="auto"/>
          <w:spacing w:val="-2"/>
          <w:sz w:val="24"/>
          <w:szCs w:val="24"/>
          <w:highlight w:val="none"/>
          <w:lang w:eastAsia="zh-CN"/>
        </w:rPr>
        <w:t>期少于招标文件规定期限的，其</w:t>
      </w:r>
      <w:r>
        <w:rPr>
          <w:rFonts w:hint="eastAsia" w:ascii="宋体" w:hAnsi="宋体" w:eastAsia="宋体" w:cs="宋体"/>
          <w:b/>
          <w:bCs/>
          <w:color w:val="auto"/>
          <w:spacing w:val="-2"/>
          <w:sz w:val="24"/>
          <w:szCs w:val="24"/>
          <w:highlight w:val="none"/>
          <w:lang w:eastAsia="zh-CN"/>
        </w:rPr>
        <w:t>投标无效</w:t>
      </w:r>
      <w:r>
        <w:rPr>
          <w:rFonts w:hint="eastAsia" w:ascii="宋体" w:hAnsi="宋体" w:eastAsia="宋体" w:cs="宋体"/>
          <w:color w:val="auto"/>
          <w:spacing w:val="-2"/>
          <w:sz w:val="24"/>
          <w:szCs w:val="24"/>
          <w:highlight w:val="none"/>
          <w:lang w:eastAsia="zh-CN"/>
        </w:rPr>
        <w:t>。</w:t>
      </w:r>
    </w:p>
    <w:p w14:paraId="16ED298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15.2 投标有效期从提交投标文件的截止之日起算。投标文件中承诺的投标</w:t>
      </w:r>
      <w:r>
        <w:rPr>
          <w:rFonts w:hint="eastAsia" w:ascii="宋体" w:hAnsi="宋体" w:eastAsia="宋体" w:cs="宋体"/>
          <w:color w:val="auto"/>
          <w:spacing w:val="-3"/>
          <w:sz w:val="24"/>
          <w:szCs w:val="24"/>
          <w:highlight w:val="none"/>
          <w:lang w:eastAsia="zh-CN"/>
        </w:rPr>
        <w:t>有效期应当不少于招标文件中载明的投标有效期。投标有效期内投标人撤销投标</w:t>
      </w:r>
      <w:r>
        <w:rPr>
          <w:rFonts w:hint="eastAsia" w:ascii="宋体" w:hAnsi="宋体" w:eastAsia="宋体" w:cs="宋体"/>
          <w:color w:val="auto"/>
          <w:spacing w:val="-1"/>
          <w:sz w:val="24"/>
          <w:szCs w:val="24"/>
          <w:highlight w:val="none"/>
          <w:lang w:eastAsia="zh-CN"/>
        </w:rPr>
        <w:t>文件的，采购人或者采购代理机构可以不退还投标保证金。</w:t>
      </w:r>
    </w:p>
    <w:p w14:paraId="26D5CB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15.3特殊情况下，在原投标文件有效期截止之前，采购代理机构</w:t>
      </w:r>
      <w:r>
        <w:rPr>
          <w:rFonts w:hint="eastAsia" w:ascii="宋体" w:hAnsi="宋体" w:eastAsia="宋体" w:cs="宋体"/>
          <w:color w:val="auto"/>
          <w:spacing w:val="-2"/>
          <w:sz w:val="24"/>
          <w:szCs w:val="24"/>
          <w:highlight w:val="none"/>
          <w:lang w:eastAsia="zh-CN"/>
        </w:rPr>
        <w:t>或采购人</w:t>
      </w:r>
      <w:r>
        <w:rPr>
          <w:rFonts w:hint="eastAsia" w:ascii="宋体" w:hAnsi="宋体" w:eastAsia="宋体" w:cs="宋体"/>
          <w:color w:val="auto"/>
          <w:spacing w:val="-3"/>
          <w:sz w:val="24"/>
          <w:szCs w:val="24"/>
          <w:highlight w:val="none"/>
          <w:lang w:eastAsia="zh-CN"/>
        </w:rPr>
        <w:t>可要求投标人延长投标有效期。需要延长投标有效期时，采购代理机构或采购人将以书面形式通知所有投标人，投标人应以书面形式答复是否同意延长投标有效</w:t>
      </w:r>
      <w:r>
        <w:rPr>
          <w:rFonts w:hint="eastAsia" w:ascii="宋体" w:hAnsi="宋体" w:eastAsia="宋体" w:cs="宋体"/>
          <w:color w:val="auto"/>
          <w:spacing w:val="-4"/>
          <w:sz w:val="24"/>
          <w:szCs w:val="24"/>
          <w:highlight w:val="none"/>
          <w:lang w:eastAsia="zh-CN"/>
        </w:rPr>
        <w:t>期。</w:t>
      </w:r>
    </w:p>
    <w:p w14:paraId="3EDEF53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15.4投标人同意延长的，其投标保证金的有效期也相应延</w:t>
      </w:r>
      <w:r>
        <w:rPr>
          <w:rFonts w:hint="eastAsia" w:ascii="宋体" w:hAnsi="宋体" w:eastAsia="宋体" w:cs="宋体"/>
          <w:color w:val="auto"/>
          <w:spacing w:val="-2"/>
          <w:sz w:val="24"/>
          <w:szCs w:val="24"/>
          <w:highlight w:val="none"/>
          <w:lang w:eastAsia="zh-CN"/>
        </w:rPr>
        <w:t>长，但不得要求</w:t>
      </w:r>
      <w:r>
        <w:rPr>
          <w:rFonts w:hint="eastAsia" w:ascii="宋体" w:hAnsi="宋体" w:eastAsia="宋体" w:cs="宋体"/>
          <w:color w:val="auto"/>
          <w:spacing w:val="-3"/>
          <w:sz w:val="24"/>
          <w:szCs w:val="24"/>
          <w:highlight w:val="none"/>
          <w:lang w:eastAsia="zh-CN"/>
        </w:rPr>
        <w:t>或被允许修改或撤销其投标文件；投标人拒绝延长的，其投标文件在原投标</w:t>
      </w:r>
      <w:r>
        <w:rPr>
          <w:rFonts w:hint="eastAsia" w:ascii="宋体" w:hAnsi="宋体" w:eastAsia="宋体" w:cs="宋体"/>
          <w:color w:val="auto"/>
          <w:spacing w:val="-4"/>
          <w:sz w:val="24"/>
          <w:szCs w:val="24"/>
          <w:highlight w:val="none"/>
          <w:lang w:eastAsia="zh-CN"/>
        </w:rPr>
        <w:t>有效</w:t>
      </w:r>
      <w:r>
        <w:rPr>
          <w:rFonts w:hint="eastAsia" w:ascii="宋体" w:hAnsi="宋体" w:eastAsia="宋体" w:cs="宋体"/>
          <w:color w:val="auto"/>
          <w:spacing w:val="-1"/>
          <w:sz w:val="24"/>
          <w:szCs w:val="24"/>
          <w:highlight w:val="none"/>
          <w:lang w:eastAsia="zh-CN"/>
        </w:rPr>
        <w:t>期满后将不再有效，但其提交的投标保证金可予以退还。</w:t>
      </w:r>
    </w:p>
    <w:p w14:paraId="74D43F6E">
      <w:pPr>
        <w:spacing w:line="360" w:lineRule="auto"/>
        <w:ind w:left="31" w:right="-27" w:rightChars="-13"/>
        <w:outlineLvl w:val="2"/>
        <w:rPr>
          <w:rFonts w:ascii="宋体" w:hAnsi="宋体" w:eastAsia="宋体" w:cs="宋体"/>
          <w:color w:val="auto"/>
          <w:sz w:val="24"/>
          <w:szCs w:val="24"/>
          <w:highlight w:val="none"/>
          <w:lang w:eastAsia="zh-CN"/>
        </w:rPr>
      </w:pPr>
      <w:bookmarkStart w:id="79" w:name="bookmark60"/>
      <w:bookmarkEnd w:id="79"/>
      <w:bookmarkStart w:id="80" w:name="bookmark59"/>
      <w:bookmarkEnd w:id="80"/>
      <w:bookmarkStart w:id="81" w:name="_Toc8434"/>
      <w:bookmarkStart w:id="82" w:name="_Toc186477704"/>
      <w:r>
        <w:rPr>
          <w:rFonts w:hint="eastAsia" w:ascii="宋体" w:hAnsi="宋体" w:eastAsia="宋体" w:cs="宋体"/>
          <w:b/>
          <w:bCs/>
          <w:color w:val="auto"/>
          <w:spacing w:val="-6"/>
          <w:sz w:val="24"/>
          <w:szCs w:val="24"/>
          <w:highlight w:val="none"/>
          <w:lang w:eastAsia="zh-CN"/>
        </w:rPr>
        <w:t>16.投标文件的编制</w:t>
      </w:r>
      <w:bookmarkEnd w:id="81"/>
      <w:bookmarkEnd w:id="82"/>
    </w:p>
    <w:p w14:paraId="63CB25F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16.1投标文件应在供应商客户端中进行编制，在投标文件</w:t>
      </w:r>
      <w:r>
        <w:rPr>
          <w:rFonts w:hint="eastAsia" w:ascii="宋体" w:hAnsi="宋体" w:eastAsia="宋体" w:cs="宋体"/>
          <w:color w:val="auto"/>
          <w:spacing w:val="-2"/>
          <w:sz w:val="24"/>
          <w:szCs w:val="24"/>
          <w:highlight w:val="none"/>
          <w:lang w:eastAsia="zh-CN"/>
        </w:rPr>
        <w:t>中要求加盖印章的，除有特殊说明之外，可使用电子签章签署。</w:t>
      </w:r>
    </w:p>
    <w:p w14:paraId="0B87D2F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16.2投标人在供应商客户端中按照供应商客户端中的格式</w:t>
      </w:r>
      <w:r>
        <w:rPr>
          <w:rFonts w:hint="eastAsia" w:ascii="宋体" w:hAnsi="宋体" w:eastAsia="宋体" w:cs="宋体"/>
          <w:color w:val="auto"/>
          <w:spacing w:val="-2"/>
          <w:sz w:val="24"/>
          <w:szCs w:val="24"/>
          <w:highlight w:val="none"/>
          <w:lang w:eastAsia="zh-CN"/>
        </w:rPr>
        <w:t>要求填写响应内</w:t>
      </w:r>
      <w:r>
        <w:rPr>
          <w:rFonts w:hint="eastAsia" w:ascii="宋体" w:hAnsi="宋体" w:eastAsia="宋体" w:cs="宋体"/>
          <w:color w:val="auto"/>
          <w:spacing w:val="-3"/>
          <w:sz w:val="24"/>
          <w:szCs w:val="24"/>
          <w:highlight w:val="none"/>
          <w:lang w:eastAsia="zh-CN"/>
        </w:rPr>
        <w:t>容后，生成投标文件。投标人须按照招标文件的要求使用电子签章对要求加</w:t>
      </w:r>
      <w:r>
        <w:rPr>
          <w:rFonts w:hint="eastAsia" w:ascii="宋体" w:hAnsi="宋体" w:eastAsia="宋体" w:cs="宋体"/>
          <w:color w:val="auto"/>
          <w:spacing w:val="-4"/>
          <w:sz w:val="24"/>
          <w:szCs w:val="24"/>
          <w:highlight w:val="none"/>
          <w:lang w:eastAsia="zh-CN"/>
        </w:rPr>
        <w:t>盖印</w:t>
      </w:r>
      <w:r>
        <w:rPr>
          <w:rFonts w:hint="eastAsia" w:ascii="宋体" w:hAnsi="宋体" w:eastAsia="宋体" w:cs="宋体"/>
          <w:color w:val="auto"/>
          <w:spacing w:val="-2"/>
          <w:sz w:val="24"/>
          <w:szCs w:val="24"/>
          <w:highlight w:val="none"/>
          <w:lang w:eastAsia="zh-CN"/>
        </w:rPr>
        <w:t>章的部分逐一进行签章。</w:t>
      </w:r>
    </w:p>
    <w:p w14:paraId="75626C9A">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16.3投标人应详细阅读招标文件的全部内容。投标文件须</w:t>
      </w:r>
      <w:r>
        <w:rPr>
          <w:rFonts w:hint="eastAsia" w:ascii="宋体" w:hAnsi="宋体" w:eastAsia="宋体" w:cs="宋体"/>
          <w:color w:val="auto"/>
          <w:spacing w:val="-2"/>
          <w:sz w:val="24"/>
          <w:szCs w:val="24"/>
          <w:highlight w:val="none"/>
          <w:lang w:eastAsia="zh-CN"/>
        </w:rPr>
        <w:t>对招标文件中的</w:t>
      </w:r>
      <w:r>
        <w:rPr>
          <w:rFonts w:hint="eastAsia" w:ascii="宋体" w:hAnsi="宋体" w:eastAsia="宋体" w:cs="宋体"/>
          <w:color w:val="auto"/>
          <w:spacing w:val="-3"/>
          <w:sz w:val="24"/>
          <w:szCs w:val="24"/>
          <w:highlight w:val="none"/>
          <w:lang w:eastAsia="zh-CN"/>
        </w:rPr>
        <w:t>内容作出实质性和完整的响应，如果投标文件填报的内容不详，或没有提供招标</w:t>
      </w:r>
      <w:r>
        <w:rPr>
          <w:rFonts w:hint="eastAsia" w:ascii="宋体" w:hAnsi="宋体" w:eastAsia="宋体" w:cs="宋体"/>
          <w:color w:val="auto"/>
          <w:spacing w:val="-1"/>
          <w:sz w:val="24"/>
          <w:szCs w:val="24"/>
          <w:highlight w:val="none"/>
          <w:lang w:eastAsia="zh-CN"/>
        </w:rPr>
        <w:t>文件中所要求的全部资料及数据，将可能导致其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00E393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16.4投标文件须严格按照本招标文件第七章规定的格式提</w:t>
      </w:r>
      <w:r>
        <w:rPr>
          <w:rFonts w:hint="eastAsia" w:ascii="宋体" w:hAnsi="宋体" w:eastAsia="宋体" w:cs="宋体"/>
          <w:color w:val="auto"/>
          <w:spacing w:val="-2"/>
          <w:sz w:val="24"/>
          <w:szCs w:val="24"/>
          <w:highlight w:val="none"/>
          <w:lang w:eastAsia="zh-CN"/>
        </w:rPr>
        <w:t>交，并按规定的</w:t>
      </w:r>
      <w:r>
        <w:rPr>
          <w:rFonts w:hint="eastAsia" w:ascii="宋体" w:hAnsi="宋体" w:eastAsia="宋体" w:cs="宋体"/>
          <w:color w:val="auto"/>
          <w:spacing w:val="-4"/>
          <w:sz w:val="24"/>
          <w:szCs w:val="24"/>
          <w:highlight w:val="none"/>
          <w:lang w:eastAsia="zh-CN"/>
        </w:rPr>
        <w:t>统一格式逐项填写，不准有空项；无相应内容可填的项，应填写“无”、“未测</w:t>
      </w:r>
      <w:r>
        <w:rPr>
          <w:rFonts w:hint="eastAsia" w:ascii="宋体" w:hAnsi="宋体" w:eastAsia="宋体" w:cs="宋体"/>
          <w:color w:val="auto"/>
          <w:spacing w:val="-5"/>
          <w:sz w:val="24"/>
          <w:szCs w:val="24"/>
          <w:highlight w:val="none"/>
          <w:lang w:eastAsia="zh-CN"/>
        </w:rPr>
        <w:t>试”、“没有相应指标”等明确的回答文字。由于编排混乱导致投标文件被误读</w:t>
      </w:r>
      <w:r>
        <w:rPr>
          <w:rFonts w:hint="eastAsia" w:ascii="宋体" w:hAnsi="宋体" w:eastAsia="宋体" w:cs="宋体"/>
          <w:color w:val="auto"/>
          <w:spacing w:val="-1"/>
          <w:sz w:val="24"/>
          <w:szCs w:val="24"/>
          <w:highlight w:val="none"/>
          <w:lang w:eastAsia="zh-CN"/>
        </w:rPr>
        <w:t>或查找不到，其责任由投标人承担。</w:t>
      </w:r>
    </w:p>
    <w:p w14:paraId="0D6CAA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16.5开标一览表为在开标时唱标的内容，要求按格式统一填写</w:t>
      </w:r>
      <w:r>
        <w:rPr>
          <w:rFonts w:hint="eastAsia" w:ascii="宋体" w:hAnsi="宋体" w:eastAsia="宋体" w:cs="宋体"/>
          <w:color w:val="auto"/>
          <w:spacing w:val="-2"/>
          <w:sz w:val="24"/>
          <w:szCs w:val="24"/>
          <w:highlight w:val="none"/>
          <w:lang w:eastAsia="zh-CN"/>
        </w:rPr>
        <w:t>，不得自行</w:t>
      </w:r>
      <w:r>
        <w:rPr>
          <w:rFonts w:hint="eastAsia" w:ascii="宋体" w:hAnsi="宋体" w:eastAsia="宋体" w:cs="宋体"/>
          <w:color w:val="auto"/>
          <w:spacing w:val="-3"/>
          <w:sz w:val="24"/>
          <w:szCs w:val="24"/>
          <w:highlight w:val="none"/>
          <w:lang w:eastAsia="zh-CN"/>
        </w:rPr>
        <w:t>增减内容。</w:t>
      </w:r>
    </w:p>
    <w:p w14:paraId="75C751E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16.6投标人须注意：为合理节约政府采购评审成本，提倡</w:t>
      </w:r>
      <w:r>
        <w:rPr>
          <w:rFonts w:hint="eastAsia" w:ascii="宋体" w:hAnsi="宋体" w:eastAsia="宋体" w:cs="宋体"/>
          <w:color w:val="auto"/>
          <w:spacing w:val="-2"/>
          <w:sz w:val="24"/>
          <w:szCs w:val="24"/>
          <w:highlight w:val="none"/>
          <w:lang w:eastAsia="zh-CN"/>
        </w:rPr>
        <w:t>诚实信用的投标</w:t>
      </w:r>
      <w:r>
        <w:rPr>
          <w:rFonts w:hint="eastAsia" w:ascii="宋体" w:hAnsi="宋体" w:eastAsia="宋体" w:cs="宋体"/>
          <w:color w:val="auto"/>
          <w:spacing w:val="-3"/>
          <w:sz w:val="24"/>
          <w:szCs w:val="24"/>
          <w:highlight w:val="none"/>
          <w:lang w:eastAsia="zh-CN"/>
        </w:rPr>
        <w:t>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w:t>
      </w:r>
      <w:r>
        <w:rPr>
          <w:rFonts w:hint="eastAsia" w:ascii="宋体" w:hAnsi="宋体" w:eastAsia="宋体" w:cs="宋体"/>
          <w:color w:val="auto"/>
          <w:spacing w:val="-1"/>
          <w:sz w:val="24"/>
          <w:szCs w:val="24"/>
          <w:highlight w:val="none"/>
          <w:lang w:eastAsia="zh-CN"/>
        </w:rPr>
        <w:t>被认定为属于偏离，则评标委员会有权视具体情形评审时按</w:t>
      </w:r>
      <w:r>
        <w:rPr>
          <w:rFonts w:hint="eastAsia" w:ascii="宋体" w:hAnsi="宋体" w:eastAsia="宋体" w:cs="宋体"/>
          <w:b/>
          <w:bCs/>
          <w:color w:val="auto"/>
          <w:spacing w:val="-1"/>
          <w:sz w:val="24"/>
          <w:szCs w:val="24"/>
          <w:highlight w:val="none"/>
          <w:lang w:eastAsia="zh-CN"/>
        </w:rPr>
        <w:t>无效投标</w:t>
      </w:r>
      <w:r>
        <w:rPr>
          <w:rFonts w:hint="eastAsia" w:ascii="宋体" w:hAnsi="宋体" w:eastAsia="宋体" w:cs="宋体"/>
          <w:color w:val="auto"/>
          <w:spacing w:val="-1"/>
          <w:sz w:val="24"/>
          <w:szCs w:val="24"/>
          <w:highlight w:val="none"/>
          <w:lang w:eastAsia="zh-CN"/>
        </w:rPr>
        <w:t>处理。</w:t>
      </w:r>
    </w:p>
    <w:p w14:paraId="6CAD0A5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16.7投标人必须保证投标文件所提供的全部资料真实可</w:t>
      </w:r>
      <w:r>
        <w:rPr>
          <w:rFonts w:hint="eastAsia" w:ascii="宋体" w:hAnsi="宋体" w:eastAsia="宋体" w:cs="宋体"/>
          <w:color w:val="auto"/>
          <w:spacing w:val="-4"/>
          <w:sz w:val="24"/>
          <w:szCs w:val="24"/>
          <w:highlight w:val="none"/>
          <w:lang w:eastAsia="zh-CN"/>
        </w:rPr>
        <w:t>靠，并接受采购人、</w:t>
      </w:r>
      <w:r>
        <w:rPr>
          <w:rFonts w:hint="eastAsia" w:ascii="宋体" w:hAnsi="宋体" w:eastAsia="宋体" w:cs="宋体"/>
          <w:color w:val="auto"/>
          <w:spacing w:val="-1"/>
          <w:sz w:val="24"/>
          <w:szCs w:val="24"/>
          <w:highlight w:val="none"/>
          <w:lang w:eastAsia="zh-CN"/>
        </w:rPr>
        <w:t>采购代理机构或评标委员会对其中任何资料进一步审查的要求。</w:t>
      </w:r>
    </w:p>
    <w:p w14:paraId="057631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16.8投标人在投标文件及相关文件的签订、履行、通知等</w:t>
      </w:r>
      <w:r>
        <w:rPr>
          <w:rFonts w:hint="eastAsia" w:ascii="宋体" w:hAnsi="宋体" w:eastAsia="宋体" w:cs="宋体"/>
          <w:color w:val="auto"/>
          <w:spacing w:val="-2"/>
          <w:sz w:val="24"/>
          <w:szCs w:val="24"/>
          <w:highlight w:val="none"/>
          <w:lang w:eastAsia="zh-CN"/>
        </w:rPr>
        <w:t>事项的文件中的</w:t>
      </w:r>
      <w:r>
        <w:rPr>
          <w:rFonts w:hint="eastAsia" w:ascii="宋体" w:hAnsi="宋体" w:eastAsia="宋体" w:cs="宋体"/>
          <w:color w:val="auto"/>
          <w:spacing w:val="-3"/>
          <w:sz w:val="24"/>
          <w:szCs w:val="24"/>
          <w:highlight w:val="none"/>
          <w:lang w:eastAsia="zh-CN"/>
        </w:rPr>
        <w:t>单位盖章、印章、公章等处均指与当事人全称相一致的标准公章，不得使用其他形式（如带有“专用章”等字样的印章）。不符合本条规定的按</w:t>
      </w:r>
      <w:r>
        <w:rPr>
          <w:rFonts w:hint="eastAsia" w:ascii="宋体" w:hAnsi="宋体" w:eastAsia="宋体" w:cs="宋体"/>
          <w:b/>
          <w:bCs/>
          <w:color w:val="auto"/>
          <w:spacing w:val="-3"/>
          <w:sz w:val="24"/>
          <w:szCs w:val="24"/>
          <w:highlight w:val="none"/>
          <w:lang w:eastAsia="zh-CN"/>
        </w:rPr>
        <w:t>无效投标</w:t>
      </w:r>
      <w:r>
        <w:rPr>
          <w:rFonts w:hint="eastAsia" w:ascii="宋体" w:hAnsi="宋体" w:eastAsia="宋体" w:cs="宋体"/>
          <w:color w:val="auto"/>
          <w:spacing w:val="-3"/>
          <w:sz w:val="24"/>
          <w:szCs w:val="24"/>
          <w:highlight w:val="none"/>
          <w:lang w:eastAsia="zh-CN"/>
        </w:rPr>
        <w:t>处理。</w:t>
      </w:r>
    </w:p>
    <w:p w14:paraId="4B4CCF8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16.9 电子投标文件的编制</w:t>
      </w:r>
    </w:p>
    <w:p w14:paraId="73241D5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16.9.1电子投标文件需按招标文件要求进行制作编制。投标文件制作时，不同内容按标签提示制作导入，按照招标文件中明确的投标文件目录和格式进行</w:t>
      </w:r>
      <w:r>
        <w:rPr>
          <w:rFonts w:hint="eastAsia" w:ascii="宋体" w:hAnsi="宋体" w:eastAsia="宋体" w:cs="宋体"/>
          <w:color w:val="auto"/>
          <w:spacing w:val="-1"/>
          <w:sz w:val="24"/>
          <w:szCs w:val="24"/>
          <w:highlight w:val="none"/>
          <w:lang w:eastAsia="zh-CN"/>
        </w:rPr>
        <w:t>编制，保证目录清晰、内容完整；</w:t>
      </w:r>
    </w:p>
    <w:p w14:paraId="0A439CB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w:t>
      </w:r>
      <w:r>
        <w:rPr>
          <w:rFonts w:hint="eastAsia" w:ascii="宋体" w:hAnsi="宋体" w:eastAsia="宋体" w:cs="宋体"/>
          <w:color w:val="auto"/>
          <w:spacing w:val="-1"/>
          <w:sz w:val="24"/>
          <w:szCs w:val="24"/>
          <w:highlight w:val="none"/>
          <w:lang w:eastAsia="zh-CN"/>
        </w:rPr>
        <w:t>入电子辅助评标系统，该投标文件视为无效投标文件，</w:t>
      </w:r>
      <w:r>
        <w:rPr>
          <w:rFonts w:hint="eastAsia" w:ascii="宋体" w:hAnsi="宋体" w:eastAsia="宋体" w:cs="宋体"/>
          <w:b/>
          <w:bCs/>
          <w:color w:val="auto"/>
          <w:spacing w:val="-1"/>
          <w:sz w:val="24"/>
          <w:szCs w:val="24"/>
          <w:highlight w:val="none"/>
          <w:lang w:eastAsia="zh-CN"/>
        </w:rPr>
        <w:t>其投标无效</w:t>
      </w:r>
      <w:r>
        <w:rPr>
          <w:rFonts w:hint="eastAsia" w:ascii="宋体" w:hAnsi="宋体" w:eastAsia="宋体" w:cs="宋体"/>
          <w:color w:val="auto"/>
          <w:spacing w:val="-1"/>
          <w:sz w:val="24"/>
          <w:szCs w:val="24"/>
          <w:highlight w:val="none"/>
          <w:lang w:eastAsia="zh-CN"/>
        </w:rPr>
        <w:t>。</w:t>
      </w:r>
    </w:p>
    <w:p w14:paraId="4C9536A0">
      <w:pPr>
        <w:spacing w:line="360" w:lineRule="auto"/>
        <w:ind w:left="31" w:right="-27" w:rightChars="-13"/>
        <w:outlineLvl w:val="2"/>
        <w:rPr>
          <w:rFonts w:ascii="宋体" w:hAnsi="宋体" w:eastAsia="宋体" w:cs="宋体"/>
          <w:color w:val="auto"/>
          <w:sz w:val="24"/>
          <w:szCs w:val="24"/>
          <w:highlight w:val="none"/>
          <w:lang w:eastAsia="zh-CN"/>
        </w:rPr>
      </w:pPr>
      <w:bookmarkStart w:id="83" w:name="bookmark61"/>
      <w:bookmarkEnd w:id="83"/>
      <w:bookmarkStart w:id="84" w:name="bookmark62"/>
      <w:bookmarkEnd w:id="84"/>
      <w:bookmarkStart w:id="85" w:name="_Toc143"/>
      <w:bookmarkStart w:id="86" w:name="_Toc186477705"/>
      <w:r>
        <w:rPr>
          <w:rFonts w:hint="eastAsia" w:ascii="宋体" w:hAnsi="宋体" w:eastAsia="宋体" w:cs="宋体"/>
          <w:b/>
          <w:bCs/>
          <w:color w:val="auto"/>
          <w:spacing w:val="-8"/>
          <w:sz w:val="24"/>
          <w:szCs w:val="24"/>
          <w:highlight w:val="none"/>
          <w:lang w:eastAsia="zh-CN"/>
        </w:rPr>
        <w:t>（四）投标</w:t>
      </w:r>
      <w:bookmarkEnd w:id="85"/>
      <w:bookmarkEnd w:id="86"/>
    </w:p>
    <w:p w14:paraId="77B6A725">
      <w:pPr>
        <w:widowControl w:val="0"/>
        <w:spacing w:line="360" w:lineRule="auto"/>
        <w:ind w:left="28" w:right="-27" w:rightChars="-13"/>
        <w:outlineLvl w:val="2"/>
        <w:rPr>
          <w:rFonts w:ascii="宋体" w:hAnsi="宋体" w:eastAsia="宋体" w:cs="宋体"/>
          <w:color w:val="auto"/>
          <w:sz w:val="24"/>
          <w:szCs w:val="24"/>
          <w:highlight w:val="none"/>
          <w:lang w:eastAsia="zh-CN"/>
        </w:rPr>
      </w:pPr>
      <w:bookmarkStart w:id="87" w:name="bookmark66"/>
      <w:bookmarkEnd w:id="87"/>
      <w:bookmarkStart w:id="88" w:name="bookmark63"/>
      <w:bookmarkEnd w:id="88"/>
      <w:bookmarkStart w:id="89" w:name="bookmark64"/>
      <w:bookmarkEnd w:id="89"/>
      <w:bookmarkStart w:id="90" w:name="_Toc186477706"/>
      <w:bookmarkStart w:id="91" w:name="_Toc2075"/>
      <w:r>
        <w:rPr>
          <w:rFonts w:hint="eastAsia" w:ascii="宋体" w:hAnsi="宋体" w:eastAsia="宋体" w:cs="宋体"/>
          <w:b/>
          <w:bCs/>
          <w:color w:val="auto"/>
          <w:spacing w:val="-7"/>
          <w:sz w:val="24"/>
          <w:szCs w:val="24"/>
          <w:highlight w:val="none"/>
          <w:lang w:eastAsia="zh-CN"/>
        </w:rPr>
        <w:t>17.投标保证金</w:t>
      </w:r>
      <w:bookmarkEnd w:id="90"/>
      <w:bookmarkEnd w:id="91"/>
    </w:p>
    <w:p w14:paraId="578878A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17.1投标人应按照招标文件“第二章 投标人须知前附表”规定的金额及要</w:t>
      </w:r>
      <w:r>
        <w:rPr>
          <w:rFonts w:hint="eastAsia" w:ascii="宋体" w:hAnsi="宋体" w:eastAsia="宋体" w:cs="宋体"/>
          <w:color w:val="auto"/>
          <w:spacing w:val="-7"/>
          <w:sz w:val="24"/>
          <w:szCs w:val="24"/>
          <w:highlight w:val="none"/>
          <w:lang w:eastAsia="zh-CN"/>
        </w:rPr>
        <w:t>求提交投标保证金。投标人自愿超额缴纳投标保证</w:t>
      </w:r>
      <w:r>
        <w:rPr>
          <w:rFonts w:hint="eastAsia" w:ascii="宋体" w:hAnsi="宋体" w:eastAsia="宋体" w:cs="宋体"/>
          <w:color w:val="auto"/>
          <w:spacing w:val="-8"/>
          <w:sz w:val="24"/>
          <w:szCs w:val="24"/>
          <w:highlight w:val="none"/>
          <w:lang w:eastAsia="zh-CN"/>
        </w:rPr>
        <w:t>金的，投标文件不做无效处理。</w:t>
      </w:r>
    </w:p>
    <w:p w14:paraId="4FDBC8E5">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17.2提交投标保证金可采用的形式：政府采购法律法规接受</w:t>
      </w:r>
      <w:r>
        <w:rPr>
          <w:rFonts w:hint="eastAsia" w:ascii="宋体" w:hAnsi="宋体" w:eastAsia="宋体" w:cs="宋体"/>
          <w:color w:val="auto"/>
          <w:spacing w:val="-4"/>
          <w:sz w:val="24"/>
          <w:szCs w:val="24"/>
          <w:highlight w:val="none"/>
          <w:lang w:eastAsia="zh-CN"/>
        </w:rPr>
        <w:t>的支票、汇票、</w:t>
      </w:r>
      <w:r>
        <w:rPr>
          <w:rFonts w:hint="eastAsia" w:ascii="宋体" w:hAnsi="宋体" w:eastAsia="宋体" w:cs="宋体"/>
          <w:color w:val="auto"/>
          <w:spacing w:val="-3"/>
          <w:sz w:val="24"/>
          <w:szCs w:val="24"/>
          <w:highlight w:val="none"/>
          <w:lang w:eastAsia="zh-CN"/>
        </w:rPr>
        <w:t>本票、网上银行支付或者金融机构、担保机构出具的保函等非现金形式。投标人未按照招标文件要求提交投标保证金的，其</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4"/>
          <w:sz w:val="24"/>
          <w:szCs w:val="24"/>
          <w:highlight w:val="none"/>
          <w:lang w:eastAsia="zh-CN"/>
        </w:rPr>
        <w:t>投标保证金有效期同投标</w:t>
      </w:r>
      <w:r>
        <w:rPr>
          <w:rFonts w:hint="eastAsia" w:ascii="宋体" w:hAnsi="宋体" w:eastAsia="宋体" w:cs="宋体"/>
          <w:color w:val="auto"/>
          <w:spacing w:val="-3"/>
          <w:sz w:val="24"/>
          <w:szCs w:val="24"/>
          <w:highlight w:val="none"/>
          <w:lang w:eastAsia="zh-CN"/>
        </w:rPr>
        <w:t>有效期。</w:t>
      </w:r>
    </w:p>
    <w:p w14:paraId="5022E619">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17.3投标保证金到账（保函提交）截止时间同投标截止时</w:t>
      </w:r>
      <w:r>
        <w:rPr>
          <w:rFonts w:hint="eastAsia" w:ascii="宋体" w:hAnsi="宋体" w:eastAsia="宋体" w:cs="宋体"/>
          <w:color w:val="auto"/>
          <w:spacing w:val="-2"/>
          <w:sz w:val="24"/>
          <w:szCs w:val="24"/>
          <w:highlight w:val="none"/>
          <w:lang w:eastAsia="zh-CN"/>
        </w:rPr>
        <w:t>间。以支票、汇票、本票、网上银行支付等形式提交投标保证金的，应在投标截止时间前到账；</w:t>
      </w:r>
      <w:r>
        <w:rPr>
          <w:rFonts w:hint="eastAsia" w:ascii="宋体" w:hAnsi="宋体" w:eastAsia="宋体" w:cs="宋体"/>
          <w:color w:val="auto"/>
          <w:spacing w:val="-3"/>
          <w:sz w:val="24"/>
          <w:szCs w:val="24"/>
          <w:highlight w:val="none"/>
          <w:lang w:eastAsia="zh-CN"/>
        </w:rPr>
        <w:t>以金融机构、担保机构出具的保函等形式提交投标保证金的，应在投标截止时间</w:t>
      </w:r>
      <w:r>
        <w:rPr>
          <w:rFonts w:hint="eastAsia" w:ascii="宋体" w:hAnsi="宋体" w:eastAsia="宋体" w:cs="宋体"/>
          <w:color w:val="auto"/>
          <w:spacing w:val="-2"/>
          <w:sz w:val="24"/>
          <w:szCs w:val="24"/>
          <w:highlight w:val="none"/>
          <w:lang w:eastAsia="zh-CN"/>
        </w:rPr>
        <w:t>前将投标保证金支付原件扫描后作为投标文件的组成部分与投标文件一起上传。</w:t>
      </w:r>
      <w:r>
        <w:rPr>
          <w:rFonts w:hint="eastAsia" w:ascii="宋体" w:hAnsi="宋体" w:eastAsia="宋体" w:cs="宋体"/>
          <w:color w:val="auto"/>
          <w:spacing w:val="-3"/>
          <w:sz w:val="24"/>
          <w:szCs w:val="24"/>
          <w:highlight w:val="none"/>
          <w:lang w:eastAsia="zh-CN"/>
        </w:rPr>
        <w:t>由于到账时间晚于投标截止时间，或者票据错误、印鉴不清等原因导致不能到账的，其</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w:t>
      </w:r>
    </w:p>
    <w:p w14:paraId="6A62480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17.4 投标人为联合体的，可以由联合体中的一方或者多方共同提交投</w:t>
      </w:r>
      <w:r>
        <w:rPr>
          <w:rFonts w:hint="eastAsia" w:ascii="宋体" w:hAnsi="宋体" w:eastAsia="宋体" w:cs="宋体"/>
          <w:color w:val="auto"/>
          <w:spacing w:val="-1"/>
          <w:sz w:val="24"/>
          <w:szCs w:val="24"/>
          <w:highlight w:val="none"/>
          <w:lang w:eastAsia="zh-CN"/>
        </w:rPr>
        <w:t>标保证金，其提交的投标保证金对联合体各方均具有约束力。</w:t>
      </w:r>
    </w:p>
    <w:p w14:paraId="46F29D3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w:t>
      </w:r>
    </w:p>
    <w:p w14:paraId="79633EA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17.6 投标人在投标截止时间前撤回已提交的投标文件的，自收到投标人书</w:t>
      </w:r>
      <w:r>
        <w:rPr>
          <w:rFonts w:hint="eastAsia" w:ascii="宋体" w:hAnsi="宋体" w:eastAsia="宋体" w:cs="宋体"/>
          <w:color w:val="auto"/>
          <w:sz w:val="24"/>
          <w:szCs w:val="24"/>
          <w:highlight w:val="none"/>
          <w:lang w:eastAsia="zh-CN"/>
        </w:rPr>
        <w:t>面撤回通知之日起 5 个工作日内，退还已收取的投标保证金，但因投标人自身</w:t>
      </w:r>
      <w:r>
        <w:rPr>
          <w:rFonts w:hint="eastAsia" w:ascii="宋体" w:hAnsi="宋体" w:eastAsia="宋体" w:cs="宋体"/>
          <w:color w:val="auto"/>
          <w:spacing w:val="-1"/>
          <w:sz w:val="24"/>
          <w:szCs w:val="24"/>
          <w:highlight w:val="none"/>
          <w:lang w:eastAsia="zh-CN"/>
        </w:rPr>
        <w:t>原因导致无法及时退还的除外。</w:t>
      </w:r>
    </w:p>
    <w:p w14:paraId="67A9F10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17.7 终止招标项目已经收取投标保证金的，自终止采</w:t>
      </w:r>
      <w:r>
        <w:rPr>
          <w:rFonts w:hint="eastAsia" w:ascii="宋体" w:hAnsi="宋体" w:eastAsia="宋体" w:cs="宋体"/>
          <w:color w:val="auto"/>
          <w:spacing w:val="-4"/>
          <w:sz w:val="24"/>
          <w:szCs w:val="24"/>
          <w:highlight w:val="none"/>
          <w:lang w:eastAsia="zh-CN"/>
        </w:rPr>
        <w:t>购活动后 5 个工作日</w:t>
      </w:r>
      <w:r>
        <w:rPr>
          <w:rFonts w:hint="eastAsia" w:ascii="宋体" w:hAnsi="宋体" w:eastAsia="宋体" w:cs="宋体"/>
          <w:color w:val="auto"/>
          <w:spacing w:val="-2"/>
          <w:sz w:val="24"/>
          <w:szCs w:val="24"/>
          <w:highlight w:val="none"/>
          <w:lang w:eastAsia="zh-CN"/>
        </w:rPr>
        <w:t>内退还已收取的投标保证金及其在银行产生的孳息。</w:t>
      </w:r>
    </w:p>
    <w:p w14:paraId="49481BA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17.8 有下列情形之一的，采购人或采购代理</w:t>
      </w:r>
      <w:r>
        <w:rPr>
          <w:rFonts w:hint="eastAsia" w:ascii="宋体" w:hAnsi="宋体" w:eastAsia="宋体" w:cs="宋体"/>
          <w:color w:val="auto"/>
          <w:spacing w:val="-4"/>
          <w:sz w:val="24"/>
          <w:szCs w:val="24"/>
          <w:highlight w:val="none"/>
          <w:lang w:eastAsia="zh-CN"/>
        </w:rPr>
        <w:t>机构可以不予退还投标保证金,</w:t>
      </w:r>
      <w:r>
        <w:rPr>
          <w:rFonts w:hint="eastAsia" w:ascii="宋体" w:hAnsi="宋体" w:eastAsia="宋体" w:cs="宋体"/>
          <w:color w:val="auto"/>
          <w:spacing w:val="-1"/>
          <w:sz w:val="24"/>
          <w:szCs w:val="24"/>
          <w:highlight w:val="none"/>
          <w:lang w:eastAsia="zh-CN"/>
        </w:rPr>
        <w:t>情节严重的将其列入不良记录名单：</w:t>
      </w:r>
    </w:p>
    <w:p w14:paraId="1A0AC7D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17.8.1 开标后在投标有效期内，投标人撤销其投标的；</w:t>
      </w:r>
    </w:p>
    <w:p w14:paraId="05CF695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17.8.2 中标后无正当理由不与采购人签订合同的；</w:t>
      </w:r>
    </w:p>
    <w:p w14:paraId="6D2A6DD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17.8.3 中标人与采购人订立背离合同实质性内容的其他协议；</w:t>
      </w:r>
    </w:p>
    <w:p w14:paraId="1C34D40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17.8.4 将中标项目转让给他人，或者在投标文件中未说明，且</w:t>
      </w:r>
      <w:r>
        <w:rPr>
          <w:rFonts w:hint="eastAsia" w:ascii="宋体" w:hAnsi="宋体" w:eastAsia="宋体" w:cs="宋体"/>
          <w:color w:val="auto"/>
          <w:spacing w:val="-1"/>
          <w:sz w:val="24"/>
          <w:szCs w:val="24"/>
          <w:highlight w:val="none"/>
          <w:lang w:eastAsia="zh-CN"/>
        </w:rPr>
        <w:t>未经采购人</w:t>
      </w:r>
      <w:r>
        <w:rPr>
          <w:rFonts w:hint="eastAsia" w:ascii="宋体" w:hAnsi="宋体" w:eastAsia="宋体" w:cs="宋体"/>
          <w:color w:val="auto"/>
          <w:spacing w:val="-3"/>
          <w:sz w:val="24"/>
          <w:szCs w:val="24"/>
          <w:highlight w:val="none"/>
          <w:lang w:eastAsia="zh-CN"/>
        </w:rPr>
        <w:t>同意，将中标项目分包给他人的；</w:t>
      </w:r>
    </w:p>
    <w:p w14:paraId="72D3199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17.8.5 存在串通投标行为的；</w:t>
      </w:r>
    </w:p>
    <w:p w14:paraId="2C83ACA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17.8.6 存在弄虚作假或提供虚假材料谋取中</w:t>
      </w:r>
      <w:r>
        <w:rPr>
          <w:rFonts w:hint="eastAsia" w:ascii="宋体" w:hAnsi="宋体" w:eastAsia="宋体" w:cs="宋体"/>
          <w:color w:val="auto"/>
          <w:spacing w:val="-2"/>
          <w:sz w:val="24"/>
          <w:szCs w:val="24"/>
          <w:highlight w:val="none"/>
          <w:lang w:eastAsia="zh-CN"/>
        </w:rPr>
        <w:t>标的；</w:t>
      </w:r>
    </w:p>
    <w:p w14:paraId="4CCE21D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17.8.7 投标人其他未按招标文件规定和合同约定履行义务的行为。</w:t>
      </w:r>
    </w:p>
    <w:p w14:paraId="2E275117">
      <w:pPr>
        <w:widowControl w:val="0"/>
        <w:spacing w:line="360" w:lineRule="auto"/>
        <w:ind w:left="28"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17.10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人注意区分办理保函类型，并确认投标有效期。</w:t>
      </w:r>
    </w:p>
    <w:p w14:paraId="495CEAAA">
      <w:pPr>
        <w:widowControl w:val="0"/>
        <w:spacing w:line="360" w:lineRule="auto"/>
        <w:ind w:left="28"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17.10.1如采用政采云电子保函形式，可按照以下形式进行在线申请，电子保函申请链接（https://jinrong.zcygov.cn/luban/finance/letter/xinjiang?pageModelFlag=650000&amp;utm=site.site-PC-42055.1718-block_comp_1709189989843012.6.33f19dd0635411ef9be3cb6599db755d），如遇问题可拨打客服电话：95763。</w:t>
      </w:r>
    </w:p>
    <w:p w14:paraId="68058D93">
      <w:pPr>
        <w:spacing w:line="360" w:lineRule="auto"/>
        <w:ind w:left="31" w:right="-27" w:rightChars="-13"/>
        <w:outlineLvl w:val="3"/>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18.投标文件的加密</w:t>
      </w:r>
    </w:p>
    <w:p w14:paraId="7AA761A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18.1投标人在供应商客户端中生成投标文件并完成签章之后，使用CA证书在供应商客户端中对投标文件进行加密。</w:t>
      </w:r>
    </w:p>
    <w:p w14:paraId="2207DA6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18.2投标人应在供应商客户端中对加密的投标文件进行解</w:t>
      </w:r>
      <w:r>
        <w:rPr>
          <w:rFonts w:hint="eastAsia" w:ascii="宋体" w:hAnsi="宋体" w:eastAsia="宋体" w:cs="宋体"/>
          <w:color w:val="auto"/>
          <w:spacing w:val="-2"/>
          <w:sz w:val="24"/>
          <w:szCs w:val="24"/>
          <w:highlight w:val="none"/>
          <w:lang w:eastAsia="zh-CN"/>
        </w:rPr>
        <w:t>密验证，以防止</w:t>
      </w:r>
      <w:r>
        <w:rPr>
          <w:rFonts w:hint="eastAsia" w:ascii="宋体" w:hAnsi="宋体" w:eastAsia="宋体" w:cs="宋体"/>
          <w:color w:val="auto"/>
          <w:spacing w:val="-1"/>
          <w:sz w:val="24"/>
          <w:szCs w:val="24"/>
          <w:highlight w:val="none"/>
          <w:lang w:eastAsia="zh-CN"/>
        </w:rPr>
        <w:t>投标文件加密异常，在开标时无法解密。</w:t>
      </w:r>
    </w:p>
    <w:p w14:paraId="10A3F6D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18.3 投标人应保证加密投标文件的C</w:t>
      </w:r>
      <w:r>
        <w:rPr>
          <w:rFonts w:hint="eastAsia" w:ascii="宋体" w:hAnsi="宋体" w:eastAsia="宋体" w:cs="宋体"/>
          <w:color w:val="auto"/>
          <w:spacing w:val="-2"/>
          <w:sz w:val="24"/>
          <w:szCs w:val="24"/>
          <w:highlight w:val="none"/>
          <w:lang w:eastAsia="zh-CN"/>
        </w:rPr>
        <w:t>A证书有效期在开标时间之前。若CA</w:t>
      </w:r>
      <w:r>
        <w:rPr>
          <w:rFonts w:hint="eastAsia" w:ascii="宋体" w:hAnsi="宋体" w:eastAsia="宋体" w:cs="宋体"/>
          <w:color w:val="auto"/>
          <w:spacing w:val="-1"/>
          <w:sz w:val="24"/>
          <w:szCs w:val="24"/>
          <w:highlight w:val="none"/>
          <w:lang w:eastAsia="zh-CN"/>
        </w:rPr>
        <w:t>证书有效期临近开标时间，建议投标人提前办理CA证书续期，以免开标时无法</w:t>
      </w:r>
      <w:r>
        <w:rPr>
          <w:rFonts w:hint="eastAsia" w:ascii="宋体" w:hAnsi="宋体" w:eastAsia="宋体" w:cs="宋体"/>
          <w:color w:val="auto"/>
          <w:spacing w:val="-2"/>
          <w:sz w:val="24"/>
          <w:szCs w:val="24"/>
          <w:highlight w:val="none"/>
          <w:lang w:eastAsia="zh-CN"/>
        </w:rPr>
        <w:t>进行解密。</w:t>
      </w:r>
    </w:p>
    <w:p w14:paraId="3FA3CA33">
      <w:pPr>
        <w:spacing w:line="360" w:lineRule="auto"/>
        <w:ind w:left="31" w:right="-27" w:rightChars="-13"/>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18.4投标人在投标文件递交截止时间前通过</w:t>
      </w:r>
      <w:r>
        <w:rPr>
          <w:rFonts w:hint="eastAsia" w:ascii="宋体" w:hAnsi="宋体" w:eastAsia="宋体" w:cs="宋体"/>
          <w:color w:val="auto"/>
          <w:spacing w:val="-2"/>
          <w:sz w:val="24"/>
          <w:szCs w:val="24"/>
          <w:highlight w:val="none"/>
          <w:lang w:eastAsia="zh-CN"/>
        </w:rPr>
        <w:t>新疆</w:t>
      </w:r>
      <w:r>
        <w:rPr>
          <w:rFonts w:hint="eastAsia" w:ascii="宋体" w:hAnsi="宋体" w:eastAsia="宋体" w:cs="宋体"/>
          <w:color w:val="auto"/>
          <w:spacing w:val="-2"/>
          <w:sz w:val="24"/>
          <w:szCs w:val="24"/>
          <w:highlight w:val="none"/>
        </w:rPr>
        <w:t>政府采购网</w:t>
      </w:r>
      <w:r>
        <w:rPr>
          <w:rFonts w:hint="eastAsia" w:ascii="宋体" w:hAnsi="宋体" w:eastAsia="宋体" w:cs="宋体"/>
          <w:b/>
          <w:bCs/>
          <w:color w:val="auto"/>
          <w:spacing w:val="-2"/>
          <w:sz w:val="24"/>
          <w:szCs w:val="24"/>
          <w:highlight w:val="none"/>
        </w:rPr>
        <w:t>（http://www.ccgp-xinjiang.gov.cn/</w:t>
      </w:r>
      <w:r>
        <w:rPr>
          <w:rFonts w:hint="eastAsia" w:ascii="宋体" w:hAnsi="宋体" w:eastAsia="宋体" w:cs="宋体"/>
          <w:b/>
          <w:bCs/>
          <w:color w:val="auto"/>
          <w:spacing w:val="-4"/>
          <w:sz w:val="24"/>
          <w:szCs w:val="24"/>
          <w:highlight w:val="none"/>
        </w:rPr>
        <w:t>）</w:t>
      </w:r>
      <w:r>
        <w:rPr>
          <w:rFonts w:hint="eastAsia" w:ascii="宋体" w:hAnsi="宋体" w:eastAsia="宋体" w:cs="宋体"/>
          <w:color w:val="auto"/>
          <w:spacing w:val="-4"/>
          <w:sz w:val="24"/>
          <w:szCs w:val="24"/>
          <w:highlight w:val="none"/>
        </w:rPr>
        <w:t>的”政采云登录入口”登录后，将加密电子投标文件</w:t>
      </w:r>
      <w:r>
        <w:rPr>
          <w:rFonts w:hint="eastAsia" w:ascii="宋体" w:hAnsi="宋体" w:eastAsia="宋体" w:cs="宋体"/>
          <w:color w:val="auto"/>
          <w:spacing w:val="2"/>
          <w:sz w:val="24"/>
          <w:szCs w:val="24"/>
          <w:highlight w:val="none"/>
        </w:rPr>
        <w:t>上传到对应项目的指定位置，投</w:t>
      </w:r>
      <w:r>
        <w:rPr>
          <w:rFonts w:hint="eastAsia" w:ascii="宋体" w:hAnsi="宋体" w:eastAsia="宋体" w:cs="宋体"/>
          <w:color w:val="auto"/>
          <w:spacing w:val="1"/>
          <w:sz w:val="24"/>
          <w:szCs w:val="24"/>
          <w:highlight w:val="none"/>
        </w:rPr>
        <w:t>标人认为有必要提交的其他资</w:t>
      </w:r>
      <w:r>
        <w:rPr>
          <w:rFonts w:hint="eastAsia" w:ascii="宋体" w:hAnsi="宋体" w:eastAsia="宋体" w:cs="宋体"/>
          <w:color w:val="auto"/>
          <w:spacing w:val="-1"/>
          <w:sz w:val="24"/>
          <w:szCs w:val="24"/>
          <w:highlight w:val="none"/>
        </w:rPr>
        <w:t>料请于投标截止时间前一并提交。</w:t>
      </w:r>
    </w:p>
    <w:p w14:paraId="170C7A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18.5如果投标人未按上述要求加密并上传，采购代理机</w:t>
      </w:r>
      <w:r>
        <w:rPr>
          <w:rFonts w:hint="eastAsia" w:ascii="宋体" w:hAnsi="宋体" w:eastAsia="宋体" w:cs="宋体"/>
          <w:color w:val="auto"/>
          <w:spacing w:val="-2"/>
          <w:sz w:val="24"/>
          <w:szCs w:val="24"/>
          <w:highlight w:val="none"/>
          <w:lang w:eastAsia="zh-CN"/>
        </w:rPr>
        <w:t>构对投标文件的误</w:t>
      </w:r>
      <w:r>
        <w:rPr>
          <w:rFonts w:hint="eastAsia" w:ascii="宋体" w:hAnsi="宋体" w:eastAsia="宋体" w:cs="宋体"/>
          <w:color w:val="auto"/>
          <w:spacing w:val="-8"/>
          <w:sz w:val="24"/>
          <w:szCs w:val="24"/>
          <w:highlight w:val="none"/>
          <w:lang w:eastAsia="zh-CN"/>
        </w:rPr>
        <w:t>投、无法解密、传输错误等问题概不负责。对由此造成无法正常开启的投标文件，</w:t>
      </w:r>
      <w:r>
        <w:rPr>
          <w:rFonts w:hint="eastAsia" w:ascii="宋体" w:hAnsi="宋体" w:eastAsia="宋体" w:cs="宋体"/>
          <w:color w:val="auto"/>
          <w:spacing w:val="-1"/>
          <w:sz w:val="24"/>
          <w:szCs w:val="24"/>
          <w:highlight w:val="none"/>
          <w:lang w:eastAsia="zh-CN"/>
        </w:rPr>
        <w:t>采购代理机构有权予以拒绝，并退回投标人。</w:t>
      </w:r>
    </w:p>
    <w:p w14:paraId="6141206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18.6本项目采用不见面开标，无需提供电子投标文件U盘。</w:t>
      </w:r>
    </w:p>
    <w:p w14:paraId="6C812DBE">
      <w:pPr>
        <w:spacing w:line="360" w:lineRule="auto"/>
        <w:ind w:left="31" w:right="-27" w:rightChars="-13"/>
        <w:outlineLvl w:val="2"/>
        <w:rPr>
          <w:rFonts w:ascii="宋体" w:hAnsi="宋体" w:eastAsia="宋体" w:cs="宋体"/>
          <w:color w:val="auto"/>
          <w:sz w:val="24"/>
          <w:szCs w:val="24"/>
          <w:highlight w:val="none"/>
          <w:lang w:eastAsia="zh-CN"/>
        </w:rPr>
      </w:pPr>
      <w:bookmarkStart w:id="92" w:name="bookmark68"/>
      <w:bookmarkEnd w:id="92"/>
      <w:bookmarkStart w:id="93" w:name="bookmark67"/>
      <w:bookmarkEnd w:id="93"/>
      <w:bookmarkStart w:id="94" w:name="_Toc21696"/>
      <w:bookmarkStart w:id="95" w:name="_Toc186477707"/>
      <w:r>
        <w:rPr>
          <w:rFonts w:hint="eastAsia" w:ascii="宋体" w:hAnsi="宋体" w:eastAsia="宋体" w:cs="宋体"/>
          <w:b/>
          <w:bCs/>
          <w:color w:val="auto"/>
          <w:spacing w:val="-5"/>
          <w:sz w:val="24"/>
          <w:szCs w:val="24"/>
          <w:highlight w:val="none"/>
          <w:lang w:eastAsia="zh-CN"/>
        </w:rPr>
        <w:t>19.投标文件的递交（上传）</w:t>
      </w:r>
      <w:bookmarkEnd w:id="94"/>
      <w:bookmarkEnd w:id="95"/>
    </w:p>
    <w:p w14:paraId="4148AA5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19.1 投标人应在“第一章 招标公告”规定的投标截止</w:t>
      </w:r>
      <w:r>
        <w:rPr>
          <w:rFonts w:hint="eastAsia" w:ascii="宋体" w:hAnsi="宋体" w:eastAsia="宋体" w:cs="宋体"/>
          <w:color w:val="auto"/>
          <w:spacing w:val="-3"/>
          <w:sz w:val="24"/>
          <w:szCs w:val="24"/>
          <w:highlight w:val="none"/>
          <w:lang w:eastAsia="zh-CN"/>
        </w:rPr>
        <w:t>时间前递交（上传）投标文件。</w:t>
      </w:r>
    </w:p>
    <w:p w14:paraId="68BB8C9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19.2 投标人递交（上传）投标文件的地点见“第一章 招标公告”。</w:t>
      </w:r>
    </w:p>
    <w:p w14:paraId="6AD649D0">
      <w:pPr>
        <w:spacing w:line="360" w:lineRule="auto"/>
        <w:ind w:left="31"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19.3 投标人应充分评估集中同时投标带来的网络影响，尽</w:t>
      </w:r>
      <w:r>
        <w:rPr>
          <w:rFonts w:hint="eastAsia" w:ascii="宋体" w:hAnsi="宋体" w:eastAsia="宋体" w:cs="宋体"/>
          <w:color w:val="auto"/>
          <w:spacing w:val="-2"/>
          <w:sz w:val="24"/>
          <w:szCs w:val="24"/>
          <w:highlight w:val="none"/>
          <w:lang w:eastAsia="zh-CN"/>
        </w:rPr>
        <w:t>量避开投标高峰</w:t>
      </w:r>
      <w:r>
        <w:rPr>
          <w:rFonts w:hint="eastAsia" w:ascii="宋体" w:hAnsi="宋体" w:eastAsia="宋体" w:cs="宋体"/>
          <w:color w:val="auto"/>
          <w:spacing w:val="-3"/>
          <w:sz w:val="24"/>
          <w:szCs w:val="24"/>
          <w:highlight w:val="none"/>
          <w:lang w:eastAsia="zh-CN"/>
        </w:rPr>
        <w:t>时间，错峰进行电子投标。</w:t>
      </w:r>
    </w:p>
    <w:p w14:paraId="05757B8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19.4 投标人应在供应商客户端中下载未加密且完成签章的投标文件妥善保存，以便启动应急开标程序时使用。</w:t>
      </w:r>
    </w:p>
    <w:p w14:paraId="434C784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19.5 投标人所递交的投标文件不予退还。</w:t>
      </w:r>
    </w:p>
    <w:p w14:paraId="3D948A8D">
      <w:pPr>
        <w:spacing w:line="360" w:lineRule="auto"/>
        <w:ind w:left="31" w:right="-27" w:rightChars="-13"/>
        <w:outlineLvl w:val="2"/>
        <w:rPr>
          <w:rFonts w:ascii="宋体" w:hAnsi="宋体" w:eastAsia="宋体" w:cs="宋体"/>
          <w:color w:val="auto"/>
          <w:sz w:val="24"/>
          <w:szCs w:val="24"/>
          <w:highlight w:val="none"/>
          <w:lang w:eastAsia="zh-CN"/>
        </w:rPr>
      </w:pPr>
      <w:bookmarkStart w:id="96" w:name="bookmark70"/>
      <w:bookmarkEnd w:id="96"/>
      <w:bookmarkStart w:id="97" w:name="bookmark69"/>
      <w:bookmarkEnd w:id="97"/>
      <w:bookmarkStart w:id="98" w:name="_Toc426"/>
      <w:bookmarkStart w:id="99" w:name="_Toc186477708"/>
      <w:r>
        <w:rPr>
          <w:rFonts w:hint="eastAsia" w:ascii="宋体" w:hAnsi="宋体" w:eastAsia="宋体" w:cs="宋体"/>
          <w:b/>
          <w:bCs/>
          <w:color w:val="auto"/>
          <w:spacing w:val="-5"/>
          <w:sz w:val="24"/>
          <w:szCs w:val="24"/>
          <w:highlight w:val="none"/>
          <w:lang w:eastAsia="zh-CN"/>
        </w:rPr>
        <w:t>20.拒收</w:t>
      </w:r>
      <w:bookmarkEnd w:id="98"/>
      <w:bookmarkEnd w:id="99"/>
    </w:p>
    <w:p w14:paraId="08D5D61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20.1 超过投标文件提交截止时间或者不按</w:t>
      </w:r>
      <w:r>
        <w:rPr>
          <w:rFonts w:hint="eastAsia" w:ascii="宋体" w:hAnsi="宋体" w:eastAsia="宋体" w:cs="宋体"/>
          <w:color w:val="auto"/>
          <w:spacing w:val="-1"/>
          <w:sz w:val="24"/>
          <w:szCs w:val="24"/>
          <w:highlight w:val="none"/>
          <w:lang w:eastAsia="zh-CN"/>
        </w:rPr>
        <w:t>照本章要求加密的投标文件，交</w:t>
      </w:r>
      <w:r>
        <w:rPr>
          <w:rFonts w:hint="eastAsia" w:ascii="宋体" w:hAnsi="宋体" w:eastAsia="宋体" w:cs="宋体"/>
          <w:color w:val="auto"/>
          <w:spacing w:val="-4"/>
          <w:sz w:val="24"/>
          <w:szCs w:val="24"/>
          <w:highlight w:val="none"/>
          <w:lang w:eastAsia="zh-CN"/>
        </w:rPr>
        <w:t>易系统应当拒收。</w:t>
      </w:r>
    </w:p>
    <w:p w14:paraId="147163A0">
      <w:pPr>
        <w:spacing w:line="360" w:lineRule="auto"/>
        <w:ind w:left="31" w:right="-27" w:rightChars="-13"/>
        <w:outlineLvl w:val="2"/>
        <w:rPr>
          <w:rFonts w:ascii="宋体" w:hAnsi="宋体" w:eastAsia="宋体" w:cs="宋体"/>
          <w:color w:val="auto"/>
          <w:sz w:val="24"/>
          <w:szCs w:val="24"/>
          <w:highlight w:val="none"/>
          <w:lang w:eastAsia="zh-CN"/>
        </w:rPr>
      </w:pPr>
      <w:bookmarkStart w:id="100" w:name="bookmark72"/>
      <w:bookmarkEnd w:id="100"/>
      <w:bookmarkStart w:id="101" w:name="bookmark71"/>
      <w:bookmarkEnd w:id="101"/>
      <w:bookmarkStart w:id="102" w:name="_Toc186477709"/>
      <w:bookmarkStart w:id="103" w:name="_Toc19533"/>
      <w:r>
        <w:rPr>
          <w:rFonts w:hint="eastAsia" w:ascii="宋体" w:hAnsi="宋体" w:eastAsia="宋体" w:cs="宋体"/>
          <w:b/>
          <w:bCs/>
          <w:color w:val="auto"/>
          <w:spacing w:val="-4"/>
          <w:sz w:val="24"/>
          <w:szCs w:val="24"/>
          <w:highlight w:val="none"/>
          <w:lang w:eastAsia="zh-CN"/>
        </w:rPr>
        <w:t>21.投标文件的修改与撤回</w:t>
      </w:r>
      <w:bookmarkEnd w:id="102"/>
      <w:bookmarkEnd w:id="103"/>
    </w:p>
    <w:p w14:paraId="5509D743">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21.1投标人在“第一章 招标公告”规定的投标文件递交截止时间之前，可随时撤回已上传的电子投标文件，将修改好的</w:t>
      </w:r>
      <w:r>
        <w:rPr>
          <w:rFonts w:hint="eastAsia" w:ascii="宋体" w:hAnsi="宋体" w:eastAsia="宋体" w:cs="宋体"/>
          <w:color w:val="auto"/>
          <w:sz w:val="24"/>
          <w:szCs w:val="24"/>
          <w:highlight w:val="none"/>
          <w:lang w:eastAsia="zh-CN"/>
        </w:rPr>
        <w:t>电子投标文件在投标文件递交截止时间前重新上传到</w:t>
      </w:r>
      <w:r>
        <w:rPr>
          <w:rFonts w:hint="eastAsia" w:ascii="宋体" w:hAnsi="宋体" w:eastAsia="宋体" w:cs="宋体"/>
          <w:color w:val="auto"/>
          <w:spacing w:val="-2"/>
          <w:sz w:val="24"/>
          <w:szCs w:val="24"/>
          <w:highlight w:val="none"/>
          <w:lang w:eastAsia="zh-CN"/>
        </w:rPr>
        <w:t>政府采购电子交易云平台的指定位置。</w:t>
      </w:r>
    </w:p>
    <w:p w14:paraId="1F975E21">
      <w:pPr>
        <w:spacing w:line="360" w:lineRule="auto"/>
        <w:ind w:left="31" w:right="-27" w:rightChars="-13"/>
        <w:outlineLvl w:val="2"/>
        <w:rPr>
          <w:rFonts w:ascii="宋体" w:hAnsi="宋体" w:eastAsia="宋体" w:cs="宋体"/>
          <w:color w:val="auto"/>
          <w:sz w:val="24"/>
          <w:szCs w:val="24"/>
          <w:highlight w:val="none"/>
          <w:lang w:eastAsia="zh-CN"/>
        </w:rPr>
      </w:pPr>
      <w:bookmarkStart w:id="104" w:name="bookmark74"/>
      <w:bookmarkEnd w:id="104"/>
      <w:bookmarkStart w:id="105" w:name="bookmark73"/>
      <w:bookmarkEnd w:id="105"/>
      <w:bookmarkStart w:id="106" w:name="_Toc186477710"/>
      <w:bookmarkStart w:id="107" w:name="_Toc6763"/>
      <w:r>
        <w:rPr>
          <w:rFonts w:hint="eastAsia" w:ascii="宋体" w:hAnsi="宋体" w:eastAsia="宋体" w:cs="宋体"/>
          <w:b/>
          <w:bCs/>
          <w:color w:val="auto"/>
          <w:spacing w:val="-5"/>
          <w:sz w:val="24"/>
          <w:szCs w:val="24"/>
          <w:highlight w:val="none"/>
          <w:lang w:eastAsia="zh-CN"/>
        </w:rPr>
        <w:t>22.实物样品</w:t>
      </w:r>
      <w:bookmarkEnd w:id="106"/>
      <w:bookmarkEnd w:id="107"/>
    </w:p>
    <w:p w14:paraId="508615A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22.1“投标人须知前附表”要求提供样品的，样品的具体要求及评审详见“第</w:t>
      </w:r>
      <w:r>
        <w:rPr>
          <w:rFonts w:hint="eastAsia" w:ascii="宋体" w:hAnsi="宋体" w:eastAsia="宋体" w:cs="宋体"/>
          <w:color w:val="auto"/>
          <w:spacing w:val="-2"/>
          <w:sz w:val="24"/>
          <w:szCs w:val="24"/>
          <w:highlight w:val="none"/>
          <w:lang w:eastAsia="zh-CN"/>
        </w:rPr>
        <w:t>三章 采购需求”和“第五章 评标方法及标准”。</w:t>
      </w:r>
    </w:p>
    <w:p w14:paraId="051B443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22.2样品退还：未中标的投标人应按照“投标人须知前附表”要求自行联</w:t>
      </w:r>
      <w:r>
        <w:rPr>
          <w:rFonts w:hint="eastAsia" w:ascii="宋体" w:hAnsi="宋体" w:eastAsia="宋体" w:cs="宋体"/>
          <w:color w:val="auto"/>
          <w:spacing w:val="-3"/>
          <w:sz w:val="24"/>
          <w:szCs w:val="24"/>
          <w:highlight w:val="none"/>
          <w:lang w:eastAsia="zh-CN"/>
        </w:rPr>
        <w:t>系采购人取回投标样品；中标人的样品由采购人进行保管、封存，并作</w:t>
      </w:r>
      <w:r>
        <w:rPr>
          <w:rFonts w:hint="eastAsia" w:ascii="宋体" w:hAnsi="宋体" w:eastAsia="宋体" w:cs="宋体"/>
          <w:color w:val="auto"/>
          <w:spacing w:val="-4"/>
          <w:sz w:val="24"/>
          <w:szCs w:val="24"/>
          <w:highlight w:val="none"/>
          <w:lang w:eastAsia="zh-CN"/>
        </w:rPr>
        <w:t>为履约验</w:t>
      </w:r>
      <w:r>
        <w:rPr>
          <w:rFonts w:hint="eastAsia" w:ascii="宋体" w:hAnsi="宋体" w:eastAsia="宋体" w:cs="宋体"/>
          <w:color w:val="auto"/>
          <w:spacing w:val="-1"/>
          <w:sz w:val="24"/>
          <w:szCs w:val="24"/>
          <w:highlight w:val="none"/>
          <w:lang w:eastAsia="zh-CN"/>
        </w:rPr>
        <w:t>收的参考（招标文件另有规定的从其规定）。</w:t>
      </w:r>
    </w:p>
    <w:p w14:paraId="7820EB54">
      <w:pPr>
        <w:spacing w:line="360" w:lineRule="auto"/>
        <w:ind w:left="31" w:right="-27" w:rightChars="-13"/>
        <w:outlineLvl w:val="2"/>
        <w:rPr>
          <w:rFonts w:ascii="宋体" w:hAnsi="宋体" w:eastAsia="宋体" w:cs="宋体"/>
          <w:color w:val="auto"/>
          <w:sz w:val="24"/>
          <w:szCs w:val="24"/>
          <w:highlight w:val="none"/>
          <w:lang w:eastAsia="zh-CN"/>
        </w:rPr>
      </w:pPr>
      <w:bookmarkStart w:id="108" w:name="bookmark75"/>
      <w:bookmarkEnd w:id="108"/>
      <w:bookmarkStart w:id="109" w:name="bookmark76"/>
      <w:bookmarkEnd w:id="109"/>
      <w:bookmarkStart w:id="110" w:name="_Toc32619"/>
      <w:bookmarkStart w:id="111" w:name="_Toc186477711"/>
      <w:r>
        <w:rPr>
          <w:rFonts w:hint="eastAsia" w:ascii="宋体" w:hAnsi="宋体" w:eastAsia="宋体" w:cs="宋体"/>
          <w:b/>
          <w:bCs/>
          <w:color w:val="auto"/>
          <w:spacing w:val="-5"/>
          <w:sz w:val="24"/>
          <w:szCs w:val="24"/>
          <w:highlight w:val="none"/>
          <w:lang w:eastAsia="zh-CN"/>
        </w:rPr>
        <w:t>23.演示</w:t>
      </w:r>
      <w:bookmarkEnd w:id="110"/>
      <w:bookmarkEnd w:id="111"/>
    </w:p>
    <w:p w14:paraId="7589932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23.1要求投标人进行演示的，演示要求详见“投标人须知前附表”。</w:t>
      </w:r>
    </w:p>
    <w:p w14:paraId="0BB85405">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23.2演示的评审详见“第三章 采购需求”和“第五章 评标方法及标准”。</w:t>
      </w:r>
    </w:p>
    <w:p w14:paraId="093DB552">
      <w:pPr>
        <w:spacing w:line="360" w:lineRule="auto"/>
        <w:ind w:left="31" w:right="-27" w:rightChars="-13"/>
        <w:outlineLvl w:val="2"/>
        <w:rPr>
          <w:rFonts w:ascii="宋体" w:hAnsi="宋体" w:eastAsia="宋体" w:cs="宋体"/>
          <w:color w:val="auto"/>
          <w:sz w:val="24"/>
          <w:szCs w:val="24"/>
          <w:highlight w:val="none"/>
          <w:lang w:eastAsia="zh-CN"/>
        </w:rPr>
      </w:pPr>
      <w:bookmarkStart w:id="112" w:name="bookmark78"/>
      <w:bookmarkEnd w:id="112"/>
      <w:bookmarkStart w:id="113" w:name="bookmark77"/>
      <w:bookmarkEnd w:id="113"/>
      <w:bookmarkStart w:id="114" w:name="_Toc5648"/>
      <w:bookmarkStart w:id="115" w:name="_Toc186477712"/>
      <w:r>
        <w:rPr>
          <w:rFonts w:hint="eastAsia" w:ascii="宋体" w:hAnsi="宋体" w:eastAsia="宋体" w:cs="宋体"/>
          <w:b/>
          <w:bCs/>
          <w:color w:val="auto"/>
          <w:spacing w:val="-8"/>
          <w:sz w:val="24"/>
          <w:szCs w:val="24"/>
          <w:highlight w:val="none"/>
          <w:lang w:eastAsia="zh-CN"/>
        </w:rPr>
        <w:t>（五）开标</w:t>
      </w:r>
      <w:bookmarkEnd w:id="114"/>
      <w:bookmarkEnd w:id="115"/>
    </w:p>
    <w:p w14:paraId="175E8B87">
      <w:pPr>
        <w:spacing w:line="360" w:lineRule="auto"/>
        <w:ind w:left="31" w:right="-27" w:rightChars="-13"/>
        <w:outlineLvl w:val="2"/>
        <w:rPr>
          <w:rFonts w:ascii="宋体" w:hAnsi="宋体" w:eastAsia="宋体" w:cs="宋体"/>
          <w:color w:val="auto"/>
          <w:sz w:val="24"/>
          <w:szCs w:val="24"/>
          <w:highlight w:val="none"/>
          <w:lang w:eastAsia="zh-CN"/>
        </w:rPr>
      </w:pPr>
      <w:bookmarkStart w:id="116" w:name="bookmark79"/>
      <w:bookmarkEnd w:id="116"/>
      <w:bookmarkStart w:id="117" w:name="bookmark80"/>
      <w:bookmarkEnd w:id="117"/>
      <w:bookmarkStart w:id="118" w:name="_Toc186477713"/>
      <w:bookmarkStart w:id="119" w:name="_Toc9763"/>
      <w:r>
        <w:rPr>
          <w:rFonts w:hint="eastAsia" w:ascii="宋体" w:hAnsi="宋体" w:eastAsia="宋体" w:cs="宋体"/>
          <w:b/>
          <w:bCs/>
          <w:color w:val="auto"/>
          <w:spacing w:val="-5"/>
          <w:sz w:val="24"/>
          <w:szCs w:val="24"/>
          <w:highlight w:val="none"/>
          <w:lang w:eastAsia="zh-CN"/>
        </w:rPr>
        <w:t>24.开标会议</w:t>
      </w:r>
      <w:bookmarkEnd w:id="118"/>
      <w:bookmarkEnd w:id="119"/>
    </w:p>
    <w:p w14:paraId="30CE5F1C">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24.1开标会按“第一章 招标公告”规定的开标时间和地点准时举行，采购人、采购代理机构邀请所有投标人准时参加开标会。投标人应按照招标文件的要</w:t>
      </w:r>
      <w:r>
        <w:rPr>
          <w:rFonts w:hint="eastAsia" w:ascii="宋体" w:hAnsi="宋体" w:eastAsia="宋体" w:cs="宋体"/>
          <w:color w:val="auto"/>
          <w:spacing w:val="-2"/>
          <w:sz w:val="24"/>
          <w:szCs w:val="24"/>
          <w:highlight w:val="none"/>
          <w:lang w:eastAsia="zh-CN"/>
        </w:rPr>
        <w:t>求参与不见面开标。</w:t>
      </w:r>
    </w:p>
    <w:p w14:paraId="25F15CEA">
      <w:pPr>
        <w:widowControl w:val="0"/>
        <w:spacing w:line="360" w:lineRule="auto"/>
        <w:ind w:left="28"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24.2 采购代理机构按照招标文件规定的时间、地点主持开标。采购人在规定的投标文件递交截止时间（开标时间）和地点进行不见面远程开标。投标人的法定代表人或其委托代理人无需到达开标现场，仅需在任意地点通过政府采购云平台（网址：https://www.zcygov.cn/）的“政采云登录入口”登录后，进入“政采云远程开标大厅”参加开标会议，并使用CA密钥完成远程解密、提疑澄清、开标唱标、结果公布等交互环节。</w:t>
      </w:r>
    </w:p>
    <w:p w14:paraId="4863D561">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24.3开标过程将宣布供应商名称、投标价格和招标文件规定的需要宣布的</w:t>
      </w:r>
      <w:r>
        <w:rPr>
          <w:rFonts w:hint="eastAsia" w:ascii="宋体" w:hAnsi="宋体" w:eastAsia="宋体" w:cs="宋体"/>
          <w:color w:val="auto"/>
          <w:spacing w:val="-3"/>
          <w:sz w:val="24"/>
          <w:szCs w:val="24"/>
          <w:highlight w:val="none"/>
          <w:lang w:eastAsia="zh-CN"/>
        </w:rPr>
        <w:t>其他内容并进行记录，并由参加开标的各投标人确认。投标人未在规定时间内提</w:t>
      </w:r>
      <w:r>
        <w:rPr>
          <w:rFonts w:hint="eastAsia" w:ascii="宋体" w:hAnsi="宋体" w:eastAsia="宋体" w:cs="宋体"/>
          <w:color w:val="auto"/>
          <w:spacing w:val="-1"/>
          <w:sz w:val="24"/>
          <w:szCs w:val="24"/>
          <w:highlight w:val="none"/>
          <w:lang w:eastAsia="zh-CN"/>
        </w:rPr>
        <w:t>出疑义或确认一览表的，视同认可开标结果。</w:t>
      </w:r>
    </w:p>
    <w:p w14:paraId="18BAF82C">
      <w:pPr>
        <w:spacing w:line="360" w:lineRule="auto"/>
        <w:ind w:left="31" w:right="-27" w:rightChars="-13"/>
        <w:outlineLvl w:val="2"/>
        <w:rPr>
          <w:rFonts w:ascii="宋体" w:hAnsi="宋体" w:eastAsia="宋体" w:cs="宋体"/>
          <w:color w:val="auto"/>
          <w:sz w:val="24"/>
          <w:szCs w:val="24"/>
          <w:highlight w:val="none"/>
          <w:lang w:eastAsia="zh-CN"/>
        </w:rPr>
      </w:pPr>
      <w:bookmarkStart w:id="120" w:name="bookmark81"/>
      <w:bookmarkEnd w:id="120"/>
      <w:bookmarkStart w:id="121" w:name="bookmark82"/>
      <w:bookmarkEnd w:id="121"/>
      <w:bookmarkStart w:id="122" w:name="_Toc186477714"/>
      <w:bookmarkStart w:id="123" w:name="_Toc19218"/>
      <w:r>
        <w:rPr>
          <w:rFonts w:hint="eastAsia" w:ascii="宋体" w:hAnsi="宋体" w:eastAsia="宋体" w:cs="宋体"/>
          <w:b/>
          <w:bCs/>
          <w:color w:val="auto"/>
          <w:spacing w:val="-5"/>
          <w:sz w:val="24"/>
          <w:szCs w:val="24"/>
          <w:highlight w:val="none"/>
          <w:lang w:eastAsia="zh-CN"/>
        </w:rPr>
        <w:t>25.开标程序</w:t>
      </w:r>
      <w:bookmarkEnd w:id="122"/>
      <w:bookmarkEnd w:id="123"/>
    </w:p>
    <w:p w14:paraId="27D4618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25.1 投标人不足3家的，不得开标。</w:t>
      </w:r>
    </w:p>
    <w:p w14:paraId="34A24BF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25.2 评标委员会成员不得参加开标活动。</w:t>
      </w:r>
    </w:p>
    <w:p w14:paraId="481B460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25.3 主持人按下列程序进行开标：</w:t>
      </w:r>
    </w:p>
    <w:p w14:paraId="221F86F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（1）宣布开标会纪律；</w:t>
      </w:r>
    </w:p>
    <w:p w14:paraId="1297B88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（2）介绍参加开标会的单位和人员；</w:t>
      </w:r>
    </w:p>
    <w:p w14:paraId="0622B78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（3）发起投标文件解密。投标人应在“投标人须知前附表”规定的时间内</w:t>
      </w:r>
      <w:r>
        <w:rPr>
          <w:rFonts w:hint="eastAsia" w:ascii="宋体" w:hAnsi="宋体" w:eastAsia="宋体" w:cs="宋体"/>
          <w:color w:val="auto"/>
          <w:spacing w:val="-1"/>
          <w:sz w:val="24"/>
          <w:szCs w:val="24"/>
          <w:highlight w:val="none"/>
          <w:lang w:eastAsia="zh-CN"/>
        </w:rPr>
        <w:t>使用加密投标文件的CA证书在系统中完成投标文件的解</w:t>
      </w:r>
      <w:r>
        <w:rPr>
          <w:rFonts w:hint="eastAsia" w:ascii="宋体" w:hAnsi="宋体" w:eastAsia="宋体" w:cs="宋体"/>
          <w:color w:val="auto"/>
          <w:spacing w:val="-2"/>
          <w:sz w:val="24"/>
          <w:szCs w:val="24"/>
          <w:highlight w:val="none"/>
          <w:lang w:eastAsia="zh-CN"/>
        </w:rPr>
        <w:t>密；</w:t>
      </w:r>
    </w:p>
    <w:p w14:paraId="434E218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（4）解密完成后，系统自动显示供应商名称、投标价格和招标文件规定的</w:t>
      </w:r>
      <w:r>
        <w:rPr>
          <w:rFonts w:hint="eastAsia" w:ascii="宋体" w:hAnsi="宋体" w:eastAsia="宋体" w:cs="宋体"/>
          <w:color w:val="auto"/>
          <w:spacing w:val="-3"/>
          <w:sz w:val="24"/>
          <w:szCs w:val="24"/>
          <w:highlight w:val="none"/>
          <w:lang w:eastAsia="zh-CN"/>
        </w:rPr>
        <w:t>需要宣布的其他内容；</w:t>
      </w:r>
    </w:p>
    <w:p w14:paraId="03EE9D58">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（5）系统自动生成开标记录表，投标人应在线对开标记录进行签署确认；</w:t>
      </w:r>
    </w:p>
    <w:p w14:paraId="1266D1C3">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（6）开标会结束。</w:t>
      </w:r>
    </w:p>
    <w:p w14:paraId="2D59BE87">
      <w:pPr>
        <w:spacing w:line="360" w:lineRule="auto"/>
        <w:ind w:left="31" w:right="-27" w:rightChars="-13"/>
        <w:outlineLvl w:val="2"/>
        <w:rPr>
          <w:rFonts w:ascii="宋体" w:hAnsi="宋体" w:eastAsia="宋体" w:cs="宋体"/>
          <w:color w:val="auto"/>
          <w:sz w:val="24"/>
          <w:szCs w:val="24"/>
          <w:highlight w:val="none"/>
          <w:lang w:eastAsia="zh-CN"/>
        </w:rPr>
      </w:pPr>
      <w:bookmarkStart w:id="124" w:name="bookmark84"/>
      <w:bookmarkEnd w:id="124"/>
      <w:bookmarkStart w:id="125" w:name="bookmark83"/>
      <w:bookmarkEnd w:id="125"/>
      <w:bookmarkStart w:id="126" w:name="_Toc10556"/>
      <w:bookmarkStart w:id="127" w:name="_Toc186477715"/>
      <w:r>
        <w:rPr>
          <w:rFonts w:hint="eastAsia" w:ascii="宋体" w:hAnsi="宋体" w:eastAsia="宋体" w:cs="宋体"/>
          <w:b/>
          <w:bCs/>
          <w:color w:val="auto"/>
          <w:spacing w:val="-4"/>
          <w:sz w:val="24"/>
          <w:szCs w:val="24"/>
          <w:highlight w:val="none"/>
          <w:lang w:eastAsia="zh-CN"/>
        </w:rPr>
        <w:t>26.开标疑义及回避情形</w:t>
      </w:r>
      <w:bookmarkEnd w:id="126"/>
      <w:bookmarkEnd w:id="127"/>
    </w:p>
    <w:p w14:paraId="0103A32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26.1投标人代表对开标过程和开标记录有疑义，以及认为采购人、采购代</w:t>
      </w:r>
      <w:r>
        <w:rPr>
          <w:rFonts w:hint="eastAsia" w:ascii="宋体" w:hAnsi="宋体" w:eastAsia="宋体" w:cs="宋体"/>
          <w:color w:val="auto"/>
          <w:spacing w:val="-3"/>
          <w:sz w:val="24"/>
          <w:szCs w:val="24"/>
          <w:highlight w:val="none"/>
          <w:lang w:eastAsia="zh-CN"/>
        </w:rPr>
        <w:t>理机构相关工作人员有需要回避的情形的，应在开标会议中提出询问或者回避申请。采购人、采购代理机构对投标人授权代表提出的询问或者回避申请应当及时处理。</w:t>
      </w:r>
    </w:p>
    <w:p w14:paraId="7AC0CD3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26.2投标人未参加开标的，视同认可开标</w:t>
      </w:r>
      <w:r>
        <w:rPr>
          <w:rFonts w:hint="eastAsia" w:ascii="宋体" w:hAnsi="宋体" w:eastAsia="宋体" w:cs="宋体"/>
          <w:color w:val="auto"/>
          <w:spacing w:val="-2"/>
          <w:sz w:val="24"/>
          <w:szCs w:val="24"/>
          <w:highlight w:val="none"/>
          <w:lang w:eastAsia="zh-CN"/>
        </w:rPr>
        <w:t>结果。</w:t>
      </w:r>
    </w:p>
    <w:p w14:paraId="76A899F3">
      <w:pPr>
        <w:spacing w:line="360" w:lineRule="auto"/>
        <w:ind w:left="31" w:right="-27" w:rightChars="-13"/>
        <w:outlineLvl w:val="2"/>
        <w:rPr>
          <w:rFonts w:ascii="宋体" w:hAnsi="宋体" w:eastAsia="宋体" w:cs="宋体"/>
          <w:color w:val="auto"/>
          <w:sz w:val="24"/>
          <w:szCs w:val="24"/>
          <w:highlight w:val="none"/>
          <w:lang w:eastAsia="zh-CN"/>
        </w:rPr>
      </w:pPr>
      <w:bookmarkStart w:id="128" w:name="bookmark86"/>
      <w:bookmarkEnd w:id="128"/>
      <w:bookmarkStart w:id="129" w:name="bookmark85"/>
      <w:bookmarkEnd w:id="129"/>
      <w:bookmarkStart w:id="130" w:name="_Toc650"/>
      <w:bookmarkStart w:id="131" w:name="_Toc186477716"/>
      <w:r>
        <w:rPr>
          <w:rFonts w:hint="eastAsia" w:ascii="宋体" w:hAnsi="宋体" w:eastAsia="宋体" w:cs="宋体"/>
          <w:b/>
          <w:bCs/>
          <w:color w:val="auto"/>
          <w:spacing w:val="-6"/>
          <w:sz w:val="24"/>
          <w:szCs w:val="24"/>
          <w:highlight w:val="none"/>
          <w:lang w:eastAsia="zh-CN"/>
        </w:rPr>
        <w:t>（六）资格审查</w:t>
      </w:r>
      <w:bookmarkEnd w:id="130"/>
      <w:bookmarkEnd w:id="131"/>
    </w:p>
    <w:p w14:paraId="62E239D6">
      <w:pPr>
        <w:spacing w:line="360" w:lineRule="auto"/>
        <w:ind w:left="31" w:right="-27" w:rightChars="-13"/>
        <w:outlineLvl w:val="2"/>
        <w:rPr>
          <w:rFonts w:ascii="宋体" w:hAnsi="宋体" w:eastAsia="宋体" w:cs="宋体"/>
          <w:color w:val="auto"/>
          <w:sz w:val="24"/>
          <w:szCs w:val="24"/>
          <w:highlight w:val="none"/>
          <w:lang w:eastAsia="zh-CN"/>
        </w:rPr>
      </w:pPr>
      <w:bookmarkStart w:id="132" w:name="bookmark87"/>
      <w:bookmarkEnd w:id="132"/>
      <w:bookmarkStart w:id="133" w:name="bookmark88"/>
      <w:bookmarkEnd w:id="133"/>
      <w:bookmarkStart w:id="134" w:name="_Toc186477717"/>
      <w:bookmarkStart w:id="135" w:name="_Toc19246"/>
      <w:r>
        <w:rPr>
          <w:rFonts w:hint="eastAsia" w:ascii="宋体" w:hAnsi="宋体" w:eastAsia="宋体" w:cs="宋体"/>
          <w:b/>
          <w:bCs/>
          <w:color w:val="auto"/>
          <w:spacing w:val="-4"/>
          <w:sz w:val="24"/>
          <w:szCs w:val="24"/>
          <w:highlight w:val="none"/>
          <w:lang w:eastAsia="zh-CN"/>
        </w:rPr>
        <w:t>27.资格审查及审查主体</w:t>
      </w:r>
      <w:bookmarkEnd w:id="134"/>
      <w:bookmarkEnd w:id="135"/>
    </w:p>
    <w:p w14:paraId="2D2CA2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27.1开标结束后，采购人或者采购代理机构应当依法对投标人的资格进行</w:t>
      </w:r>
      <w:r>
        <w:rPr>
          <w:rFonts w:hint="eastAsia" w:ascii="宋体" w:hAnsi="宋体" w:eastAsia="宋体" w:cs="宋体"/>
          <w:color w:val="auto"/>
          <w:spacing w:val="-8"/>
          <w:sz w:val="24"/>
          <w:szCs w:val="24"/>
          <w:highlight w:val="none"/>
          <w:lang w:eastAsia="zh-CN"/>
        </w:rPr>
        <w:t>审查。</w:t>
      </w:r>
    </w:p>
    <w:p w14:paraId="6E16F4C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27.2资格审查按“第四章 资格审查”的规定进行。</w:t>
      </w:r>
    </w:p>
    <w:p w14:paraId="1CD060A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27.3资格审查结束后，应及时对资格审查结果进行复核，对资格审查错误进行及时纠正并记录。</w:t>
      </w:r>
    </w:p>
    <w:p w14:paraId="5C355B8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27.4资格审查合格投标人不足3家的，不得评标。</w:t>
      </w:r>
    </w:p>
    <w:p w14:paraId="4E2BA500">
      <w:pPr>
        <w:spacing w:line="360" w:lineRule="auto"/>
        <w:ind w:left="31" w:right="-27" w:rightChars="-13"/>
        <w:outlineLvl w:val="2"/>
        <w:rPr>
          <w:rFonts w:ascii="宋体" w:hAnsi="宋体" w:eastAsia="宋体" w:cs="宋体"/>
          <w:color w:val="auto"/>
          <w:sz w:val="24"/>
          <w:szCs w:val="24"/>
          <w:highlight w:val="none"/>
          <w:lang w:eastAsia="zh-CN"/>
        </w:rPr>
      </w:pPr>
      <w:bookmarkStart w:id="136" w:name="bookmark90"/>
      <w:bookmarkEnd w:id="136"/>
      <w:bookmarkStart w:id="137" w:name="bookmark89"/>
      <w:bookmarkEnd w:id="137"/>
      <w:bookmarkStart w:id="138" w:name="_Toc9161"/>
      <w:bookmarkStart w:id="139" w:name="_Toc186477718"/>
      <w:r>
        <w:rPr>
          <w:rFonts w:hint="eastAsia" w:ascii="宋体" w:hAnsi="宋体" w:eastAsia="宋体" w:cs="宋体"/>
          <w:b/>
          <w:bCs/>
          <w:color w:val="auto"/>
          <w:spacing w:val="-8"/>
          <w:sz w:val="24"/>
          <w:szCs w:val="24"/>
          <w:highlight w:val="none"/>
          <w:lang w:eastAsia="zh-CN"/>
        </w:rPr>
        <w:t>（七）评标</w:t>
      </w:r>
      <w:bookmarkEnd w:id="138"/>
      <w:bookmarkEnd w:id="139"/>
    </w:p>
    <w:p w14:paraId="1D4994CD">
      <w:pPr>
        <w:spacing w:line="360" w:lineRule="auto"/>
        <w:ind w:left="31" w:right="-27" w:rightChars="-13"/>
        <w:outlineLvl w:val="2"/>
        <w:rPr>
          <w:rFonts w:ascii="宋体" w:hAnsi="宋体" w:eastAsia="宋体" w:cs="宋体"/>
          <w:color w:val="auto"/>
          <w:sz w:val="24"/>
          <w:szCs w:val="24"/>
          <w:highlight w:val="none"/>
          <w:lang w:eastAsia="zh-CN"/>
        </w:rPr>
      </w:pPr>
      <w:bookmarkStart w:id="140" w:name="bookmark92"/>
      <w:bookmarkEnd w:id="140"/>
      <w:bookmarkStart w:id="141" w:name="bookmark91"/>
      <w:bookmarkEnd w:id="141"/>
      <w:bookmarkStart w:id="142" w:name="_Toc12760"/>
      <w:bookmarkStart w:id="143" w:name="_Toc186477719"/>
      <w:r>
        <w:rPr>
          <w:rFonts w:hint="eastAsia" w:ascii="宋体" w:hAnsi="宋体" w:eastAsia="宋体" w:cs="宋体"/>
          <w:b/>
          <w:bCs/>
          <w:color w:val="auto"/>
          <w:spacing w:val="-4"/>
          <w:sz w:val="24"/>
          <w:szCs w:val="24"/>
          <w:highlight w:val="none"/>
          <w:lang w:eastAsia="zh-CN"/>
        </w:rPr>
        <w:t>28.评标委员会</w:t>
      </w:r>
      <w:bookmarkEnd w:id="142"/>
      <w:bookmarkEnd w:id="143"/>
    </w:p>
    <w:p w14:paraId="51260094">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28.1 评标由采购人依法组建的评标委员会</w:t>
      </w:r>
      <w:r>
        <w:rPr>
          <w:rFonts w:hint="eastAsia" w:ascii="宋体" w:hAnsi="宋体" w:eastAsia="宋体" w:cs="宋体"/>
          <w:color w:val="auto"/>
          <w:spacing w:val="-1"/>
          <w:sz w:val="24"/>
          <w:szCs w:val="24"/>
          <w:highlight w:val="none"/>
          <w:lang w:eastAsia="zh-CN"/>
        </w:rPr>
        <w:t>负责。评标委员会由采购人代表</w:t>
      </w:r>
      <w:r>
        <w:rPr>
          <w:rFonts w:hint="eastAsia" w:ascii="宋体" w:hAnsi="宋体" w:eastAsia="宋体" w:cs="宋体"/>
          <w:color w:val="auto"/>
          <w:spacing w:val="-4"/>
          <w:sz w:val="24"/>
          <w:szCs w:val="24"/>
          <w:highlight w:val="none"/>
          <w:lang w:eastAsia="zh-CN"/>
        </w:rPr>
        <w:t>和评审专家组成，成员人数应当为5人以上单数，其中评审专家不得少于成员总</w:t>
      </w:r>
      <w:r>
        <w:rPr>
          <w:rFonts w:hint="eastAsia" w:ascii="宋体" w:hAnsi="宋体" w:eastAsia="宋体" w:cs="宋体"/>
          <w:color w:val="auto"/>
          <w:spacing w:val="-3"/>
          <w:sz w:val="24"/>
          <w:szCs w:val="24"/>
          <w:highlight w:val="none"/>
          <w:lang w:eastAsia="zh-CN"/>
        </w:rPr>
        <w:t>数的三分之二。采购人或者采购代理机构应当从省级以上财政部门设立的政府采</w:t>
      </w:r>
      <w:r>
        <w:rPr>
          <w:rFonts w:hint="eastAsia" w:ascii="宋体" w:hAnsi="宋体" w:eastAsia="宋体" w:cs="宋体"/>
          <w:color w:val="auto"/>
          <w:spacing w:val="-1"/>
          <w:sz w:val="24"/>
          <w:szCs w:val="24"/>
          <w:highlight w:val="none"/>
          <w:lang w:eastAsia="zh-CN"/>
        </w:rPr>
        <w:t>购评审专家库中，通过随机方式抽取评审专家。</w:t>
      </w:r>
    </w:p>
    <w:p w14:paraId="50E8356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28.2 采购项目符合下列情形之一的，评标委员会成员人数应当</w:t>
      </w:r>
      <w:r>
        <w:rPr>
          <w:rFonts w:hint="eastAsia" w:ascii="宋体" w:hAnsi="宋体" w:eastAsia="宋体" w:cs="宋体"/>
          <w:color w:val="auto"/>
          <w:spacing w:val="-2"/>
          <w:sz w:val="24"/>
          <w:szCs w:val="24"/>
          <w:highlight w:val="none"/>
          <w:lang w:eastAsia="zh-CN"/>
        </w:rPr>
        <w:t>为7人以上</w:t>
      </w:r>
      <w:r>
        <w:rPr>
          <w:rFonts w:hint="eastAsia" w:ascii="宋体" w:hAnsi="宋体" w:eastAsia="宋体" w:cs="宋体"/>
          <w:color w:val="auto"/>
          <w:spacing w:val="-4"/>
          <w:sz w:val="24"/>
          <w:szCs w:val="24"/>
          <w:highlight w:val="none"/>
          <w:lang w:eastAsia="zh-CN"/>
        </w:rPr>
        <w:t>单数：</w:t>
      </w:r>
    </w:p>
    <w:p w14:paraId="4408F8E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（1）采购预算金额在1000万元以上；</w:t>
      </w:r>
    </w:p>
    <w:p w14:paraId="358514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（2）技术复杂；</w:t>
      </w:r>
    </w:p>
    <w:p w14:paraId="159B2C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（3）社会影响较大。</w:t>
      </w:r>
    </w:p>
    <w:p w14:paraId="55B791E1">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28.3评审专家对本单位的采购项目只能作为采购人代表参与评标，对技术</w:t>
      </w:r>
      <w:r>
        <w:rPr>
          <w:rFonts w:hint="eastAsia" w:ascii="宋体" w:hAnsi="宋体" w:eastAsia="宋体" w:cs="宋体"/>
          <w:color w:val="auto"/>
          <w:spacing w:val="-3"/>
          <w:sz w:val="24"/>
          <w:szCs w:val="24"/>
          <w:highlight w:val="none"/>
          <w:lang w:eastAsia="zh-CN"/>
        </w:rPr>
        <w:t>复杂、专业性强的采购项目，通过随机方式难以确定合适评审专家的，经主管预算单位同意，采购人可以自行选定相应专业领域的评审专家。采购代理机构工作</w:t>
      </w:r>
      <w:r>
        <w:rPr>
          <w:rFonts w:hint="eastAsia" w:ascii="宋体" w:hAnsi="宋体" w:eastAsia="宋体" w:cs="宋体"/>
          <w:color w:val="auto"/>
          <w:spacing w:val="-1"/>
          <w:sz w:val="24"/>
          <w:szCs w:val="24"/>
          <w:highlight w:val="none"/>
          <w:lang w:eastAsia="zh-CN"/>
        </w:rPr>
        <w:t>人员不得参加由本机构代理的政府采购项目的评标。</w:t>
      </w:r>
    </w:p>
    <w:p w14:paraId="0100F32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28.4评标委员会成员名单在评标结果公告前应当保密。</w:t>
      </w:r>
    </w:p>
    <w:p w14:paraId="3572D1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28.5评标中因评标委员会成员缺席、回避或者健康等特殊原因导致评标委</w:t>
      </w:r>
      <w:r>
        <w:rPr>
          <w:rFonts w:hint="eastAsia" w:ascii="宋体" w:hAnsi="宋体" w:eastAsia="宋体" w:cs="宋体"/>
          <w:color w:val="auto"/>
          <w:spacing w:val="-3"/>
          <w:sz w:val="24"/>
          <w:szCs w:val="24"/>
          <w:highlight w:val="none"/>
          <w:lang w:eastAsia="zh-CN"/>
        </w:rPr>
        <w:t>员会组成不符合本办法规定的，采购人或者采购代理机构应当依法补足后继续评</w:t>
      </w:r>
      <w:r>
        <w:rPr>
          <w:rFonts w:hint="eastAsia" w:ascii="宋体" w:hAnsi="宋体" w:eastAsia="宋体" w:cs="宋体"/>
          <w:color w:val="auto"/>
          <w:spacing w:val="-1"/>
          <w:sz w:val="24"/>
          <w:szCs w:val="24"/>
          <w:highlight w:val="none"/>
          <w:lang w:eastAsia="zh-CN"/>
        </w:rPr>
        <w:t>标。被更换的评标委员会成员所作出的评标意见无效。</w:t>
      </w:r>
    </w:p>
    <w:p w14:paraId="7F2E4EA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28.6无法及时补足评标委员会成员的，采购人或者采购代理机构应当停止</w:t>
      </w:r>
      <w:r>
        <w:rPr>
          <w:rFonts w:hint="eastAsia" w:ascii="宋体" w:hAnsi="宋体" w:eastAsia="宋体" w:cs="宋体"/>
          <w:color w:val="auto"/>
          <w:spacing w:val="-3"/>
          <w:sz w:val="24"/>
          <w:szCs w:val="24"/>
          <w:highlight w:val="none"/>
          <w:lang w:eastAsia="zh-CN"/>
        </w:rPr>
        <w:t>评标活动，封存所有投标文件和开标、评标资料，依法重新组建评标委员会进行</w:t>
      </w:r>
      <w:r>
        <w:rPr>
          <w:rFonts w:hint="eastAsia" w:ascii="宋体" w:hAnsi="宋体" w:eastAsia="宋体" w:cs="宋体"/>
          <w:color w:val="auto"/>
          <w:spacing w:val="-1"/>
          <w:sz w:val="24"/>
          <w:szCs w:val="24"/>
          <w:highlight w:val="none"/>
          <w:lang w:eastAsia="zh-CN"/>
        </w:rPr>
        <w:t>评标。原评标委员会所作出的评标意见无效。</w:t>
      </w:r>
    </w:p>
    <w:p w14:paraId="12D10E0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28.7 评标委员会成员有下列情形之一的，应当回避：</w:t>
      </w:r>
    </w:p>
    <w:p w14:paraId="2B90998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（1）参加采购活动前3年内与投标人存在劳动关系；</w:t>
      </w:r>
    </w:p>
    <w:p w14:paraId="4531A54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（2）参加采购活动前3年内担任投标人的董事、监事；</w:t>
      </w:r>
    </w:p>
    <w:p w14:paraId="0D9D6E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（3）参加采购活动前3年内是投标人的控股股东或实际控制人；</w:t>
      </w:r>
    </w:p>
    <w:p w14:paraId="2B38F333">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（4）与投标人的法定代表人或者负责人有夫妻、直系血亲、三代以内旁系</w:t>
      </w:r>
      <w:r>
        <w:rPr>
          <w:rFonts w:hint="eastAsia" w:ascii="宋体" w:hAnsi="宋体" w:eastAsia="宋体" w:cs="宋体"/>
          <w:color w:val="auto"/>
          <w:spacing w:val="-2"/>
          <w:sz w:val="24"/>
          <w:szCs w:val="24"/>
          <w:highlight w:val="none"/>
          <w:lang w:eastAsia="zh-CN"/>
        </w:rPr>
        <w:t>血亲或者近姻亲关系；</w:t>
      </w:r>
    </w:p>
    <w:p w14:paraId="1B7A9B6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（5）与投标人有其他可能影响采购活动公平、公正进行的关系。</w:t>
      </w:r>
    </w:p>
    <w:p w14:paraId="24EEF8E0">
      <w:pPr>
        <w:spacing w:line="360" w:lineRule="auto"/>
        <w:ind w:left="31" w:right="-27" w:rightChars="-13"/>
        <w:outlineLvl w:val="2"/>
        <w:rPr>
          <w:rFonts w:ascii="宋体" w:hAnsi="宋体" w:eastAsia="宋体" w:cs="宋体"/>
          <w:color w:val="auto"/>
          <w:sz w:val="24"/>
          <w:szCs w:val="24"/>
          <w:highlight w:val="none"/>
          <w:lang w:eastAsia="zh-CN"/>
        </w:rPr>
      </w:pPr>
      <w:bookmarkStart w:id="144" w:name="bookmark93"/>
      <w:bookmarkEnd w:id="144"/>
      <w:bookmarkStart w:id="145" w:name="bookmark94"/>
      <w:bookmarkEnd w:id="145"/>
      <w:bookmarkStart w:id="146" w:name="_Toc29113"/>
      <w:bookmarkStart w:id="147" w:name="_Toc186477720"/>
      <w:r>
        <w:rPr>
          <w:rFonts w:hint="eastAsia" w:ascii="宋体" w:hAnsi="宋体" w:eastAsia="宋体" w:cs="宋体"/>
          <w:b/>
          <w:bCs/>
          <w:color w:val="auto"/>
          <w:spacing w:val="-5"/>
          <w:sz w:val="24"/>
          <w:szCs w:val="24"/>
          <w:highlight w:val="none"/>
          <w:lang w:eastAsia="zh-CN"/>
        </w:rPr>
        <w:t>29.评标</w:t>
      </w:r>
      <w:bookmarkEnd w:id="146"/>
      <w:bookmarkEnd w:id="147"/>
    </w:p>
    <w:p w14:paraId="2A31496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29.1 评标方法分为综合评分法和最低评标</w:t>
      </w:r>
      <w:r>
        <w:rPr>
          <w:rFonts w:hint="eastAsia" w:ascii="宋体" w:hAnsi="宋体" w:eastAsia="宋体" w:cs="宋体"/>
          <w:color w:val="auto"/>
          <w:spacing w:val="-1"/>
          <w:sz w:val="24"/>
          <w:szCs w:val="24"/>
          <w:highlight w:val="none"/>
          <w:lang w:eastAsia="zh-CN"/>
        </w:rPr>
        <w:t>价法，本项目评标方法详见“投</w:t>
      </w:r>
      <w:r>
        <w:rPr>
          <w:rFonts w:hint="eastAsia" w:ascii="宋体" w:hAnsi="宋体" w:eastAsia="宋体" w:cs="宋体"/>
          <w:color w:val="auto"/>
          <w:spacing w:val="-2"/>
          <w:sz w:val="24"/>
          <w:szCs w:val="24"/>
          <w:highlight w:val="none"/>
          <w:lang w:eastAsia="zh-CN"/>
        </w:rPr>
        <w:t>标人须知前附表”。</w:t>
      </w:r>
    </w:p>
    <w:p w14:paraId="20EAB94D">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29.1.1综合评分法，是指投标文件满足招标文件全部实质性要求，且按照</w:t>
      </w:r>
      <w:r>
        <w:rPr>
          <w:rFonts w:hint="eastAsia" w:ascii="宋体" w:hAnsi="宋体" w:eastAsia="宋体" w:cs="宋体"/>
          <w:color w:val="auto"/>
          <w:sz w:val="24"/>
          <w:szCs w:val="24"/>
          <w:highlight w:val="none"/>
          <w:lang w:eastAsia="zh-CN"/>
        </w:rPr>
        <w:t>评审因素的量化指标评审得分最高的投标人为中</w:t>
      </w:r>
      <w:r>
        <w:rPr>
          <w:rFonts w:hint="eastAsia" w:ascii="宋体" w:hAnsi="宋体" w:eastAsia="宋体" w:cs="宋体"/>
          <w:color w:val="auto"/>
          <w:spacing w:val="-1"/>
          <w:sz w:val="24"/>
          <w:szCs w:val="24"/>
          <w:highlight w:val="none"/>
          <w:lang w:eastAsia="zh-CN"/>
        </w:rPr>
        <w:t>标候选人的评标方法。</w:t>
      </w:r>
    </w:p>
    <w:p w14:paraId="77F4CB5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29.1.2.最低评标价法，是指投标文件满足</w:t>
      </w:r>
      <w:r>
        <w:rPr>
          <w:rFonts w:hint="eastAsia" w:ascii="宋体" w:hAnsi="宋体" w:eastAsia="宋体" w:cs="宋体"/>
          <w:color w:val="auto"/>
          <w:spacing w:val="-1"/>
          <w:sz w:val="24"/>
          <w:szCs w:val="24"/>
          <w:highlight w:val="none"/>
          <w:lang w:eastAsia="zh-CN"/>
        </w:rPr>
        <w:t>招标文件全部实质性要求，且投标报价最低的投标人为中标候选人的评标方法。</w:t>
      </w:r>
    </w:p>
    <w:p w14:paraId="21A1F66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29.2 评标委员会按照“第五章 评标方法及标准”的规定对投标文件进行评</w:t>
      </w:r>
      <w:r>
        <w:rPr>
          <w:rFonts w:hint="eastAsia" w:ascii="宋体" w:hAnsi="宋体" w:eastAsia="宋体" w:cs="宋体"/>
          <w:color w:val="auto"/>
          <w:spacing w:val="-1"/>
          <w:sz w:val="24"/>
          <w:szCs w:val="24"/>
          <w:highlight w:val="none"/>
          <w:lang w:eastAsia="zh-CN"/>
        </w:rPr>
        <w:t>审。“第五章 评标方法及标准”没有规定的方法、评审因</w:t>
      </w:r>
      <w:r>
        <w:rPr>
          <w:rFonts w:hint="eastAsia" w:ascii="宋体" w:hAnsi="宋体" w:eastAsia="宋体" w:cs="宋体"/>
          <w:color w:val="auto"/>
          <w:spacing w:val="-2"/>
          <w:sz w:val="24"/>
          <w:szCs w:val="24"/>
          <w:highlight w:val="none"/>
          <w:lang w:eastAsia="zh-CN"/>
        </w:rPr>
        <w:t>素和标准，不作为评</w:t>
      </w:r>
      <w:r>
        <w:rPr>
          <w:rFonts w:hint="eastAsia" w:ascii="宋体" w:hAnsi="宋体" w:eastAsia="宋体" w:cs="宋体"/>
          <w:color w:val="auto"/>
          <w:spacing w:val="-3"/>
          <w:sz w:val="24"/>
          <w:szCs w:val="24"/>
          <w:highlight w:val="none"/>
          <w:lang w:eastAsia="zh-CN"/>
        </w:rPr>
        <w:t>标依据。</w:t>
      </w:r>
    </w:p>
    <w:p w14:paraId="78DA8FD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29.3 评标委员会按“投标人须知前附表”规定的</w:t>
      </w:r>
      <w:r>
        <w:rPr>
          <w:rFonts w:hint="eastAsia" w:ascii="宋体" w:hAnsi="宋体" w:eastAsia="宋体" w:cs="宋体"/>
          <w:color w:val="auto"/>
          <w:spacing w:val="-2"/>
          <w:sz w:val="24"/>
          <w:szCs w:val="24"/>
          <w:highlight w:val="none"/>
          <w:lang w:eastAsia="zh-CN"/>
        </w:rPr>
        <w:t>中标候选人数量在评标报告中向采购人推荐中标候选人。</w:t>
      </w:r>
    </w:p>
    <w:p w14:paraId="64C85BE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29.4 开标之后，直到签订合同止，凡是属</w:t>
      </w:r>
      <w:r>
        <w:rPr>
          <w:rFonts w:hint="eastAsia" w:ascii="宋体" w:hAnsi="宋体" w:eastAsia="宋体" w:cs="宋体"/>
          <w:color w:val="auto"/>
          <w:spacing w:val="-1"/>
          <w:sz w:val="24"/>
          <w:szCs w:val="24"/>
          <w:highlight w:val="none"/>
          <w:lang w:eastAsia="zh-CN"/>
        </w:rPr>
        <w:t>于审查、澄清、评价和比较投标</w:t>
      </w:r>
      <w:r>
        <w:rPr>
          <w:rFonts w:hint="eastAsia" w:ascii="宋体" w:hAnsi="宋体" w:eastAsia="宋体" w:cs="宋体"/>
          <w:color w:val="auto"/>
          <w:spacing w:val="-2"/>
          <w:sz w:val="24"/>
          <w:szCs w:val="24"/>
          <w:highlight w:val="none"/>
          <w:lang w:eastAsia="zh-CN"/>
        </w:rPr>
        <w:t>的有关资料以及定标意向等，均不得向投标人或者其他与评标无关的人员透露。</w:t>
      </w:r>
    </w:p>
    <w:p w14:paraId="3588DFF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29.5 在确定中标人之前，投标人试图在投</w:t>
      </w:r>
      <w:r>
        <w:rPr>
          <w:rFonts w:hint="eastAsia" w:ascii="宋体" w:hAnsi="宋体" w:eastAsia="宋体" w:cs="宋体"/>
          <w:color w:val="auto"/>
          <w:spacing w:val="-1"/>
          <w:sz w:val="24"/>
          <w:szCs w:val="24"/>
          <w:highlight w:val="none"/>
          <w:lang w:eastAsia="zh-CN"/>
        </w:rPr>
        <w:t>标文件审查、澄清、比较和评标</w:t>
      </w:r>
      <w:r>
        <w:rPr>
          <w:rFonts w:hint="eastAsia" w:ascii="宋体" w:hAnsi="宋体" w:eastAsia="宋体" w:cs="宋体"/>
          <w:color w:val="auto"/>
          <w:spacing w:val="-2"/>
          <w:sz w:val="24"/>
          <w:szCs w:val="24"/>
          <w:highlight w:val="none"/>
          <w:lang w:eastAsia="zh-CN"/>
        </w:rPr>
        <w:t>时对评标委员会、采购人和采购代理机构施加任何影响都可能导致其</w:t>
      </w:r>
      <w:r>
        <w:rPr>
          <w:rFonts w:hint="eastAsia" w:ascii="宋体" w:hAnsi="宋体" w:eastAsia="宋体" w:cs="宋体"/>
          <w:b/>
          <w:bCs/>
          <w:color w:val="auto"/>
          <w:spacing w:val="-2"/>
          <w:sz w:val="24"/>
          <w:szCs w:val="24"/>
          <w:highlight w:val="none"/>
          <w:lang w:eastAsia="zh-CN"/>
        </w:rPr>
        <w:t>投标无效</w:t>
      </w:r>
      <w:r>
        <w:rPr>
          <w:rFonts w:hint="eastAsia" w:ascii="宋体" w:hAnsi="宋体" w:eastAsia="宋体" w:cs="宋体"/>
          <w:color w:val="auto"/>
          <w:spacing w:val="-2"/>
          <w:sz w:val="24"/>
          <w:szCs w:val="24"/>
          <w:highlight w:val="none"/>
          <w:lang w:eastAsia="zh-CN"/>
        </w:rPr>
        <w:t>。</w:t>
      </w:r>
    </w:p>
    <w:p w14:paraId="21A9003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29.6电子招投标的应急措施</w:t>
      </w:r>
    </w:p>
    <w:p w14:paraId="3E83B4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29.6.1电子开标、评标如出现下列原</w:t>
      </w:r>
      <w:r>
        <w:rPr>
          <w:rFonts w:hint="eastAsia" w:ascii="宋体" w:hAnsi="宋体" w:eastAsia="宋体" w:cs="宋体"/>
          <w:color w:val="auto"/>
          <w:spacing w:val="-2"/>
          <w:sz w:val="24"/>
          <w:szCs w:val="24"/>
          <w:highlight w:val="none"/>
          <w:lang w:eastAsia="zh-CN"/>
        </w:rPr>
        <w:t>因，导致系统无法正常运行或无法正常评标时，应采取应急措施。</w:t>
      </w:r>
    </w:p>
    <w:p w14:paraId="312D063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（1）系统服务器发生故障，无法访问或无法使用系统；</w:t>
      </w:r>
    </w:p>
    <w:p w14:paraId="659CDC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（2）系统的软件或数据库出现错误，不能进行正常操作；</w:t>
      </w:r>
    </w:p>
    <w:p w14:paraId="1870144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（3）系统发现有安全漏洞，有潜在的泄密危险；</w:t>
      </w:r>
    </w:p>
    <w:p w14:paraId="64DD75D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（4）病毒发作或受到外来病毒的攻击；</w:t>
      </w:r>
    </w:p>
    <w:p w14:paraId="400A183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（5）出现其他不可抗拒的客观原因造成开评标系统无法正常使用。</w:t>
      </w:r>
    </w:p>
    <w:p w14:paraId="2D4D4AAE">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4"/>
          <w:sz w:val="24"/>
          <w:szCs w:val="24"/>
          <w:highlight w:val="none"/>
          <w:lang w:eastAsia="zh-CN"/>
        </w:rPr>
        <w:t>出现上述情况时，应对未开标的暂停开标。已在系统内开标、评标的立即停</w:t>
      </w:r>
      <w:r>
        <w:rPr>
          <w:rFonts w:hint="eastAsia" w:ascii="宋体" w:hAnsi="宋体" w:eastAsia="宋体" w:cs="宋体"/>
          <w:color w:val="auto"/>
          <w:spacing w:val="-1"/>
          <w:sz w:val="24"/>
          <w:szCs w:val="24"/>
          <w:highlight w:val="none"/>
          <w:lang w:eastAsia="zh-CN"/>
        </w:rPr>
        <w:t>止。采取应急措施时，必须对原有资料及信息作出妥善保密处理。</w:t>
      </w:r>
    </w:p>
    <w:p w14:paraId="4D82CBA4">
      <w:pPr>
        <w:widowControl w:val="0"/>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29.6.2因系统原因导致投标人均无法解密电子投标文件时</w:t>
      </w:r>
      <w:r>
        <w:rPr>
          <w:rFonts w:hint="eastAsia" w:ascii="宋体" w:hAnsi="宋体" w:eastAsia="宋体" w:cs="宋体"/>
          <w:color w:val="auto"/>
          <w:spacing w:val="-2"/>
          <w:sz w:val="24"/>
          <w:szCs w:val="24"/>
          <w:highlight w:val="none"/>
          <w:lang w:eastAsia="zh-CN"/>
        </w:rPr>
        <w:t>，采购代理机构</w:t>
      </w:r>
      <w:r>
        <w:rPr>
          <w:rFonts w:hint="eastAsia" w:ascii="宋体" w:hAnsi="宋体" w:eastAsia="宋体" w:cs="宋体"/>
          <w:color w:val="auto"/>
          <w:sz w:val="24"/>
          <w:szCs w:val="24"/>
          <w:highlight w:val="none"/>
          <w:lang w:eastAsia="zh-CN"/>
        </w:rPr>
        <w:t>可在开标现场直接导入投标人在投标截止时间前递交的未</w:t>
      </w:r>
      <w:r>
        <w:rPr>
          <w:rFonts w:hint="eastAsia" w:ascii="宋体" w:hAnsi="宋体" w:eastAsia="宋体" w:cs="宋体"/>
          <w:color w:val="auto"/>
          <w:spacing w:val="-1"/>
          <w:sz w:val="24"/>
          <w:szCs w:val="24"/>
          <w:highlight w:val="none"/>
          <w:lang w:eastAsia="zh-CN"/>
        </w:rPr>
        <w:t>加密的电子投标文件进行开标、评标。</w:t>
      </w:r>
    </w:p>
    <w:p w14:paraId="51B7E84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29.7 投标人瑕疵滞后发现的处理规则</w:t>
      </w:r>
    </w:p>
    <w:p w14:paraId="295F561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29.7.1无论基于何种原因，各项本应作</w:t>
      </w:r>
      <w:r>
        <w:rPr>
          <w:rFonts w:hint="eastAsia" w:ascii="宋体" w:hAnsi="宋体" w:eastAsia="宋体" w:cs="宋体"/>
          <w:b/>
          <w:bCs/>
          <w:color w:val="auto"/>
          <w:spacing w:val="-1"/>
          <w:sz w:val="24"/>
          <w:szCs w:val="24"/>
          <w:highlight w:val="none"/>
          <w:lang w:eastAsia="zh-CN"/>
        </w:rPr>
        <w:t>无效投标</w:t>
      </w:r>
      <w:r>
        <w:rPr>
          <w:rFonts w:hint="eastAsia" w:ascii="宋体" w:hAnsi="宋体" w:eastAsia="宋体" w:cs="宋体"/>
          <w:color w:val="auto"/>
          <w:spacing w:val="-1"/>
          <w:sz w:val="24"/>
          <w:szCs w:val="24"/>
          <w:highlight w:val="none"/>
          <w:lang w:eastAsia="zh-CN"/>
        </w:rPr>
        <w:t>处理的情形即便未被及时</w:t>
      </w:r>
      <w:r>
        <w:rPr>
          <w:rFonts w:hint="eastAsia" w:ascii="宋体" w:hAnsi="宋体" w:eastAsia="宋体" w:cs="宋体"/>
          <w:color w:val="auto"/>
          <w:spacing w:val="-3"/>
          <w:sz w:val="24"/>
          <w:szCs w:val="24"/>
          <w:highlight w:val="none"/>
          <w:lang w:eastAsia="zh-CN"/>
        </w:rPr>
        <w:t>发现而使该投标人进入初审、综合评审或其他后续程序，包括已经签订合同的情形，一旦该投标人的投标作无效投标处理或该投标人的此前评议结果被取消，其</w:t>
      </w:r>
      <w:r>
        <w:rPr>
          <w:rFonts w:hint="eastAsia" w:ascii="宋体" w:hAnsi="宋体" w:eastAsia="宋体" w:cs="宋体"/>
          <w:color w:val="auto"/>
          <w:sz w:val="24"/>
          <w:szCs w:val="24"/>
          <w:highlight w:val="none"/>
          <w:lang w:eastAsia="zh-CN"/>
        </w:rPr>
        <w:t>现有的位置将被其他投标人依序替代，相关的</w:t>
      </w:r>
      <w:r>
        <w:rPr>
          <w:rFonts w:hint="eastAsia" w:ascii="宋体" w:hAnsi="宋体" w:eastAsia="宋体" w:cs="宋体"/>
          <w:color w:val="auto"/>
          <w:spacing w:val="-1"/>
          <w:sz w:val="24"/>
          <w:szCs w:val="24"/>
          <w:highlight w:val="none"/>
          <w:lang w:eastAsia="zh-CN"/>
        </w:rPr>
        <w:t>一切损失均由该投标人承担。</w:t>
      </w:r>
    </w:p>
    <w:p w14:paraId="29D8B46C">
      <w:pPr>
        <w:spacing w:line="360" w:lineRule="auto"/>
        <w:ind w:left="31" w:right="-27" w:rightChars="-13"/>
        <w:outlineLvl w:val="2"/>
        <w:rPr>
          <w:rFonts w:ascii="宋体" w:hAnsi="宋体" w:eastAsia="宋体" w:cs="宋体"/>
          <w:color w:val="auto"/>
          <w:sz w:val="24"/>
          <w:szCs w:val="24"/>
          <w:highlight w:val="none"/>
          <w:lang w:eastAsia="zh-CN"/>
        </w:rPr>
      </w:pPr>
      <w:bookmarkStart w:id="148" w:name="bookmark95"/>
      <w:bookmarkEnd w:id="148"/>
      <w:bookmarkStart w:id="149" w:name="bookmark96"/>
      <w:bookmarkEnd w:id="149"/>
      <w:bookmarkStart w:id="150" w:name="_Toc7899"/>
      <w:bookmarkStart w:id="151" w:name="_Toc186477721"/>
      <w:r>
        <w:rPr>
          <w:rFonts w:hint="eastAsia" w:ascii="宋体" w:hAnsi="宋体" w:eastAsia="宋体" w:cs="宋体"/>
          <w:b/>
          <w:bCs/>
          <w:color w:val="auto"/>
          <w:spacing w:val="-8"/>
          <w:sz w:val="24"/>
          <w:szCs w:val="24"/>
          <w:highlight w:val="none"/>
          <w:lang w:eastAsia="zh-CN"/>
        </w:rPr>
        <w:t>（八）中标</w:t>
      </w:r>
      <w:bookmarkEnd w:id="150"/>
      <w:bookmarkEnd w:id="151"/>
    </w:p>
    <w:p w14:paraId="72426CCD">
      <w:pPr>
        <w:spacing w:line="360" w:lineRule="auto"/>
        <w:ind w:left="31" w:right="-27" w:rightChars="-13"/>
        <w:outlineLvl w:val="2"/>
        <w:rPr>
          <w:rFonts w:ascii="宋体" w:hAnsi="宋体" w:eastAsia="宋体" w:cs="宋体"/>
          <w:color w:val="auto"/>
          <w:sz w:val="24"/>
          <w:szCs w:val="24"/>
          <w:highlight w:val="none"/>
          <w:lang w:eastAsia="zh-CN"/>
        </w:rPr>
      </w:pPr>
      <w:bookmarkStart w:id="152" w:name="bookmark97"/>
      <w:bookmarkEnd w:id="152"/>
      <w:bookmarkStart w:id="153" w:name="bookmark98"/>
      <w:bookmarkEnd w:id="153"/>
      <w:bookmarkStart w:id="154" w:name="_Toc4180"/>
      <w:bookmarkStart w:id="155" w:name="_Toc186477722"/>
      <w:r>
        <w:rPr>
          <w:rFonts w:hint="eastAsia" w:ascii="宋体" w:hAnsi="宋体" w:eastAsia="宋体" w:cs="宋体"/>
          <w:b/>
          <w:bCs/>
          <w:color w:val="auto"/>
          <w:spacing w:val="-5"/>
          <w:sz w:val="24"/>
          <w:szCs w:val="24"/>
          <w:highlight w:val="none"/>
          <w:lang w:eastAsia="zh-CN"/>
        </w:rPr>
        <w:t>30.确定中标人</w:t>
      </w:r>
      <w:bookmarkEnd w:id="154"/>
      <w:bookmarkEnd w:id="155"/>
    </w:p>
    <w:p w14:paraId="6CF62620">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30.1采购人将在评标报告确定的中标候选人名单中按顺序确定中标人，中</w:t>
      </w:r>
      <w:r>
        <w:rPr>
          <w:rFonts w:hint="eastAsia" w:ascii="宋体" w:hAnsi="宋体" w:eastAsia="宋体" w:cs="宋体"/>
          <w:color w:val="auto"/>
          <w:spacing w:val="-3"/>
          <w:sz w:val="24"/>
          <w:szCs w:val="24"/>
          <w:highlight w:val="none"/>
          <w:lang w:eastAsia="zh-CN"/>
        </w:rPr>
        <w:t>标候选人并列的，按照“投标人须知前附表”确定中标人；招标文件未规定的，采取随机抽取的方式确定。采购人是否</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lang w:eastAsia="zh-CN"/>
        </w:rPr>
        <w:t>委托评标委员会直接确定中标人，见“投</w:t>
      </w:r>
      <w:r>
        <w:rPr>
          <w:rFonts w:hint="eastAsia" w:ascii="宋体" w:hAnsi="宋体" w:eastAsia="宋体" w:cs="宋体"/>
          <w:color w:val="auto"/>
          <w:spacing w:val="-1"/>
          <w:sz w:val="24"/>
          <w:szCs w:val="24"/>
          <w:highlight w:val="none"/>
          <w:lang w:eastAsia="zh-CN"/>
        </w:rPr>
        <w:t>标人须知前附表”。</w:t>
      </w:r>
    </w:p>
    <w:p w14:paraId="369E213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30.2采用综合评分法的采购项目，提供相同品牌产品且通过资格审查、符</w:t>
      </w:r>
      <w:r>
        <w:rPr>
          <w:rFonts w:hint="eastAsia" w:ascii="宋体" w:hAnsi="宋体" w:eastAsia="宋体" w:cs="宋体"/>
          <w:color w:val="auto"/>
          <w:spacing w:val="-3"/>
          <w:sz w:val="24"/>
          <w:szCs w:val="24"/>
          <w:highlight w:val="none"/>
          <w:lang w:eastAsia="zh-CN"/>
        </w:rPr>
        <w:t>合性审查的不同投标人参加同一合同项下投标的，按一家投标人计算，评审后得分最高的同品牌投标人获得中标人推荐资格；评审得分相同的，由采购人或者采</w:t>
      </w:r>
      <w:r>
        <w:rPr>
          <w:rFonts w:hint="eastAsia" w:ascii="宋体" w:hAnsi="宋体" w:eastAsia="宋体" w:cs="宋体"/>
          <w:color w:val="auto"/>
          <w:spacing w:val="-4"/>
          <w:sz w:val="24"/>
          <w:szCs w:val="24"/>
          <w:highlight w:val="none"/>
          <w:lang w:eastAsia="zh-CN"/>
        </w:rPr>
        <w:t>购人委托评标委员会按照“投标人须知前附表”规定的方式确定一个投标人获得</w:t>
      </w:r>
      <w:r>
        <w:rPr>
          <w:rFonts w:hint="eastAsia" w:ascii="宋体" w:hAnsi="宋体" w:eastAsia="宋体" w:cs="宋体"/>
          <w:color w:val="auto"/>
          <w:spacing w:val="-3"/>
          <w:sz w:val="24"/>
          <w:szCs w:val="24"/>
          <w:highlight w:val="none"/>
          <w:lang w:eastAsia="zh-CN"/>
        </w:rPr>
        <w:t>中标人推荐资格，招标文件未规定的采取随机抽取方式确定，其他同品牌投标人</w:t>
      </w:r>
      <w:r>
        <w:rPr>
          <w:rFonts w:hint="eastAsia" w:ascii="宋体" w:hAnsi="宋体" w:eastAsia="宋体" w:cs="宋体"/>
          <w:color w:val="auto"/>
          <w:spacing w:val="-1"/>
          <w:sz w:val="24"/>
          <w:szCs w:val="24"/>
          <w:highlight w:val="none"/>
          <w:lang w:eastAsia="zh-CN"/>
        </w:rPr>
        <w:t>不作为中标候选人。</w:t>
      </w:r>
    </w:p>
    <w:p w14:paraId="0FD1D335">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30.3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w:t>
      </w:r>
    </w:p>
    <w:p w14:paraId="01C2A2B6">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30.4非单一产品采购项目，采购人应当根据采购项目技术构成、产品价格</w:t>
      </w:r>
      <w:r>
        <w:rPr>
          <w:rFonts w:hint="eastAsia" w:ascii="宋体" w:hAnsi="宋体" w:eastAsia="宋体" w:cs="宋体"/>
          <w:color w:val="auto"/>
          <w:spacing w:val="-4"/>
          <w:sz w:val="24"/>
          <w:szCs w:val="24"/>
          <w:highlight w:val="none"/>
          <w:lang w:eastAsia="zh-CN"/>
        </w:rPr>
        <w:t>比重等合理确定核心产品，并在“投标人须</w:t>
      </w:r>
      <w:r>
        <w:rPr>
          <w:rFonts w:hint="eastAsia" w:ascii="宋体" w:hAnsi="宋体" w:eastAsia="宋体" w:cs="宋体"/>
          <w:color w:val="auto"/>
          <w:spacing w:val="-5"/>
          <w:sz w:val="24"/>
          <w:szCs w:val="24"/>
          <w:highlight w:val="none"/>
          <w:lang w:eastAsia="zh-CN"/>
        </w:rPr>
        <w:t>知前附表”中载明。多家投标人提供</w:t>
      </w:r>
      <w:r>
        <w:rPr>
          <w:rFonts w:hint="eastAsia" w:ascii="宋体" w:hAnsi="宋体" w:eastAsia="宋体" w:cs="宋体"/>
          <w:color w:val="auto"/>
          <w:spacing w:val="-2"/>
          <w:sz w:val="24"/>
          <w:szCs w:val="24"/>
          <w:highlight w:val="none"/>
          <w:lang w:eastAsia="zh-CN"/>
        </w:rPr>
        <w:t>的核心产品品牌相同的，按前两款规定处理。</w:t>
      </w:r>
    </w:p>
    <w:p w14:paraId="28270E47">
      <w:pPr>
        <w:spacing w:line="360" w:lineRule="auto"/>
        <w:ind w:left="31" w:right="-27" w:rightChars="-13"/>
        <w:outlineLvl w:val="2"/>
        <w:rPr>
          <w:rFonts w:ascii="宋体" w:hAnsi="宋体" w:eastAsia="宋体" w:cs="宋体"/>
          <w:color w:val="auto"/>
          <w:sz w:val="24"/>
          <w:szCs w:val="24"/>
          <w:highlight w:val="none"/>
          <w:lang w:eastAsia="zh-CN"/>
        </w:rPr>
      </w:pPr>
      <w:bookmarkStart w:id="156" w:name="bookmark99"/>
      <w:bookmarkEnd w:id="156"/>
      <w:bookmarkStart w:id="157" w:name="bookmark100"/>
      <w:bookmarkEnd w:id="157"/>
      <w:bookmarkStart w:id="158" w:name="_Toc186477723"/>
      <w:bookmarkStart w:id="159" w:name="_Toc21439"/>
      <w:r>
        <w:rPr>
          <w:rFonts w:hint="eastAsia" w:ascii="宋体" w:hAnsi="宋体" w:eastAsia="宋体" w:cs="宋体"/>
          <w:b/>
          <w:bCs/>
          <w:color w:val="auto"/>
          <w:spacing w:val="-4"/>
          <w:sz w:val="24"/>
          <w:szCs w:val="24"/>
          <w:highlight w:val="none"/>
          <w:lang w:eastAsia="zh-CN"/>
        </w:rPr>
        <w:t>31.中标结果公告</w:t>
      </w:r>
      <w:bookmarkEnd w:id="158"/>
      <w:bookmarkEnd w:id="159"/>
    </w:p>
    <w:p w14:paraId="7013EB95">
      <w:pPr>
        <w:widowControl w:val="0"/>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31.1采购人或采购代理机构应当自中标人确定</w:t>
      </w:r>
      <w:r>
        <w:rPr>
          <w:rFonts w:hint="eastAsia" w:ascii="宋体" w:hAnsi="宋体" w:eastAsia="宋体" w:cs="宋体"/>
          <w:color w:val="auto"/>
          <w:spacing w:val="-2"/>
          <w:sz w:val="24"/>
          <w:szCs w:val="24"/>
          <w:highlight w:val="none"/>
          <w:lang w:eastAsia="zh-CN"/>
        </w:rPr>
        <w:t>之日起2个工作日内，在发</w:t>
      </w:r>
      <w:r>
        <w:rPr>
          <w:rFonts w:hint="eastAsia" w:ascii="宋体" w:hAnsi="宋体" w:eastAsia="宋体" w:cs="宋体"/>
          <w:color w:val="auto"/>
          <w:spacing w:val="-3"/>
          <w:sz w:val="24"/>
          <w:szCs w:val="24"/>
          <w:highlight w:val="none"/>
          <w:lang w:eastAsia="zh-CN"/>
        </w:rPr>
        <w:t>布招标公告的同一媒体上发布中标结果公告，同时向中标人发出中标通知书。招</w:t>
      </w:r>
      <w:r>
        <w:rPr>
          <w:rFonts w:hint="eastAsia" w:ascii="宋体" w:hAnsi="宋体" w:eastAsia="宋体" w:cs="宋体"/>
          <w:color w:val="auto"/>
          <w:spacing w:val="-2"/>
          <w:sz w:val="24"/>
          <w:szCs w:val="24"/>
          <w:highlight w:val="none"/>
          <w:lang w:eastAsia="zh-CN"/>
        </w:rPr>
        <w:t>标文件随中标结果同时公告，中标结果公告期限为1个工作日。</w:t>
      </w:r>
    </w:p>
    <w:p w14:paraId="253E4E4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31.2中标人为中小企业享受中小企业扶持政策的，其“中小企业声明函” </w:t>
      </w:r>
      <w:r>
        <w:rPr>
          <w:rFonts w:hint="eastAsia" w:ascii="宋体" w:hAnsi="宋体" w:eastAsia="宋体" w:cs="宋体"/>
          <w:color w:val="auto"/>
          <w:spacing w:val="-3"/>
          <w:sz w:val="24"/>
          <w:szCs w:val="24"/>
          <w:highlight w:val="none"/>
          <w:lang w:eastAsia="zh-CN"/>
        </w:rPr>
        <w:t>随中标结果同时公告。中标人为残疾人福利性</w:t>
      </w:r>
      <w:r>
        <w:rPr>
          <w:rFonts w:hint="eastAsia" w:ascii="宋体" w:hAnsi="宋体" w:eastAsia="宋体" w:cs="宋体"/>
          <w:color w:val="auto"/>
          <w:spacing w:val="-4"/>
          <w:sz w:val="24"/>
          <w:szCs w:val="24"/>
          <w:highlight w:val="none"/>
          <w:lang w:eastAsia="zh-CN"/>
        </w:rPr>
        <w:t>单位的，其“残疾人福利性单位声</w:t>
      </w:r>
      <w:r>
        <w:rPr>
          <w:rFonts w:hint="eastAsia" w:ascii="宋体" w:hAnsi="宋体" w:eastAsia="宋体" w:cs="宋体"/>
          <w:color w:val="auto"/>
          <w:spacing w:val="-5"/>
          <w:sz w:val="24"/>
          <w:szCs w:val="24"/>
          <w:highlight w:val="none"/>
          <w:lang w:eastAsia="zh-CN"/>
        </w:rPr>
        <w:t>明函”随中标结果同时公告。</w:t>
      </w:r>
    </w:p>
    <w:p w14:paraId="33A3FD3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31.3项目采购采用最低评标价法的，公告中标结果时同时公告因落实政府</w:t>
      </w:r>
      <w:r>
        <w:rPr>
          <w:rFonts w:hint="eastAsia" w:ascii="宋体" w:hAnsi="宋体" w:eastAsia="宋体" w:cs="宋体"/>
          <w:color w:val="auto"/>
          <w:spacing w:val="-5"/>
          <w:sz w:val="24"/>
          <w:szCs w:val="24"/>
          <w:highlight w:val="none"/>
          <w:lang w:eastAsia="zh-CN"/>
        </w:rPr>
        <w:t>采购政策等原因进行价格扣除后中标人的评审报价；项目采购采用综合评分法的，</w:t>
      </w:r>
      <w:r>
        <w:rPr>
          <w:rFonts w:hint="eastAsia" w:ascii="宋体" w:hAnsi="宋体" w:eastAsia="宋体" w:cs="宋体"/>
          <w:color w:val="auto"/>
          <w:spacing w:val="-1"/>
          <w:sz w:val="24"/>
          <w:szCs w:val="24"/>
          <w:highlight w:val="none"/>
          <w:lang w:eastAsia="zh-CN"/>
        </w:rPr>
        <w:t>公告中标结果时同时公告中标供应商的评审总得分。</w:t>
      </w:r>
    </w:p>
    <w:p w14:paraId="27FA6DFE">
      <w:pPr>
        <w:spacing w:line="360" w:lineRule="auto"/>
        <w:ind w:left="31" w:right="-27" w:rightChars="-13"/>
        <w:outlineLvl w:val="2"/>
        <w:rPr>
          <w:rFonts w:ascii="宋体" w:hAnsi="宋体" w:eastAsia="宋体" w:cs="宋体"/>
          <w:color w:val="auto"/>
          <w:sz w:val="24"/>
          <w:szCs w:val="24"/>
          <w:highlight w:val="none"/>
          <w:lang w:eastAsia="zh-CN"/>
        </w:rPr>
      </w:pPr>
      <w:bookmarkStart w:id="160" w:name="bookmark102"/>
      <w:bookmarkEnd w:id="160"/>
      <w:bookmarkStart w:id="161" w:name="bookmark101"/>
      <w:bookmarkEnd w:id="161"/>
      <w:bookmarkStart w:id="162" w:name="_Toc186477724"/>
      <w:bookmarkStart w:id="163" w:name="_Toc31404"/>
      <w:r>
        <w:rPr>
          <w:rFonts w:hint="eastAsia" w:ascii="宋体" w:hAnsi="宋体" w:eastAsia="宋体" w:cs="宋体"/>
          <w:b/>
          <w:bCs/>
          <w:color w:val="auto"/>
          <w:spacing w:val="-5"/>
          <w:sz w:val="24"/>
          <w:szCs w:val="24"/>
          <w:highlight w:val="none"/>
          <w:lang w:eastAsia="zh-CN"/>
        </w:rPr>
        <w:t>32.中标通知</w:t>
      </w:r>
      <w:bookmarkEnd w:id="162"/>
      <w:bookmarkEnd w:id="163"/>
    </w:p>
    <w:p w14:paraId="36E9D5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32.1采购人和采购代理机构以书面形式向中标人发出中标通知书，同时将</w:t>
      </w:r>
      <w:r>
        <w:rPr>
          <w:rFonts w:hint="eastAsia" w:ascii="宋体" w:hAnsi="宋体" w:eastAsia="宋体" w:cs="宋体"/>
          <w:color w:val="auto"/>
          <w:spacing w:val="-3"/>
          <w:sz w:val="24"/>
          <w:szCs w:val="24"/>
          <w:highlight w:val="none"/>
          <w:lang w:eastAsia="zh-CN"/>
        </w:rPr>
        <w:t>招标结果通知未中标的投标人。对未通过资格审查的投标人，应当告知其未通过</w:t>
      </w:r>
      <w:r>
        <w:rPr>
          <w:rFonts w:hint="eastAsia" w:ascii="宋体" w:hAnsi="宋体" w:eastAsia="宋体" w:cs="宋体"/>
          <w:color w:val="auto"/>
          <w:spacing w:val="-2"/>
          <w:sz w:val="24"/>
          <w:szCs w:val="24"/>
          <w:highlight w:val="none"/>
          <w:lang w:eastAsia="zh-CN"/>
        </w:rPr>
        <w:t>的原因；采用综合评分法评审的，还应当告知未中标人本人的评审得分与排序。</w:t>
      </w:r>
    </w:p>
    <w:p w14:paraId="6798942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32.2中标通知书对采购人和中标人均具有法律效力。中标通知书发出后，采购人改变中标结果的，或者中标人放弃中标</w:t>
      </w:r>
      <w:r>
        <w:rPr>
          <w:rFonts w:hint="eastAsia" w:ascii="宋体" w:hAnsi="宋体" w:eastAsia="宋体" w:cs="宋体"/>
          <w:color w:val="auto"/>
          <w:spacing w:val="-2"/>
          <w:sz w:val="24"/>
          <w:szCs w:val="24"/>
          <w:highlight w:val="none"/>
          <w:lang w:eastAsia="zh-CN"/>
        </w:rPr>
        <w:t>项目的，应当依法承担法律责任。</w:t>
      </w:r>
    </w:p>
    <w:p w14:paraId="192DCD8C">
      <w:pPr>
        <w:spacing w:line="360" w:lineRule="auto"/>
        <w:ind w:left="31" w:right="-27" w:rightChars="-13"/>
        <w:outlineLvl w:val="2"/>
        <w:rPr>
          <w:rFonts w:ascii="宋体" w:hAnsi="宋体" w:eastAsia="宋体" w:cs="宋体"/>
          <w:color w:val="auto"/>
          <w:sz w:val="24"/>
          <w:szCs w:val="24"/>
          <w:highlight w:val="none"/>
          <w:lang w:eastAsia="zh-CN"/>
        </w:rPr>
      </w:pPr>
      <w:bookmarkStart w:id="164" w:name="bookmark103"/>
      <w:bookmarkEnd w:id="164"/>
      <w:bookmarkStart w:id="165" w:name="bookmark104"/>
      <w:bookmarkEnd w:id="165"/>
      <w:bookmarkStart w:id="166" w:name="_Toc18510"/>
      <w:bookmarkStart w:id="167" w:name="_Toc186477725"/>
      <w:r>
        <w:rPr>
          <w:rFonts w:hint="eastAsia" w:ascii="宋体" w:hAnsi="宋体" w:eastAsia="宋体" w:cs="宋体"/>
          <w:b/>
          <w:bCs/>
          <w:color w:val="auto"/>
          <w:spacing w:val="-6"/>
          <w:sz w:val="24"/>
          <w:szCs w:val="24"/>
          <w:highlight w:val="none"/>
          <w:lang w:eastAsia="zh-CN"/>
        </w:rPr>
        <w:t>（九）签订合同</w:t>
      </w:r>
      <w:bookmarkEnd w:id="166"/>
      <w:bookmarkEnd w:id="167"/>
    </w:p>
    <w:p w14:paraId="078C98F1">
      <w:pPr>
        <w:spacing w:line="360" w:lineRule="auto"/>
        <w:ind w:left="31" w:right="-27" w:rightChars="-13"/>
        <w:outlineLvl w:val="2"/>
        <w:rPr>
          <w:rFonts w:ascii="宋体" w:hAnsi="宋体" w:eastAsia="宋体" w:cs="宋体"/>
          <w:color w:val="auto"/>
          <w:sz w:val="24"/>
          <w:szCs w:val="24"/>
          <w:highlight w:val="none"/>
          <w:lang w:eastAsia="zh-CN"/>
        </w:rPr>
      </w:pPr>
      <w:bookmarkStart w:id="168" w:name="bookmark105"/>
      <w:bookmarkEnd w:id="168"/>
      <w:bookmarkStart w:id="169" w:name="bookmark106"/>
      <w:bookmarkEnd w:id="169"/>
      <w:bookmarkStart w:id="170" w:name="_Toc186477726"/>
      <w:bookmarkStart w:id="171" w:name="_Toc5721"/>
      <w:r>
        <w:rPr>
          <w:rFonts w:hint="eastAsia" w:ascii="宋体" w:hAnsi="宋体" w:eastAsia="宋体" w:cs="宋体"/>
          <w:b/>
          <w:bCs/>
          <w:color w:val="auto"/>
          <w:spacing w:val="-5"/>
          <w:sz w:val="24"/>
          <w:szCs w:val="24"/>
          <w:highlight w:val="none"/>
          <w:lang w:eastAsia="zh-CN"/>
        </w:rPr>
        <w:t>33.履约保证金</w:t>
      </w:r>
      <w:bookmarkEnd w:id="170"/>
      <w:bookmarkEnd w:id="171"/>
    </w:p>
    <w:p w14:paraId="5B2B929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33.1在签订合同前，中标人应按“投标人须知前附表”规定的金额、担保</w:t>
      </w:r>
      <w:r>
        <w:rPr>
          <w:rFonts w:hint="eastAsia" w:ascii="宋体" w:hAnsi="宋体" w:eastAsia="宋体" w:cs="宋体"/>
          <w:color w:val="auto"/>
          <w:spacing w:val="-1"/>
          <w:sz w:val="24"/>
          <w:szCs w:val="24"/>
          <w:highlight w:val="none"/>
          <w:lang w:eastAsia="zh-CN"/>
        </w:rPr>
        <w:t>形式和采购人认可的履约担保格式向采购人提交履约保证金。</w:t>
      </w:r>
    </w:p>
    <w:p w14:paraId="1A9B05E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33.2中标人不能按本章第33.1项要求提交履约担保的，视为放弃中标，给</w:t>
      </w:r>
      <w:r>
        <w:rPr>
          <w:rFonts w:hint="eastAsia" w:ascii="宋体" w:hAnsi="宋体" w:eastAsia="宋体" w:cs="宋体"/>
          <w:color w:val="auto"/>
          <w:spacing w:val="-1"/>
          <w:sz w:val="24"/>
          <w:szCs w:val="24"/>
          <w:highlight w:val="none"/>
          <w:lang w:eastAsia="zh-CN"/>
        </w:rPr>
        <w:t>采购人造成损失的，中标人还应当承担民事责任。</w:t>
      </w:r>
    </w:p>
    <w:p w14:paraId="4B7A0BB9">
      <w:pPr>
        <w:spacing w:line="360" w:lineRule="auto"/>
        <w:ind w:left="31" w:right="-27" w:rightChars="-13"/>
        <w:outlineLvl w:val="2"/>
        <w:rPr>
          <w:rFonts w:ascii="宋体" w:hAnsi="宋体" w:eastAsia="宋体" w:cs="宋体"/>
          <w:color w:val="auto"/>
          <w:sz w:val="24"/>
          <w:szCs w:val="24"/>
          <w:highlight w:val="none"/>
          <w:lang w:eastAsia="zh-CN"/>
        </w:rPr>
      </w:pPr>
      <w:bookmarkStart w:id="172" w:name="bookmark108"/>
      <w:bookmarkEnd w:id="172"/>
      <w:bookmarkStart w:id="173" w:name="bookmark107"/>
      <w:bookmarkEnd w:id="173"/>
      <w:bookmarkStart w:id="174" w:name="_Toc19664"/>
      <w:bookmarkStart w:id="175" w:name="_Toc186477727"/>
      <w:r>
        <w:rPr>
          <w:rFonts w:hint="eastAsia" w:ascii="宋体" w:hAnsi="宋体" w:eastAsia="宋体" w:cs="宋体"/>
          <w:b/>
          <w:bCs/>
          <w:color w:val="auto"/>
          <w:spacing w:val="-5"/>
          <w:sz w:val="24"/>
          <w:szCs w:val="24"/>
          <w:highlight w:val="none"/>
          <w:lang w:eastAsia="zh-CN"/>
        </w:rPr>
        <w:t>34.签订合同</w:t>
      </w:r>
      <w:bookmarkEnd w:id="174"/>
      <w:bookmarkEnd w:id="175"/>
    </w:p>
    <w:p w14:paraId="16BAA35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34.1 采购人和中标人应当自中标通知书发出之日起30天内，根据招标文件</w:t>
      </w:r>
      <w:r>
        <w:rPr>
          <w:rFonts w:hint="eastAsia" w:ascii="宋体" w:hAnsi="宋体" w:eastAsia="宋体" w:cs="宋体"/>
          <w:color w:val="auto"/>
          <w:spacing w:val="-3"/>
          <w:sz w:val="24"/>
          <w:szCs w:val="24"/>
          <w:highlight w:val="none"/>
          <w:lang w:eastAsia="zh-CN"/>
        </w:rPr>
        <w:t>和中标人的投标文件订立书面合同。采购人因不可抗力原因迟延签订合同的，应</w:t>
      </w:r>
      <w:r>
        <w:rPr>
          <w:rFonts w:hint="eastAsia" w:ascii="宋体" w:hAnsi="宋体" w:eastAsia="宋体" w:cs="宋体"/>
          <w:color w:val="auto"/>
          <w:spacing w:val="-5"/>
          <w:sz w:val="24"/>
          <w:szCs w:val="24"/>
          <w:highlight w:val="none"/>
          <w:lang w:eastAsia="zh-CN"/>
        </w:rPr>
        <w:t>当自不可抗力事由消除之日起7 日内完成合同签订事宜。所签订的合同不得对招</w:t>
      </w:r>
      <w:r>
        <w:rPr>
          <w:rFonts w:hint="eastAsia" w:ascii="宋体" w:hAnsi="宋体" w:eastAsia="宋体" w:cs="宋体"/>
          <w:color w:val="auto"/>
          <w:spacing w:val="-3"/>
          <w:sz w:val="24"/>
          <w:szCs w:val="24"/>
          <w:highlight w:val="none"/>
          <w:lang w:eastAsia="zh-CN"/>
        </w:rPr>
        <w:t>标文件和中标人投标文件作实质性修改。中标人无正当理由拒签合同，给采购人</w:t>
      </w:r>
      <w:r>
        <w:rPr>
          <w:rFonts w:hint="eastAsia" w:ascii="宋体" w:hAnsi="宋体" w:eastAsia="宋体" w:cs="宋体"/>
          <w:color w:val="auto"/>
          <w:spacing w:val="-1"/>
          <w:sz w:val="24"/>
          <w:szCs w:val="24"/>
          <w:highlight w:val="none"/>
          <w:lang w:eastAsia="zh-CN"/>
        </w:rPr>
        <w:t>造成损失的，中标人还应当承担民事责任。</w:t>
      </w:r>
    </w:p>
    <w:p w14:paraId="096071FD">
      <w:pPr>
        <w:spacing w:line="360" w:lineRule="auto"/>
        <w:ind w:left="31"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34.2中标人拒绝与采购人签订合同的，采购人可以按照评标报告推荐的中标候选人名单排序，确定下一候选人为中标人，也可以重新开展政府采购活动。</w:t>
      </w:r>
    </w:p>
    <w:p w14:paraId="3CC9E87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34.3 采购人和中标人不得向对方提出</w:t>
      </w:r>
      <w:r>
        <w:rPr>
          <w:rFonts w:hint="eastAsia" w:ascii="宋体" w:hAnsi="宋体" w:eastAsia="宋体" w:cs="宋体"/>
          <w:color w:val="auto"/>
          <w:spacing w:val="-1"/>
          <w:sz w:val="24"/>
          <w:szCs w:val="24"/>
          <w:highlight w:val="none"/>
          <w:lang w:eastAsia="zh-CN"/>
        </w:rPr>
        <w:t>任何不合理的要求，作为签订合同的条件，双方不得私下订立背离合同实质性内容的协议。</w:t>
      </w:r>
    </w:p>
    <w:p w14:paraId="03C7BF9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34.4 联合体中标的，联合体各方应当</w:t>
      </w:r>
      <w:r>
        <w:rPr>
          <w:rFonts w:hint="eastAsia" w:ascii="宋体" w:hAnsi="宋体" w:eastAsia="宋体" w:cs="宋体"/>
          <w:color w:val="auto"/>
          <w:spacing w:val="-1"/>
          <w:sz w:val="24"/>
          <w:szCs w:val="24"/>
          <w:highlight w:val="none"/>
          <w:lang w:eastAsia="zh-CN"/>
        </w:rPr>
        <w:t>共同与采购人签订合同，就采购合同约定的事项向采购人承担连带责任。</w:t>
      </w:r>
    </w:p>
    <w:p w14:paraId="59CACA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34.5 本项目的非主体、非关键性工作</w:t>
      </w:r>
      <w:r>
        <w:rPr>
          <w:rFonts w:hint="eastAsia" w:ascii="宋体" w:hAnsi="宋体" w:eastAsia="宋体" w:cs="宋体"/>
          <w:color w:val="auto"/>
          <w:spacing w:val="-1"/>
          <w:sz w:val="24"/>
          <w:szCs w:val="24"/>
          <w:highlight w:val="none"/>
          <w:lang w:eastAsia="zh-CN"/>
        </w:rPr>
        <w:t>是否允许分包，见“投标人须知前附</w:t>
      </w:r>
      <w:r>
        <w:rPr>
          <w:rFonts w:hint="eastAsia" w:ascii="宋体" w:hAnsi="宋体" w:eastAsia="宋体" w:cs="宋体"/>
          <w:color w:val="auto"/>
          <w:spacing w:val="-4"/>
          <w:sz w:val="24"/>
          <w:szCs w:val="24"/>
          <w:highlight w:val="none"/>
          <w:lang w:eastAsia="zh-CN"/>
        </w:rPr>
        <w:t>表”。采购人允许采用分包方式履行合同的，中标人可以依法在中标后将中标项</w:t>
      </w:r>
      <w:r>
        <w:rPr>
          <w:rFonts w:hint="eastAsia" w:ascii="宋体" w:hAnsi="宋体" w:eastAsia="宋体" w:cs="宋体"/>
          <w:color w:val="auto"/>
          <w:spacing w:val="-2"/>
          <w:sz w:val="24"/>
          <w:szCs w:val="24"/>
          <w:highlight w:val="none"/>
          <w:lang w:eastAsia="zh-CN"/>
        </w:rPr>
        <w:t>目的非主体、非关键性工作采取分包方式履行合同。政府采购合同分包履行的，</w:t>
      </w:r>
      <w:r>
        <w:rPr>
          <w:rFonts w:hint="eastAsia" w:ascii="宋体" w:hAnsi="宋体" w:eastAsia="宋体" w:cs="宋体"/>
          <w:color w:val="auto"/>
          <w:spacing w:val="-3"/>
          <w:sz w:val="24"/>
          <w:szCs w:val="24"/>
          <w:highlight w:val="none"/>
          <w:lang w:eastAsia="zh-CN"/>
        </w:rPr>
        <w:t>应当在投标文件中载明分包承担主体，分包承担主体应当具备相应资质条件且不得再次分包，否则</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。中标人就采购项目和分包项目</w:t>
      </w:r>
      <w:r>
        <w:rPr>
          <w:rFonts w:hint="eastAsia" w:ascii="宋体" w:hAnsi="宋体" w:eastAsia="宋体" w:cs="宋体"/>
          <w:color w:val="auto"/>
          <w:spacing w:val="-4"/>
          <w:sz w:val="24"/>
          <w:szCs w:val="24"/>
          <w:highlight w:val="none"/>
          <w:lang w:eastAsia="zh-CN"/>
        </w:rPr>
        <w:t>向采购人负责，分包</w:t>
      </w:r>
      <w:r>
        <w:rPr>
          <w:rFonts w:hint="eastAsia" w:ascii="宋体" w:hAnsi="宋体" w:eastAsia="宋体" w:cs="宋体"/>
          <w:color w:val="auto"/>
          <w:spacing w:val="-1"/>
          <w:sz w:val="24"/>
          <w:szCs w:val="24"/>
          <w:highlight w:val="none"/>
          <w:lang w:eastAsia="zh-CN"/>
        </w:rPr>
        <w:t>供应商就分包项目承担责任。</w:t>
      </w:r>
      <w:r>
        <w:rPr>
          <w:rFonts w:hint="eastAsia" w:ascii="宋体" w:hAnsi="宋体" w:eastAsia="宋体" w:cs="宋体"/>
          <w:b/>
          <w:bCs/>
          <w:color w:val="auto"/>
          <w:spacing w:val="-1"/>
          <w:sz w:val="24"/>
          <w:szCs w:val="24"/>
          <w:highlight w:val="none"/>
          <w:lang w:eastAsia="zh-CN"/>
        </w:rPr>
        <w:t>政府采购合同不</w:t>
      </w:r>
      <w:r>
        <w:rPr>
          <w:rFonts w:hint="eastAsia" w:ascii="宋体" w:hAnsi="宋体" w:eastAsia="宋体" w:cs="宋体"/>
          <w:b/>
          <w:bCs/>
          <w:color w:val="auto"/>
          <w:spacing w:val="-2"/>
          <w:sz w:val="24"/>
          <w:szCs w:val="24"/>
          <w:highlight w:val="none"/>
          <w:lang w:eastAsia="zh-CN"/>
        </w:rPr>
        <w:t>能转包。</w:t>
      </w:r>
    </w:p>
    <w:p w14:paraId="174F38C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34.6采购合同履行中，采购人需追加与合同标的相同的货物、工程或者服</w:t>
      </w:r>
      <w:r>
        <w:rPr>
          <w:rFonts w:hint="eastAsia" w:ascii="宋体" w:hAnsi="宋体" w:eastAsia="宋体" w:cs="宋体"/>
          <w:color w:val="auto"/>
          <w:spacing w:val="-3"/>
          <w:sz w:val="24"/>
          <w:szCs w:val="24"/>
          <w:highlight w:val="none"/>
          <w:lang w:eastAsia="zh-CN"/>
        </w:rPr>
        <w:t>务的，在不改变合同其他条款的前提下，可以与中标人协商签订补充合同，但所</w:t>
      </w:r>
      <w:r>
        <w:rPr>
          <w:rFonts w:hint="eastAsia" w:ascii="宋体" w:hAnsi="宋体" w:eastAsia="宋体" w:cs="宋体"/>
          <w:color w:val="auto"/>
          <w:spacing w:val="-1"/>
          <w:sz w:val="24"/>
          <w:szCs w:val="24"/>
          <w:highlight w:val="none"/>
          <w:lang w:eastAsia="zh-CN"/>
        </w:rPr>
        <w:t>有补充合同的采购金额不得超过原合同采购金额的百分之十。</w:t>
      </w:r>
    </w:p>
    <w:p w14:paraId="5EA2E2F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34.7 采购人应于签订合同之日起2个工作日内在政采云平台备案</w:t>
      </w:r>
      <w:r>
        <w:rPr>
          <w:rFonts w:hint="eastAsia" w:ascii="宋体" w:hAnsi="宋体" w:eastAsia="宋体" w:cs="宋体"/>
          <w:color w:val="auto"/>
          <w:spacing w:val="-2"/>
          <w:sz w:val="24"/>
          <w:szCs w:val="24"/>
          <w:highlight w:val="none"/>
          <w:lang w:eastAsia="zh-CN"/>
        </w:rPr>
        <w:t>公示。</w:t>
      </w:r>
    </w:p>
    <w:p w14:paraId="45137177">
      <w:pPr>
        <w:spacing w:line="360" w:lineRule="auto"/>
        <w:ind w:left="31" w:right="-27" w:rightChars="-13"/>
        <w:outlineLvl w:val="2"/>
        <w:rPr>
          <w:rFonts w:ascii="宋体" w:hAnsi="宋体" w:eastAsia="宋体" w:cs="宋体"/>
          <w:color w:val="auto"/>
          <w:sz w:val="24"/>
          <w:szCs w:val="24"/>
          <w:highlight w:val="none"/>
          <w:lang w:eastAsia="zh-CN"/>
        </w:rPr>
      </w:pPr>
      <w:bookmarkStart w:id="176" w:name="bookmark109"/>
      <w:bookmarkEnd w:id="176"/>
      <w:bookmarkStart w:id="177" w:name="bookmark110"/>
      <w:bookmarkEnd w:id="177"/>
      <w:bookmarkStart w:id="178" w:name="_Toc186477728"/>
      <w:bookmarkStart w:id="179" w:name="_Toc14163"/>
      <w:r>
        <w:rPr>
          <w:rFonts w:hint="eastAsia" w:ascii="宋体" w:hAnsi="宋体" w:eastAsia="宋体" w:cs="宋体"/>
          <w:b/>
          <w:bCs/>
          <w:color w:val="auto"/>
          <w:spacing w:val="-6"/>
          <w:sz w:val="24"/>
          <w:szCs w:val="24"/>
          <w:highlight w:val="none"/>
          <w:lang w:eastAsia="zh-CN"/>
        </w:rPr>
        <w:t>（十）质疑和投诉</w:t>
      </w:r>
      <w:bookmarkEnd w:id="178"/>
      <w:bookmarkEnd w:id="179"/>
    </w:p>
    <w:p w14:paraId="5F705CDF">
      <w:pPr>
        <w:spacing w:line="360" w:lineRule="auto"/>
        <w:ind w:left="31" w:right="-27" w:rightChars="-13"/>
        <w:outlineLvl w:val="2"/>
        <w:rPr>
          <w:rFonts w:ascii="宋体" w:hAnsi="宋体" w:eastAsia="宋体" w:cs="宋体"/>
          <w:color w:val="auto"/>
          <w:sz w:val="24"/>
          <w:szCs w:val="24"/>
          <w:highlight w:val="none"/>
          <w:lang w:eastAsia="zh-CN"/>
        </w:rPr>
      </w:pPr>
      <w:bookmarkStart w:id="180" w:name="bookmark112"/>
      <w:bookmarkEnd w:id="180"/>
      <w:bookmarkStart w:id="181" w:name="bookmark111"/>
      <w:bookmarkEnd w:id="181"/>
      <w:bookmarkStart w:id="182" w:name="_Toc16133"/>
      <w:bookmarkStart w:id="183" w:name="_Toc186477729"/>
      <w:r>
        <w:rPr>
          <w:rFonts w:hint="eastAsia" w:ascii="宋体" w:hAnsi="宋体" w:eastAsia="宋体" w:cs="宋体"/>
          <w:b/>
          <w:bCs/>
          <w:color w:val="auto"/>
          <w:spacing w:val="-6"/>
          <w:sz w:val="24"/>
          <w:szCs w:val="24"/>
          <w:highlight w:val="none"/>
          <w:lang w:eastAsia="zh-CN"/>
        </w:rPr>
        <w:t>35.质疑</w:t>
      </w:r>
      <w:bookmarkEnd w:id="182"/>
      <w:bookmarkEnd w:id="183"/>
    </w:p>
    <w:p w14:paraId="690E1EE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35.1供应商认为采购文件、采购过程、中标结果使自己的权益受到损害的，</w:t>
      </w:r>
      <w:r>
        <w:rPr>
          <w:rFonts w:hint="eastAsia" w:ascii="宋体" w:hAnsi="宋体" w:eastAsia="宋体" w:cs="宋体"/>
          <w:color w:val="auto"/>
          <w:spacing w:val="-5"/>
          <w:sz w:val="24"/>
          <w:szCs w:val="24"/>
          <w:highlight w:val="none"/>
          <w:lang w:eastAsia="zh-CN"/>
        </w:rPr>
        <w:t>可以在知道或者应知其权益受到损害之日起7个工作日内，以书面形式向采购人、</w:t>
      </w:r>
      <w:r>
        <w:rPr>
          <w:rFonts w:hint="eastAsia" w:ascii="宋体" w:hAnsi="宋体" w:eastAsia="宋体" w:cs="宋体"/>
          <w:color w:val="auto"/>
          <w:spacing w:val="-4"/>
          <w:sz w:val="24"/>
          <w:szCs w:val="24"/>
          <w:highlight w:val="none"/>
          <w:lang w:eastAsia="zh-CN"/>
        </w:rPr>
        <w:t>采购代理机构提出质疑，详见“投标人须知前附表”。供应商在法定质疑期内一</w:t>
      </w:r>
      <w:r>
        <w:rPr>
          <w:rFonts w:hint="eastAsia" w:ascii="宋体" w:hAnsi="宋体" w:eastAsia="宋体" w:cs="宋体"/>
          <w:color w:val="auto"/>
          <w:spacing w:val="-1"/>
          <w:sz w:val="24"/>
          <w:szCs w:val="24"/>
          <w:highlight w:val="none"/>
          <w:lang w:eastAsia="zh-CN"/>
        </w:rPr>
        <w:t>次性提出针对同一采购程序环节的质疑。</w:t>
      </w:r>
    </w:p>
    <w:p w14:paraId="6A0A3D5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35.2提出质疑的供应商（以下简称质疑供应商）应当是参与所质疑项目采购活动的供应商。</w:t>
      </w:r>
    </w:p>
    <w:p w14:paraId="7CCB12B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35.3潜在供应商已依法获取其可质疑的采购文件的，可以对该文件提出质</w:t>
      </w:r>
      <w:r>
        <w:rPr>
          <w:rFonts w:hint="eastAsia" w:ascii="宋体" w:hAnsi="宋体" w:eastAsia="宋体" w:cs="宋体"/>
          <w:color w:val="auto"/>
          <w:spacing w:val="-3"/>
          <w:sz w:val="24"/>
          <w:szCs w:val="24"/>
          <w:highlight w:val="none"/>
          <w:lang w:eastAsia="zh-CN"/>
        </w:rPr>
        <w:t>疑。对采购文件提出质疑的，应当在获取采购文件或者采购文件公告期限届</w:t>
      </w:r>
      <w:r>
        <w:rPr>
          <w:rFonts w:hint="eastAsia" w:ascii="宋体" w:hAnsi="宋体" w:eastAsia="宋体" w:cs="宋体"/>
          <w:color w:val="auto"/>
          <w:spacing w:val="-4"/>
          <w:sz w:val="24"/>
          <w:szCs w:val="24"/>
          <w:highlight w:val="none"/>
          <w:lang w:eastAsia="zh-CN"/>
        </w:rPr>
        <w:t>满之日起7个工作日内提出。</w:t>
      </w:r>
    </w:p>
    <w:p w14:paraId="7A090B5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35.4供应商提出质疑应当提交质疑函和必要的证明材料。质疑函应当包括</w:t>
      </w:r>
      <w:r>
        <w:rPr>
          <w:rFonts w:hint="eastAsia" w:ascii="宋体" w:hAnsi="宋体" w:eastAsia="宋体" w:cs="宋体"/>
          <w:color w:val="auto"/>
          <w:spacing w:val="-4"/>
          <w:sz w:val="24"/>
          <w:szCs w:val="24"/>
          <w:highlight w:val="none"/>
          <w:lang w:eastAsia="zh-CN"/>
        </w:rPr>
        <w:t>下列内容：</w:t>
      </w:r>
    </w:p>
    <w:p w14:paraId="6E8200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（1）供应商的姓名或者名称、地址、邮编、联系人及联系电话；</w:t>
      </w:r>
    </w:p>
    <w:p w14:paraId="0BEE0BA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（2）质疑项目的名称、编号；</w:t>
      </w:r>
    </w:p>
    <w:p w14:paraId="67DF190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（3）具体、明确的质疑事项和与质疑事项相关的请求；</w:t>
      </w:r>
    </w:p>
    <w:p w14:paraId="55505F4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（4）事实依据；</w:t>
      </w:r>
    </w:p>
    <w:p w14:paraId="055875D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（5）必要的法律依据；</w:t>
      </w:r>
    </w:p>
    <w:p w14:paraId="44F77E0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（6）提出质疑的日期。</w:t>
      </w:r>
    </w:p>
    <w:p w14:paraId="296A637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供应商为自然人的，应当由本人签字；供应商为法人或者其他组</w:t>
      </w:r>
      <w:r>
        <w:rPr>
          <w:rFonts w:hint="eastAsia" w:ascii="宋体" w:hAnsi="宋体" w:eastAsia="宋体" w:cs="宋体"/>
          <w:color w:val="auto"/>
          <w:spacing w:val="-4"/>
          <w:sz w:val="24"/>
          <w:szCs w:val="24"/>
          <w:highlight w:val="none"/>
          <w:lang w:eastAsia="zh-CN"/>
        </w:rPr>
        <w:t>织的，应当</w:t>
      </w:r>
      <w:r>
        <w:rPr>
          <w:rFonts w:hint="eastAsia" w:ascii="宋体" w:hAnsi="宋体" w:eastAsia="宋体" w:cs="宋体"/>
          <w:color w:val="auto"/>
          <w:spacing w:val="-1"/>
          <w:sz w:val="24"/>
          <w:szCs w:val="24"/>
          <w:highlight w:val="none"/>
          <w:lang w:eastAsia="zh-CN"/>
        </w:rPr>
        <w:t>由法定代表人、主要负责人，或者其授权代表签字或者盖章</w:t>
      </w:r>
      <w:r>
        <w:rPr>
          <w:rFonts w:hint="eastAsia" w:ascii="宋体" w:hAnsi="宋体" w:eastAsia="宋体" w:cs="宋体"/>
          <w:color w:val="auto"/>
          <w:spacing w:val="-2"/>
          <w:sz w:val="24"/>
          <w:szCs w:val="24"/>
          <w:highlight w:val="none"/>
          <w:lang w:eastAsia="zh-CN"/>
        </w:rPr>
        <w:t>，并加盖公章。</w:t>
      </w:r>
    </w:p>
    <w:p w14:paraId="25B2D13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35.5质疑函不符合上述要求的，采购人或代理机构应书面告知具体事项，</w:t>
      </w:r>
      <w:r>
        <w:rPr>
          <w:rFonts w:hint="eastAsia" w:ascii="宋体" w:hAnsi="宋体" w:eastAsia="宋体" w:cs="宋体"/>
          <w:color w:val="auto"/>
          <w:spacing w:val="-1"/>
          <w:sz w:val="24"/>
          <w:szCs w:val="24"/>
          <w:highlight w:val="none"/>
          <w:lang w:eastAsia="zh-CN"/>
        </w:rPr>
        <w:t>质疑人应当按要求进行修改或补充，并在质疑有效期限内提交。</w:t>
      </w:r>
    </w:p>
    <w:p w14:paraId="74A40DE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35.6投标人进行虚假和恶意质疑投诉的，采购代理机构将提请有关部门将</w:t>
      </w:r>
      <w:r>
        <w:rPr>
          <w:rFonts w:hint="eastAsia" w:ascii="宋体" w:hAnsi="宋体" w:eastAsia="宋体" w:cs="宋体"/>
          <w:color w:val="auto"/>
          <w:spacing w:val="-3"/>
          <w:sz w:val="24"/>
          <w:szCs w:val="24"/>
          <w:highlight w:val="none"/>
          <w:lang w:eastAsia="zh-CN"/>
        </w:rPr>
        <w:t>其列入不良记录名单，在一至三年内禁止参加政府采购活动，并将处理决定在相</w:t>
      </w:r>
      <w:r>
        <w:rPr>
          <w:rFonts w:hint="eastAsia" w:ascii="宋体" w:hAnsi="宋体" w:eastAsia="宋体" w:cs="宋体"/>
          <w:color w:val="auto"/>
          <w:spacing w:val="-1"/>
          <w:sz w:val="24"/>
          <w:szCs w:val="24"/>
          <w:highlight w:val="none"/>
          <w:lang w:eastAsia="zh-CN"/>
        </w:rPr>
        <w:t>关政府采购媒体上公布。</w:t>
      </w:r>
    </w:p>
    <w:p w14:paraId="6992F09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35.7质疑函应当使用中文，并采用财政部门制定的范本。</w:t>
      </w:r>
    </w:p>
    <w:p w14:paraId="2FCE1247">
      <w:pPr>
        <w:spacing w:line="360" w:lineRule="auto"/>
        <w:ind w:left="31" w:right="-27" w:rightChars="-13"/>
        <w:outlineLvl w:val="2"/>
        <w:rPr>
          <w:rFonts w:ascii="宋体" w:hAnsi="宋体" w:eastAsia="宋体" w:cs="宋体"/>
          <w:color w:val="auto"/>
          <w:sz w:val="24"/>
          <w:szCs w:val="24"/>
          <w:highlight w:val="none"/>
          <w:lang w:eastAsia="zh-CN"/>
        </w:rPr>
      </w:pPr>
      <w:bookmarkStart w:id="184" w:name="bookmark114"/>
      <w:bookmarkEnd w:id="184"/>
      <w:bookmarkStart w:id="185" w:name="bookmark113"/>
      <w:bookmarkEnd w:id="185"/>
      <w:bookmarkStart w:id="186" w:name="_Toc186477730"/>
      <w:bookmarkStart w:id="187" w:name="_Toc16242"/>
      <w:r>
        <w:rPr>
          <w:rFonts w:hint="eastAsia" w:ascii="宋体" w:hAnsi="宋体" w:eastAsia="宋体" w:cs="宋体"/>
          <w:b/>
          <w:bCs/>
          <w:color w:val="auto"/>
          <w:spacing w:val="-5"/>
          <w:sz w:val="24"/>
          <w:szCs w:val="24"/>
          <w:highlight w:val="none"/>
          <w:lang w:eastAsia="zh-CN"/>
        </w:rPr>
        <w:t>36.质疑答复</w:t>
      </w:r>
      <w:bookmarkEnd w:id="186"/>
      <w:bookmarkEnd w:id="187"/>
    </w:p>
    <w:p w14:paraId="2AC6AC6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36.1采购人、采购代理机构不得拒收质疑供应商在法定质疑期内发出的质</w:t>
      </w:r>
      <w:r>
        <w:rPr>
          <w:rFonts w:hint="eastAsia" w:ascii="宋体" w:hAnsi="宋体" w:eastAsia="宋体" w:cs="宋体"/>
          <w:color w:val="auto"/>
          <w:spacing w:val="-4"/>
          <w:sz w:val="24"/>
          <w:szCs w:val="24"/>
          <w:highlight w:val="none"/>
          <w:lang w:eastAsia="zh-CN"/>
        </w:rPr>
        <w:t>疑函，应当在收到质疑函后7个工作日内作出答复，并以书面形式通知质疑供应</w:t>
      </w:r>
      <w:r>
        <w:rPr>
          <w:rFonts w:hint="eastAsia" w:ascii="宋体" w:hAnsi="宋体" w:eastAsia="宋体" w:cs="宋体"/>
          <w:color w:val="auto"/>
          <w:spacing w:val="-2"/>
          <w:sz w:val="24"/>
          <w:szCs w:val="24"/>
          <w:highlight w:val="none"/>
          <w:lang w:eastAsia="zh-CN"/>
        </w:rPr>
        <w:t>商和其他有关供应商。</w:t>
      </w:r>
    </w:p>
    <w:p w14:paraId="69388DE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36.2供应商对评审过程、中标结果提出质疑的，采购人、采购代理机构可</w:t>
      </w:r>
      <w:bookmarkStart w:id="188" w:name="bookmark116"/>
      <w:bookmarkEnd w:id="188"/>
      <w:r>
        <w:rPr>
          <w:rFonts w:hint="eastAsia" w:ascii="宋体" w:hAnsi="宋体" w:eastAsia="宋体" w:cs="宋体"/>
          <w:color w:val="auto"/>
          <w:spacing w:val="-3"/>
          <w:sz w:val="24"/>
          <w:szCs w:val="24"/>
          <w:highlight w:val="none"/>
          <w:lang w:eastAsia="zh-CN"/>
        </w:rPr>
        <w:t>以组织原评标委员会协助答复质疑。</w:t>
      </w:r>
    </w:p>
    <w:p w14:paraId="1FD734E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质疑答复应当包括下列内容：</w:t>
      </w:r>
    </w:p>
    <w:p w14:paraId="34A8277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（1）质疑供应商的姓名或者名称；</w:t>
      </w:r>
    </w:p>
    <w:p w14:paraId="0501021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（2）收到质疑函的日期、质疑项目名称及编号；</w:t>
      </w:r>
    </w:p>
    <w:p w14:paraId="441A3CE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（3）质疑事项、质疑答复的具体内容、事实依据和法律依据；</w:t>
      </w:r>
    </w:p>
    <w:p w14:paraId="787ADD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（4）告知质疑供应商依法投诉的权利；</w:t>
      </w:r>
    </w:p>
    <w:p w14:paraId="6F61ABC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（5）质疑答复人名称；</w:t>
      </w:r>
    </w:p>
    <w:p w14:paraId="2921733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（6）答复质疑的日期。</w:t>
      </w:r>
    </w:p>
    <w:p w14:paraId="3D4E9EC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质疑答复的内容不得涉及商业秘密。</w:t>
      </w:r>
    </w:p>
    <w:p w14:paraId="11B839DD">
      <w:pPr>
        <w:spacing w:line="360" w:lineRule="auto"/>
        <w:ind w:left="31" w:right="-27" w:rightChars="-13"/>
        <w:outlineLvl w:val="3"/>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37.投诉</w:t>
      </w:r>
    </w:p>
    <w:p w14:paraId="3D8C329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37.1质疑供应商对采购人、采购代理机构的答复不满意，或者采购人、采购代理机构未在规定时间内作出答复的，可以在答复期满</w:t>
      </w:r>
      <w:r>
        <w:rPr>
          <w:rFonts w:hint="eastAsia" w:ascii="宋体" w:hAnsi="宋体" w:eastAsia="宋体" w:cs="宋体"/>
          <w:color w:val="auto"/>
          <w:spacing w:val="-2"/>
          <w:sz w:val="24"/>
          <w:szCs w:val="24"/>
          <w:highlight w:val="none"/>
          <w:lang w:eastAsia="zh-CN"/>
        </w:rPr>
        <w:t>后15个工作日内向同</w:t>
      </w:r>
      <w:r>
        <w:rPr>
          <w:rFonts w:hint="eastAsia" w:ascii="宋体" w:hAnsi="宋体" w:eastAsia="宋体" w:cs="宋体"/>
          <w:color w:val="auto"/>
          <w:spacing w:val="-1"/>
          <w:sz w:val="24"/>
          <w:szCs w:val="24"/>
          <w:highlight w:val="none"/>
          <w:lang w:eastAsia="zh-CN"/>
        </w:rPr>
        <w:t>级政府采购监督管理部门提起投诉。</w:t>
      </w:r>
    </w:p>
    <w:p w14:paraId="4630816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37.2投诉人投诉时,应当提交投诉书和必要的证明材料，并按照被投诉采购</w:t>
      </w:r>
      <w:r>
        <w:rPr>
          <w:rFonts w:hint="eastAsia" w:ascii="宋体" w:hAnsi="宋体" w:eastAsia="宋体" w:cs="宋体"/>
          <w:color w:val="auto"/>
          <w:spacing w:val="-3"/>
          <w:sz w:val="24"/>
          <w:szCs w:val="24"/>
          <w:highlight w:val="none"/>
          <w:lang w:eastAsia="zh-CN"/>
        </w:rPr>
        <w:t>人、采购代理机构（以下简称被投诉人）和与投诉事项有关的供应商数量提供投</w:t>
      </w:r>
      <w:r>
        <w:rPr>
          <w:rFonts w:hint="eastAsia" w:ascii="宋体" w:hAnsi="宋体" w:eastAsia="宋体" w:cs="宋体"/>
          <w:color w:val="auto"/>
          <w:spacing w:val="-1"/>
          <w:sz w:val="24"/>
          <w:szCs w:val="24"/>
          <w:highlight w:val="none"/>
          <w:lang w:eastAsia="zh-CN"/>
        </w:rPr>
        <w:t>诉书的副本。投诉书应当包括下列内容：</w:t>
      </w:r>
    </w:p>
    <w:p w14:paraId="19405C3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（1）投诉人和被投诉人的姓名或者名称、通讯地址、邮编、联系人及联系</w:t>
      </w:r>
      <w:r>
        <w:rPr>
          <w:rFonts w:hint="eastAsia" w:ascii="宋体" w:hAnsi="宋体" w:eastAsia="宋体" w:cs="宋体"/>
          <w:color w:val="auto"/>
          <w:spacing w:val="-13"/>
          <w:sz w:val="24"/>
          <w:szCs w:val="24"/>
          <w:highlight w:val="none"/>
          <w:lang w:eastAsia="zh-CN"/>
        </w:rPr>
        <w:t>电话；</w:t>
      </w:r>
    </w:p>
    <w:p w14:paraId="1310BD5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（2）质疑和质疑答复情况说明及相关证明材料；</w:t>
      </w:r>
    </w:p>
    <w:p w14:paraId="0BD02E2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（3）具体、明确的投诉事项和与投诉事项相关的投诉请求；</w:t>
      </w:r>
    </w:p>
    <w:p w14:paraId="66A2AF7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（4）事实依据；</w:t>
      </w:r>
    </w:p>
    <w:p w14:paraId="3C84336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（5）法律依据；</w:t>
      </w:r>
    </w:p>
    <w:p w14:paraId="6EB6A7C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（6）提起投诉的日期。</w:t>
      </w:r>
    </w:p>
    <w:p w14:paraId="76BB5C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投诉人为自然人的，应当由本人签字；投诉人为法人或者</w:t>
      </w:r>
      <w:r>
        <w:rPr>
          <w:rFonts w:hint="eastAsia" w:ascii="宋体" w:hAnsi="宋体" w:eastAsia="宋体" w:cs="宋体"/>
          <w:color w:val="auto"/>
          <w:spacing w:val="-4"/>
          <w:sz w:val="24"/>
          <w:szCs w:val="24"/>
          <w:highlight w:val="none"/>
          <w:lang w:eastAsia="zh-CN"/>
        </w:rPr>
        <w:t>其他组织的，应当</w:t>
      </w:r>
      <w:r>
        <w:rPr>
          <w:rFonts w:hint="eastAsia" w:ascii="宋体" w:hAnsi="宋体" w:eastAsia="宋体" w:cs="宋体"/>
          <w:color w:val="auto"/>
          <w:spacing w:val="-1"/>
          <w:sz w:val="24"/>
          <w:szCs w:val="24"/>
          <w:highlight w:val="none"/>
          <w:lang w:eastAsia="zh-CN"/>
        </w:rPr>
        <w:t>由法定代表人、主要负责人，或者其授权代表签字或者盖章</w:t>
      </w:r>
      <w:r>
        <w:rPr>
          <w:rFonts w:hint="eastAsia" w:ascii="宋体" w:hAnsi="宋体" w:eastAsia="宋体" w:cs="宋体"/>
          <w:color w:val="auto"/>
          <w:spacing w:val="-2"/>
          <w:sz w:val="24"/>
          <w:szCs w:val="24"/>
          <w:highlight w:val="none"/>
          <w:lang w:eastAsia="zh-CN"/>
        </w:rPr>
        <w:t>，并加盖公章。</w:t>
      </w:r>
    </w:p>
    <w:p w14:paraId="70BBC0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37.3供应商质疑、投诉应当有明确的请求和必要的证明材料。供应商投诉</w:t>
      </w:r>
      <w:r>
        <w:rPr>
          <w:rFonts w:hint="eastAsia" w:ascii="宋体" w:hAnsi="宋体" w:eastAsia="宋体" w:cs="宋体"/>
          <w:color w:val="auto"/>
          <w:spacing w:val="-2"/>
          <w:sz w:val="24"/>
          <w:szCs w:val="24"/>
          <w:highlight w:val="none"/>
          <w:lang w:eastAsia="zh-CN"/>
        </w:rPr>
        <w:t>的事项不得超出已质疑事项的范围，但基于质疑答复内容提出的投诉事项除外。</w:t>
      </w:r>
    </w:p>
    <w:p w14:paraId="082744E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37.4投诉书应当使用中文，并采用财政部门制定的范本。</w:t>
      </w:r>
    </w:p>
    <w:p w14:paraId="4C1F736D">
      <w:pPr>
        <w:spacing w:line="360" w:lineRule="auto"/>
        <w:ind w:left="31" w:right="-27" w:rightChars="-13"/>
        <w:outlineLvl w:val="2"/>
        <w:rPr>
          <w:rFonts w:ascii="宋体" w:hAnsi="宋体" w:eastAsia="宋体" w:cs="宋体"/>
          <w:color w:val="auto"/>
          <w:sz w:val="24"/>
          <w:szCs w:val="24"/>
          <w:highlight w:val="none"/>
          <w:lang w:eastAsia="zh-CN"/>
        </w:rPr>
      </w:pPr>
      <w:bookmarkStart w:id="189" w:name="bookmark118"/>
      <w:bookmarkEnd w:id="189"/>
      <w:bookmarkStart w:id="190" w:name="bookmark117"/>
      <w:bookmarkEnd w:id="190"/>
      <w:bookmarkStart w:id="191" w:name="_Toc186477731"/>
      <w:bookmarkStart w:id="192" w:name="_Toc28688"/>
      <w:r>
        <w:rPr>
          <w:rFonts w:hint="eastAsia" w:ascii="宋体" w:hAnsi="宋体" w:eastAsia="宋体" w:cs="宋体"/>
          <w:b/>
          <w:bCs/>
          <w:color w:val="auto"/>
          <w:spacing w:val="-5"/>
          <w:sz w:val="24"/>
          <w:szCs w:val="24"/>
          <w:highlight w:val="none"/>
          <w:lang w:eastAsia="zh-CN"/>
        </w:rPr>
        <w:t>（十一）采购代理服务费</w:t>
      </w:r>
      <w:bookmarkEnd w:id="191"/>
      <w:bookmarkEnd w:id="192"/>
    </w:p>
    <w:p w14:paraId="22C630ED">
      <w:pPr>
        <w:spacing w:line="360" w:lineRule="auto"/>
        <w:ind w:left="31" w:right="-27" w:rightChars="-13"/>
        <w:outlineLvl w:val="2"/>
        <w:rPr>
          <w:rFonts w:ascii="宋体" w:hAnsi="宋体" w:eastAsia="宋体" w:cs="宋体"/>
          <w:color w:val="auto"/>
          <w:sz w:val="24"/>
          <w:szCs w:val="24"/>
          <w:highlight w:val="none"/>
          <w:lang w:eastAsia="zh-CN"/>
        </w:rPr>
      </w:pPr>
      <w:bookmarkStart w:id="193" w:name="bookmark120"/>
      <w:bookmarkEnd w:id="193"/>
      <w:bookmarkStart w:id="194" w:name="bookmark119"/>
      <w:bookmarkEnd w:id="194"/>
      <w:bookmarkStart w:id="195" w:name="_Toc186477732"/>
      <w:bookmarkStart w:id="196" w:name="_Toc7990"/>
      <w:r>
        <w:rPr>
          <w:rFonts w:hint="eastAsia" w:ascii="宋体" w:hAnsi="宋体" w:eastAsia="宋体" w:cs="宋体"/>
          <w:b/>
          <w:bCs/>
          <w:color w:val="auto"/>
          <w:spacing w:val="-4"/>
          <w:sz w:val="24"/>
          <w:szCs w:val="24"/>
          <w:highlight w:val="none"/>
          <w:lang w:eastAsia="zh-CN"/>
        </w:rPr>
        <w:t>38.收取方式和标准</w:t>
      </w:r>
      <w:bookmarkEnd w:id="195"/>
      <w:bookmarkEnd w:id="196"/>
    </w:p>
    <w:p w14:paraId="553E4B6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38.1采购代理机构按“投标人须知前附表”规定的方式和标准收取采购代</w:t>
      </w:r>
      <w:r>
        <w:rPr>
          <w:rFonts w:hint="eastAsia" w:ascii="宋体" w:hAnsi="宋体" w:eastAsia="宋体" w:cs="宋体"/>
          <w:color w:val="auto"/>
          <w:spacing w:val="-3"/>
          <w:sz w:val="24"/>
          <w:szCs w:val="24"/>
          <w:highlight w:val="none"/>
          <w:lang w:eastAsia="zh-CN"/>
        </w:rPr>
        <w:t>理服务费。</w:t>
      </w:r>
    </w:p>
    <w:p w14:paraId="78D25317">
      <w:pPr>
        <w:spacing w:line="360" w:lineRule="auto"/>
        <w:ind w:left="31" w:right="-27" w:rightChars="-13"/>
        <w:outlineLvl w:val="2"/>
        <w:rPr>
          <w:rFonts w:ascii="宋体" w:hAnsi="宋体" w:eastAsia="宋体" w:cs="宋体"/>
          <w:color w:val="auto"/>
          <w:sz w:val="24"/>
          <w:szCs w:val="24"/>
          <w:highlight w:val="none"/>
          <w:lang w:eastAsia="zh-CN"/>
        </w:rPr>
      </w:pPr>
      <w:bookmarkStart w:id="197" w:name="bookmark122"/>
      <w:bookmarkEnd w:id="197"/>
      <w:bookmarkStart w:id="198" w:name="bookmark121"/>
      <w:bookmarkEnd w:id="198"/>
      <w:bookmarkStart w:id="199" w:name="_Toc186477733"/>
      <w:bookmarkStart w:id="200" w:name="_Toc2744"/>
      <w:r>
        <w:rPr>
          <w:rFonts w:hint="eastAsia" w:ascii="宋体" w:hAnsi="宋体" w:eastAsia="宋体" w:cs="宋体"/>
          <w:b/>
          <w:bCs/>
          <w:color w:val="auto"/>
          <w:spacing w:val="-5"/>
          <w:sz w:val="24"/>
          <w:szCs w:val="24"/>
          <w:highlight w:val="none"/>
          <w:lang w:eastAsia="zh-CN"/>
        </w:rPr>
        <w:t>（十二）无效投标和废标</w:t>
      </w:r>
      <w:bookmarkEnd w:id="199"/>
      <w:bookmarkEnd w:id="200"/>
    </w:p>
    <w:p w14:paraId="723401AF">
      <w:pPr>
        <w:spacing w:line="360" w:lineRule="auto"/>
        <w:ind w:left="31" w:right="-27" w:rightChars="-13"/>
        <w:outlineLvl w:val="2"/>
        <w:rPr>
          <w:rFonts w:ascii="宋体" w:hAnsi="宋体" w:eastAsia="宋体" w:cs="宋体"/>
          <w:color w:val="auto"/>
          <w:sz w:val="24"/>
          <w:szCs w:val="24"/>
          <w:highlight w:val="none"/>
          <w:lang w:eastAsia="zh-CN"/>
        </w:rPr>
      </w:pPr>
      <w:bookmarkStart w:id="201" w:name="bookmark124"/>
      <w:bookmarkEnd w:id="201"/>
      <w:bookmarkStart w:id="202" w:name="bookmark123"/>
      <w:bookmarkEnd w:id="202"/>
      <w:bookmarkStart w:id="203" w:name="_Toc27009"/>
      <w:bookmarkStart w:id="204" w:name="_Toc186477734"/>
      <w:r>
        <w:rPr>
          <w:rFonts w:hint="eastAsia" w:ascii="宋体" w:hAnsi="宋体" w:eastAsia="宋体" w:cs="宋体"/>
          <w:b/>
          <w:bCs/>
          <w:color w:val="auto"/>
          <w:spacing w:val="-5"/>
          <w:sz w:val="24"/>
          <w:szCs w:val="24"/>
          <w:highlight w:val="none"/>
          <w:lang w:eastAsia="zh-CN"/>
        </w:rPr>
        <w:t>39.无效投标</w:t>
      </w:r>
      <w:bookmarkEnd w:id="203"/>
      <w:bookmarkEnd w:id="204"/>
    </w:p>
    <w:p w14:paraId="64F5358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39.1投标文件存在“第四章 资格审查”、“第五章 评标方法及标准”及</w:t>
      </w:r>
      <w:r>
        <w:rPr>
          <w:rFonts w:hint="eastAsia" w:ascii="宋体" w:hAnsi="宋体" w:eastAsia="宋体" w:cs="宋体"/>
          <w:color w:val="auto"/>
          <w:spacing w:val="-1"/>
          <w:sz w:val="24"/>
          <w:szCs w:val="24"/>
          <w:highlight w:val="none"/>
          <w:lang w:eastAsia="zh-CN"/>
        </w:rPr>
        <w:t>本招标文件规定的投标无效情形的，其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341DE654">
      <w:pPr>
        <w:spacing w:line="360" w:lineRule="auto"/>
        <w:ind w:left="31" w:right="-27" w:rightChars="-13"/>
        <w:outlineLvl w:val="2"/>
        <w:rPr>
          <w:rFonts w:ascii="宋体" w:hAnsi="宋体" w:eastAsia="宋体" w:cs="宋体"/>
          <w:color w:val="auto"/>
          <w:sz w:val="24"/>
          <w:szCs w:val="24"/>
          <w:highlight w:val="none"/>
          <w:lang w:eastAsia="zh-CN"/>
        </w:rPr>
      </w:pPr>
      <w:bookmarkStart w:id="205" w:name="bookmark125"/>
      <w:bookmarkEnd w:id="205"/>
      <w:bookmarkStart w:id="206" w:name="bookmark126"/>
      <w:bookmarkEnd w:id="206"/>
      <w:bookmarkStart w:id="207" w:name="_Toc186477735"/>
      <w:bookmarkStart w:id="208" w:name="_Toc1191"/>
      <w:r>
        <w:rPr>
          <w:rFonts w:hint="eastAsia" w:ascii="宋体" w:hAnsi="宋体" w:eastAsia="宋体" w:cs="宋体"/>
          <w:b/>
          <w:bCs/>
          <w:color w:val="auto"/>
          <w:spacing w:val="-5"/>
          <w:sz w:val="24"/>
          <w:szCs w:val="24"/>
          <w:highlight w:val="none"/>
          <w:lang w:eastAsia="zh-CN"/>
        </w:rPr>
        <w:t>40.废标</w:t>
      </w:r>
      <w:bookmarkEnd w:id="207"/>
      <w:bookmarkEnd w:id="208"/>
    </w:p>
    <w:p w14:paraId="47AE3CE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40.1在招标采购中出现有“第五章 评标方</w:t>
      </w:r>
      <w:r>
        <w:rPr>
          <w:rFonts w:hint="eastAsia" w:ascii="宋体" w:hAnsi="宋体" w:eastAsia="宋体" w:cs="宋体"/>
          <w:color w:val="auto"/>
          <w:spacing w:val="-3"/>
          <w:sz w:val="24"/>
          <w:szCs w:val="24"/>
          <w:highlight w:val="none"/>
          <w:lang w:eastAsia="zh-CN"/>
        </w:rPr>
        <w:t>法及标准”及本招标文件规定的</w:t>
      </w:r>
      <w:r>
        <w:rPr>
          <w:rFonts w:hint="eastAsia" w:ascii="宋体" w:hAnsi="宋体" w:eastAsia="宋体" w:cs="宋体"/>
          <w:color w:val="auto"/>
          <w:spacing w:val="-2"/>
          <w:sz w:val="24"/>
          <w:szCs w:val="24"/>
          <w:highlight w:val="none"/>
          <w:lang w:eastAsia="zh-CN"/>
        </w:rPr>
        <w:t>废标情形的，应予以</w:t>
      </w:r>
      <w:r>
        <w:rPr>
          <w:rFonts w:hint="eastAsia" w:ascii="宋体" w:hAnsi="宋体" w:eastAsia="宋体" w:cs="宋体"/>
          <w:b/>
          <w:bCs/>
          <w:color w:val="auto"/>
          <w:spacing w:val="-2"/>
          <w:sz w:val="24"/>
          <w:szCs w:val="24"/>
          <w:highlight w:val="none"/>
          <w:lang w:eastAsia="zh-CN"/>
        </w:rPr>
        <w:t>废标</w:t>
      </w:r>
      <w:r>
        <w:rPr>
          <w:rFonts w:hint="eastAsia" w:ascii="宋体" w:hAnsi="宋体" w:eastAsia="宋体" w:cs="宋体"/>
          <w:color w:val="auto"/>
          <w:spacing w:val="-2"/>
          <w:sz w:val="24"/>
          <w:szCs w:val="24"/>
          <w:highlight w:val="none"/>
          <w:lang w:eastAsia="zh-CN"/>
        </w:rPr>
        <w:t>。</w:t>
      </w:r>
    </w:p>
    <w:p w14:paraId="623BDAAE">
      <w:pPr>
        <w:spacing w:line="360" w:lineRule="auto"/>
        <w:ind w:left="31" w:right="-27" w:rightChars="-13"/>
        <w:outlineLvl w:val="2"/>
        <w:rPr>
          <w:rFonts w:ascii="宋体" w:hAnsi="宋体" w:eastAsia="宋体" w:cs="宋体"/>
          <w:color w:val="auto"/>
          <w:sz w:val="24"/>
          <w:szCs w:val="24"/>
          <w:highlight w:val="none"/>
          <w:lang w:eastAsia="zh-CN"/>
        </w:rPr>
      </w:pPr>
      <w:bookmarkStart w:id="209" w:name="bookmark127"/>
      <w:bookmarkEnd w:id="209"/>
      <w:bookmarkStart w:id="210" w:name="bookmark128"/>
      <w:bookmarkEnd w:id="210"/>
      <w:bookmarkStart w:id="211" w:name="_Toc186477736"/>
      <w:bookmarkStart w:id="212" w:name="_Toc31334"/>
      <w:r>
        <w:rPr>
          <w:rFonts w:hint="eastAsia" w:ascii="宋体" w:hAnsi="宋体" w:eastAsia="宋体" w:cs="宋体"/>
          <w:b/>
          <w:bCs/>
          <w:color w:val="auto"/>
          <w:spacing w:val="-4"/>
          <w:sz w:val="24"/>
          <w:szCs w:val="24"/>
          <w:highlight w:val="none"/>
          <w:lang w:eastAsia="zh-CN"/>
        </w:rPr>
        <w:t>（十三）落实政府采购政策</w:t>
      </w:r>
      <w:bookmarkEnd w:id="211"/>
      <w:bookmarkEnd w:id="212"/>
    </w:p>
    <w:p w14:paraId="0EFA739C">
      <w:pPr>
        <w:spacing w:line="360" w:lineRule="auto"/>
        <w:ind w:left="31" w:right="-27" w:rightChars="-13"/>
        <w:outlineLvl w:val="2"/>
        <w:rPr>
          <w:rFonts w:ascii="宋体" w:hAnsi="宋体" w:eastAsia="宋体" w:cs="宋体"/>
          <w:color w:val="auto"/>
          <w:sz w:val="24"/>
          <w:szCs w:val="24"/>
          <w:highlight w:val="none"/>
          <w:lang w:eastAsia="zh-CN"/>
        </w:rPr>
      </w:pPr>
      <w:bookmarkStart w:id="213" w:name="bookmark129"/>
      <w:bookmarkEnd w:id="213"/>
      <w:bookmarkStart w:id="214" w:name="bookmark130"/>
      <w:bookmarkEnd w:id="214"/>
      <w:bookmarkStart w:id="215" w:name="_Toc186477737"/>
      <w:bookmarkStart w:id="216" w:name="_Toc14980"/>
      <w:r>
        <w:rPr>
          <w:rFonts w:hint="eastAsia" w:ascii="宋体" w:hAnsi="宋体" w:eastAsia="宋体" w:cs="宋体"/>
          <w:b/>
          <w:bCs/>
          <w:color w:val="auto"/>
          <w:spacing w:val="-3"/>
          <w:sz w:val="24"/>
          <w:szCs w:val="24"/>
          <w:highlight w:val="none"/>
          <w:lang w:eastAsia="zh-CN"/>
        </w:rPr>
        <w:t>41.</w:t>
      </w:r>
      <w:bookmarkEnd w:id="215"/>
      <w:bookmarkEnd w:id="216"/>
      <w:bookmarkStart w:id="217" w:name="_Toc186477738"/>
      <w:bookmarkStart w:id="218" w:name="_Toc28996"/>
      <w:r>
        <w:rPr>
          <w:rFonts w:hint="eastAsia" w:ascii="宋体" w:hAnsi="宋体" w:eastAsia="宋体" w:cs="宋体"/>
          <w:b/>
          <w:bCs/>
          <w:color w:val="auto"/>
          <w:spacing w:val="-3"/>
          <w:sz w:val="24"/>
          <w:szCs w:val="24"/>
          <w:highlight w:val="none"/>
          <w:lang w:eastAsia="zh-CN"/>
        </w:rPr>
        <w:t>中小企业、监狱企业及残疾人福利性单位</w:t>
      </w:r>
      <w:bookmarkEnd w:id="217"/>
      <w:bookmarkEnd w:id="218"/>
    </w:p>
    <w:p w14:paraId="1D497E4B">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41.1中小企业是指在中华人民共和国境内依法设立，依据国务院批准的中</w:t>
      </w:r>
      <w:bookmarkStart w:id="219" w:name="bookmark277"/>
      <w:bookmarkEnd w:id="219"/>
      <w:r>
        <w:rPr>
          <w:rFonts w:hint="eastAsia" w:ascii="宋体" w:hAnsi="宋体" w:eastAsia="宋体" w:cs="宋体"/>
          <w:color w:val="auto"/>
          <w:spacing w:val="-1"/>
          <w:sz w:val="24"/>
          <w:szCs w:val="24"/>
          <w:highlight w:val="none"/>
          <w:lang w:eastAsia="zh-CN"/>
        </w:rPr>
        <w:t>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40C44E4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41.2为促进中小企业发展，依据《关于印发&lt;政府采购促进中小企业发展管</w:t>
      </w:r>
      <w:r>
        <w:rPr>
          <w:rFonts w:hint="eastAsia" w:ascii="宋体" w:hAnsi="宋体" w:eastAsia="宋体" w:cs="宋体"/>
          <w:color w:val="auto"/>
          <w:sz w:val="24"/>
          <w:szCs w:val="24"/>
          <w:highlight w:val="none"/>
          <w:lang w:eastAsia="zh-CN"/>
        </w:rPr>
        <w:t>理办法&gt;的通知》（财库〔2020〕46号）、《财</w:t>
      </w:r>
      <w:r>
        <w:rPr>
          <w:rFonts w:hint="eastAsia" w:ascii="宋体" w:hAnsi="宋体" w:eastAsia="宋体" w:cs="宋体"/>
          <w:color w:val="auto"/>
          <w:spacing w:val="-1"/>
          <w:sz w:val="24"/>
          <w:szCs w:val="24"/>
          <w:highlight w:val="none"/>
          <w:lang w:eastAsia="zh-CN"/>
        </w:rPr>
        <w:t>政部 司法部关于政府采购支持</w:t>
      </w:r>
      <w:r>
        <w:rPr>
          <w:rFonts w:hint="eastAsia" w:ascii="宋体" w:hAnsi="宋体" w:eastAsia="宋体" w:cs="宋体"/>
          <w:color w:val="auto"/>
          <w:sz w:val="24"/>
          <w:szCs w:val="24"/>
          <w:highlight w:val="none"/>
          <w:lang w:eastAsia="zh-CN"/>
        </w:rPr>
        <w:t>监狱企业发展有关问题的通知》（财库〔2014〕</w:t>
      </w:r>
      <w:r>
        <w:rPr>
          <w:rFonts w:hint="eastAsia" w:ascii="宋体" w:hAnsi="宋体" w:eastAsia="宋体" w:cs="宋体"/>
          <w:color w:val="auto"/>
          <w:spacing w:val="-1"/>
          <w:sz w:val="24"/>
          <w:szCs w:val="24"/>
          <w:highlight w:val="none"/>
          <w:lang w:eastAsia="zh-CN"/>
        </w:rPr>
        <w:t>68号）、《关于促进残疾人就业政府采购政策的通知》（财库〔2017〕141号）的规定</w:t>
      </w:r>
      <w:r>
        <w:rPr>
          <w:rFonts w:hint="eastAsia" w:ascii="宋体" w:hAnsi="宋体" w:eastAsia="宋体" w:cs="宋体"/>
          <w:color w:val="auto"/>
          <w:spacing w:val="-2"/>
          <w:sz w:val="24"/>
          <w:szCs w:val="24"/>
          <w:highlight w:val="none"/>
          <w:lang w:eastAsia="zh-CN"/>
        </w:rPr>
        <w:t>，本项目供应商如需享</w:t>
      </w:r>
      <w:r>
        <w:rPr>
          <w:rFonts w:hint="eastAsia" w:ascii="宋体" w:hAnsi="宋体" w:eastAsia="宋体" w:cs="宋体"/>
          <w:color w:val="auto"/>
          <w:spacing w:val="-3"/>
          <w:sz w:val="24"/>
          <w:szCs w:val="24"/>
          <w:highlight w:val="none"/>
          <w:lang w:eastAsia="zh-CN"/>
        </w:rPr>
        <w:t>受中小企业相关政策的，且符合上述文件规定的，应按本招标文件规定格式提供“中小企业声明函”或“监狱企业证明文件”或“残疾人福利性单位声明函”，</w:t>
      </w:r>
      <w:r>
        <w:rPr>
          <w:rFonts w:hint="eastAsia" w:ascii="宋体" w:hAnsi="宋体" w:eastAsia="宋体" w:cs="宋体"/>
          <w:color w:val="auto"/>
          <w:spacing w:val="-4"/>
          <w:sz w:val="24"/>
          <w:szCs w:val="24"/>
          <w:highlight w:val="none"/>
          <w:lang w:eastAsia="zh-CN"/>
        </w:rPr>
        <w:t>评审时，评标委员会将依据本招标文件“投标人须知前附表”规定的报价扣除比</w:t>
      </w:r>
      <w:r>
        <w:rPr>
          <w:rFonts w:hint="eastAsia" w:ascii="宋体" w:hAnsi="宋体" w:eastAsia="宋体" w:cs="宋体"/>
          <w:color w:val="auto"/>
          <w:spacing w:val="-3"/>
          <w:sz w:val="24"/>
          <w:szCs w:val="24"/>
          <w:highlight w:val="none"/>
          <w:lang w:eastAsia="zh-CN"/>
        </w:rPr>
        <w:t>例，对供应商报价进行价格扣除，用扣除后的价格参与评审；招标公告中明确项</w:t>
      </w:r>
      <w:r>
        <w:rPr>
          <w:rFonts w:hint="eastAsia" w:ascii="宋体" w:hAnsi="宋体" w:eastAsia="宋体" w:cs="宋体"/>
          <w:color w:val="auto"/>
          <w:spacing w:val="-4"/>
          <w:sz w:val="24"/>
          <w:szCs w:val="24"/>
          <w:highlight w:val="none"/>
          <w:lang w:eastAsia="zh-CN"/>
        </w:rPr>
        <w:t>目专门面向中小企业采购的，“中小企业声明函”为资格要求文件，供应商参与</w:t>
      </w:r>
      <w:r>
        <w:rPr>
          <w:rFonts w:hint="eastAsia" w:ascii="宋体" w:hAnsi="宋体" w:eastAsia="宋体" w:cs="宋体"/>
          <w:color w:val="auto"/>
          <w:spacing w:val="1"/>
          <w:sz w:val="24"/>
          <w:szCs w:val="24"/>
          <w:highlight w:val="none"/>
          <w:lang w:eastAsia="zh-CN"/>
        </w:rPr>
        <w:t>投标须按本招标文件规定格式提供“中小企业</w:t>
      </w:r>
      <w:r>
        <w:rPr>
          <w:rFonts w:hint="eastAsia" w:ascii="宋体" w:hAnsi="宋体" w:eastAsia="宋体" w:cs="宋体"/>
          <w:color w:val="auto"/>
          <w:sz w:val="24"/>
          <w:szCs w:val="24"/>
          <w:highlight w:val="none"/>
          <w:lang w:eastAsia="zh-CN"/>
        </w:rPr>
        <w:t xml:space="preserve">声明函”或“监狱企业证明文件” </w:t>
      </w:r>
      <w:r>
        <w:rPr>
          <w:rFonts w:hint="eastAsia" w:ascii="宋体" w:hAnsi="宋体" w:eastAsia="宋体" w:cs="宋体"/>
          <w:color w:val="auto"/>
          <w:spacing w:val="-2"/>
          <w:sz w:val="24"/>
          <w:szCs w:val="24"/>
          <w:highlight w:val="none"/>
          <w:lang w:eastAsia="zh-CN"/>
        </w:rPr>
        <w:t>或“残疾人福利性单位声明函”等作为资格证明文件。</w:t>
      </w:r>
    </w:p>
    <w:p w14:paraId="298C1F7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41.3 投标人提供的货物、工程或者服务符合下列情</w:t>
      </w:r>
      <w:r>
        <w:rPr>
          <w:rFonts w:hint="eastAsia" w:ascii="宋体" w:hAnsi="宋体" w:eastAsia="宋体" w:cs="宋体"/>
          <w:color w:val="auto"/>
          <w:spacing w:val="-1"/>
          <w:sz w:val="24"/>
          <w:szCs w:val="24"/>
          <w:highlight w:val="none"/>
          <w:lang w:eastAsia="zh-CN"/>
        </w:rPr>
        <w:t>形的，享受中小企业扶</w:t>
      </w:r>
      <w:r>
        <w:rPr>
          <w:rFonts w:hint="eastAsia" w:ascii="宋体" w:hAnsi="宋体" w:eastAsia="宋体" w:cs="宋体"/>
          <w:color w:val="auto"/>
          <w:spacing w:val="-4"/>
          <w:sz w:val="24"/>
          <w:szCs w:val="24"/>
          <w:highlight w:val="none"/>
          <w:lang w:eastAsia="zh-CN"/>
        </w:rPr>
        <w:t>持政策：</w:t>
      </w:r>
    </w:p>
    <w:p w14:paraId="0EDE212E">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（1）在货物采购项目中，货物由中小企业制造，即货物由中小企业生产且使用该中小企业商号或者注册商标；</w:t>
      </w:r>
    </w:p>
    <w:p w14:paraId="45F6332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（2）在工程采购项目中，工程由中小企业承建，即工程施工单位为中小企</w:t>
      </w:r>
      <w:r>
        <w:rPr>
          <w:rFonts w:hint="eastAsia" w:ascii="宋体" w:hAnsi="宋体" w:eastAsia="宋体" w:cs="宋体"/>
          <w:color w:val="auto"/>
          <w:spacing w:val="-5"/>
          <w:sz w:val="24"/>
          <w:szCs w:val="24"/>
          <w:highlight w:val="none"/>
          <w:lang w:eastAsia="zh-CN"/>
        </w:rPr>
        <w:t>业；</w:t>
      </w:r>
    </w:p>
    <w:p w14:paraId="49B7697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（3）在服务采购项目中，服务由中小企业承接，即提供服务的人员为中小企业依照《中华人民共和国劳动合同法》订立劳动合同的从业人员。</w:t>
      </w:r>
    </w:p>
    <w:p w14:paraId="50AF1A8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41.4 在货物采购项目中，投标人提供的货物既有中</w:t>
      </w:r>
      <w:r>
        <w:rPr>
          <w:rFonts w:hint="eastAsia" w:ascii="宋体" w:hAnsi="宋体" w:eastAsia="宋体" w:cs="宋体"/>
          <w:color w:val="auto"/>
          <w:spacing w:val="-1"/>
          <w:sz w:val="24"/>
          <w:szCs w:val="24"/>
          <w:highlight w:val="none"/>
          <w:lang w:eastAsia="zh-CN"/>
        </w:rPr>
        <w:t>小企业制造货物，也有大型企业制造货物的，不享受中小企业扶持政策。</w:t>
      </w:r>
    </w:p>
    <w:p w14:paraId="7AA3E743">
      <w:pPr>
        <w:spacing w:line="360" w:lineRule="auto"/>
        <w:ind w:left="31" w:right="-27" w:rightChars="-13"/>
        <w:rPr>
          <w:rFonts w:ascii="宋体" w:hAnsi="宋体" w:eastAsia="宋体" w:cs="宋体"/>
          <w:color w:val="auto"/>
          <w:sz w:val="24"/>
          <w:szCs w:val="24"/>
          <w:highlight w:val="none"/>
          <w:lang w:eastAsia="zh-CN"/>
        </w:rPr>
      </w:pPr>
      <w:bookmarkStart w:id="220" w:name="bookmark278"/>
      <w:bookmarkEnd w:id="220"/>
      <w:r>
        <w:rPr>
          <w:rFonts w:hint="eastAsia" w:ascii="宋体" w:hAnsi="宋体" w:eastAsia="宋体" w:cs="宋体"/>
          <w:color w:val="auto"/>
          <w:spacing w:val="-1"/>
          <w:sz w:val="24"/>
          <w:szCs w:val="24"/>
          <w:highlight w:val="none"/>
          <w:lang w:eastAsia="zh-CN"/>
        </w:rPr>
        <w:t>41.5以联合体形式参加政府采购活动，联合体</w:t>
      </w:r>
      <w:r>
        <w:rPr>
          <w:rFonts w:hint="eastAsia" w:ascii="宋体" w:hAnsi="宋体" w:eastAsia="宋体" w:cs="宋体"/>
          <w:color w:val="auto"/>
          <w:spacing w:val="-2"/>
          <w:sz w:val="24"/>
          <w:szCs w:val="24"/>
          <w:highlight w:val="none"/>
          <w:lang w:eastAsia="zh-CN"/>
        </w:rPr>
        <w:t>各方均为中小企业的，联合体视同中小企业。其中，联合体各方均为小</w:t>
      </w:r>
      <w:r>
        <w:rPr>
          <w:rFonts w:hint="eastAsia" w:ascii="宋体" w:hAnsi="宋体" w:eastAsia="宋体" w:cs="宋体"/>
          <w:color w:val="auto"/>
          <w:spacing w:val="-3"/>
          <w:sz w:val="24"/>
          <w:szCs w:val="24"/>
          <w:highlight w:val="none"/>
          <w:lang w:eastAsia="zh-CN"/>
        </w:rPr>
        <w:t>微企业的，联合体视同小微企业。</w:t>
      </w:r>
    </w:p>
    <w:p w14:paraId="2C5359F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41.6 在政府采购活动中，监狱企业视同小型、微型企业，享受预留份额、</w:t>
      </w:r>
      <w:r>
        <w:rPr>
          <w:rFonts w:hint="eastAsia" w:ascii="宋体" w:hAnsi="宋体" w:eastAsia="宋体" w:cs="宋体"/>
          <w:color w:val="auto"/>
          <w:spacing w:val="-1"/>
          <w:sz w:val="24"/>
          <w:szCs w:val="24"/>
          <w:highlight w:val="none"/>
          <w:lang w:eastAsia="zh-CN"/>
        </w:rPr>
        <w:t>评审中价格扣除等政府采购促进中小企业发展的政府采购政策。</w:t>
      </w:r>
      <w:r>
        <w:rPr>
          <w:rFonts w:hint="eastAsia" w:ascii="宋体" w:hAnsi="宋体" w:eastAsia="宋体" w:cs="宋体"/>
          <w:color w:val="auto"/>
          <w:spacing w:val="-2"/>
          <w:sz w:val="24"/>
          <w:szCs w:val="24"/>
          <w:highlight w:val="none"/>
          <w:lang w:eastAsia="zh-CN"/>
        </w:rPr>
        <w:t>监狱企业定义：</w:t>
      </w:r>
      <w:r>
        <w:rPr>
          <w:rFonts w:hint="eastAsia" w:ascii="宋体" w:hAnsi="宋体" w:eastAsia="宋体" w:cs="宋体"/>
          <w:color w:val="auto"/>
          <w:spacing w:val="-3"/>
          <w:sz w:val="24"/>
          <w:szCs w:val="24"/>
          <w:highlight w:val="none"/>
          <w:lang w:eastAsia="zh-CN"/>
        </w:rPr>
        <w:t>是指由司法部认定的为罪犯、戒毒人员提供生产项目和劳动对象，且全部产权属于司法部监狱管理局、戒毒管理局、直属煤矿管理局，各省、自治区、直辖市监</w:t>
      </w:r>
      <w:r>
        <w:rPr>
          <w:rFonts w:hint="eastAsia" w:ascii="宋体" w:hAnsi="宋体" w:eastAsia="宋体" w:cs="宋体"/>
          <w:color w:val="auto"/>
          <w:spacing w:val="-8"/>
          <w:sz w:val="24"/>
          <w:szCs w:val="24"/>
          <w:highlight w:val="none"/>
          <w:lang w:eastAsia="zh-CN"/>
        </w:rPr>
        <w:t>狱管理局、戒毒管理局，各地（设区的市）监狱、强制隔离戒毒所、戒毒康复所，</w:t>
      </w:r>
      <w:r>
        <w:rPr>
          <w:rFonts w:hint="eastAsia" w:ascii="宋体" w:hAnsi="宋体" w:eastAsia="宋体" w:cs="宋体"/>
          <w:color w:val="auto"/>
          <w:spacing w:val="-1"/>
          <w:sz w:val="24"/>
          <w:szCs w:val="24"/>
          <w:highlight w:val="none"/>
          <w:lang w:eastAsia="zh-CN"/>
        </w:rPr>
        <w:t>以及新疆生产建设兵团监狱管理局、戒毒管理局的企业。</w:t>
      </w:r>
    </w:p>
    <w:p w14:paraId="4388C37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 在政府采购活动中，残疾人福利性单位视同小</w:t>
      </w:r>
      <w:r>
        <w:rPr>
          <w:rFonts w:hint="eastAsia" w:ascii="宋体" w:hAnsi="宋体" w:eastAsia="宋体" w:cs="宋体"/>
          <w:color w:val="auto"/>
          <w:spacing w:val="-1"/>
          <w:sz w:val="24"/>
          <w:szCs w:val="24"/>
          <w:highlight w:val="none"/>
          <w:lang w:eastAsia="zh-CN"/>
        </w:rPr>
        <w:t>型、微型企业，享受预</w:t>
      </w:r>
      <w:r>
        <w:rPr>
          <w:rFonts w:hint="eastAsia" w:ascii="宋体" w:hAnsi="宋体" w:eastAsia="宋体" w:cs="宋体"/>
          <w:color w:val="auto"/>
          <w:spacing w:val="-3"/>
          <w:sz w:val="24"/>
          <w:szCs w:val="24"/>
          <w:highlight w:val="none"/>
          <w:lang w:eastAsia="zh-CN"/>
        </w:rPr>
        <w:t>留份额、评审中价格扣除等促进中小企业发展的政府采购政策。残疾人福利性单</w:t>
      </w:r>
      <w:r>
        <w:rPr>
          <w:rFonts w:hint="eastAsia" w:ascii="宋体" w:hAnsi="宋体" w:eastAsia="宋体" w:cs="宋体"/>
          <w:color w:val="auto"/>
          <w:sz w:val="24"/>
          <w:szCs w:val="24"/>
          <w:highlight w:val="none"/>
          <w:lang w:eastAsia="zh-CN"/>
        </w:rPr>
        <w:t>位定义：享受政府采购支持政策的残疾人福利性单位</w:t>
      </w:r>
      <w:r>
        <w:rPr>
          <w:rFonts w:hint="eastAsia" w:ascii="宋体" w:hAnsi="宋体" w:eastAsia="宋体" w:cs="宋体"/>
          <w:color w:val="auto"/>
          <w:spacing w:val="-1"/>
          <w:sz w:val="24"/>
          <w:szCs w:val="24"/>
          <w:highlight w:val="none"/>
          <w:lang w:eastAsia="zh-CN"/>
        </w:rPr>
        <w:t>应当同时满足以下条件：</w:t>
      </w:r>
    </w:p>
    <w:p w14:paraId="6761730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41.7.1 安置的残疾人占本单位在职职工人数的比例不低于 25%（含 25%</w:t>
      </w:r>
      <w:r>
        <w:rPr>
          <w:rFonts w:hint="eastAsia" w:ascii="宋体" w:hAnsi="宋体" w:eastAsia="宋体" w:cs="宋体"/>
          <w:color w:val="auto"/>
          <w:spacing w:val="-56"/>
          <w:w w:val="89"/>
          <w:sz w:val="24"/>
          <w:szCs w:val="24"/>
          <w:highlight w:val="none"/>
          <w:lang w:eastAsia="zh-CN"/>
        </w:rPr>
        <w:t>），</w:t>
      </w:r>
      <w:r>
        <w:rPr>
          <w:rFonts w:hint="eastAsia" w:ascii="宋体" w:hAnsi="宋体" w:eastAsia="宋体" w:cs="宋体"/>
          <w:color w:val="auto"/>
          <w:spacing w:val="-3"/>
          <w:sz w:val="24"/>
          <w:szCs w:val="24"/>
          <w:highlight w:val="none"/>
          <w:lang w:eastAsia="zh-CN"/>
        </w:rPr>
        <w:t>并且安置的残疾人人数不少于 10人（含10人</w:t>
      </w:r>
      <w:r>
        <w:rPr>
          <w:rFonts w:hint="eastAsia" w:ascii="宋体" w:hAnsi="宋体" w:eastAsia="宋体" w:cs="宋体"/>
          <w:color w:val="auto"/>
          <w:sz w:val="24"/>
          <w:szCs w:val="24"/>
          <w:highlight w:val="none"/>
          <w:lang w:eastAsia="zh-CN"/>
        </w:rPr>
        <w:t>）；</w:t>
      </w:r>
    </w:p>
    <w:p w14:paraId="035DAF7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41.7.2 依法与安置的每位残疾人签订了1年</w:t>
      </w:r>
      <w:r>
        <w:rPr>
          <w:rFonts w:hint="eastAsia" w:ascii="宋体" w:hAnsi="宋体" w:eastAsia="宋体" w:cs="宋体"/>
          <w:color w:val="auto"/>
          <w:spacing w:val="-3"/>
          <w:sz w:val="24"/>
          <w:szCs w:val="24"/>
          <w:highlight w:val="none"/>
          <w:lang w:eastAsia="zh-CN"/>
        </w:rPr>
        <w:t>以上（含1年）的劳动合同或</w:t>
      </w:r>
      <w:r>
        <w:rPr>
          <w:rFonts w:hint="eastAsia" w:ascii="宋体" w:hAnsi="宋体" w:eastAsia="宋体" w:cs="宋体"/>
          <w:color w:val="auto"/>
          <w:spacing w:val="-2"/>
          <w:sz w:val="24"/>
          <w:szCs w:val="24"/>
          <w:highlight w:val="none"/>
          <w:lang w:eastAsia="zh-CN"/>
        </w:rPr>
        <w:t>服务协议；</w:t>
      </w:r>
    </w:p>
    <w:p w14:paraId="2BFA315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41.7.3 为安置的每位残疾人按月足额缴纳了基本养老保险、基本医疗保险、</w:t>
      </w:r>
      <w:r>
        <w:rPr>
          <w:rFonts w:hint="eastAsia" w:ascii="宋体" w:hAnsi="宋体" w:eastAsia="宋体" w:cs="宋体"/>
          <w:color w:val="auto"/>
          <w:spacing w:val="-1"/>
          <w:sz w:val="24"/>
          <w:szCs w:val="24"/>
          <w:highlight w:val="none"/>
          <w:lang w:eastAsia="zh-CN"/>
        </w:rPr>
        <w:t>失业保险、工伤保险和生育保险等社会保险费；</w:t>
      </w:r>
    </w:p>
    <w:p w14:paraId="2BC36CC1">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41.7.4 通过银行等金融机构向安置的每位残疾人，</w:t>
      </w:r>
      <w:r>
        <w:rPr>
          <w:rFonts w:hint="eastAsia" w:ascii="宋体" w:hAnsi="宋体" w:eastAsia="宋体" w:cs="宋体"/>
          <w:color w:val="auto"/>
          <w:spacing w:val="-1"/>
          <w:sz w:val="24"/>
          <w:szCs w:val="24"/>
          <w:highlight w:val="none"/>
          <w:lang w:eastAsia="zh-CN"/>
        </w:rPr>
        <w:t>按月支付了不低于单位所在区县适用的经省级人民政府批准的月最低工资标准的工资；</w:t>
      </w:r>
    </w:p>
    <w:p w14:paraId="4241CB1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41.7.5 提供本单位制造的货物、承担的工程或</w:t>
      </w:r>
      <w:r>
        <w:rPr>
          <w:rFonts w:hint="eastAsia" w:ascii="宋体" w:hAnsi="宋体" w:eastAsia="宋体" w:cs="宋体"/>
          <w:color w:val="auto"/>
          <w:spacing w:val="-1"/>
          <w:sz w:val="24"/>
          <w:szCs w:val="24"/>
          <w:highlight w:val="none"/>
          <w:lang w:eastAsia="zh-CN"/>
        </w:rPr>
        <w:t>者服务（以下简称产品</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3"/>
          <w:sz w:val="24"/>
          <w:szCs w:val="24"/>
          <w:highlight w:val="none"/>
          <w:lang w:eastAsia="zh-CN"/>
        </w:rPr>
        <w:t>或者提供其他残疾人福利性单位制造的货物（不包括使用非残疾人福利性单位注</w:t>
      </w:r>
      <w:r>
        <w:rPr>
          <w:rFonts w:hint="eastAsia" w:ascii="宋体" w:hAnsi="宋体" w:eastAsia="宋体" w:cs="宋体"/>
          <w:color w:val="auto"/>
          <w:spacing w:val="-2"/>
          <w:sz w:val="24"/>
          <w:szCs w:val="24"/>
          <w:highlight w:val="none"/>
          <w:lang w:eastAsia="zh-CN"/>
        </w:rPr>
        <w:t>册商标的货物</w:t>
      </w:r>
      <w:r>
        <w:rPr>
          <w:rFonts w:hint="eastAsia" w:ascii="宋体" w:hAnsi="宋体" w:eastAsia="宋体" w:cs="宋体"/>
          <w:color w:val="auto"/>
          <w:sz w:val="24"/>
          <w:szCs w:val="24"/>
          <w:highlight w:val="none"/>
          <w:lang w:eastAsia="zh-CN"/>
        </w:rPr>
        <w:t>）；</w:t>
      </w:r>
    </w:p>
    <w:p w14:paraId="0798352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41.7.6 前款所称残疾人是指法定劳动年龄内，持有</w:t>
      </w:r>
      <w:r>
        <w:rPr>
          <w:rFonts w:hint="eastAsia" w:ascii="宋体" w:hAnsi="宋体" w:eastAsia="宋体" w:cs="宋体"/>
          <w:color w:val="auto"/>
          <w:spacing w:val="-1"/>
          <w:sz w:val="24"/>
          <w:szCs w:val="24"/>
          <w:highlight w:val="none"/>
          <w:lang w:eastAsia="zh-CN"/>
        </w:rPr>
        <w:t>《中华人民共和国残疾</w:t>
      </w:r>
      <w:r>
        <w:rPr>
          <w:rFonts w:hint="eastAsia" w:ascii="宋体" w:hAnsi="宋体" w:eastAsia="宋体" w:cs="宋体"/>
          <w:color w:val="auto"/>
          <w:sz w:val="24"/>
          <w:szCs w:val="24"/>
          <w:highlight w:val="none"/>
          <w:lang w:eastAsia="zh-CN"/>
        </w:rPr>
        <w:t>人证》或者《中华人民共和国残疾军人证（1 至 8</w:t>
      </w:r>
      <w:r>
        <w:rPr>
          <w:rFonts w:hint="eastAsia" w:ascii="宋体" w:hAnsi="宋体" w:eastAsia="宋体" w:cs="宋体"/>
          <w:color w:val="auto"/>
          <w:spacing w:val="-1"/>
          <w:sz w:val="24"/>
          <w:szCs w:val="24"/>
          <w:highlight w:val="none"/>
          <w:lang w:eastAsia="zh-CN"/>
        </w:rPr>
        <w:t xml:space="preserve"> 级）》的自然人，包括具有</w:t>
      </w:r>
      <w:r>
        <w:rPr>
          <w:rFonts w:hint="eastAsia" w:ascii="宋体" w:hAnsi="宋体" w:eastAsia="宋体" w:cs="宋体"/>
          <w:color w:val="auto"/>
          <w:spacing w:val="-3"/>
          <w:sz w:val="24"/>
          <w:szCs w:val="24"/>
          <w:highlight w:val="none"/>
          <w:lang w:eastAsia="zh-CN"/>
        </w:rPr>
        <w:t>劳动条件和劳动意愿的精神残疾人。在职职工人数是指与残疾人福利性单位建立</w:t>
      </w:r>
      <w:r>
        <w:rPr>
          <w:rFonts w:hint="eastAsia" w:ascii="宋体" w:hAnsi="宋体" w:eastAsia="宋体" w:cs="宋体"/>
          <w:color w:val="auto"/>
          <w:spacing w:val="-1"/>
          <w:sz w:val="24"/>
          <w:szCs w:val="24"/>
          <w:highlight w:val="none"/>
          <w:lang w:eastAsia="zh-CN"/>
        </w:rPr>
        <w:t>劳动关系并依法签订劳动合同或服务协议的雇员人数。</w:t>
      </w:r>
    </w:p>
    <w:p w14:paraId="06BAEB4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41.8 本项目是否专门面向中小企业预留采购份额见“第一章 招标公告”。</w:t>
      </w:r>
    </w:p>
    <w:p w14:paraId="1C8725C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41.9 采购标的对应的中小企业划分标准所属行业见“投标人须知前附表”。</w:t>
      </w:r>
    </w:p>
    <w:p w14:paraId="0C1475DE">
      <w:pPr>
        <w:spacing w:line="360" w:lineRule="auto"/>
        <w:ind w:left="31" w:right="-27" w:rightChars="-13"/>
        <w:outlineLvl w:val="2"/>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41.10 小微企业价格评审优惠的政策调整：见“投标人须知前附表”及“第</w:t>
      </w:r>
      <w:r>
        <w:rPr>
          <w:rFonts w:hint="eastAsia" w:ascii="宋体" w:hAnsi="宋体" w:eastAsia="宋体" w:cs="宋体"/>
          <w:color w:val="auto"/>
          <w:spacing w:val="-2"/>
          <w:sz w:val="24"/>
          <w:szCs w:val="24"/>
          <w:highlight w:val="none"/>
          <w:lang w:eastAsia="zh-CN"/>
        </w:rPr>
        <w:t>五章 评标方法及标准”。</w:t>
      </w:r>
    </w:p>
    <w:p w14:paraId="21F30370">
      <w:pPr>
        <w:spacing w:line="360" w:lineRule="auto"/>
        <w:ind w:left="31" w:right="-27" w:rightChars="-13"/>
        <w:outlineLvl w:val="2"/>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val="en-US" w:eastAsia="zh-CN"/>
        </w:rPr>
        <w:t>42.</w:t>
      </w:r>
      <w:r>
        <w:rPr>
          <w:rFonts w:hint="eastAsia" w:ascii="宋体" w:hAnsi="宋体" w:eastAsia="宋体" w:cs="宋体"/>
          <w:b/>
          <w:bCs/>
          <w:color w:val="auto"/>
          <w:spacing w:val="-7"/>
          <w:sz w:val="24"/>
          <w:szCs w:val="24"/>
          <w:highlight w:val="none"/>
          <w:lang w:eastAsia="zh-CN"/>
        </w:rPr>
        <w:t>支持国产和进口产品审批</w:t>
      </w:r>
    </w:p>
    <w:p w14:paraId="7C09BFD8">
      <w:pPr>
        <w:spacing w:line="360" w:lineRule="auto"/>
        <w:ind w:left="31" w:right="-27" w:rightChars="-13"/>
        <w:outlineLvl w:val="2"/>
        <w:rPr>
          <w:rFonts w:hint="eastAsia" w:ascii="宋体" w:hAnsi="宋体" w:eastAsia="宋体" w:cs="宋体"/>
          <w:b w:val="0"/>
          <w:bCs w:val="0"/>
          <w:color w:val="auto"/>
          <w:spacing w:val="-7"/>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.1除“投标人须知前附表”另有规定外，政府采购应当采购本国货物、工程和服务，确需采购进口产品的，采购人应当按照《政府采购进口产品管理办法》（财库〔2007〕119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采购需求”。</w:t>
      </w:r>
    </w:p>
    <w:p w14:paraId="57B65A3A">
      <w:pPr>
        <w:spacing w:line="360" w:lineRule="auto"/>
        <w:ind w:left="31" w:right="-27" w:rightChars="-13"/>
        <w:outlineLvl w:val="2"/>
        <w:rPr>
          <w:rFonts w:hint="eastAsia" w:ascii="宋体" w:hAnsi="宋体" w:eastAsia="宋体" w:cs="宋体"/>
          <w:b w:val="0"/>
          <w:bCs w:val="0"/>
          <w:color w:val="auto"/>
          <w:spacing w:val="-7"/>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.2进口产品指通过中国海关报关验放进入中国境内且产自关境外的产品，包括已经进入中国境内的进口产品。</w:t>
      </w:r>
    </w:p>
    <w:p w14:paraId="59761DF6">
      <w:pPr>
        <w:spacing w:line="360" w:lineRule="auto"/>
        <w:ind w:left="31" w:right="-27" w:rightChars="-13"/>
        <w:outlineLvl w:val="2"/>
        <w:rPr>
          <w:rFonts w:hint="eastAsia" w:ascii="宋体" w:hAnsi="宋体" w:eastAsia="宋体" w:cs="宋体"/>
          <w:b w:val="0"/>
          <w:bCs w:val="0"/>
          <w:color w:val="auto"/>
          <w:spacing w:val="-7"/>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.3若采购需求中写明允许采购进口产品，投标人应保证所投产品可履行合法报通关手续进入中国关境内。</w:t>
      </w:r>
    </w:p>
    <w:p w14:paraId="127D42E7">
      <w:pPr>
        <w:spacing w:line="360" w:lineRule="auto"/>
        <w:ind w:left="31" w:right="-27" w:rightChars="-13"/>
        <w:outlineLvl w:val="2"/>
        <w:rPr>
          <w:rFonts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.4若采购需求中未写明允许采购进口产品，如投标人所投产品为进口产品，其投标将被认定为投标无效（十四）其他</w:t>
      </w:r>
    </w:p>
    <w:p w14:paraId="57DB655E">
      <w:pPr>
        <w:spacing w:line="360" w:lineRule="auto"/>
        <w:ind w:left="31" w:right="-27" w:rightChars="-13"/>
        <w:outlineLvl w:val="2"/>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4</w:t>
      </w:r>
      <w:r>
        <w:rPr>
          <w:rFonts w:hint="eastAsia" w:ascii="宋体" w:hAnsi="宋体" w:eastAsia="宋体"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lang w:eastAsia="zh-CN"/>
        </w:rPr>
        <w:t>.需要补充的其他内容</w:t>
      </w:r>
    </w:p>
    <w:p w14:paraId="06468807">
      <w:pPr>
        <w:spacing w:line="360" w:lineRule="auto"/>
        <w:ind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.1需要补充的其他内容：见投标人须知前附表。</w:t>
      </w:r>
    </w:p>
    <w:p w14:paraId="53589073">
      <w:pPr>
        <w:spacing w:line="360" w:lineRule="auto"/>
        <w:ind w:left="31" w:right="-27" w:rightChars="-13"/>
        <w:outlineLvl w:val="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4</w:t>
      </w:r>
      <w:r>
        <w:rPr>
          <w:rFonts w:hint="eastAsia" w:ascii="宋体" w:hAnsi="宋体" w:eastAsia="宋体" w:cs="宋体"/>
          <w:b/>
          <w:bCs/>
          <w:color w:val="auto"/>
          <w:spacing w:val="-4"/>
          <w:sz w:val="24"/>
          <w:szCs w:val="24"/>
          <w:highlight w:val="none"/>
          <w:lang w:val="en-US" w:eastAsia="zh-CN"/>
        </w:rPr>
        <w:t>4</w:t>
      </w:r>
      <w:r>
        <w:rPr>
          <w:rFonts w:hint="eastAsia" w:ascii="宋体" w:hAnsi="宋体" w:eastAsia="宋体" w:cs="宋体"/>
          <w:b/>
          <w:bCs/>
          <w:color w:val="auto"/>
          <w:spacing w:val="-4"/>
          <w:sz w:val="24"/>
          <w:szCs w:val="24"/>
          <w:highlight w:val="none"/>
          <w:lang w:eastAsia="zh-CN"/>
        </w:rPr>
        <w:t>.适用法律</w:t>
      </w:r>
    </w:p>
    <w:p w14:paraId="7E0DB5CF">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.1采购人、采购代理机构及投标人的一切采购活动均适用《中华人民共</w:t>
      </w:r>
      <w:r>
        <w:rPr>
          <w:rFonts w:hint="eastAsia" w:ascii="宋体" w:hAnsi="宋体" w:eastAsia="宋体" w:cs="宋体"/>
          <w:color w:val="auto"/>
          <w:spacing w:val="-3"/>
          <w:sz w:val="24"/>
          <w:szCs w:val="24"/>
          <w:highlight w:val="none"/>
          <w:lang w:eastAsia="zh-CN"/>
        </w:rPr>
        <w:t>和国政府采购法》、《中华人民共和国政府采购法实施条例》、《政府采</w:t>
      </w:r>
      <w:r>
        <w:rPr>
          <w:rFonts w:hint="eastAsia" w:ascii="宋体" w:hAnsi="宋体" w:eastAsia="宋体" w:cs="宋体"/>
          <w:color w:val="auto"/>
          <w:spacing w:val="-4"/>
          <w:sz w:val="24"/>
          <w:szCs w:val="24"/>
          <w:highlight w:val="none"/>
          <w:lang w:eastAsia="zh-CN"/>
        </w:rPr>
        <w:t>购货物</w:t>
      </w:r>
      <w:r>
        <w:rPr>
          <w:rFonts w:hint="eastAsia" w:ascii="宋体" w:hAnsi="宋体" w:eastAsia="宋体" w:cs="宋体"/>
          <w:color w:val="auto"/>
          <w:spacing w:val="-1"/>
          <w:sz w:val="24"/>
          <w:szCs w:val="24"/>
          <w:highlight w:val="none"/>
          <w:lang w:eastAsia="zh-CN"/>
        </w:rPr>
        <w:t>和服务招标投标管理办法》（财政部令第87号）及</w:t>
      </w:r>
      <w:r>
        <w:rPr>
          <w:rFonts w:hint="eastAsia" w:ascii="宋体" w:hAnsi="宋体" w:eastAsia="宋体" w:cs="宋体"/>
          <w:color w:val="auto"/>
          <w:spacing w:val="-2"/>
          <w:sz w:val="24"/>
          <w:szCs w:val="24"/>
          <w:highlight w:val="none"/>
          <w:lang w:eastAsia="zh-CN"/>
        </w:rPr>
        <w:t>相关法律法规。</w:t>
      </w:r>
    </w:p>
    <w:p w14:paraId="19D7847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.2政府采购合同的履行、违约责任和解决争议的方法等适用《中华人民</w:t>
      </w:r>
      <w:r>
        <w:rPr>
          <w:rFonts w:hint="eastAsia" w:ascii="宋体" w:hAnsi="宋体" w:eastAsia="宋体" w:cs="宋体"/>
          <w:color w:val="auto"/>
          <w:spacing w:val="-2"/>
          <w:sz w:val="24"/>
          <w:szCs w:val="24"/>
          <w:highlight w:val="none"/>
          <w:lang w:eastAsia="zh-CN"/>
        </w:rPr>
        <w:t>共和国民法典》。</w:t>
      </w:r>
    </w:p>
    <w:p w14:paraId="28049270">
      <w:pPr>
        <w:spacing w:line="360" w:lineRule="auto"/>
        <w:ind w:left="31" w:right="-27" w:rightChars="-13"/>
        <w:outlineLvl w:val="2"/>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val="en-US" w:eastAsia="zh-CN"/>
        </w:rPr>
        <w:t>45</w:t>
      </w:r>
      <w:r>
        <w:rPr>
          <w:rFonts w:hint="eastAsia" w:ascii="宋体" w:hAnsi="宋体" w:eastAsia="宋体" w:cs="宋体"/>
          <w:b/>
          <w:bCs/>
          <w:color w:val="auto"/>
          <w:spacing w:val="-5"/>
          <w:sz w:val="24"/>
          <w:szCs w:val="24"/>
          <w:highlight w:val="none"/>
          <w:lang w:eastAsia="zh-CN"/>
        </w:rPr>
        <w:t>.解释权</w:t>
      </w:r>
    </w:p>
    <w:p w14:paraId="73189F6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45</w:t>
      </w:r>
      <w:r>
        <w:rPr>
          <w:rFonts w:hint="eastAsia" w:ascii="宋体" w:hAnsi="宋体" w:eastAsia="宋体" w:cs="宋体"/>
          <w:color w:val="auto"/>
          <w:spacing w:val="-1"/>
          <w:sz w:val="24"/>
          <w:szCs w:val="24"/>
          <w:highlight w:val="none"/>
          <w:lang w:eastAsia="zh-CN"/>
        </w:rPr>
        <w:t>.1本招标文件最终解释权归采购人或采购代理机构所有</w:t>
      </w:r>
    </w:p>
    <w:p w14:paraId="5916DB7A">
      <w:pPr>
        <w:pStyle w:val="10"/>
        <w:pageBreakBefore/>
        <w:spacing w:before="314" w:line="360" w:lineRule="auto"/>
        <w:jc w:val="center"/>
        <w:outlineLvl w:val="0"/>
        <w:rPr>
          <w:rFonts w:ascii="宋体" w:hAnsi="宋体" w:eastAsia="宋体" w:cs="宋体"/>
          <w:color w:val="auto"/>
          <w:sz w:val="24"/>
          <w:szCs w:val="24"/>
          <w:highlight w:val="none"/>
          <w:lang w:eastAsia="zh-CN"/>
        </w:rPr>
      </w:pPr>
      <w:bookmarkStart w:id="221" w:name="bookmark142"/>
      <w:bookmarkEnd w:id="221"/>
      <w:bookmarkStart w:id="222" w:name="bookmark133"/>
      <w:bookmarkEnd w:id="222"/>
      <w:bookmarkStart w:id="223" w:name="bookmark154"/>
      <w:bookmarkEnd w:id="223"/>
      <w:bookmarkStart w:id="224" w:name="bookmark140"/>
      <w:bookmarkEnd w:id="224"/>
      <w:bookmarkStart w:id="225" w:name="bookmark134"/>
      <w:bookmarkEnd w:id="225"/>
      <w:bookmarkStart w:id="226" w:name="bookmark156"/>
      <w:bookmarkEnd w:id="226"/>
      <w:bookmarkStart w:id="227" w:name="bookmark146"/>
      <w:bookmarkEnd w:id="227"/>
      <w:bookmarkStart w:id="228" w:name="bookmark145"/>
      <w:bookmarkEnd w:id="228"/>
      <w:bookmarkStart w:id="229" w:name="bookmark153"/>
      <w:bookmarkEnd w:id="229"/>
      <w:bookmarkStart w:id="230" w:name="bookmark138"/>
      <w:bookmarkEnd w:id="230"/>
      <w:bookmarkStart w:id="231" w:name="bookmark136"/>
      <w:bookmarkEnd w:id="231"/>
      <w:bookmarkStart w:id="232" w:name="bookmark135"/>
      <w:bookmarkEnd w:id="232"/>
      <w:bookmarkStart w:id="233" w:name="bookmark279"/>
      <w:bookmarkEnd w:id="233"/>
      <w:bookmarkStart w:id="234" w:name="_Toc3777"/>
      <w:r>
        <w:rPr>
          <w:rFonts w:hint="eastAsia" w:ascii="宋体" w:hAnsi="宋体" w:eastAsia="宋体" w:cs="宋体"/>
          <w:b/>
          <w:bCs/>
          <w:color w:val="auto"/>
          <w:spacing w:val="4"/>
          <w:sz w:val="30"/>
          <w:szCs w:val="30"/>
          <w:highlight w:val="none"/>
          <w:lang w:val="en-US" w:eastAsia="zh-CN"/>
        </w:rPr>
        <w:t xml:space="preserve"> </w:t>
      </w:r>
      <w:r>
        <w:rPr>
          <w:rFonts w:hint="eastAsia" w:ascii="宋体" w:hAnsi="宋体" w:eastAsia="宋体" w:cs="宋体"/>
          <w:b/>
          <w:bCs/>
          <w:color w:val="auto"/>
          <w:spacing w:val="4"/>
          <w:sz w:val="30"/>
          <w:szCs w:val="30"/>
          <w:highlight w:val="none"/>
          <w:lang w:eastAsia="zh-CN"/>
        </w:rPr>
        <w:t>第三章采购需求</w:t>
      </w:r>
      <w:bookmarkEnd w:id="234"/>
    </w:p>
    <w:p w14:paraId="789EDABC">
      <w:pPr>
        <w:pStyle w:val="10"/>
        <w:kinsoku/>
        <w:overflowPunct w:val="0"/>
        <w:spacing w:line="360" w:lineRule="auto"/>
        <w:ind w:right="-58" w:firstLine="386" w:firstLineChars="200"/>
        <w:rPr>
          <w:rFonts w:ascii="宋体" w:hAnsi="宋体" w:eastAsia="宋体" w:cs="宋体"/>
          <w:color w:val="auto"/>
          <w:spacing w:val="-9"/>
          <w:sz w:val="21"/>
          <w:szCs w:val="21"/>
          <w:highlight w:val="none"/>
          <w:lang w:eastAsia="zh-CN"/>
        </w:rPr>
      </w:pPr>
      <w:r>
        <w:rPr>
          <w:rFonts w:hint="eastAsia" w:ascii="宋体" w:hAnsi="宋体" w:eastAsia="宋体" w:cs="宋体"/>
          <w:b/>
          <w:bCs/>
          <w:color w:val="auto"/>
          <w:spacing w:val="-9"/>
          <w:sz w:val="21"/>
          <w:szCs w:val="21"/>
          <w:highlight w:val="none"/>
          <w:lang w:eastAsia="zh-CN"/>
        </w:rPr>
        <w:t>一、商务要求</w:t>
      </w:r>
    </w:p>
    <w:p w14:paraId="62DD6DDE">
      <w:pPr>
        <w:widowControl w:val="0"/>
        <w:spacing w:line="360" w:lineRule="auto"/>
        <w:ind w:firstLine="420" w:firstLineChars="200"/>
        <w:jc w:val="both"/>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1、项目名称：新疆维吾尔自治区昌吉某某单位食材采购项目标项二（牛羊肉类）</w:t>
      </w:r>
    </w:p>
    <w:p w14:paraId="4C622D93">
      <w:pPr>
        <w:widowControl w:val="0"/>
        <w:spacing w:line="360" w:lineRule="auto"/>
        <w:ind w:firstLine="420" w:firstLineChars="200"/>
        <w:jc w:val="both"/>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2、供货期：一年</w:t>
      </w:r>
    </w:p>
    <w:p w14:paraId="0B9EA6A7">
      <w:pPr>
        <w:widowControl w:val="0"/>
        <w:spacing w:line="360" w:lineRule="auto"/>
        <w:ind w:firstLine="420" w:firstLineChars="200"/>
        <w:jc w:val="both"/>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3、供货地点：甲方指定地点</w:t>
      </w:r>
    </w:p>
    <w:p w14:paraId="19497F56">
      <w:pPr>
        <w:widowControl w:val="0"/>
        <w:spacing w:line="360" w:lineRule="auto"/>
        <w:ind w:firstLine="420" w:firstLineChars="200"/>
        <w:jc w:val="both"/>
        <w:rPr>
          <w:rFonts w:hint="default" w:ascii="宋体" w:hAnsi="宋体" w:eastAsia="宋体" w:cs="宋体"/>
          <w:color w:val="auto"/>
          <w:kern w:val="2"/>
          <w:highlight w:val="none"/>
          <w:lang w:val="en-US" w:eastAsia="zh-CN" w:bidi="ar"/>
        </w:rPr>
      </w:pPr>
      <w:r>
        <w:rPr>
          <w:rFonts w:hint="eastAsia" w:ascii="宋体" w:hAnsi="宋体" w:eastAsia="宋体" w:cs="宋体"/>
          <w:color w:val="auto"/>
          <w:kern w:val="2"/>
          <w:highlight w:val="none"/>
          <w:lang w:eastAsia="zh-CN" w:bidi="ar"/>
        </w:rPr>
        <w:t>4、保质期：</w:t>
      </w:r>
      <w:r>
        <w:rPr>
          <w:rFonts w:hint="eastAsia" w:ascii="宋体" w:hAnsi="宋体" w:eastAsia="宋体" w:cs="宋体"/>
          <w:color w:val="auto"/>
          <w:kern w:val="2"/>
          <w:highlight w:val="none"/>
          <w:lang w:val="en-US" w:eastAsia="zh-CN" w:bidi="ar"/>
        </w:rPr>
        <w:t>按招标文件要求</w:t>
      </w:r>
    </w:p>
    <w:p w14:paraId="0CCBDAA4">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kern w:val="2"/>
          <w:highlight w:val="none"/>
          <w:lang w:val="en-US" w:eastAsia="zh-CN" w:bidi="ar"/>
        </w:rPr>
        <w:t>★</w:t>
      </w:r>
      <w:r>
        <w:rPr>
          <w:rFonts w:hint="eastAsia" w:ascii="宋体" w:hAnsi="宋体" w:eastAsia="宋体" w:cs="宋体"/>
          <w:color w:val="auto"/>
          <w:kern w:val="2"/>
          <w:highlight w:val="none"/>
          <w:lang w:eastAsia="zh-CN" w:bidi="ar"/>
        </w:rPr>
        <w:t>5、</w:t>
      </w:r>
      <w:r>
        <w:rPr>
          <w:rFonts w:hint="eastAsia" w:ascii="宋体" w:hAnsi="宋体" w:eastAsia="宋体" w:cs="宋体"/>
          <w:color w:val="auto"/>
          <w:highlight w:val="none"/>
          <w:lang w:eastAsia="zh-CN"/>
        </w:rPr>
        <w:t>冷链运输车（自有或租赁）：供应商须具有冷链运输车，自有车辆须提供：有效的《机动车行驶证》、车辆正面图片及保险单，《机动车行驶证》的关键信息应与车辆正面图片、保险单相对应；租赁车辆须提供：有效的车辆租赁协议、《机动车行驶证》、车辆正面图片及保险单；证明材料未提供或提供不完整的投标无效。</w:t>
      </w:r>
    </w:p>
    <w:p w14:paraId="0706FF1E">
      <w:pPr>
        <w:spacing w:line="360" w:lineRule="auto"/>
        <w:ind w:right="-107" w:rightChars="-51" w:firstLine="420" w:firstLineChars="200"/>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val="en-US" w:eastAsia="zh-CN" w:bidi="ar"/>
        </w:rPr>
        <w:t>★</w:t>
      </w:r>
      <w:r>
        <w:rPr>
          <w:rFonts w:hint="eastAsia" w:ascii="宋体" w:hAnsi="宋体" w:eastAsia="宋体" w:cs="宋体"/>
          <w:color w:val="auto"/>
          <w:highlight w:val="none"/>
          <w:lang w:eastAsia="zh-CN"/>
        </w:rPr>
        <w:t>6、冷冻冷藏库（自有或租赁）：供应商须具有适用于本项目的冷冻冷藏库，自有的须提供有效的仓库所有权证明材料及仓库具有冷冻冷藏设备的证明材料、冷冻冷藏库图片；租赁的须提供租赁合同、仓库所有权证明材料及仓库具有冷冻冷藏设备的证明材料、冷冻冷藏库图片；证明材料未提供或提供不完整的</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lang w:eastAsia="zh-CN"/>
        </w:rPr>
        <w:t>。</w:t>
      </w:r>
    </w:p>
    <w:p w14:paraId="76A9FE48">
      <w:pPr>
        <w:pStyle w:val="10"/>
        <w:rPr>
          <w:color w:val="auto"/>
          <w:highlight w:val="none"/>
          <w:lang w:eastAsia="zh-CN"/>
        </w:rPr>
      </w:pPr>
    </w:p>
    <w:p w14:paraId="4C349204">
      <w:pPr>
        <w:widowControl w:val="0"/>
        <w:spacing w:line="360" w:lineRule="auto"/>
        <w:ind w:firstLine="422" w:firstLineChars="200"/>
        <w:jc w:val="both"/>
        <w:rPr>
          <w:rFonts w:ascii="宋体" w:hAnsi="宋体" w:eastAsia="宋体" w:cs="宋体"/>
          <w:b/>
          <w:bCs/>
          <w:color w:val="auto"/>
          <w:kern w:val="2"/>
          <w:highlight w:val="none"/>
          <w:lang w:eastAsia="zh-CN"/>
        </w:rPr>
      </w:pPr>
      <w:r>
        <w:rPr>
          <w:rFonts w:hint="eastAsia" w:ascii="宋体" w:hAnsi="宋体" w:eastAsia="宋体" w:cs="宋体"/>
          <w:b/>
          <w:bCs/>
          <w:color w:val="auto"/>
          <w:kern w:val="2"/>
          <w:highlight w:val="none"/>
          <w:lang w:eastAsia="zh-CN" w:bidi="ar"/>
        </w:rPr>
        <w:t>二、技术要求</w:t>
      </w:r>
    </w:p>
    <w:p w14:paraId="16330BF0">
      <w:pPr>
        <w:pStyle w:val="42"/>
        <w:spacing w:line="360" w:lineRule="auto"/>
        <w:ind w:firstLine="422" w:firstLineChars="200"/>
        <w:rPr>
          <w:rFonts w:hint="default" w:cs="宋体"/>
          <w:b/>
          <w:bCs/>
          <w:color w:val="auto"/>
          <w:kern w:val="2"/>
          <w:sz w:val="21"/>
          <w:szCs w:val="21"/>
          <w:highlight w:val="none"/>
        </w:rPr>
      </w:pPr>
      <w:r>
        <w:rPr>
          <w:rFonts w:cs="宋体"/>
          <w:b/>
          <w:bCs/>
          <w:color w:val="auto"/>
          <w:kern w:val="2"/>
          <w:sz w:val="21"/>
          <w:szCs w:val="21"/>
          <w:highlight w:val="none"/>
        </w:rPr>
        <w:t>1、需求清单</w:t>
      </w:r>
    </w:p>
    <w:tbl>
      <w:tblPr>
        <w:tblStyle w:val="24"/>
        <w:tblW w:w="91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4492"/>
        <w:gridCol w:w="1152"/>
        <w:gridCol w:w="1152"/>
        <w:gridCol w:w="1152"/>
      </w:tblGrid>
      <w:tr w14:paraId="1431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100" w:type="dxa"/>
            <w:gridSpan w:val="5"/>
            <w:tcBorders>
              <w:top w:val="nil"/>
              <w:left w:val="nil"/>
              <w:bottom w:val="nil"/>
              <w:right w:val="nil"/>
            </w:tcBorders>
            <w:shd w:val="clear" w:color="auto" w:fill="auto"/>
            <w:noWrap/>
            <w:vAlign w:val="center"/>
          </w:tcPr>
          <w:p w14:paraId="6C193359">
            <w:pPr>
              <w:keepNext w:val="0"/>
              <w:keepLines w:val="0"/>
              <w:widowControl/>
              <w:suppressLineNumbers w:val="0"/>
              <w:jc w:val="center"/>
              <w:textAlignment w:val="center"/>
              <w:rPr>
                <w:rFonts w:hint="eastAsia" w:ascii="宋体" w:hAnsi="宋体" w:eastAsia="宋体" w:cs="宋体"/>
                <w:i w:val="0"/>
                <w:iCs w:val="0"/>
                <w:color w:val="auto"/>
                <w:sz w:val="48"/>
                <w:szCs w:val="48"/>
                <w:highlight w:val="none"/>
                <w:u w:val="none"/>
              </w:rPr>
            </w:pPr>
            <w:r>
              <w:rPr>
                <w:rFonts w:hint="eastAsia" w:ascii="宋体" w:hAnsi="宋体" w:eastAsia="宋体" w:cs="宋体"/>
                <w:i w:val="0"/>
                <w:iCs w:val="0"/>
                <w:snapToGrid w:val="0"/>
                <w:color w:val="auto"/>
                <w:kern w:val="0"/>
                <w:sz w:val="48"/>
                <w:szCs w:val="48"/>
                <w:highlight w:val="none"/>
                <w:u w:val="none"/>
                <w:lang w:val="en-US" w:eastAsia="zh-CN" w:bidi="ar"/>
              </w:rPr>
              <w:t>牛羊肉类明细</w:t>
            </w:r>
          </w:p>
        </w:tc>
      </w:tr>
      <w:tr w14:paraId="7C4C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9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C4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B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6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AD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50EC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88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D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8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98B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1C73">
            <w:pPr>
              <w:jc w:val="center"/>
              <w:rPr>
                <w:rFonts w:hint="eastAsia" w:ascii="宋体" w:hAnsi="宋体" w:eastAsia="宋体" w:cs="宋体"/>
                <w:i w:val="0"/>
                <w:iCs w:val="0"/>
                <w:color w:val="auto"/>
                <w:sz w:val="24"/>
                <w:szCs w:val="24"/>
                <w:highlight w:val="none"/>
                <w:u w:val="none"/>
              </w:rPr>
            </w:pPr>
          </w:p>
        </w:tc>
      </w:tr>
      <w:tr w14:paraId="10A3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0E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B3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牛后腿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4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2E9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B542">
            <w:pPr>
              <w:jc w:val="center"/>
              <w:rPr>
                <w:rFonts w:hint="eastAsia" w:ascii="宋体" w:hAnsi="宋体" w:eastAsia="宋体" w:cs="宋体"/>
                <w:i w:val="0"/>
                <w:iCs w:val="0"/>
                <w:color w:val="auto"/>
                <w:sz w:val="24"/>
                <w:szCs w:val="24"/>
                <w:highlight w:val="none"/>
                <w:u w:val="none"/>
              </w:rPr>
            </w:pPr>
          </w:p>
        </w:tc>
      </w:tr>
      <w:tr w14:paraId="2648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75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B6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牛腱子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E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99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1767">
            <w:pPr>
              <w:jc w:val="center"/>
              <w:rPr>
                <w:rFonts w:hint="eastAsia" w:ascii="宋体" w:hAnsi="宋体" w:eastAsia="宋体" w:cs="宋体"/>
                <w:i w:val="0"/>
                <w:iCs w:val="0"/>
                <w:color w:val="auto"/>
                <w:sz w:val="24"/>
                <w:szCs w:val="24"/>
                <w:highlight w:val="none"/>
                <w:u w:val="none"/>
              </w:rPr>
            </w:pPr>
          </w:p>
        </w:tc>
      </w:tr>
      <w:tr w14:paraId="7015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A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牛肋条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D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252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F09">
            <w:pPr>
              <w:rPr>
                <w:rFonts w:hint="eastAsia" w:ascii="宋体" w:hAnsi="宋体" w:eastAsia="宋体" w:cs="宋体"/>
                <w:i w:val="0"/>
                <w:iCs w:val="0"/>
                <w:color w:val="auto"/>
                <w:sz w:val="24"/>
                <w:szCs w:val="24"/>
                <w:highlight w:val="none"/>
                <w:u w:val="none"/>
              </w:rPr>
            </w:pPr>
          </w:p>
        </w:tc>
      </w:tr>
      <w:tr w14:paraId="6718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49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1B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C32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64D3">
            <w:pPr>
              <w:rPr>
                <w:rFonts w:hint="eastAsia" w:ascii="宋体" w:hAnsi="宋体" w:eastAsia="宋体" w:cs="宋体"/>
                <w:i w:val="0"/>
                <w:iCs w:val="0"/>
                <w:color w:val="auto"/>
                <w:sz w:val="24"/>
                <w:szCs w:val="24"/>
                <w:highlight w:val="none"/>
                <w:u w:val="none"/>
              </w:rPr>
            </w:pPr>
          </w:p>
        </w:tc>
      </w:tr>
      <w:tr w14:paraId="09A4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63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24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牛蹄筋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9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6BA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43F8">
            <w:pPr>
              <w:rPr>
                <w:rFonts w:hint="eastAsia" w:ascii="宋体" w:hAnsi="宋体" w:eastAsia="宋体" w:cs="宋体"/>
                <w:i w:val="0"/>
                <w:iCs w:val="0"/>
                <w:color w:val="auto"/>
                <w:sz w:val="24"/>
                <w:szCs w:val="24"/>
                <w:highlight w:val="none"/>
                <w:u w:val="none"/>
              </w:rPr>
            </w:pPr>
          </w:p>
        </w:tc>
      </w:tr>
      <w:tr w14:paraId="68D3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D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3F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5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58C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1104">
            <w:pPr>
              <w:rPr>
                <w:rFonts w:hint="eastAsia" w:ascii="宋体" w:hAnsi="宋体" w:eastAsia="宋体" w:cs="宋体"/>
                <w:i w:val="0"/>
                <w:iCs w:val="0"/>
                <w:color w:val="auto"/>
                <w:sz w:val="24"/>
                <w:szCs w:val="24"/>
                <w:highlight w:val="none"/>
                <w:u w:val="none"/>
              </w:rPr>
            </w:pPr>
          </w:p>
        </w:tc>
      </w:tr>
      <w:tr w14:paraId="4375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1B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9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牛棒骨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382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43C9">
            <w:pPr>
              <w:rPr>
                <w:rFonts w:hint="eastAsia" w:ascii="宋体" w:hAnsi="宋体" w:eastAsia="宋体" w:cs="宋体"/>
                <w:i w:val="0"/>
                <w:iCs w:val="0"/>
                <w:color w:val="auto"/>
                <w:sz w:val="24"/>
                <w:szCs w:val="24"/>
                <w:highlight w:val="none"/>
                <w:u w:val="none"/>
              </w:rPr>
            </w:pPr>
          </w:p>
        </w:tc>
      </w:tr>
      <w:tr w14:paraId="4D1D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C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BC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8D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212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0D5A">
            <w:pPr>
              <w:rPr>
                <w:rFonts w:hint="eastAsia" w:ascii="宋体" w:hAnsi="宋体" w:eastAsia="宋体" w:cs="宋体"/>
                <w:i w:val="0"/>
                <w:iCs w:val="0"/>
                <w:color w:val="auto"/>
                <w:sz w:val="24"/>
                <w:szCs w:val="24"/>
                <w:highlight w:val="none"/>
                <w:u w:val="none"/>
              </w:rPr>
            </w:pPr>
          </w:p>
        </w:tc>
      </w:tr>
      <w:tr w14:paraId="0E9E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3E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4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7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84D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3A00">
            <w:pPr>
              <w:rPr>
                <w:rFonts w:hint="eastAsia" w:ascii="宋体" w:hAnsi="宋体" w:eastAsia="宋体" w:cs="宋体"/>
                <w:i w:val="0"/>
                <w:iCs w:val="0"/>
                <w:color w:val="auto"/>
                <w:sz w:val="24"/>
                <w:szCs w:val="24"/>
                <w:highlight w:val="none"/>
                <w:u w:val="none"/>
              </w:rPr>
            </w:pPr>
          </w:p>
        </w:tc>
      </w:tr>
      <w:tr w14:paraId="4979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3B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1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羊蝎子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D8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4B3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292A">
            <w:pPr>
              <w:rPr>
                <w:rFonts w:hint="eastAsia" w:ascii="宋体" w:hAnsi="宋体" w:eastAsia="宋体" w:cs="宋体"/>
                <w:i w:val="0"/>
                <w:iCs w:val="0"/>
                <w:color w:val="auto"/>
                <w:sz w:val="24"/>
                <w:szCs w:val="24"/>
                <w:highlight w:val="none"/>
                <w:u w:val="none"/>
              </w:rPr>
            </w:pPr>
          </w:p>
        </w:tc>
      </w:tr>
      <w:tr w14:paraId="6F93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46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A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55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589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337A">
            <w:pPr>
              <w:rPr>
                <w:rFonts w:hint="eastAsia" w:ascii="宋体" w:hAnsi="宋体" w:eastAsia="宋体" w:cs="宋体"/>
                <w:i w:val="0"/>
                <w:iCs w:val="0"/>
                <w:color w:val="auto"/>
                <w:sz w:val="24"/>
                <w:szCs w:val="24"/>
                <w:highlight w:val="none"/>
                <w:u w:val="none"/>
              </w:rPr>
            </w:pPr>
          </w:p>
        </w:tc>
      </w:tr>
      <w:tr w14:paraId="2B43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C9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6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羊肉卷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9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1E7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803">
            <w:pPr>
              <w:rPr>
                <w:rFonts w:hint="eastAsia" w:ascii="宋体" w:hAnsi="宋体" w:eastAsia="宋体" w:cs="宋体"/>
                <w:i w:val="0"/>
                <w:iCs w:val="0"/>
                <w:color w:val="auto"/>
                <w:sz w:val="24"/>
                <w:szCs w:val="24"/>
                <w:highlight w:val="none"/>
                <w:u w:val="none"/>
              </w:rPr>
            </w:pPr>
          </w:p>
        </w:tc>
      </w:tr>
      <w:tr w14:paraId="2820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0E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1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F3B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035E">
            <w:pPr>
              <w:rPr>
                <w:rFonts w:hint="eastAsia" w:ascii="宋体" w:hAnsi="宋体" w:eastAsia="宋体" w:cs="宋体"/>
                <w:i w:val="0"/>
                <w:iCs w:val="0"/>
                <w:color w:val="auto"/>
                <w:sz w:val="24"/>
                <w:szCs w:val="24"/>
                <w:highlight w:val="none"/>
                <w:u w:val="none"/>
              </w:rPr>
            </w:pPr>
          </w:p>
        </w:tc>
      </w:tr>
      <w:tr w14:paraId="762F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99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C7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整羊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C6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1FE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2AE5">
            <w:pPr>
              <w:rPr>
                <w:rFonts w:hint="eastAsia" w:ascii="宋体" w:hAnsi="宋体" w:eastAsia="宋体" w:cs="宋体"/>
                <w:i w:val="0"/>
                <w:iCs w:val="0"/>
                <w:color w:val="auto"/>
                <w:sz w:val="24"/>
                <w:szCs w:val="24"/>
                <w:highlight w:val="none"/>
                <w:u w:val="none"/>
              </w:rPr>
            </w:pPr>
          </w:p>
        </w:tc>
      </w:tr>
      <w:tr w14:paraId="6204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8B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6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7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A4A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AF68">
            <w:pPr>
              <w:rPr>
                <w:rFonts w:hint="eastAsia" w:ascii="宋体" w:hAnsi="宋体" w:eastAsia="宋体" w:cs="宋体"/>
                <w:i w:val="0"/>
                <w:iCs w:val="0"/>
                <w:color w:val="auto"/>
                <w:sz w:val="24"/>
                <w:szCs w:val="24"/>
                <w:highlight w:val="none"/>
                <w:u w:val="none"/>
              </w:rPr>
            </w:pPr>
          </w:p>
        </w:tc>
      </w:tr>
      <w:tr w14:paraId="5963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AA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8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F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4D3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7506">
            <w:pPr>
              <w:rPr>
                <w:rFonts w:hint="eastAsia" w:ascii="宋体" w:hAnsi="宋体" w:eastAsia="宋体" w:cs="宋体"/>
                <w:i w:val="0"/>
                <w:iCs w:val="0"/>
                <w:color w:val="auto"/>
                <w:sz w:val="24"/>
                <w:szCs w:val="24"/>
                <w:highlight w:val="none"/>
                <w:u w:val="none"/>
              </w:rPr>
            </w:pPr>
          </w:p>
        </w:tc>
      </w:tr>
      <w:tr w14:paraId="012C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A7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2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9A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9B5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C78">
            <w:pPr>
              <w:rPr>
                <w:rFonts w:hint="eastAsia" w:ascii="宋体" w:hAnsi="宋体" w:eastAsia="宋体" w:cs="宋体"/>
                <w:i w:val="0"/>
                <w:iCs w:val="0"/>
                <w:color w:val="auto"/>
                <w:sz w:val="24"/>
                <w:szCs w:val="24"/>
                <w:highlight w:val="none"/>
                <w:u w:val="none"/>
              </w:rPr>
            </w:pPr>
          </w:p>
        </w:tc>
      </w:tr>
      <w:tr w14:paraId="0650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3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B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A2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C53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9FE4">
            <w:pPr>
              <w:rPr>
                <w:rFonts w:hint="eastAsia" w:ascii="宋体" w:hAnsi="宋体" w:eastAsia="宋体" w:cs="宋体"/>
                <w:i w:val="0"/>
                <w:iCs w:val="0"/>
                <w:color w:val="auto"/>
                <w:sz w:val="24"/>
                <w:szCs w:val="24"/>
                <w:highlight w:val="none"/>
                <w:u w:val="none"/>
              </w:rPr>
            </w:pPr>
          </w:p>
        </w:tc>
      </w:tr>
      <w:tr w14:paraId="2D99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3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C0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米肠子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BF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BFA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6499">
            <w:pPr>
              <w:rPr>
                <w:rFonts w:hint="eastAsia" w:ascii="宋体" w:hAnsi="宋体" w:eastAsia="宋体" w:cs="宋体"/>
                <w:i w:val="0"/>
                <w:iCs w:val="0"/>
                <w:color w:val="auto"/>
                <w:sz w:val="24"/>
                <w:szCs w:val="24"/>
                <w:highlight w:val="none"/>
                <w:u w:val="none"/>
              </w:rPr>
            </w:pPr>
          </w:p>
        </w:tc>
      </w:tr>
      <w:tr w14:paraId="0FB2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76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17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面肺子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8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97A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3390">
            <w:pPr>
              <w:rPr>
                <w:rFonts w:hint="eastAsia" w:ascii="宋体" w:hAnsi="宋体" w:eastAsia="宋体" w:cs="宋体"/>
                <w:i w:val="0"/>
                <w:iCs w:val="0"/>
                <w:color w:val="auto"/>
                <w:sz w:val="24"/>
                <w:szCs w:val="24"/>
                <w:highlight w:val="none"/>
                <w:u w:val="none"/>
              </w:rPr>
            </w:pPr>
          </w:p>
        </w:tc>
      </w:tr>
      <w:tr w14:paraId="269B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EB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A4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牛后腿肉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A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2C6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258B">
            <w:pPr>
              <w:rPr>
                <w:rFonts w:hint="eastAsia" w:ascii="宋体" w:hAnsi="宋体" w:eastAsia="宋体" w:cs="宋体"/>
                <w:i w:val="0"/>
                <w:iCs w:val="0"/>
                <w:color w:val="auto"/>
                <w:sz w:val="24"/>
                <w:szCs w:val="24"/>
                <w:highlight w:val="none"/>
                <w:u w:val="none"/>
              </w:rPr>
            </w:pPr>
          </w:p>
        </w:tc>
      </w:tr>
      <w:tr w14:paraId="287D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DE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73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牛前腿肉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A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0FE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4A27">
            <w:pPr>
              <w:rPr>
                <w:rFonts w:hint="eastAsia" w:ascii="宋体" w:hAnsi="宋体" w:eastAsia="宋体" w:cs="宋体"/>
                <w:i w:val="0"/>
                <w:iCs w:val="0"/>
                <w:color w:val="auto"/>
                <w:sz w:val="24"/>
                <w:szCs w:val="24"/>
                <w:highlight w:val="none"/>
                <w:u w:val="none"/>
              </w:rPr>
            </w:pPr>
          </w:p>
        </w:tc>
      </w:tr>
      <w:tr w14:paraId="6B51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5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6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2E3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C55">
            <w:pPr>
              <w:rPr>
                <w:rFonts w:hint="eastAsia" w:ascii="宋体" w:hAnsi="宋体" w:eastAsia="宋体" w:cs="宋体"/>
                <w:i w:val="0"/>
                <w:iCs w:val="0"/>
                <w:color w:val="auto"/>
                <w:sz w:val="24"/>
                <w:szCs w:val="24"/>
                <w:highlight w:val="none"/>
                <w:u w:val="none"/>
              </w:rPr>
            </w:pPr>
          </w:p>
        </w:tc>
      </w:tr>
      <w:tr w14:paraId="1D33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10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牛里脊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07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C84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E382">
            <w:pPr>
              <w:rPr>
                <w:rFonts w:hint="eastAsia" w:ascii="宋体" w:hAnsi="宋体" w:eastAsia="宋体" w:cs="宋体"/>
                <w:i w:val="0"/>
                <w:iCs w:val="0"/>
                <w:color w:val="auto"/>
                <w:sz w:val="24"/>
                <w:szCs w:val="24"/>
                <w:highlight w:val="none"/>
                <w:u w:val="none"/>
              </w:rPr>
            </w:pPr>
          </w:p>
        </w:tc>
      </w:tr>
      <w:tr w14:paraId="183A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6E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5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牛肉馅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0A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3D6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C9B">
            <w:pPr>
              <w:rPr>
                <w:rFonts w:hint="eastAsia" w:ascii="宋体" w:hAnsi="宋体" w:eastAsia="宋体" w:cs="宋体"/>
                <w:i w:val="0"/>
                <w:iCs w:val="0"/>
                <w:color w:val="auto"/>
                <w:sz w:val="24"/>
                <w:szCs w:val="24"/>
                <w:highlight w:val="none"/>
                <w:u w:val="none"/>
              </w:rPr>
            </w:pPr>
          </w:p>
        </w:tc>
      </w:tr>
      <w:tr w14:paraId="7D7A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6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牛外脊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9D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EC6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8AF0">
            <w:pPr>
              <w:rPr>
                <w:rFonts w:hint="eastAsia" w:ascii="宋体" w:hAnsi="宋体" w:eastAsia="宋体" w:cs="宋体"/>
                <w:i w:val="0"/>
                <w:iCs w:val="0"/>
                <w:color w:val="auto"/>
                <w:sz w:val="24"/>
                <w:szCs w:val="24"/>
                <w:highlight w:val="none"/>
                <w:u w:val="none"/>
              </w:rPr>
            </w:pPr>
          </w:p>
        </w:tc>
      </w:tr>
      <w:tr w14:paraId="78AA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69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8D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羊后腿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E4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FC3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403E">
            <w:pPr>
              <w:rPr>
                <w:rFonts w:hint="eastAsia" w:ascii="宋体" w:hAnsi="宋体" w:eastAsia="宋体" w:cs="宋体"/>
                <w:i w:val="0"/>
                <w:iCs w:val="0"/>
                <w:color w:val="auto"/>
                <w:sz w:val="24"/>
                <w:szCs w:val="24"/>
                <w:highlight w:val="none"/>
                <w:u w:val="none"/>
              </w:rPr>
            </w:pPr>
          </w:p>
        </w:tc>
      </w:tr>
      <w:tr w14:paraId="0BB6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EA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羊前腿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98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E1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A3C1">
            <w:pPr>
              <w:rPr>
                <w:rFonts w:hint="eastAsia" w:ascii="宋体" w:hAnsi="宋体" w:eastAsia="宋体" w:cs="宋体"/>
                <w:i w:val="0"/>
                <w:iCs w:val="0"/>
                <w:color w:val="auto"/>
                <w:sz w:val="24"/>
                <w:szCs w:val="24"/>
                <w:highlight w:val="none"/>
                <w:u w:val="none"/>
              </w:rPr>
            </w:pPr>
          </w:p>
        </w:tc>
      </w:tr>
      <w:tr w14:paraId="314C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55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羊肉（整羊）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17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811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2169">
            <w:pPr>
              <w:rPr>
                <w:rFonts w:hint="eastAsia" w:ascii="宋体" w:hAnsi="宋体" w:eastAsia="宋体" w:cs="宋体"/>
                <w:i w:val="0"/>
                <w:iCs w:val="0"/>
                <w:color w:val="auto"/>
                <w:sz w:val="24"/>
                <w:szCs w:val="24"/>
                <w:highlight w:val="none"/>
                <w:u w:val="none"/>
              </w:rPr>
            </w:pPr>
          </w:p>
        </w:tc>
      </w:tr>
      <w:tr w14:paraId="661C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5F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羊剔骨肉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5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93B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894C">
            <w:pPr>
              <w:rPr>
                <w:rFonts w:hint="eastAsia" w:ascii="宋体" w:hAnsi="宋体" w:eastAsia="宋体" w:cs="宋体"/>
                <w:i w:val="0"/>
                <w:iCs w:val="0"/>
                <w:color w:val="auto"/>
                <w:sz w:val="24"/>
                <w:szCs w:val="24"/>
                <w:highlight w:val="none"/>
                <w:u w:val="none"/>
              </w:rPr>
            </w:pPr>
          </w:p>
        </w:tc>
      </w:tr>
      <w:tr w14:paraId="02B0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3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A7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羊脖子-新鲜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14F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E4B3">
            <w:pPr>
              <w:rPr>
                <w:rFonts w:hint="eastAsia" w:ascii="宋体" w:hAnsi="宋体" w:eastAsia="宋体" w:cs="宋体"/>
                <w:i w:val="0"/>
                <w:iCs w:val="0"/>
                <w:color w:val="auto"/>
                <w:sz w:val="24"/>
                <w:szCs w:val="24"/>
                <w:highlight w:val="none"/>
                <w:u w:val="none"/>
              </w:rPr>
            </w:pPr>
          </w:p>
        </w:tc>
      </w:tr>
      <w:tr w14:paraId="45C3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1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D2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FCC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7ABC">
            <w:pPr>
              <w:rPr>
                <w:rFonts w:hint="eastAsia" w:ascii="宋体" w:hAnsi="宋体" w:eastAsia="宋体" w:cs="宋体"/>
                <w:i w:val="0"/>
                <w:iCs w:val="0"/>
                <w:color w:val="auto"/>
                <w:sz w:val="24"/>
                <w:szCs w:val="24"/>
                <w:highlight w:val="none"/>
                <w:u w:val="none"/>
              </w:rPr>
            </w:pPr>
          </w:p>
        </w:tc>
      </w:tr>
      <w:tr w14:paraId="6228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A1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3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牛百叶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06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117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979F">
            <w:pPr>
              <w:rPr>
                <w:rFonts w:hint="eastAsia" w:ascii="宋体" w:hAnsi="宋体" w:eastAsia="宋体" w:cs="宋体"/>
                <w:i w:val="0"/>
                <w:iCs w:val="0"/>
                <w:color w:val="auto"/>
                <w:sz w:val="24"/>
                <w:szCs w:val="24"/>
                <w:highlight w:val="none"/>
                <w:u w:val="none"/>
              </w:rPr>
            </w:pPr>
          </w:p>
        </w:tc>
      </w:tr>
      <w:tr w14:paraId="3392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3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4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牛板筋-鲜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1E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B31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0762">
            <w:pPr>
              <w:rPr>
                <w:rFonts w:hint="eastAsia" w:ascii="宋体" w:hAnsi="宋体" w:eastAsia="宋体" w:cs="宋体"/>
                <w:i w:val="0"/>
                <w:iCs w:val="0"/>
                <w:color w:val="auto"/>
                <w:sz w:val="24"/>
                <w:szCs w:val="24"/>
                <w:highlight w:val="none"/>
                <w:u w:val="none"/>
              </w:rPr>
            </w:pPr>
          </w:p>
        </w:tc>
      </w:tr>
      <w:tr w14:paraId="04FE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A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C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牛肚（无碱）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1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DD4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A9E4">
            <w:pPr>
              <w:rPr>
                <w:rFonts w:hint="eastAsia" w:ascii="宋体" w:hAnsi="宋体" w:eastAsia="宋体" w:cs="宋体"/>
                <w:i w:val="0"/>
                <w:iCs w:val="0"/>
                <w:color w:val="auto"/>
                <w:sz w:val="24"/>
                <w:szCs w:val="24"/>
                <w:highlight w:val="none"/>
                <w:u w:val="none"/>
              </w:rPr>
            </w:pPr>
          </w:p>
        </w:tc>
      </w:tr>
      <w:tr w14:paraId="5C2C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32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37</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4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牛-黑毛肚（无碱）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2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A40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3387">
            <w:pPr>
              <w:rPr>
                <w:rFonts w:hint="eastAsia" w:ascii="宋体" w:hAnsi="宋体" w:eastAsia="宋体" w:cs="宋体"/>
                <w:i w:val="0"/>
                <w:iCs w:val="0"/>
                <w:color w:val="auto"/>
                <w:sz w:val="24"/>
                <w:szCs w:val="24"/>
                <w:highlight w:val="none"/>
                <w:u w:val="none"/>
              </w:rPr>
            </w:pPr>
          </w:p>
        </w:tc>
      </w:tr>
      <w:tr w14:paraId="20FA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97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B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牛肥肠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8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375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5486">
            <w:pPr>
              <w:rPr>
                <w:rFonts w:hint="eastAsia" w:ascii="宋体" w:hAnsi="宋体" w:eastAsia="宋体" w:cs="宋体"/>
                <w:i w:val="0"/>
                <w:iCs w:val="0"/>
                <w:color w:val="auto"/>
                <w:sz w:val="24"/>
                <w:szCs w:val="24"/>
                <w:highlight w:val="none"/>
                <w:u w:val="none"/>
              </w:rPr>
            </w:pPr>
          </w:p>
        </w:tc>
      </w:tr>
      <w:tr w14:paraId="3539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A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BE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牛后腿骨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29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4C2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F546">
            <w:pPr>
              <w:rPr>
                <w:rFonts w:hint="eastAsia" w:ascii="宋体" w:hAnsi="宋体" w:eastAsia="宋体" w:cs="宋体"/>
                <w:i w:val="0"/>
                <w:iCs w:val="0"/>
                <w:color w:val="auto"/>
                <w:sz w:val="24"/>
                <w:szCs w:val="24"/>
                <w:highlight w:val="none"/>
                <w:u w:val="none"/>
              </w:rPr>
            </w:pPr>
          </w:p>
        </w:tc>
      </w:tr>
      <w:tr w14:paraId="1F1F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DF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F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牛肉筋（半成品）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6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650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2A19">
            <w:pPr>
              <w:rPr>
                <w:rFonts w:hint="eastAsia" w:ascii="宋体" w:hAnsi="宋体" w:eastAsia="宋体" w:cs="宋体"/>
                <w:i w:val="0"/>
                <w:iCs w:val="0"/>
                <w:color w:val="auto"/>
                <w:sz w:val="24"/>
                <w:szCs w:val="24"/>
                <w:highlight w:val="none"/>
                <w:u w:val="none"/>
              </w:rPr>
            </w:pPr>
          </w:p>
        </w:tc>
      </w:tr>
      <w:tr w14:paraId="1E91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C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41</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2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牛蹄筋（无碱）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05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C5B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DE8C">
            <w:pPr>
              <w:rPr>
                <w:rFonts w:hint="eastAsia" w:ascii="宋体" w:hAnsi="宋体" w:eastAsia="宋体" w:cs="宋体"/>
                <w:i w:val="0"/>
                <w:iCs w:val="0"/>
                <w:color w:val="auto"/>
                <w:sz w:val="24"/>
                <w:szCs w:val="24"/>
                <w:highlight w:val="none"/>
                <w:u w:val="none"/>
              </w:rPr>
            </w:pPr>
          </w:p>
        </w:tc>
      </w:tr>
      <w:tr w14:paraId="0C25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C8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F6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牛蹄子（无碱）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0E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BB2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43CD">
            <w:pPr>
              <w:rPr>
                <w:rFonts w:hint="eastAsia" w:ascii="宋体" w:hAnsi="宋体" w:eastAsia="宋体" w:cs="宋体"/>
                <w:i w:val="0"/>
                <w:iCs w:val="0"/>
                <w:color w:val="auto"/>
                <w:sz w:val="24"/>
                <w:szCs w:val="24"/>
                <w:highlight w:val="none"/>
                <w:u w:val="none"/>
              </w:rPr>
            </w:pPr>
          </w:p>
        </w:tc>
      </w:tr>
      <w:tr w14:paraId="3EBF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1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9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牛头肉（无碱）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A0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2DE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3E53">
            <w:pPr>
              <w:rPr>
                <w:rFonts w:hint="eastAsia" w:ascii="宋体" w:hAnsi="宋体" w:eastAsia="宋体" w:cs="宋体"/>
                <w:i w:val="0"/>
                <w:iCs w:val="0"/>
                <w:color w:val="auto"/>
                <w:sz w:val="24"/>
                <w:szCs w:val="24"/>
                <w:highlight w:val="none"/>
                <w:u w:val="none"/>
              </w:rPr>
            </w:pPr>
          </w:p>
        </w:tc>
      </w:tr>
      <w:tr w14:paraId="0938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4A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44</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2E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牛尾巴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D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81C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5ACE">
            <w:pPr>
              <w:rPr>
                <w:rFonts w:hint="eastAsia" w:ascii="宋体" w:hAnsi="宋体" w:eastAsia="宋体" w:cs="宋体"/>
                <w:i w:val="0"/>
                <w:iCs w:val="0"/>
                <w:color w:val="auto"/>
                <w:sz w:val="24"/>
                <w:szCs w:val="24"/>
                <w:highlight w:val="none"/>
                <w:u w:val="none"/>
              </w:rPr>
            </w:pPr>
          </w:p>
        </w:tc>
      </w:tr>
      <w:tr w14:paraId="1C0B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E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5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2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CDC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4327">
            <w:pPr>
              <w:rPr>
                <w:rFonts w:hint="eastAsia" w:ascii="宋体" w:hAnsi="宋体" w:eastAsia="宋体" w:cs="宋体"/>
                <w:i w:val="0"/>
                <w:iCs w:val="0"/>
                <w:color w:val="auto"/>
                <w:sz w:val="24"/>
                <w:szCs w:val="24"/>
                <w:highlight w:val="none"/>
                <w:u w:val="none"/>
              </w:rPr>
            </w:pPr>
          </w:p>
        </w:tc>
      </w:tr>
      <w:tr w14:paraId="7812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6C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46</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8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23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183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C5EA">
            <w:pPr>
              <w:rPr>
                <w:rFonts w:hint="eastAsia" w:ascii="宋体" w:hAnsi="宋体" w:eastAsia="宋体" w:cs="宋体"/>
                <w:i w:val="0"/>
                <w:iCs w:val="0"/>
                <w:color w:val="auto"/>
                <w:sz w:val="24"/>
                <w:szCs w:val="24"/>
                <w:highlight w:val="none"/>
                <w:u w:val="none"/>
              </w:rPr>
            </w:pPr>
          </w:p>
        </w:tc>
      </w:tr>
      <w:tr w14:paraId="2C28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0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47</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27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牛腰子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47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DA9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AA8E">
            <w:pPr>
              <w:rPr>
                <w:rFonts w:hint="eastAsia" w:ascii="宋体" w:hAnsi="宋体" w:eastAsia="宋体" w:cs="宋体"/>
                <w:i w:val="0"/>
                <w:iCs w:val="0"/>
                <w:color w:val="auto"/>
                <w:sz w:val="24"/>
                <w:szCs w:val="24"/>
                <w:highlight w:val="none"/>
                <w:u w:val="none"/>
              </w:rPr>
            </w:pPr>
          </w:p>
        </w:tc>
      </w:tr>
      <w:tr w14:paraId="61D8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15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5D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7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B80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1641">
            <w:pPr>
              <w:rPr>
                <w:rFonts w:hint="eastAsia" w:ascii="宋体" w:hAnsi="宋体" w:eastAsia="宋体" w:cs="宋体"/>
                <w:i w:val="0"/>
                <w:iCs w:val="0"/>
                <w:color w:val="auto"/>
                <w:sz w:val="24"/>
                <w:szCs w:val="24"/>
                <w:highlight w:val="none"/>
                <w:u w:val="none"/>
              </w:rPr>
            </w:pPr>
          </w:p>
        </w:tc>
      </w:tr>
      <w:tr w14:paraId="6E6C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7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F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羊肠（无碱）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BA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28F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240C">
            <w:pPr>
              <w:rPr>
                <w:rFonts w:hint="eastAsia" w:ascii="宋体" w:hAnsi="宋体" w:eastAsia="宋体" w:cs="宋体"/>
                <w:i w:val="0"/>
                <w:iCs w:val="0"/>
                <w:color w:val="auto"/>
                <w:sz w:val="24"/>
                <w:szCs w:val="24"/>
                <w:highlight w:val="none"/>
                <w:u w:val="none"/>
              </w:rPr>
            </w:pPr>
          </w:p>
        </w:tc>
      </w:tr>
      <w:tr w14:paraId="2E9E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D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55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09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DA5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B39F">
            <w:pPr>
              <w:rPr>
                <w:rFonts w:hint="eastAsia" w:ascii="宋体" w:hAnsi="宋体" w:eastAsia="宋体" w:cs="宋体"/>
                <w:i w:val="0"/>
                <w:iCs w:val="0"/>
                <w:color w:val="auto"/>
                <w:sz w:val="24"/>
                <w:szCs w:val="24"/>
                <w:highlight w:val="none"/>
                <w:u w:val="none"/>
              </w:rPr>
            </w:pPr>
          </w:p>
        </w:tc>
      </w:tr>
      <w:tr w14:paraId="174B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3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51</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7D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C7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2ED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B6C">
            <w:pPr>
              <w:rPr>
                <w:rFonts w:hint="eastAsia" w:ascii="宋体" w:hAnsi="宋体" w:eastAsia="宋体" w:cs="宋体"/>
                <w:i w:val="0"/>
                <w:iCs w:val="0"/>
                <w:color w:val="auto"/>
                <w:sz w:val="24"/>
                <w:szCs w:val="24"/>
                <w:highlight w:val="none"/>
                <w:u w:val="none"/>
              </w:rPr>
            </w:pPr>
          </w:p>
        </w:tc>
      </w:tr>
      <w:tr w14:paraId="270F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1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4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羊心管（无碱）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C8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04E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5973">
            <w:pPr>
              <w:rPr>
                <w:rFonts w:hint="eastAsia" w:ascii="宋体" w:hAnsi="宋体" w:eastAsia="宋体" w:cs="宋体"/>
                <w:i w:val="0"/>
                <w:iCs w:val="0"/>
                <w:color w:val="auto"/>
                <w:sz w:val="24"/>
                <w:szCs w:val="24"/>
                <w:highlight w:val="none"/>
                <w:u w:val="none"/>
              </w:rPr>
            </w:pPr>
          </w:p>
        </w:tc>
      </w:tr>
      <w:tr w14:paraId="6B5D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19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53</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4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羊肚（无碱）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63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675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3311">
            <w:pPr>
              <w:rPr>
                <w:rFonts w:hint="eastAsia" w:ascii="宋体" w:hAnsi="宋体" w:eastAsia="宋体" w:cs="宋体"/>
                <w:i w:val="0"/>
                <w:iCs w:val="0"/>
                <w:color w:val="auto"/>
                <w:sz w:val="24"/>
                <w:szCs w:val="24"/>
                <w:highlight w:val="none"/>
                <w:u w:val="none"/>
              </w:rPr>
            </w:pPr>
          </w:p>
        </w:tc>
      </w:tr>
      <w:tr w14:paraId="6196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3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54</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E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羊腰子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58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EF8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CB63">
            <w:pPr>
              <w:rPr>
                <w:rFonts w:hint="eastAsia" w:ascii="宋体" w:hAnsi="宋体" w:eastAsia="宋体" w:cs="宋体"/>
                <w:i w:val="0"/>
                <w:iCs w:val="0"/>
                <w:color w:val="auto"/>
                <w:sz w:val="24"/>
                <w:szCs w:val="24"/>
                <w:highlight w:val="none"/>
                <w:u w:val="none"/>
              </w:rPr>
            </w:pPr>
          </w:p>
        </w:tc>
      </w:tr>
      <w:tr w14:paraId="5211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F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7E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羊白肺子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99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C2D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F1F0">
            <w:pPr>
              <w:rPr>
                <w:rFonts w:hint="eastAsia" w:ascii="宋体" w:hAnsi="宋体" w:eastAsia="宋体" w:cs="宋体"/>
                <w:i w:val="0"/>
                <w:iCs w:val="0"/>
                <w:color w:val="auto"/>
                <w:sz w:val="24"/>
                <w:szCs w:val="24"/>
                <w:highlight w:val="none"/>
                <w:u w:val="none"/>
              </w:rPr>
            </w:pPr>
          </w:p>
        </w:tc>
      </w:tr>
      <w:tr w14:paraId="6878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8E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6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羊黑肺子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2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596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FDB5">
            <w:pPr>
              <w:rPr>
                <w:rFonts w:hint="eastAsia" w:ascii="宋体" w:hAnsi="宋体" w:eastAsia="宋体" w:cs="宋体"/>
                <w:i w:val="0"/>
                <w:iCs w:val="0"/>
                <w:color w:val="auto"/>
                <w:sz w:val="24"/>
                <w:szCs w:val="24"/>
                <w:highlight w:val="none"/>
                <w:u w:val="none"/>
              </w:rPr>
            </w:pPr>
          </w:p>
        </w:tc>
      </w:tr>
      <w:tr w14:paraId="13FB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1B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57</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07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羊蹄（无碱）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6A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383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6D62">
            <w:pPr>
              <w:rPr>
                <w:rFonts w:hint="eastAsia" w:ascii="宋体" w:hAnsi="宋体" w:eastAsia="宋体" w:cs="宋体"/>
                <w:i w:val="0"/>
                <w:iCs w:val="0"/>
                <w:color w:val="auto"/>
                <w:sz w:val="24"/>
                <w:szCs w:val="24"/>
                <w:highlight w:val="none"/>
                <w:u w:val="none"/>
              </w:rPr>
            </w:pPr>
          </w:p>
        </w:tc>
      </w:tr>
      <w:tr w14:paraId="5974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D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93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羊头肉-剔骨（无碱）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67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6C8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8E5">
            <w:pPr>
              <w:rPr>
                <w:rFonts w:hint="eastAsia" w:ascii="宋体" w:hAnsi="宋体" w:eastAsia="宋体" w:cs="宋体"/>
                <w:i w:val="0"/>
                <w:iCs w:val="0"/>
                <w:color w:val="auto"/>
                <w:sz w:val="24"/>
                <w:szCs w:val="24"/>
                <w:highlight w:val="none"/>
                <w:u w:val="none"/>
              </w:rPr>
            </w:pPr>
          </w:p>
        </w:tc>
      </w:tr>
      <w:tr w14:paraId="0351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E1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59</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A8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羊头-生（无碱）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A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173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FC1B">
            <w:pPr>
              <w:rPr>
                <w:rFonts w:hint="eastAsia" w:ascii="宋体" w:hAnsi="宋体" w:eastAsia="宋体" w:cs="宋体"/>
                <w:i w:val="0"/>
                <w:iCs w:val="0"/>
                <w:color w:val="auto"/>
                <w:sz w:val="24"/>
                <w:szCs w:val="24"/>
                <w:highlight w:val="none"/>
                <w:u w:val="none"/>
              </w:rPr>
            </w:pPr>
          </w:p>
        </w:tc>
      </w:tr>
      <w:tr w14:paraId="1120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3B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5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羊油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F5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71F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D68A">
            <w:pPr>
              <w:rPr>
                <w:rFonts w:hint="eastAsia" w:ascii="宋体" w:hAnsi="宋体" w:eastAsia="宋体" w:cs="宋体"/>
                <w:i w:val="0"/>
                <w:iCs w:val="0"/>
                <w:color w:val="auto"/>
                <w:sz w:val="24"/>
                <w:szCs w:val="24"/>
                <w:highlight w:val="none"/>
                <w:u w:val="none"/>
              </w:rPr>
            </w:pPr>
          </w:p>
        </w:tc>
      </w:tr>
      <w:tr w14:paraId="093A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25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61</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AF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金钱肚（无碱）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C2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B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9EB4">
            <w:pPr>
              <w:rPr>
                <w:rFonts w:hint="eastAsia" w:ascii="宋体" w:hAnsi="宋体" w:eastAsia="宋体" w:cs="宋体"/>
                <w:i w:val="0"/>
                <w:iCs w:val="0"/>
                <w:color w:val="auto"/>
                <w:sz w:val="24"/>
                <w:szCs w:val="24"/>
                <w:highlight w:val="none"/>
                <w:u w:val="none"/>
              </w:rPr>
            </w:pPr>
          </w:p>
        </w:tc>
      </w:tr>
      <w:tr w14:paraId="77D5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1E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62</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3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马肠子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59C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14DF">
            <w:pPr>
              <w:rPr>
                <w:rFonts w:hint="eastAsia" w:ascii="宋体" w:hAnsi="宋体" w:eastAsia="宋体" w:cs="宋体"/>
                <w:i w:val="0"/>
                <w:iCs w:val="0"/>
                <w:color w:val="auto"/>
                <w:sz w:val="24"/>
                <w:szCs w:val="24"/>
                <w:highlight w:val="none"/>
                <w:u w:val="none"/>
              </w:rPr>
            </w:pPr>
          </w:p>
        </w:tc>
      </w:tr>
      <w:tr w14:paraId="5285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63</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1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风干牛肉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D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3A7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49C">
            <w:pPr>
              <w:rPr>
                <w:rFonts w:hint="eastAsia" w:ascii="宋体" w:hAnsi="宋体" w:eastAsia="宋体" w:cs="宋体"/>
                <w:i w:val="0"/>
                <w:iCs w:val="0"/>
                <w:color w:val="auto"/>
                <w:sz w:val="24"/>
                <w:szCs w:val="24"/>
                <w:highlight w:val="none"/>
                <w:u w:val="none"/>
              </w:rPr>
            </w:pPr>
          </w:p>
        </w:tc>
      </w:tr>
      <w:tr w14:paraId="4926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D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64</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鲜牛筋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E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9DE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720F">
            <w:pPr>
              <w:rPr>
                <w:rFonts w:hint="eastAsia" w:ascii="宋体" w:hAnsi="宋体" w:eastAsia="宋体" w:cs="宋体"/>
                <w:i w:val="0"/>
                <w:iCs w:val="0"/>
                <w:color w:val="auto"/>
                <w:sz w:val="24"/>
                <w:szCs w:val="24"/>
                <w:highlight w:val="none"/>
                <w:u w:val="none"/>
              </w:rPr>
            </w:pPr>
          </w:p>
        </w:tc>
      </w:tr>
      <w:tr w14:paraId="592E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26A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6D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鲜牛心管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CA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07F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B416">
            <w:pPr>
              <w:rPr>
                <w:rFonts w:hint="eastAsia" w:ascii="宋体" w:hAnsi="宋体" w:eastAsia="宋体" w:cs="宋体"/>
                <w:i w:val="0"/>
                <w:iCs w:val="0"/>
                <w:color w:val="auto"/>
                <w:sz w:val="24"/>
                <w:szCs w:val="24"/>
                <w:highlight w:val="none"/>
                <w:u w:val="none"/>
              </w:rPr>
            </w:pPr>
          </w:p>
        </w:tc>
      </w:tr>
      <w:tr w14:paraId="5F5D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359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鲜羊肚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E8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089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E55A">
            <w:pPr>
              <w:rPr>
                <w:rFonts w:hint="eastAsia" w:ascii="宋体" w:hAnsi="宋体" w:eastAsia="宋体" w:cs="宋体"/>
                <w:i w:val="0"/>
                <w:iCs w:val="0"/>
                <w:color w:val="auto"/>
                <w:sz w:val="24"/>
                <w:szCs w:val="24"/>
                <w:highlight w:val="none"/>
                <w:u w:val="none"/>
              </w:rPr>
            </w:pPr>
          </w:p>
        </w:tc>
      </w:tr>
      <w:tr w14:paraId="3B42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CD4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67</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6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鲜肥牛卷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99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99F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39BA">
            <w:pPr>
              <w:rPr>
                <w:rFonts w:hint="eastAsia" w:ascii="宋体" w:hAnsi="宋体" w:eastAsia="宋体" w:cs="宋体"/>
                <w:i w:val="0"/>
                <w:iCs w:val="0"/>
                <w:color w:val="auto"/>
                <w:sz w:val="24"/>
                <w:szCs w:val="24"/>
                <w:highlight w:val="none"/>
                <w:u w:val="none"/>
              </w:rPr>
            </w:pPr>
          </w:p>
        </w:tc>
      </w:tr>
      <w:tr w14:paraId="7546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F64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02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鲜雪花牛肉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0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E11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B987">
            <w:pPr>
              <w:rPr>
                <w:rFonts w:hint="eastAsia" w:ascii="宋体" w:hAnsi="宋体" w:eastAsia="宋体" w:cs="宋体"/>
                <w:i w:val="0"/>
                <w:iCs w:val="0"/>
                <w:color w:val="auto"/>
                <w:sz w:val="24"/>
                <w:szCs w:val="24"/>
                <w:highlight w:val="none"/>
                <w:u w:val="none"/>
              </w:rPr>
            </w:pPr>
          </w:p>
        </w:tc>
      </w:tr>
      <w:tr w14:paraId="69FC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C53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2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鲜牛骨髓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B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897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145F">
            <w:pPr>
              <w:rPr>
                <w:rFonts w:hint="eastAsia" w:ascii="宋体" w:hAnsi="宋体" w:eastAsia="宋体" w:cs="宋体"/>
                <w:i w:val="0"/>
                <w:iCs w:val="0"/>
                <w:color w:val="auto"/>
                <w:sz w:val="24"/>
                <w:szCs w:val="24"/>
                <w:highlight w:val="none"/>
                <w:u w:val="none"/>
              </w:rPr>
            </w:pPr>
          </w:p>
        </w:tc>
      </w:tr>
      <w:tr w14:paraId="0436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DB5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B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毛肚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4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C65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F773">
            <w:pPr>
              <w:rPr>
                <w:rFonts w:hint="eastAsia" w:ascii="宋体" w:hAnsi="宋体" w:eastAsia="宋体" w:cs="宋体"/>
                <w:i w:val="0"/>
                <w:iCs w:val="0"/>
                <w:color w:val="auto"/>
                <w:sz w:val="24"/>
                <w:szCs w:val="24"/>
                <w:highlight w:val="none"/>
                <w:u w:val="none"/>
              </w:rPr>
            </w:pPr>
          </w:p>
        </w:tc>
      </w:tr>
      <w:tr w14:paraId="670C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AE0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71</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鲜牛舌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98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D2A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FB0">
            <w:pPr>
              <w:rPr>
                <w:rFonts w:hint="eastAsia" w:ascii="宋体" w:hAnsi="宋体" w:eastAsia="宋体" w:cs="宋体"/>
                <w:i w:val="0"/>
                <w:iCs w:val="0"/>
                <w:color w:val="auto"/>
                <w:sz w:val="24"/>
                <w:szCs w:val="24"/>
                <w:highlight w:val="none"/>
                <w:u w:val="none"/>
              </w:rPr>
            </w:pPr>
          </w:p>
        </w:tc>
      </w:tr>
    </w:tbl>
    <w:p w14:paraId="4BFFD02A">
      <w:pPr>
        <w:pStyle w:val="42"/>
        <w:spacing w:line="360" w:lineRule="auto"/>
        <w:rPr>
          <w:rFonts w:hint="default" w:cs="宋体"/>
          <w:b/>
          <w:bCs/>
          <w:color w:val="auto"/>
          <w:kern w:val="2"/>
          <w:sz w:val="21"/>
          <w:szCs w:val="21"/>
          <w:highlight w:val="none"/>
        </w:rPr>
      </w:pPr>
    </w:p>
    <w:p w14:paraId="4FADBFB0">
      <w:pPr>
        <w:pStyle w:val="42"/>
        <w:spacing w:line="360" w:lineRule="auto"/>
        <w:ind w:firstLine="468" w:firstLineChars="200"/>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注：以上“需求清单”中的货物数量均为1，报价为整体折扣率。</w:t>
      </w:r>
    </w:p>
    <w:p w14:paraId="2969B51A">
      <w:pPr>
        <w:pStyle w:val="42"/>
        <w:spacing w:line="360" w:lineRule="auto"/>
        <w:ind w:firstLine="422" w:firstLineChars="200"/>
        <w:rPr>
          <w:rFonts w:hint="default" w:cs="宋体"/>
          <w:b/>
          <w:bCs/>
          <w:color w:val="auto"/>
          <w:kern w:val="2"/>
          <w:sz w:val="21"/>
          <w:szCs w:val="21"/>
          <w:highlight w:val="none"/>
        </w:rPr>
      </w:pPr>
      <w:r>
        <w:rPr>
          <w:rFonts w:cs="宋体"/>
          <w:b/>
          <w:bCs/>
          <w:color w:val="auto"/>
          <w:kern w:val="2"/>
          <w:sz w:val="21"/>
          <w:szCs w:val="21"/>
          <w:highlight w:val="none"/>
        </w:rPr>
        <w:t>2、采购内容</w:t>
      </w:r>
    </w:p>
    <w:p w14:paraId="4D0D65A2">
      <w:pPr>
        <w:widowControl w:val="0"/>
        <w:autoSpaceDN/>
        <w:spacing w:line="360" w:lineRule="auto"/>
        <w:ind w:firstLine="420" w:firstLineChars="200"/>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需求单位所采购的食材品种、类别及数量以实际发生为准，按时结算。</w:t>
      </w:r>
    </w:p>
    <w:p w14:paraId="40961C48">
      <w:pPr>
        <w:widowControl w:val="0"/>
        <w:autoSpaceDN/>
        <w:spacing w:line="360" w:lineRule="auto"/>
        <w:ind w:firstLine="420" w:firstLineChars="200"/>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供应商所供肉类食材须具有动物检验检疫合格证明，且符合食品卫生安全法要求。新鲜肉类（牛肉、羊肉、鸡肉等），肉有光泽，新鲜气味正常，肉不能是冷冻肉，必须清洗干净。</w:t>
      </w:r>
    </w:p>
    <w:p w14:paraId="0B8A0920">
      <w:pPr>
        <w:widowControl w:val="0"/>
        <w:spacing w:line="360" w:lineRule="auto"/>
        <w:ind w:firstLine="422" w:firstLineChars="200"/>
        <w:jc w:val="both"/>
        <w:rPr>
          <w:rFonts w:ascii="宋体" w:hAnsi="宋体" w:eastAsia="宋体" w:cs="宋体"/>
          <w:b/>
          <w:bCs/>
          <w:color w:val="auto"/>
          <w:kern w:val="2"/>
          <w:highlight w:val="none"/>
          <w:lang w:eastAsia="zh-CN"/>
        </w:rPr>
      </w:pPr>
      <w:r>
        <w:rPr>
          <w:rFonts w:hint="eastAsia" w:ascii="宋体" w:hAnsi="宋体" w:eastAsia="宋体" w:cs="宋体"/>
          <w:b/>
          <w:bCs/>
          <w:color w:val="auto"/>
          <w:kern w:val="2"/>
          <w:highlight w:val="none"/>
          <w:lang w:eastAsia="zh-CN" w:bidi="ar"/>
        </w:rPr>
        <w:t>需求单位所采购的食材品种、类别及数量以实际发生为准，按时结算。</w:t>
      </w:r>
    </w:p>
    <w:p w14:paraId="6E66665E">
      <w:pPr>
        <w:widowControl w:val="0"/>
        <w:spacing w:line="360" w:lineRule="auto"/>
        <w:ind w:firstLine="422" w:firstLineChars="200"/>
        <w:jc w:val="both"/>
        <w:rPr>
          <w:rFonts w:ascii="宋体" w:hAnsi="宋体" w:eastAsia="宋体" w:cs="宋体"/>
          <w:b/>
          <w:bCs/>
          <w:color w:val="auto"/>
          <w:kern w:val="2"/>
          <w:highlight w:val="none"/>
          <w:lang w:eastAsia="zh-CN"/>
        </w:rPr>
      </w:pPr>
      <w:r>
        <w:rPr>
          <w:rFonts w:hint="eastAsia" w:ascii="宋体" w:hAnsi="宋体" w:eastAsia="宋体" w:cs="宋体"/>
          <w:b/>
          <w:bCs/>
          <w:color w:val="auto"/>
          <w:kern w:val="2"/>
          <w:highlight w:val="none"/>
          <w:lang w:eastAsia="zh-CN" w:bidi="ar"/>
        </w:rPr>
        <w:t>3、报价说明</w:t>
      </w:r>
    </w:p>
    <w:p w14:paraId="4E452868">
      <w:pPr>
        <w:widowControl w:val="0"/>
        <w:autoSpaceDN/>
        <w:spacing w:line="360" w:lineRule="auto"/>
        <w:ind w:firstLine="400" w:firstLineChars="200"/>
        <w:jc w:val="both"/>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1、本项目投标报价采用报折扣率方式（折扣率不得大于100%，例如：90%或91%或92%或95%等；不得在折扣率前填写“±”，例如：不得填报+101%或-101%等，折扣率以1%为间隔）。</w:t>
      </w:r>
    </w:p>
    <w:p w14:paraId="6B8288F3">
      <w:pPr>
        <w:widowControl w:val="0"/>
        <w:autoSpaceDN/>
        <w:spacing w:line="360" w:lineRule="auto"/>
        <w:ind w:firstLine="400" w:firstLineChars="200"/>
        <w:jc w:val="both"/>
        <w:rPr>
          <w:rFonts w:ascii="宋体" w:hAnsi="宋体" w:eastAsia="宋体" w:cs="宋体"/>
          <w:color w:val="auto"/>
          <w:kern w:val="2"/>
          <w:highlight w:val="none"/>
          <w:lang w:eastAsia="zh-CN"/>
        </w:rPr>
      </w:pPr>
      <w:r>
        <w:rPr>
          <w:rFonts w:hint="eastAsia" w:ascii="宋体" w:hAnsi="宋体" w:eastAsia="宋体" w:cs="宋体"/>
          <w:color w:val="auto"/>
          <w:spacing w:val="-5"/>
          <w:highlight w:val="none"/>
          <w:lang w:eastAsia="zh-CN"/>
        </w:rPr>
        <w:t>2、所有</w:t>
      </w:r>
      <w:r>
        <w:rPr>
          <w:rFonts w:hint="eastAsia" w:ascii="宋体" w:hAnsi="宋体" w:eastAsia="宋体" w:cs="宋体"/>
          <w:color w:val="auto"/>
          <w:kern w:val="2"/>
          <w:highlight w:val="none"/>
          <w:lang w:val="en-US" w:eastAsia="zh-CN" w:bidi="ar"/>
        </w:rPr>
        <w:t>货物参照</w:t>
      </w:r>
      <w:r>
        <w:rPr>
          <w:rFonts w:hint="eastAsia" w:ascii="宋体" w:hAnsi="宋体" w:eastAsia="宋体" w:cs="宋体"/>
          <w:color w:val="auto"/>
          <w:kern w:val="2"/>
          <w:highlight w:val="none"/>
          <w:lang w:eastAsia="zh-CN" w:bidi="ar"/>
        </w:rPr>
        <w:t>北园春集团网站（http://www.beiyuanchun.com）公布的价格（中间价）为基准价</w:t>
      </w:r>
      <w:r>
        <w:rPr>
          <w:rFonts w:hint="eastAsia" w:ascii="宋体" w:hAnsi="宋体" w:eastAsia="宋体" w:cs="宋体"/>
          <w:color w:val="auto"/>
          <w:spacing w:val="-5"/>
          <w:highlight w:val="none"/>
          <w:lang w:eastAsia="zh-CN"/>
        </w:rPr>
        <w:t>报折扣率</w:t>
      </w:r>
      <w:r>
        <w:rPr>
          <w:rFonts w:hint="eastAsia" w:ascii="宋体" w:hAnsi="宋体" w:eastAsia="宋体" w:cs="宋体"/>
          <w:color w:val="auto"/>
          <w:kern w:val="2"/>
          <w:highlight w:val="none"/>
          <w:lang w:eastAsia="zh-CN" w:bidi="ar"/>
        </w:rPr>
        <w:t>，如因上述网站信息发布的时效等因素导致该基准价明显高于供货当日实际市场价，需求单位有权与中标人协商对基准价进行下调。若出现上述网站没有信息价（基准价）的产品品目，则由需求单位在新联市场、九鼎农贸市场等大型专业批发市场或大中型商超市场以询价方式确定送货价格</w:t>
      </w:r>
      <w:r>
        <w:rPr>
          <w:rFonts w:hint="eastAsia" w:ascii="宋体" w:hAnsi="宋体" w:eastAsia="宋体" w:cs="宋体"/>
          <w:color w:val="auto"/>
          <w:spacing w:val="-5"/>
          <w:highlight w:val="none"/>
          <w:lang w:eastAsia="zh-CN"/>
        </w:rPr>
        <w:t>(由招标人经三家及以上询价确定</w:t>
      </w:r>
      <w:r>
        <w:rPr>
          <w:rFonts w:hint="eastAsia" w:ascii="宋体" w:hAnsi="宋体" w:eastAsia="宋体" w:cs="宋体"/>
          <w:color w:val="auto"/>
          <w:kern w:val="2"/>
          <w:highlight w:val="none"/>
          <w:lang w:eastAsia="zh-CN" w:bidi="ar"/>
        </w:rPr>
        <w:t>送货单价</w:t>
      </w:r>
      <w:r>
        <w:rPr>
          <w:rFonts w:hint="eastAsia" w:ascii="宋体" w:hAnsi="宋体" w:eastAsia="宋体" w:cs="宋体"/>
          <w:color w:val="auto"/>
          <w:spacing w:val="-5"/>
          <w:highlight w:val="none"/>
          <w:lang w:eastAsia="zh-CN"/>
        </w:rPr>
        <w:t>)</w:t>
      </w:r>
      <w:r>
        <w:rPr>
          <w:rFonts w:hint="eastAsia" w:ascii="宋体" w:hAnsi="宋体" w:eastAsia="宋体" w:cs="宋体"/>
          <w:color w:val="auto"/>
          <w:kern w:val="2"/>
          <w:highlight w:val="none"/>
          <w:lang w:eastAsia="zh-CN" w:bidi="ar"/>
        </w:rPr>
        <w:t>，并以所询价的平均价作为送货单价，周询月结。月底结账时按中标的折扣率统一结算。</w:t>
      </w:r>
    </w:p>
    <w:p w14:paraId="0F7608D3">
      <w:pPr>
        <w:widowControl w:val="0"/>
        <w:autoSpaceDN/>
        <w:spacing w:line="360" w:lineRule="auto"/>
        <w:ind w:firstLine="420" w:firstLineChars="200"/>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3、结算价=基准价×中标折扣率；例如某产品信息价（基准价）为1000元，折扣率为95%，实际付款金额为950元（注：该措辞仅供解释使用，具体投标报价由供应商结合自身情况自主报价）。</w:t>
      </w:r>
    </w:p>
    <w:p w14:paraId="50ABA936">
      <w:pPr>
        <w:pStyle w:val="32"/>
        <w:spacing w:line="360" w:lineRule="auto"/>
        <w:ind w:firstLine="400" w:firstLineChars="200"/>
        <w:jc w:val="both"/>
        <w:rPr>
          <w:color w:val="auto"/>
          <w:spacing w:val="-5"/>
          <w:sz w:val="21"/>
          <w:szCs w:val="21"/>
          <w:highlight w:val="none"/>
          <w:lang w:eastAsia="zh-CN"/>
        </w:rPr>
      </w:pPr>
      <w:r>
        <w:rPr>
          <w:rFonts w:hint="eastAsia"/>
          <w:color w:val="auto"/>
          <w:spacing w:val="-5"/>
          <w:sz w:val="21"/>
          <w:szCs w:val="21"/>
          <w:highlight w:val="none"/>
          <w:lang w:eastAsia="zh-CN"/>
        </w:rPr>
        <w:t>4、本项目投标报价包括货物到达招标人指定地点的全部费用，包括但不限于项目实施所需的货物费、包装运输费、配送费、人工费、装卸费、管理费、利润、税费等一切费用。</w:t>
      </w:r>
    </w:p>
    <w:p w14:paraId="18C90462">
      <w:pPr>
        <w:spacing w:line="360" w:lineRule="auto"/>
        <w:rPr>
          <w:rFonts w:ascii="宋体" w:hAnsi="宋体" w:eastAsia="宋体" w:cs="宋体"/>
          <w:color w:val="auto"/>
          <w:highlight w:val="none"/>
          <w:lang w:eastAsia="zh-CN"/>
        </w:rPr>
      </w:pPr>
      <w:r>
        <w:rPr>
          <w:rFonts w:hint="eastAsia" w:ascii="宋体" w:hAnsi="宋体" w:eastAsia="宋体" w:cs="宋体"/>
          <w:color w:val="auto"/>
          <w:spacing w:val="-5"/>
          <w:highlight w:val="none"/>
          <w:lang w:eastAsia="zh-CN"/>
        </w:rPr>
        <w:t>5、严格开具税务发票，投标报价为含税价格，供应商应按含税金额开具增值税普通发票。</w:t>
      </w:r>
    </w:p>
    <w:p w14:paraId="5336647B">
      <w:pPr>
        <w:pStyle w:val="22"/>
        <w:widowControl w:val="0"/>
        <w:spacing w:beforeAutospacing="0" w:afterAutospacing="0" w:line="360" w:lineRule="auto"/>
        <w:jc w:val="center"/>
        <w:rPr>
          <w:rFonts w:eastAsia="宋体" w:cs="宋体"/>
          <w:b/>
          <w:bCs/>
          <w:color w:val="auto"/>
          <w:sz w:val="21"/>
          <w:szCs w:val="21"/>
          <w:highlight w:val="none"/>
          <w:lang w:bidi="ar"/>
        </w:rPr>
      </w:pPr>
    </w:p>
    <w:p w14:paraId="735A5B38">
      <w:pPr>
        <w:pStyle w:val="10"/>
        <w:pageBreakBefore/>
        <w:spacing w:before="314" w:line="360" w:lineRule="auto"/>
        <w:jc w:val="center"/>
        <w:outlineLvl w:val="0"/>
        <w:rPr>
          <w:rFonts w:ascii="宋体" w:hAnsi="宋体" w:eastAsia="宋体" w:cs="宋体"/>
          <w:b/>
          <w:bCs/>
          <w:color w:val="auto"/>
          <w:spacing w:val="4"/>
          <w:sz w:val="30"/>
          <w:szCs w:val="30"/>
          <w:highlight w:val="none"/>
          <w:lang w:eastAsia="zh-CN"/>
        </w:rPr>
      </w:pPr>
      <w:bookmarkStart w:id="235" w:name="bookmark160"/>
      <w:bookmarkEnd w:id="235"/>
      <w:bookmarkStart w:id="236" w:name="bookmark159"/>
      <w:bookmarkEnd w:id="236"/>
      <w:bookmarkStart w:id="237" w:name="_Toc28055"/>
      <w:r>
        <w:rPr>
          <w:rFonts w:hint="eastAsia" w:ascii="宋体" w:hAnsi="宋体" w:eastAsia="宋体" w:cs="宋体"/>
          <w:b/>
          <w:bCs/>
          <w:color w:val="auto"/>
          <w:spacing w:val="4"/>
          <w:sz w:val="30"/>
          <w:szCs w:val="30"/>
          <w:highlight w:val="none"/>
          <w:lang w:eastAsia="zh-CN"/>
        </w:rPr>
        <w:t>第四章资格审查</w:t>
      </w:r>
      <w:bookmarkEnd w:id="237"/>
    </w:p>
    <w:p w14:paraId="7CA46161">
      <w:pPr>
        <w:spacing w:line="360" w:lineRule="auto"/>
        <w:ind w:left="549"/>
        <w:outlineLvl w:val="1"/>
        <w:rPr>
          <w:rFonts w:ascii="宋体" w:hAnsi="宋体" w:eastAsia="宋体" w:cs="宋体"/>
          <w:color w:val="auto"/>
          <w:sz w:val="24"/>
          <w:szCs w:val="24"/>
          <w:highlight w:val="none"/>
          <w:lang w:eastAsia="zh-CN"/>
        </w:rPr>
      </w:pPr>
      <w:bookmarkStart w:id="238" w:name="bookmark161"/>
      <w:bookmarkEnd w:id="238"/>
      <w:bookmarkStart w:id="239" w:name="_Toc18738"/>
      <w:r>
        <w:rPr>
          <w:rFonts w:hint="eastAsia" w:ascii="宋体" w:hAnsi="宋体" w:eastAsia="宋体" w:cs="宋体"/>
          <w:b/>
          <w:bCs/>
          <w:color w:val="auto"/>
          <w:spacing w:val="5"/>
          <w:sz w:val="24"/>
          <w:szCs w:val="24"/>
          <w:highlight w:val="none"/>
          <w:lang w:eastAsia="zh-CN"/>
        </w:rPr>
        <w:t>一、资格审查程序</w:t>
      </w:r>
      <w:bookmarkEnd w:id="239"/>
    </w:p>
    <w:p w14:paraId="73F2AFC7">
      <w:pPr>
        <w:spacing w:line="360" w:lineRule="auto"/>
        <w:ind w:right="13" w:firstLine="50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 开标结束后，采购人或采购代理机构将根据《资格审查要求》中的规定，</w:t>
      </w:r>
      <w:r>
        <w:rPr>
          <w:rFonts w:hint="eastAsia" w:ascii="宋体" w:hAnsi="宋体" w:eastAsia="宋体" w:cs="宋体"/>
          <w:color w:val="auto"/>
          <w:spacing w:val="-1"/>
          <w:highlight w:val="none"/>
          <w:lang w:eastAsia="zh-CN"/>
        </w:rPr>
        <w:t>对投标人进行资格审查，并形成资格审查结果。</w:t>
      </w:r>
    </w:p>
    <w:p w14:paraId="5126B481">
      <w:pPr>
        <w:spacing w:line="360" w:lineRule="auto"/>
        <w:ind w:right="13" w:firstLine="501"/>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2 投标人《资格证明文件》有任何一项不符合《资格审查要求》的，资格审查不合格，其</w:t>
      </w:r>
      <w:r>
        <w:rPr>
          <w:rFonts w:hint="eastAsia" w:ascii="宋体" w:hAnsi="宋体" w:eastAsia="宋体" w:cs="宋体"/>
          <w:b/>
          <w:color w:val="auto"/>
          <w:spacing w:val="-3"/>
          <w:highlight w:val="none"/>
          <w:lang w:eastAsia="zh-CN"/>
        </w:rPr>
        <w:t>投标无效</w:t>
      </w:r>
      <w:r>
        <w:rPr>
          <w:rFonts w:hint="eastAsia" w:ascii="宋体" w:hAnsi="宋体" w:eastAsia="宋体" w:cs="宋体"/>
          <w:color w:val="auto"/>
          <w:spacing w:val="-3"/>
          <w:highlight w:val="none"/>
          <w:lang w:eastAsia="zh-CN"/>
        </w:rPr>
        <w:t>。</w:t>
      </w:r>
    </w:p>
    <w:p w14:paraId="674BE780">
      <w:pPr>
        <w:spacing w:line="360" w:lineRule="auto"/>
        <w:ind w:right="13" w:firstLine="501"/>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3 资格审查合格的投标人不足 3 家的，不进行评标。</w:t>
      </w:r>
    </w:p>
    <w:p w14:paraId="5E9D7849">
      <w:pPr>
        <w:spacing w:line="360" w:lineRule="auto"/>
        <w:ind w:left="549"/>
        <w:outlineLvl w:val="1"/>
        <w:rPr>
          <w:rFonts w:ascii="宋体" w:hAnsi="宋体" w:eastAsia="宋体" w:cs="宋体"/>
          <w:b/>
          <w:bCs/>
          <w:color w:val="auto"/>
          <w:spacing w:val="5"/>
          <w:highlight w:val="none"/>
        </w:rPr>
      </w:pPr>
      <w:bookmarkStart w:id="240" w:name="bookmark162"/>
      <w:bookmarkEnd w:id="240"/>
      <w:bookmarkStart w:id="241" w:name="_Toc13885"/>
      <w:r>
        <w:rPr>
          <w:rFonts w:hint="eastAsia" w:ascii="宋体" w:hAnsi="宋体" w:eastAsia="宋体" w:cs="宋体"/>
          <w:b/>
          <w:bCs/>
          <w:color w:val="auto"/>
          <w:spacing w:val="5"/>
          <w:highlight w:val="none"/>
        </w:rPr>
        <w:t>二、资格审查要求</w:t>
      </w:r>
      <w:bookmarkEnd w:id="241"/>
    </w:p>
    <w:tbl>
      <w:tblPr>
        <w:tblStyle w:val="24"/>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4"/>
        <w:gridCol w:w="3123"/>
        <w:gridCol w:w="4752"/>
      </w:tblGrid>
      <w:tr w14:paraId="49AC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2" w:hRule="atLeast"/>
        </w:trPr>
        <w:tc>
          <w:tcPr>
            <w:tcW w:w="884" w:type="dxa"/>
            <w:shd w:val="clear" w:color="auto" w:fill="FFFFFF" w:themeFill="background1"/>
            <w:vAlign w:val="center"/>
          </w:tcPr>
          <w:p w14:paraId="08FC69F0">
            <w:pPr>
              <w:pStyle w:val="32"/>
              <w:spacing w:line="360" w:lineRule="auto"/>
              <w:ind w:left="-2"/>
              <w:jc w:val="center"/>
              <w:rPr>
                <w:color w:val="auto"/>
                <w:sz w:val="21"/>
                <w:szCs w:val="21"/>
                <w:highlight w:val="none"/>
              </w:rPr>
            </w:pPr>
            <w:r>
              <w:rPr>
                <w:rFonts w:hint="eastAsia"/>
                <w:b/>
                <w:bCs/>
                <w:color w:val="auto"/>
                <w:spacing w:val="4"/>
                <w:sz w:val="21"/>
                <w:szCs w:val="21"/>
                <w:highlight w:val="none"/>
              </w:rPr>
              <w:t>序号</w:t>
            </w:r>
          </w:p>
        </w:tc>
        <w:tc>
          <w:tcPr>
            <w:tcW w:w="3123" w:type="dxa"/>
            <w:shd w:val="clear" w:color="auto" w:fill="FFFFFF" w:themeFill="background1"/>
            <w:vAlign w:val="center"/>
          </w:tcPr>
          <w:p w14:paraId="7C42FCD0">
            <w:pPr>
              <w:pStyle w:val="32"/>
              <w:spacing w:line="360" w:lineRule="auto"/>
              <w:jc w:val="center"/>
              <w:rPr>
                <w:color w:val="auto"/>
                <w:sz w:val="21"/>
                <w:szCs w:val="21"/>
                <w:highlight w:val="none"/>
              </w:rPr>
            </w:pPr>
            <w:r>
              <w:rPr>
                <w:rFonts w:hint="eastAsia"/>
                <w:b/>
                <w:bCs/>
                <w:color w:val="auto"/>
                <w:spacing w:val="3"/>
                <w:sz w:val="21"/>
                <w:szCs w:val="21"/>
                <w:highlight w:val="none"/>
              </w:rPr>
              <w:t>审查因素</w:t>
            </w:r>
          </w:p>
        </w:tc>
        <w:tc>
          <w:tcPr>
            <w:tcW w:w="4752" w:type="dxa"/>
            <w:shd w:val="clear" w:color="auto" w:fill="FFFFFF" w:themeFill="background1"/>
            <w:vAlign w:val="center"/>
          </w:tcPr>
          <w:p w14:paraId="5A4AF79E">
            <w:pPr>
              <w:pStyle w:val="32"/>
              <w:spacing w:line="360" w:lineRule="auto"/>
              <w:jc w:val="center"/>
              <w:rPr>
                <w:color w:val="auto"/>
                <w:sz w:val="21"/>
                <w:szCs w:val="21"/>
                <w:highlight w:val="none"/>
              </w:rPr>
            </w:pPr>
            <w:r>
              <w:rPr>
                <w:rFonts w:hint="eastAsia"/>
                <w:b/>
                <w:bCs/>
                <w:color w:val="auto"/>
                <w:spacing w:val="3"/>
                <w:sz w:val="21"/>
                <w:szCs w:val="21"/>
                <w:highlight w:val="none"/>
              </w:rPr>
              <w:t>审查内容</w:t>
            </w:r>
          </w:p>
        </w:tc>
      </w:tr>
      <w:tr w14:paraId="38A1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89" w:hRule="atLeast"/>
        </w:trPr>
        <w:tc>
          <w:tcPr>
            <w:tcW w:w="884" w:type="dxa"/>
            <w:vAlign w:val="center"/>
          </w:tcPr>
          <w:p w14:paraId="0A22A370">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1</w:t>
            </w:r>
          </w:p>
        </w:tc>
        <w:tc>
          <w:tcPr>
            <w:tcW w:w="3123" w:type="dxa"/>
            <w:vAlign w:val="center"/>
          </w:tcPr>
          <w:p w14:paraId="0CCA91AF">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具有独立承担民事责任的能力；</w:t>
            </w:r>
          </w:p>
        </w:tc>
        <w:tc>
          <w:tcPr>
            <w:tcW w:w="4752" w:type="dxa"/>
            <w:vAlign w:val="center"/>
          </w:tcPr>
          <w:p w14:paraId="71353FC5">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(1)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p w14:paraId="4C540065">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3BB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66" w:hRule="atLeast"/>
        </w:trPr>
        <w:tc>
          <w:tcPr>
            <w:tcW w:w="884" w:type="dxa"/>
            <w:vAlign w:val="center"/>
          </w:tcPr>
          <w:p w14:paraId="1BCC2060">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2</w:t>
            </w:r>
          </w:p>
        </w:tc>
        <w:tc>
          <w:tcPr>
            <w:tcW w:w="3123" w:type="dxa"/>
            <w:shd w:val="clear" w:color="auto" w:fill="auto"/>
            <w:vAlign w:val="center"/>
          </w:tcPr>
          <w:p w14:paraId="212CA072">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具有良好的商业信誉和健全的财务会计制度；</w:t>
            </w:r>
          </w:p>
        </w:tc>
        <w:tc>
          <w:tcPr>
            <w:tcW w:w="4752" w:type="dxa"/>
            <w:shd w:val="clear" w:color="auto" w:fill="auto"/>
            <w:vAlign w:val="center"/>
          </w:tcPr>
          <w:p w14:paraId="0EE881F8">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1、良好的商业信誉：凡拟参加本次招标项目的供应商，未在“信用中国”网站（www.creditchina.gov.cn）被列入重大税收违法失信主体、政府采购严重违法失信名单的（尚在处罚期内的）、“中国政府采购网”（www.ccgp.gov.cn）被列入政府采购严重违法失信行为记录名单（尚在处罚期内的）以及未被列入“中国执行信息公开网”（http://zxgk.court.gov.cn/）失信被执行人名单。（以递交截止时间点采购代理机构查询为准，供应商无须提供）</w:t>
            </w:r>
          </w:p>
          <w:p w14:paraId="62D173F9">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2、健全的财务会计制度：须提供本单位上一年度由会计师事务所出具的财务审计报告（当上一年度审计报告未出来时，可提供前一年度审计报告），审计报告须包括资产负债表、利润表、现金流量表、所有者权益变动（如有）及其附注。如供应商无法提供上年度审计报告，则需提供开标日前三个月内银行出具的资信证明。如供应商注册成立不足三个月的则提供承诺书（格式自拟）。</w:t>
            </w:r>
          </w:p>
        </w:tc>
      </w:tr>
      <w:tr w14:paraId="58C9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6" w:hRule="atLeast"/>
        </w:trPr>
        <w:tc>
          <w:tcPr>
            <w:tcW w:w="884" w:type="dxa"/>
            <w:vAlign w:val="center"/>
          </w:tcPr>
          <w:p w14:paraId="6B9DA7B2">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3</w:t>
            </w:r>
          </w:p>
        </w:tc>
        <w:tc>
          <w:tcPr>
            <w:tcW w:w="3123" w:type="dxa"/>
            <w:shd w:val="clear" w:color="auto" w:fill="auto"/>
            <w:vAlign w:val="center"/>
          </w:tcPr>
          <w:p w14:paraId="006B31A7">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具有履行合同所必需的设备和专业技术能力；</w:t>
            </w:r>
          </w:p>
        </w:tc>
        <w:tc>
          <w:tcPr>
            <w:tcW w:w="4752" w:type="dxa"/>
            <w:shd w:val="clear" w:color="auto" w:fill="auto"/>
            <w:vAlign w:val="center"/>
          </w:tcPr>
          <w:p w14:paraId="300C58C9">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须提供具备履行合同所必需的设备和专业技术能力的书面声明或证明材料。</w:t>
            </w:r>
          </w:p>
        </w:tc>
      </w:tr>
      <w:tr w14:paraId="5231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56" w:hRule="atLeast"/>
        </w:trPr>
        <w:tc>
          <w:tcPr>
            <w:tcW w:w="884" w:type="dxa"/>
            <w:vAlign w:val="center"/>
          </w:tcPr>
          <w:p w14:paraId="1C4E0B2D">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4</w:t>
            </w:r>
          </w:p>
        </w:tc>
        <w:tc>
          <w:tcPr>
            <w:tcW w:w="3123" w:type="dxa"/>
            <w:shd w:val="clear" w:color="auto" w:fill="auto"/>
            <w:vAlign w:val="center"/>
          </w:tcPr>
          <w:p w14:paraId="0BF1F43F">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有依法缴纳税收和社会保障资金的良好记录；</w:t>
            </w:r>
          </w:p>
        </w:tc>
        <w:tc>
          <w:tcPr>
            <w:tcW w:w="4752" w:type="dxa"/>
            <w:shd w:val="clear" w:color="auto" w:fill="auto"/>
            <w:vAlign w:val="center"/>
          </w:tcPr>
          <w:p w14:paraId="0CA0E1C1">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1.须提供投标文件递交截止日期之前六个月内任何一期的纳税记录或证明材料（依法免税的应提供相应文件说明），如供应商注册成立不足三个月的则提供承诺书（自拟）。</w:t>
            </w:r>
          </w:p>
          <w:p w14:paraId="22D5DBE0">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2.须提供投标文件递交截止日期之前六个月内为员工缴纳社会保障资金的证明材料（任意一个月即可），证明材料是缴纳社会保险的凭据（专用收据或社会保险缴纳清单或银行回单等）（依法不需要缴纳社会保障资金的应提供相应文件说明）；如供应商注册成立不足三个月的则提供承诺书（自拟）。</w:t>
            </w:r>
          </w:p>
        </w:tc>
      </w:tr>
      <w:tr w14:paraId="073F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4" w:hRule="atLeast"/>
        </w:trPr>
        <w:tc>
          <w:tcPr>
            <w:tcW w:w="884" w:type="dxa"/>
            <w:vAlign w:val="center"/>
          </w:tcPr>
          <w:p w14:paraId="4747B588">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5</w:t>
            </w:r>
          </w:p>
        </w:tc>
        <w:tc>
          <w:tcPr>
            <w:tcW w:w="3123" w:type="dxa"/>
            <w:shd w:val="clear" w:color="auto" w:fill="auto"/>
            <w:vAlign w:val="center"/>
          </w:tcPr>
          <w:p w14:paraId="507B1F41">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参加投标活动前三年内，在经营活动中没有重大违法记录；</w:t>
            </w:r>
          </w:p>
        </w:tc>
        <w:tc>
          <w:tcPr>
            <w:tcW w:w="4752" w:type="dxa"/>
            <w:shd w:val="clear" w:color="auto" w:fill="auto"/>
            <w:vAlign w:val="center"/>
          </w:tcPr>
          <w:p w14:paraId="4A48508D">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须提供：书面声明（供应商自行承诺并承担后果，声明不实的，按《政府采购法》及相关法律法规中提供虚假材料的有关规定处理。</w:t>
            </w:r>
          </w:p>
        </w:tc>
      </w:tr>
      <w:tr w14:paraId="677A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0" w:hRule="atLeast"/>
        </w:trPr>
        <w:tc>
          <w:tcPr>
            <w:tcW w:w="884" w:type="dxa"/>
            <w:vAlign w:val="center"/>
          </w:tcPr>
          <w:p w14:paraId="412F98AE">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6</w:t>
            </w:r>
          </w:p>
        </w:tc>
        <w:tc>
          <w:tcPr>
            <w:tcW w:w="3123" w:type="dxa"/>
            <w:vAlign w:val="center"/>
          </w:tcPr>
          <w:p w14:paraId="64C51A1E">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法律、行政法规规定的其他条件。</w:t>
            </w:r>
          </w:p>
        </w:tc>
        <w:tc>
          <w:tcPr>
            <w:tcW w:w="4752" w:type="dxa"/>
            <w:vAlign w:val="center"/>
          </w:tcPr>
          <w:p w14:paraId="5CA700AC">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须提供：承诺函（供应商自行承诺并承担后果，声明函不实的，按《政府采购法》及相关法律法规中提供虚假材料的有关规定处理）。</w:t>
            </w:r>
          </w:p>
        </w:tc>
      </w:tr>
      <w:tr w14:paraId="0F91C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70" w:hRule="atLeast"/>
        </w:trPr>
        <w:tc>
          <w:tcPr>
            <w:tcW w:w="884" w:type="dxa"/>
            <w:vAlign w:val="center"/>
          </w:tcPr>
          <w:p w14:paraId="54E3D35E">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7</w:t>
            </w:r>
          </w:p>
        </w:tc>
        <w:tc>
          <w:tcPr>
            <w:tcW w:w="3123" w:type="dxa"/>
            <w:vAlign w:val="center"/>
          </w:tcPr>
          <w:p w14:paraId="34A587E1">
            <w:pPr>
              <w:pStyle w:val="32"/>
              <w:spacing w:line="360" w:lineRule="auto"/>
              <w:ind w:left="-4" w:leftChars="-2"/>
              <w:rPr>
                <w:rFonts w:hint="eastAsia"/>
                <w:color w:val="auto"/>
                <w:spacing w:val="13"/>
                <w:sz w:val="21"/>
                <w:szCs w:val="21"/>
                <w:highlight w:val="none"/>
                <w:lang w:eastAsia="zh-CN"/>
              </w:rPr>
            </w:pPr>
            <w:r>
              <w:rPr>
                <w:rFonts w:hint="eastAsia"/>
                <w:color w:val="auto"/>
                <w:spacing w:val="13"/>
                <w:sz w:val="21"/>
                <w:szCs w:val="21"/>
                <w:highlight w:val="none"/>
                <w:lang w:eastAsia="zh-CN"/>
              </w:rPr>
              <w:t>采购项目需要落实的政府采购政策:本项目</w:t>
            </w:r>
            <w:r>
              <w:rPr>
                <w:rFonts w:hint="eastAsia"/>
                <w:color w:val="auto"/>
                <w:spacing w:val="13"/>
                <w:sz w:val="21"/>
                <w:szCs w:val="21"/>
                <w:highlight w:val="none"/>
                <w:lang w:val="en-US" w:eastAsia="zh-CN"/>
              </w:rPr>
              <w:t>专门面向中小企业采购。</w:t>
            </w:r>
          </w:p>
        </w:tc>
        <w:tc>
          <w:tcPr>
            <w:tcW w:w="4752" w:type="dxa"/>
            <w:vAlign w:val="center"/>
          </w:tcPr>
          <w:p w14:paraId="76EF4810">
            <w:pPr>
              <w:pStyle w:val="32"/>
              <w:spacing w:line="360" w:lineRule="auto"/>
              <w:ind w:left="-4" w:leftChars="-2"/>
              <w:rPr>
                <w:rFonts w:hint="eastAsia"/>
                <w:color w:val="auto"/>
                <w:spacing w:val="13"/>
                <w:sz w:val="21"/>
                <w:szCs w:val="21"/>
                <w:highlight w:val="none"/>
                <w:lang w:eastAsia="zh-CN"/>
              </w:rPr>
            </w:pPr>
            <w:r>
              <w:rPr>
                <w:rFonts w:hint="eastAsia"/>
                <w:color w:val="auto"/>
                <w:spacing w:val="13"/>
                <w:sz w:val="21"/>
                <w:szCs w:val="21"/>
                <w:highlight w:val="none"/>
                <w:lang w:eastAsia="zh-CN"/>
              </w:rPr>
              <w:t>请根据要求</w:t>
            </w:r>
            <w:r>
              <w:rPr>
                <w:rFonts w:hint="eastAsia"/>
                <w:color w:val="auto"/>
                <w:spacing w:val="13"/>
                <w:sz w:val="21"/>
                <w:szCs w:val="21"/>
                <w:highlight w:val="none"/>
                <w:lang w:val="en-US" w:eastAsia="zh-CN"/>
              </w:rPr>
              <w:t>落实政府采购政策</w:t>
            </w:r>
            <w:r>
              <w:rPr>
                <w:rFonts w:hint="eastAsia"/>
                <w:color w:val="auto"/>
                <w:spacing w:val="13"/>
                <w:sz w:val="21"/>
                <w:szCs w:val="21"/>
                <w:highlight w:val="none"/>
                <w:lang w:eastAsia="zh-CN"/>
              </w:rPr>
              <w:t>提供《中小企业声明函》。“提供的《中小企业声明函》须符合《政府采购促进中小企业发展管理办法》，否则不得享受相关中小企业扶持政策。”</w:t>
            </w:r>
          </w:p>
          <w:p w14:paraId="28E82F03">
            <w:pPr>
              <w:pStyle w:val="32"/>
              <w:spacing w:line="360" w:lineRule="auto"/>
              <w:ind w:left="-4" w:leftChars="-2"/>
              <w:rPr>
                <w:rFonts w:hint="eastAsia"/>
                <w:color w:val="auto"/>
                <w:spacing w:val="13"/>
                <w:sz w:val="21"/>
                <w:szCs w:val="21"/>
                <w:highlight w:val="none"/>
                <w:lang w:eastAsia="zh-CN"/>
              </w:rPr>
            </w:pPr>
            <w:r>
              <w:rPr>
                <w:rFonts w:hint="eastAsia"/>
                <w:color w:val="auto"/>
                <w:spacing w:val="13"/>
                <w:sz w:val="21"/>
                <w:szCs w:val="21"/>
                <w:highlight w:val="none"/>
                <w:lang w:eastAsia="zh-CN"/>
              </w:rPr>
              <w:t>本项目</w:t>
            </w:r>
            <w:r>
              <w:rPr>
                <w:rFonts w:hint="eastAsia"/>
                <w:color w:val="auto"/>
                <w:spacing w:val="13"/>
                <w:sz w:val="21"/>
                <w:szCs w:val="21"/>
                <w:highlight w:val="none"/>
                <w:lang w:val="en-US" w:eastAsia="zh-CN"/>
              </w:rPr>
              <w:t>专门面向中小企业采购；</w:t>
            </w:r>
            <w:r>
              <w:rPr>
                <w:rFonts w:hint="eastAsia"/>
                <w:color w:val="auto"/>
                <w:spacing w:val="13"/>
                <w:sz w:val="21"/>
                <w:szCs w:val="21"/>
                <w:highlight w:val="none"/>
                <w:lang w:eastAsia="zh-CN"/>
              </w:rPr>
              <w:t>不提供或未按要求提供会被否决。</w:t>
            </w:r>
          </w:p>
        </w:tc>
      </w:tr>
    </w:tbl>
    <w:p w14:paraId="0ECD5EB3">
      <w:pPr>
        <w:spacing w:line="360" w:lineRule="auto"/>
        <w:rPr>
          <w:rFonts w:ascii="宋体" w:hAnsi="宋体" w:eastAsia="宋体" w:cs="宋体"/>
          <w:b/>
          <w:bCs/>
          <w:color w:val="auto"/>
          <w:spacing w:val="5"/>
          <w:highlight w:val="none"/>
          <w:lang w:eastAsia="zh-CN"/>
        </w:rPr>
      </w:pPr>
    </w:p>
    <w:p w14:paraId="07B15269">
      <w:pPr>
        <w:pStyle w:val="10"/>
        <w:pageBreakBefore/>
        <w:spacing w:before="313" w:line="360" w:lineRule="auto"/>
        <w:jc w:val="center"/>
        <w:outlineLvl w:val="0"/>
        <w:rPr>
          <w:rFonts w:ascii="宋体" w:hAnsi="宋体" w:eastAsia="宋体" w:cs="宋体"/>
          <w:color w:val="auto"/>
          <w:sz w:val="30"/>
          <w:szCs w:val="30"/>
          <w:highlight w:val="none"/>
          <w:lang w:eastAsia="zh-CN"/>
        </w:rPr>
      </w:pPr>
      <w:bookmarkStart w:id="242" w:name="bookmark164"/>
      <w:bookmarkEnd w:id="242"/>
      <w:bookmarkStart w:id="243" w:name="bookmark196"/>
      <w:bookmarkEnd w:id="243"/>
      <w:bookmarkStart w:id="244" w:name="bookmark163"/>
      <w:bookmarkEnd w:id="244"/>
      <w:bookmarkStart w:id="245" w:name="bookmark166"/>
      <w:bookmarkEnd w:id="245"/>
      <w:bookmarkStart w:id="246" w:name="bookmark194"/>
      <w:bookmarkEnd w:id="246"/>
      <w:bookmarkStart w:id="247" w:name="_Toc30458"/>
      <w:r>
        <w:rPr>
          <w:rFonts w:hint="eastAsia" w:ascii="宋体" w:hAnsi="宋体" w:eastAsia="宋体" w:cs="宋体"/>
          <w:b/>
          <w:bCs/>
          <w:color w:val="auto"/>
          <w:spacing w:val="5"/>
          <w:sz w:val="30"/>
          <w:szCs w:val="30"/>
          <w:highlight w:val="none"/>
          <w:lang w:eastAsia="zh-CN"/>
        </w:rPr>
        <w:t>第五章评标方法及标准(综合评分法)</w:t>
      </w:r>
      <w:bookmarkEnd w:id="247"/>
    </w:p>
    <w:p w14:paraId="3C3D8B4C">
      <w:pPr>
        <w:spacing w:line="360" w:lineRule="auto"/>
        <w:ind w:left="24" w:right="13" w:firstLine="479"/>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根据《中华人民共和国政府采购法》及其实施条例、《政府采购</w:t>
      </w:r>
      <w:r>
        <w:rPr>
          <w:rFonts w:hint="eastAsia" w:ascii="宋体" w:hAnsi="宋体" w:eastAsia="宋体" w:cs="宋体"/>
          <w:color w:val="auto"/>
          <w:spacing w:val="-4"/>
          <w:highlight w:val="none"/>
          <w:lang w:eastAsia="zh-CN"/>
        </w:rPr>
        <w:t>货物和服务</w:t>
      </w:r>
      <w:r>
        <w:rPr>
          <w:rFonts w:hint="eastAsia" w:ascii="宋体" w:hAnsi="宋体" w:eastAsia="宋体" w:cs="宋体"/>
          <w:color w:val="auto"/>
          <w:spacing w:val="-1"/>
          <w:highlight w:val="none"/>
          <w:lang w:eastAsia="zh-CN"/>
        </w:rPr>
        <w:t>招标投标管理办法》及相关法律法规确定以下评标方法及标准。</w:t>
      </w:r>
    </w:p>
    <w:p w14:paraId="76957D66">
      <w:pPr>
        <w:spacing w:line="360" w:lineRule="auto"/>
        <w:ind w:left="31"/>
        <w:outlineLvl w:val="1"/>
        <w:rPr>
          <w:rFonts w:ascii="宋体" w:hAnsi="宋体" w:eastAsia="宋体" w:cs="宋体"/>
          <w:color w:val="auto"/>
          <w:highlight w:val="none"/>
          <w:lang w:eastAsia="zh-CN"/>
        </w:rPr>
      </w:pPr>
      <w:bookmarkStart w:id="248" w:name="bookmark165"/>
      <w:bookmarkEnd w:id="248"/>
      <w:bookmarkStart w:id="249" w:name="_Toc18135"/>
      <w:r>
        <w:rPr>
          <w:rFonts w:hint="eastAsia" w:ascii="宋体" w:hAnsi="宋体" w:eastAsia="宋体" w:cs="宋体"/>
          <w:b/>
          <w:bCs/>
          <w:color w:val="auto"/>
          <w:spacing w:val="4"/>
          <w:highlight w:val="none"/>
          <w:lang w:eastAsia="zh-CN"/>
        </w:rPr>
        <w:t>一、评标方法</w:t>
      </w:r>
      <w:bookmarkEnd w:id="249"/>
    </w:p>
    <w:p w14:paraId="0B9EABBD">
      <w:pPr>
        <w:spacing w:line="360" w:lineRule="auto"/>
        <w:ind w:left="24" w:right="13" w:firstLine="496"/>
        <w:jc w:val="both"/>
        <w:rPr>
          <w:rFonts w:ascii="宋体" w:hAnsi="宋体" w:eastAsia="宋体" w:cs="宋体"/>
          <w:color w:val="auto"/>
          <w:highlight w:val="none"/>
          <w:lang w:eastAsia="zh-CN"/>
        </w:rPr>
      </w:pPr>
      <w:r>
        <w:rPr>
          <w:rFonts w:hint="eastAsia" w:ascii="宋体" w:hAnsi="宋体" w:eastAsia="宋体" w:cs="宋体"/>
          <w:color w:val="auto"/>
          <w:spacing w:val="-4"/>
          <w:highlight w:val="none"/>
          <w:lang w:eastAsia="zh-CN"/>
        </w:rPr>
        <w:t>1.</w:t>
      </w:r>
      <w:r>
        <w:rPr>
          <w:rFonts w:hint="eastAsia" w:ascii="宋体" w:hAnsi="宋体" w:eastAsia="宋体" w:cs="宋体"/>
          <w:b/>
          <w:bCs/>
          <w:color w:val="auto"/>
          <w:spacing w:val="-4"/>
          <w:highlight w:val="none"/>
          <w:lang w:eastAsia="zh-CN"/>
        </w:rPr>
        <w:t>本项目采用综合评分法</w:t>
      </w:r>
      <w:r>
        <w:rPr>
          <w:rFonts w:hint="eastAsia" w:ascii="宋体" w:hAnsi="宋体" w:eastAsia="宋体" w:cs="宋体"/>
          <w:color w:val="auto"/>
          <w:spacing w:val="-4"/>
          <w:highlight w:val="none"/>
          <w:lang w:eastAsia="zh-CN"/>
        </w:rPr>
        <w:t>。综合评分法，是指投标</w:t>
      </w:r>
      <w:r>
        <w:rPr>
          <w:rFonts w:hint="eastAsia" w:ascii="宋体" w:hAnsi="宋体" w:eastAsia="宋体" w:cs="宋体"/>
          <w:color w:val="auto"/>
          <w:spacing w:val="-5"/>
          <w:highlight w:val="none"/>
          <w:lang w:eastAsia="zh-CN"/>
        </w:rPr>
        <w:t>文件满足招标文件全部实</w:t>
      </w:r>
      <w:r>
        <w:rPr>
          <w:rFonts w:hint="eastAsia" w:ascii="宋体" w:hAnsi="宋体" w:eastAsia="宋体" w:cs="宋体"/>
          <w:color w:val="auto"/>
          <w:spacing w:val="-3"/>
          <w:highlight w:val="none"/>
          <w:lang w:eastAsia="zh-CN"/>
        </w:rPr>
        <w:t>质性要求，且按照评审因素的量化指标评审得分最高的投标人为中标候选人的评标方法。</w:t>
      </w:r>
    </w:p>
    <w:p w14:paraId="0CCCE84F">
      <w:pPr>
        <w:spacing w:line="360" w:lineRule="auto"/>
        <w:ind w:left="31"/>
        <w:outlineLvl w:val="1"/>
        <w:rPr>
          <w:rFonts w:ascii="宋体" w:hAnsi="宋体" w:eastAsia="宋体" w:cs="宋体"/>
          <w:color w:val="auto"/>
          <w:highlight w:val="none"/>
          <w:lang w:eastAsia="zh-CN"/>
        </w:rPr>
      </w:pPr>
      <w:bookmarkStart w:id="250" w:name="bookmark167"/>
      <w:bookmarkEnd w:id="250"/>
      <w:bookmarkStart w:id="251" w:name="_Toc25589"/>
      <w:r>
        <w:rPr>
          <w:rFonts w:hint="eastAsia" w:ascii="宋体" w:hAnsi="宋体" w:eastAsia="宋体" w:cs="宋体"/>
          <w:b/>
          <w:bCs/>
          <w:color w:val="auto"/>
          <w:spacing w:val="4"/>
          <w:highlight w:val="none"/>
          <w:lang w:eastAsia="zh-CN"/>
        </w:rPr>
        <w:t>二、评标程序</w:t>
      </w:r>
      <w:bookmarkEnd w:id="251"/>
    </w:p>
    <w:p w14:paraId="668D2853">
      <w:pPr>
        <w:spacing w:line="360" w:lineRule="auto"/>
        <w:ind w:left="38"/>
        <w:outlineLvl w:val="2"/>
        <w:rPr>
          <w:rFonts w:ascii="宋体" w:hAnsi="宋体" w:eastAsia="宋体" w:cs="宋体"/>
          <w:color w:val="auto"/>
          <w:highlight w:val="none"/>
          <w:lang w:eastAsia="zh-CN"/>
        </w:rPr>
      </w:pPr>
      <w:bookmarkStart w:id="252" w:name="bookmark168"/>
      <w:bookmarkEnd w:id="252"/>
      <w:bookmarkStart w:id="253" w:name="_Toc23982"/>
      <w:bookmarkStart w:id="254" w:name="_Toc186477754"/>
      <w:r>
        <w:rPr>
          <w:rFonts w:hint="eastAsia" w:ascii="宋体" w:hAnsi="宋体" w:eastAsia="宋体" w:cs="宋体"/>
          <w:b/>
          <w:bCs/>
          <w:color w:val="auto"/>
          <w:spacing w:val="-6"/>
          <w:highlight w:val="none"/>
          <w:lang w:eastAsia="zh-CN"/>
        </w:rPr>
        <w:t>（一）符合性审查</w:t>
      </w:r>
      <w:bookmarkEnd w:id="253"/>
      <w:bookmarkEnd w:id="254"/>
    </w:p>
    <w:p w14:paraId="16C0693D">
      <w:pPr>
        <w:spacing w:line="360" w:lineRule="auto"/>
        <w:ind w:left="23" w:right="13" w:firstLine="48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2.评标委员会应当对通过资格审查的投标人的投标文件进行符合</w:t>
      </w:r>
      <w:r>
        <w:rPr>
          <w:rFonts w:hint="eastAsia" w:ascii="宋体" w:hAnsi="宋体" w:eastAsia="宋体" w:cs="宋体"/>
          <w:color w:val="auto"/>
          <w:spacing w:val="-4"/>
          <w:highlight w:val="none"/>
          <w:lang w:eastAsia="zh-CN"/>
        </w:rPr>
        <w:t>性审查，以</w:t>
      </w:r>
      <w:r>
        <w:rPr>
          <w:rFonts w:hint="eastAsia" w:ascii="宋体" w:hAnsi="宋体" w:eastAsia="宋体" w:cs="宋体"/>
          <w:color w:val="auto"/>
          <w:spacing w:val="-3"/>
          <w:highlight w:val="none"/>
          <w:lang w:eastAsia="zh-CN"/>
        </w:rPr>
        <w:t>确定其是否满足招标文件的实质性要求。投标人必须通过符合性审查的全部评审</w:t>
      </w:r>
      <w:r>
        <w:rPr>
          <w:rFonts w:hint="eastAsia" w:ascii="宋体" w:hAnsi="宋体" w:eastAsia="宋体" w:cs="宋体"/>
          <w:color w:val="auto"/>
          <w:spacing w:val="-4"/>
          <w:highlight w:val="none"/>
          <w:lang w:eastAsia="zh-CN"/>
        </w:rPr>
        <w:t>指标，不满足招标文件的实质性要求的，其</w:t>
      </w:r>
      <w:r>
        <w:rPr>
          <w:rFonts w:hint="eastAsia" w:ascii="宋体" w:hAnsi="宋体" w:eastAsia="宋体" w:cs="宋体"/>
          <w:b/>
          <w:bCs/>
          <w:color w:val="auto"/>
          <w:spacing w:val="-4"/>
          <w:highlight w:val="none"/>
          <w:lang w:eastAsia="zh-CN"/>
        </w:rPr>
        <w:t>投标无效</w:t>
      </w:r>
      <w:r>
        <w:rPr>
          <w:rFonts w:hint="eastAsia" w:ascii="宋体" w:hAnsi="宋体" w:eastAsia="宋体" w:cs="宋体"/>
          <w:color w:val="auto"/>
          <w:spacing w:val="-4"/>
          <w:highlight w:val="none"/>
          <w:lang w:eastAsia="zh-CN"/>
        </w:rPr>
        <w:t>。具体内容详</w:t>
      </w:r>
      <w:r>
        <w:rPr>
          <w:rFonts w:hint="eastAsia" w:ascii="宋体" w:hAnsi="宋体" w:eastAsia="宋体" w:cs="宋体"/>
          <w:color w:val="auto"/>
          <w:spacing w:val="-5"/>
          <w:highlight w:val="none"/>
          <w:lang w:eastAsia="zh-CN"/>
        </w:rPr>
        <w:t>本章“四、评</w:t>
      </w:r>
      <w:r>
        <w:rPr>
          <w:rFonts w:hint="eastAsia" w:ascii="宋体" w:hAnsi="宋体" w:eastAsia="宋体" w:cs="宋体"/>
          <w:color w:val="auto"/>
          <w:spacing w:val="-3"/>
          <w:highlight w:val="none"/>
          <w:lang w:eastAsia="zh-CN"/>
        </w:rPr>
        <w:t>标标准”中的“（一）符合性审查”。</w:t>
      </w:r>
    </w:p>
    <w:p w14:paraId="39D10C9C">
      <w:pPr>
        <w:spacing w:line="360" w:lineRule="auto"/>
        <w:ind w:left="38"/>
        <w:outlineLvl w:val="2"/>
        <w:rPr>
          <w:rFonts w:ascii="宋体" w:hAnsi="宋体" w:eastAsia="宋体" w:cs="宋体"/>
          <w:color w:val="auto"/>
          <w:highlight w:val="none"/>
          <w:lang w:eastAsia="zh-CN"/>
        </w:rPr>
      </w:pPr>
      <w:bookmarkStart w:id="255" w:name="bookmark199"/>
      <w:bookmarkEnd w:id="255"/>
      <w:bookmarkStart w:id="256" w:name="bookmark169"/>
      <w:bookmarkEnd w:id="256"/>
      <w:bookmarkStart w:id="257" w:name="bookmark170"/>
      <w:bookmarkEnd w:id="257"/>
      <w:bookmarkStart w:id="258" w:name="bookmark200"/>
      <w:bookmarkEnd w:id="258"/>
      <w:bookmarkStart w:id="259" w:name="_Toc186477755"/>
      <w:bookmarkStart w:id="260" w:name="_Toc22454"/>
      <w:r>
        <w:rPr>
          <w:rFonts w:hint="eastAsia" w:ascii="宋体" w:hAnsi="宋体" w:eastAsia="宋体" w:cs="宋体"/>
          <w:b/>
          <w:bCs/>
          <w:color w:val="auto"/>
          <w:spacing w:val="-5"/>
          <w:highlight w:val="none"/>
          <w:lang w:eastAsia="zh-CN"/>
        </w:rPr>
        <w:t>（二）投标文件澄清及修正</w:t>
      </w:r>
      <w:bookmarkEnd w:id="259"/>
      <w:bookmarkEnd w:id="260"/>
    </w:p>
    <w:p w14:paraId="06911FE1">
      <w:pPr>
        <w:spacing w:line="360" w:lineRule="auto"/>
        <w:ind w:left="22" w:right="13" w:firstLine="485"/>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3.评标期间，对于投标文件中含义不明确、同类问题表述不</w:t>
      </w:r>
      <w:r>
        <w:rPr>
          <w:rFonts w:hint="eastAsia" w:ascii="宋体" w:hAnsi="宋体" w:eastAsia="宋体" w:cs="宋体"/>
          <w:color w:val="auto"/>
          <w:spacing w:val="-4"/>
          <w:highlight w:val="none"/>
          <w:lang w:eastAsia="zh-CN"/>
        </w:rPr>
        <w:t>一致或者有明显</w:t>
      </w:r>
      <w:r>
        <w:rPr>
          <w:rFonts w:hint="eastAsia" w:ascii="宋体" w:hAnsi="宋体" w:eastAsia="宋体" w:cs="宋体"/>
          <w:color w:val="auto"/>
          <w:spacing w:val="-3"/>
          <w:highlight w:val="none"/>
          <w:lang w:eastAsia="zh-CN"/>
        </w:rPr>
        <w:t>文字和计算错误的内容需要投标人作出必要的澄清、说明或者补正的，评标委员会应当在政采云平台评标系统中以书面形式要求投标人作出必要的澄清、说明或者补正。</w:t>
      </w:r>
    </w:p>
    <w:p w14:paraId="4B3592ED">
      <w:pPr>
        <w:spacing w:line="360" w:lineRule="auto"/>
        <w:ind w:left="23" w:right="13" w:firstLine="479"/>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4.投标人应按照评标委员会要求在规定时间内作出澄清、说明或者补正</w:t>
      </w:r>
      <w:r>
        <w:rPr>
          <w:rFonts w:hint="eastAsia" w:ascii="宋体" w:hAnsi="宋体" w:eastAsia="宋体" w:cs="宋体"/>
          <w:color w:val="auto"/>
          <w:spacing w:val="-4"/>
          <w:highlight w:val="none"/>
          <w:lang w:eastAsia="zh-CN"/>
        </w:rPr>
        <w:t>，澄</w:t>
      </w:r>
      <w:r>
        <w:rPr>
          <w:rFonts w:hint="eastAsia" w:ascii="宋体" w:hAnsi="宋体" w:eastAsia="宋体" w:cs="宋体"/>
          <w:color w:val="auto"/>
          <w:highlight w:val="none"/>
          <w:lang w:eastAsia="zh-CN"/>
        </w:rPr>
        <w:t>清、说明或者补正不得超出投标文件的范围或者改变</w:t>
      </w:r>
      <w:r>
        <w:rPr>
          <w:rFonts w:hint="eastAsia" w:ascii="宋体" w:hAnsi="宋体" w:eastAsia="宋体" w:cs="宋体"/>
          <w:color w:val="auto"/>
          <w:spacing w:val="-1"/>
          <w:highlight w:val="none"/>
          <w:lang w:eastAsia="zh-CN"/>
        </w:rPr>
        <w:t>投标文件的实质性内容。</w:t>
      </w:r>
    </w:p>
    <w:p w14:paraId="4EC3562D">
      <w:pPr>
        <w:spacing w:line="360" w:lineRule="auto"/>
        <w:ind w:left="26" w:right="13" w:firstLine="48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5.投标人的澄清、说明或者补正是其投标文件的有效组成部</w:t>
      </w:r>
      <w:r>
        <w:rPr>
          <w:rFonts w:hint="eastAsia" w:ascii="宋体" w:hAnsi="宋体" w:eastAsia="宋体" w:cs="宋体"/>
          <w:color w:val="auto"/>
          <w:spacing w:val="-4"/>
          <w:highlight w:val="none"/>
          <w:lang w:eastAsia="zh-CN"/>
        </w:rPr>
        <w:t>分，澄清、说明</w:t>
      </w:r>
      <w:r>
        <w:rPr>
          <w:rFonts w:hint="eastAsia" w:ascii="宋体" w:hAnsi="宋体" w:eastAsia="宋体" w:cs="宋体"/>
          <w:color w:val="auto"/>
          <w:spacing w:val="-1"/>
          <w:highlight w:val="none"/>
          <w:lang w:eastAsia="zh-CN"/>
        </w:rPr>
        <w:t>或者补正应当在政采云平台评标系统中加盖电子印章后提交。</w:t>
      </w:r>
    </w:p>
    <w:p w14:paraId="103C8046">
      <w:pPr>
        <w:spacing w:line="360" w:lineRule="auto"/>
        <w:ind w:left="24" w:right="13" w:firstLine="480"/>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6.报价合理性说明：评标委员会认为投标人的报价明显低于其他通</w:t>
      </w:r>
      <w:r>
        <w:rPr>
          <w:rFonts w:hint="eastAsia" w:ascii="宋体" w:hAnsi="宋体" w:eastAsia="宋体" w:cs="宋体"/>
          <w:color w:val="auto"/>
          <w:spacing w:val="-4"/>
          <w:highlight w:val="none"/>
          <w:lang w:eastAsia="zh-CN"/>
        </w:rPr>
        <w:t>过符合性</w:t>
      </w:r>
      <w:r>
        <w:rPr>
          <w:rFonts w:hint="eastAsia" w:ascii="宋体" w:hAnsi="宋体" w:eastAsia="宋体" w:cs="宋体"/>
          <w:color w:val="auto"/>
          <w:spacing w:val="-3"/>
          <w:highlight w:val="none"/>
          <w:lang w:eastAsia="zh-CN"/>
        </w:rPr>
        <w:t>审查投标人的报价，有可能影响货物质量或者不能诚信履约的，应当要求该投标人在合理的时间内提供说明，必要时提交相关证明材料；若投标人不能证明其报</w:t>
      </w:r>
      <w:r>
        <w:rPr>
          <w:rFonts w:hint="eastAsia" w:ascii="宋体" w:hAnsi="宋体" w:eastAsia="宋体" w:cs="宋体"/>
          <w:color w:val="auto"/>
          <w:spacing w:val="-1"/>
          <w:highlight w:val="none"/>
          <w:lang w:eastAsia="zh-CN"/>
        </w:rPr>
        <w:t>价合理性的，评标委员会应当将其作为</w:t>
      </w:r>
      <w:r>
        <w:rPr>
          <w:rFonts w:hint="eastAsia" w:ascii="宋体" w:hAnsi="宋体" w:eastAsia="宋体" w:cs="宋体"/>
          <w:b/>
          <w:bCs/>
          <w:color w:val="auto"/>
          <w:spacing w:val="-1"/>
          <w:highlight w:val="none"/>
          <w:lang w:eastAsia="zh-CN"/>
        </w:rPr>
        <w:t>无效投标</w:t>
      </w:r>
      <w:r>
        <w:rPr>
          <w:rFonts w:hint="eastAsia" w:ascii="宋体" w:hAnsi="宋体" w:eastAsia="宋体" w:cs="宋体"/>
          <w:color w:val="auto"/>
          <w:spacing w:val="-1"/>
          <w:highlight w:val="none"/>
          <w:lang w:eastAsia="zh-CN"/>
        </w:rPr>
        <w:t>处理。</w:t>
      </w:r>
    </w:p>
    <w:p w14:paraId="6A31E7D2">
      <w:pPr>
        <w:spacing w:line="360" w:lineRule="auto"/>
        <w:ind w:left="23" w:right="208" w:firstLine="485"/>
        <w:jc w:val="both"/>
        <w:rPr>
          <w:rFonts w:ascii="宋体" w:hAnsi="宋体" w:eastAsia="宋体" w:cs="宋体"/>
          <w:color w:val="auto"/>
          <w:highlight w:val="none"/>
          <w:lang w:eastAsia="zh-CN"/>
        </w:rPr>
      </w:pPr>
      <w:bookmarkStart w:id="261" w:name="bookmark281"/>
      <w:bookmarkEnd w:id="261"/>
      <w:r>
        <w:rPr>
          <w:rFonts w:hint="eastAsia" w:ascii="宋体" w:hAnsi="宋体" w:eastAsia="宋体" w:cs="宋体"/>
          <w:color w:val="auto"/>
          <w:spacing w:val="-3"/>
          <w:highlight w:val="none"/>
          <w:lang w:eastAsia="zh-CN"/>
        </w:rPr>
        <w:t>7.投标报价须包含招标文件全部内容，如分项报价表有缺</w:t>
      </w:r>
      <w:r>
        <w:rPr>
          <w:rFonts w:hint="eastAsia" w:ascii="宋体" w:hAnsi="宋体" w:eastAsia="宋体" w:cs="宋体"/>
          <w:color w:val="auto"/>
          <w:spacing w:val="-4"/>
          <w:highlight w:val="none"/>
          <w:lang w:eastAsia="zh-CN"/>
        </w:rPr>
        <w:t>漏视为已含在其他</w:t>
      </w:r>
      <w:r>
        <w:rPr>
          <w:rFonts w:hint="eastAsia" w:ascii="宋体" w:hAnsi="宋体" w:eastAsia="宋体" w:cs="宋体"/>
          <w:color w:val="auto"/>
          <w:spacing w:val="-3"/>
          <w:highlight w:val="none"/>
          <w:lang w:eastAsia="zh-CN"/>
        </w:rPr>
        <w:t>各项报价中，将不对投标总价进行调整。评标委员会有权要求投标人在评标现场合理的时间内对此进行书面确认，投标人不确认的，视为将一个采购包中的内容</w:t>
      </w:r>
      <w:r>
        <w:rPr>
          <w:rFonts w:hint="eastAsia" w:ascii="宋体" w:hAnsi="宋体" w:eastAsia="宋体" w:cs="宋体"/>
          <w:color w:val="auto"/>
          <w:spacing w:val="-2"/>
          <w:highlight w:val="none"/>
          <w:lang w:eastAsia="zh-CN"/>
        </w:rPr>
        <w:t>拆分投标，其</w:t>
      </w:r>
      <w:r>
        <w:rPr>
          <w:rFonts w:hint="eastAsia" w:ascii="宋体" w:hAnsi="宋体" w:eastAsia="宋体" w:cs="宋体"/>
          <w:b/>
          <w:bCs/>
          <w:color w:val="auto"/>
          <w:spacing w:val="-2"/>
          <w:highlight w:val="none"/>
          <w:lang w:eastAsia="zh-CN"/>
        </w:rPr>
        <w:t>投标无效</w:t>
      </w:r>
      <w:r>
        <w:rPr>
          <w:rFonts w:hint="eastAsia" w:ascii="宋体" w:hAnsi="宋体" w:eastAsia="宋体" w:cs="宋体"/>
          <w:color w:val="auto"/>
          <w:spacing w:val="-2"/>
          <w:highlight w:val="none"/>
          <w:lang w:eastAsia="zh-CN"/>
        </w:rPr>
        <w:t>。</w:t>
      </w:r>
    </w:p>
    <w:p w14:paraId="56766BDA">
      <w:pPr>
        <w:spacing w:line="360" w:lineRule="auto"/>
        <w:ind w:left="23" w:right="208" w:firstLine="480"/>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8.投标文件报价出现前后不一致的，除招标文件另有规定外，按照下</w:t>
      </w:r>
      <w:r>
        <w:rPr>
          <w:rFonts w:hint="eastAsia" w:ascii="宋体" w:hAnsi="宋体" w:eastAsia="宋体" w:cs="宋体"/>
          <w:color w:val="auto"/>
          <w:spacing w:val="-4"/>
          <w:highlight w:val="none"/>
          <w:lang w:eastAsia="zh-CN"/>
        </w:rPr>
        <w:t>列规定修正：</w:t>
      </w:r>
    </w:p>
    <w:p w14:paraId="6BB6DF6B">
      <w:pPr>
        <w:spacing w:line="360" w:lineRule="auto"/>
        <w:ind w:left="50" w:right="147" w:firstLine="453"/>
        <w:rPr>
          <w:rFonts w:ascii="宋体" w:hAnsi="宋体" w:eastAsia="宋体" w:cs="宋体"/>
          <w:color w:val="auto"/>
          <w:highlight w:val="none"/>
          <w:lang w:eastAsia="zh-CN"/>
        </w:rPr>
      </w:pPr>
      <w:r>
        <w:rPr>
          <w:rFonts w:hint="eastAsia" w:ascii="宋体" w:hAnsi="宋体" w:eastAsia="宋体" w:cs="宋体"/>
          <w:color w:val="auto"/>
          <w:spacing w:val="-7"/>
          <w:highlight w:val="none"/>
          <w:lang w:eastAsia="zh-CN"/>
        </w:rPr>
        <w:t>8.1投标文件中开标一览表（报价表）内容与投标文件中相应内容不一致的，</w:t>
      </w:r>
      <w:r>
        <w:rPr>
          <w:rFonts w:hint="eastAsia" w:ascii="宋体" w:hAnsi="宋体" w:eastAsia="宋体" w:cs="宋体"/>
          <w:color w:val="auto"/>
          <w:spacing w:val="-3"/>
          <w:highlight w:val="none"/>
          <w:lang w:eastAsia="zh-CN"/>
        </w:rPr>
        <w:t>以开标一览表（报价表）为准；</w:t>
      </w:r>
    </w:p>
    <w:p w14:paraId="1AFE63FF">
      <w:pPr>
        <w:spacing w:line="360" w:lineRule="auto"/>
        <w:ind w:left="50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8.2大写金额和小写金额不一致的，以大写金额为准；</w:t>
      </w:r>
    </w:p>
    <w:p w14:paraId="132198D1">
      <w:pPr>
        <w:spacing w:line="360" w:lineRule="auto"/>
        <w:ind w:left="29" w:right="233" w:firstLine="475"/>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8.3单价金额小数点或者百分比有明显错位</w:t>
      </w:r>
      <w:r>
        <w:rPr>
          <w:rFonts w:hint="eastAsia" w:ascii="宋体" w:hAnsi="宋体" w:eastAsia="宋体" w:cs="宋体"/>
          <w:color w:val="auto"/>
          <w:spacing w:val="-3"/>
          <w:highlight w:val="none"/>
          <w:lang w:eastAsia="zh-CN"/>
        </w:rPr>
        <w:t>的，以开标一览表的总价为准，并修改单价；</w:t>
      </w:r>
    </w:p>
    <w:p w14:paraId="7BDC99AF">
      <w:pPr>
        <w:spacing w:line="360" w:lineRule="auto"/>
        <w:ind w:left="50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8.4总价金额与按单价汇总金额不一致的，以单价金额计算结果为准。</w:t>
      </w:r>
    </w:p>
    <w:p w14:paraId="56E20376">
      <w:pPr>
        <w:spacing w:line="360" w:lineRule="auto"/>
        <w:ind w:left="23" w:right="208" w:firstLine="503"/>
        <w:jc w:val="both"/>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同时出现两种以上不一致的，按照8.1—8.4的顺序修正。修正后</w:t>
      </w:r>
      <w:r>
        <w:rPr>
          <w:rFonts w:hint="eastAsia" w:ascii="宋体" w:hAnsi="宋体" w:eastAsia="宋体" w:cs="宋体"/>
          <w:color w:val="auto"/>
          <w:spacing w:val="-3"/>
          <w:highlight w:val="none"/>
          <w:lang w:eastAsia="zh-CN"/>
        </w:rPr>
        <w:t>的报价采用书面形式，并加盖公章，或者由法定代表人或其授权的代表签字，经投标人确</w:t>
      </w:r>
      <w:r>
        <w:rPr>
          <w:rFonts w:hint="eastAsia" w:ascii="宋体" w:hAnsi="宋体" w:eastAsia="宋体" w:cs="宋体"/>
          <w:color w:val="auto"/>
          <w:spacing w:val="-1"/>
          <w:highlight w:val="none"/>
          <w:lang w:eastAsia="zh-CN"/>
        </w:rPr>
        <w:t>认后产生约束力，投标人不确认的，其</w:t>
      </w:r>
      <w:r>
        <w:rPr>
          <w:rFonts w:hint="eastAsia" w:ascii="宋体" w:hAnsi="宋体" w:eastAsia="宋体" w:cs="宋体"/>
          <w:b/>
          <w:bCs/>
          <w:color w:val="auto"/>
          <w:spacing w:val="-1"/>
          <w:highlight w:val="none"/>
          <w:lang w:eastAsia="zh-CN"/>
        </w:rPr>
        <w:t>投标无效</w:t>
      </w:r>
      <w:r>
        <w:rPr>
          <w:rFonts w:hint="eastAsia" w:ascii="宋体" w:hAnsi="宋体" w:eastAsia="宋体" w:cs="宋体"/>
          <w:color w:val="auto"/>
          <w:spacing w:val="-1"/>
          <w:highlight w:val="none"/>
          <w:lang w:eastAsia="zh-CN"/>
        </w:rPr>
        <w:t>。</w:t>
      </w:r>
    </w:p>
    <w:p w14:paraId="3CEB3C71">
      <w:pPr>
        <w:spacing w:line="360" w:lineRule="auto"/>
        <w:ind w:left="38"/>
        <w:outlineLvl w:val="2"/>
        <w:rPr>
          <w:rFonts w:ascii="宋体" w:hAnsi="宋体" w:eastAsia="宋体" w:cs="宋体"/>
          <w:color w:val="auto"/>
          <w:highlight w:val="none"/>
          <w:lang w:eastAsia="zh-CN"/>
        </w:rPr>
      </w:pPr>
      <w:bookmarkStart w:id="262" w:name="bookmark171"/>
      <w:bookmarkEnd w:id="262"/>
      <w:bookmarkStart w:id="263" w:name="_Toc25777"/>
      <w:bookmarkStart w:id="264" w:name="_Toc186477756"/>
      <w:r>
        <w:rPr>
          <w:rFonts w:hint="eastAsia" w:ascii="宋体" w:hAnsi="宋体" w:eastAsia="宋体" w:cs="宋体"/>
          <w:b/>
          <w:bCs/>
          <w:color w:val="auto"/>
          <w:spacing w:val="-6"/>
          <w:highlight w:val="none"/>
          <w:lang w:eastAsia="zh-CN"/>
        </w:rPr>
        <w:t>（三）比较与评价</w:t>
      </w:r>
      <w:bookmarkEnd w:id="263"/>
      <w:bookmarkEnd w:id="264"/>
    </w:p>
    <w:p w14:paraId="35A73C80">
      <w:pPr>
        <w:spacing w:line="360" w:lineRule="auto"/>
        <w:ind w:left="22" w:right="208" w:firstLine="481"/>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9.评标委员会应当按照招标文件中规定的评标方法和标准，对符合性</w:t>
      </w:r>
      <w:r>
        <w:rPr>
          <w:rFonts w:hint="eastAsia" w:ascii="宋体" w:hAnsi="宋体" w:eastAsia="宋体" w:cs="宋体"/>
          <w:color w:val="auto"/>
          <w:spacing w:val="-4"/>
          <w:highlight w:val="none"/>
          <w:lang w:eastAsia="zh-CN"/>
        </w:rPr>
        <w:t>审查合</w:t>
      </w:r>
      <w:r>
        <w:rPr>
          <w:rFonts w:hint="eastAsia" w:ascii="宋体" w:hAnsi="宋体" w:eastAsia="宋体" w:cs="宋体"/>
          <w:color w:val="auto"/>
          <w:spacing w:val="-3"/>
          <w:highlight w:val="none"/>
          <w:lang w:eastAsia="zh-CN"/>
        </w:rPr>
        <w:t>格的投标文件进行商务和技术评估，综合比较与评价；未通过符合性审查的投标文件不得进入比较与评价。评审因素包括投标报价、商务技术以及落实政府采购</w:t>
      </w:r>
      <w:r>
        <w:rPr>
          <w:rFonts w:hint="eastAsia" w:ascii="宋体" w:hAnsi="宋体" w:eastAsia="宋体" w:cs="宋体"/>
          <w:color w:val="auto"/>
          <w:spacing w:val="-2"/>
          <w:highlight w:val="none"/>
          <w:lang w:eastAsia="zh-CN"/>
        </w:rPr>
        <w:t>政策。评审因素及标准见本章“四、评标标准”。</w:t>
      </w:r>
    </w:p>
    <w:p w14:paraId="2295BABB">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10.相同品牌处理原则</w:t>
      </w:r>
    </w:p>
    <w:p w14:paraId="31E97A87">
      <w:pPr>
        <w:spacing w:line="360" w:lineRule="auto"/>
        <w:ind w:left="26" w:right="208" w:firstLine="494"/>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10.1单一产品采购（或非单一产品采购中的核心产品</w:t>
      </w:r>
      <w:r>
        <w:rPr>
          <w:rFonts w:hint="eastAsia" w:ascii="宋体" w:hAnsi="宋体" w:eastAsia="宋体" w:cs="宋体"/>
          <w:color w:val="auto"/>
          <w:spacing w:val="12"/>
          <w:highlight w:val="none"/>
          <w:lang w:eastAsia="zh-CN"/>
        </w:rPr>
        <w:t>），</w:t>
      </w:r>
      <w:r>
        <w:rPr>
          <w:rFonts w:hint="eastAsia" w:ascii="宋体" w:hAnsi="宋体" w:eastAsia="宋体" w:cs="宋体"/>
          <w:color w:val="auto"/>
          <w:spacing w:val="-2"/>
          <w:highlight w:val="none"/>
          <w:lang w:eastAsia="zh-CN"/>
        </w:rPr>
        <w:t>提供相同品牌产</w:t>
      </w:r>
      <w:r>
        <w:rPr>
          <w:rFonts w:hint="eastAsia" w:ascii="宋体" w:hAnsi="宋体" w:eastAsia="宋体" w:cs="宋体"/>
          <w:color w:val="auto"/>
          <w:spacing w:val="-3"/>
          <w:highlight w:val="none"/>
          <w:lang w:eastAsia="zh-CN"/>
        </w:rPr>
        <w:t>品且通过资格审查、符合性审查的不同投标人参加同一合同项下投标的，按</w:t>
      </w:r>
      <w:r>
        <w:rPr>
          <w:rFonts w:hint="eastAsia" w:ascii="宋体" w:hAnsi="宋体" w:eastAsia="宋体" w:cs="宋体"/>
          <w:color w:val="auto"/>
          <w:spacing w:val="-4"/>
          <w:highlight w:val="none"/>
          <w:lang w:eastAsia="zh-CN"/>
        </w:rPr>
        <w:t>一家</w:t>
      </w:r>
      <w:r>
        <w:rPr>
          <w:rFonts w:hint="eastAsia" w:ascii="宋体" w:hAnsi="宋体" w:eastAsia="宋体" w:cs="宋体"/>
          <w:color w:val="auto"/>
          <w:spacing w:val="-3"/>
          <w:highlight w:val="none"/>
          <w:lang w:eastAsia="zh-CN"/>
        </w:rPr>
        <w:t>投标人计算。</w:t>
      </w:r>
    </w:p>
    <w:p w14:paraId="4B639D00">
      <w:pPr>
        <w:spacing w:line="360" w:lineRule="auto"/>
        <w:ind w:left="24" w:firstLine="49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10.2非单一产品采购项目，采购人应当根据采购项目技</w:t>
      </w:r>
      <w:r>
        <w:rPr>
          <w:rFonts w:hint="eastAsia" w:ascii="宋体" w:hAnsi="宋体" w:eastAsia="宋体" w:cs="宋体"/>
          <w:color w:val="auto"/>
          <w:spacing w:val="-2"/>
          <w:highlight w:val="none"/>
          <w:lang w:eastAsia="zh-CN"/>
        </w:rPr>
        <w:t>术构成、产品价格</w:t>
      </w:r>
      <w:r>
        <w:rPr>
          <w:rFonts w:hint="eastAsia" w:ascii="宋体" w:hAnsi="宋体" w:eastAsia="宋体" w:cs="宋体"/>
          <w:color w:val="auto"/>
          <w:spacing w:val="-4"/>
          <w:highlight w:val="none"/>
          <w:lang w:eastAsia="zh-CN"/>
        </w:rPr>
        <w:t>比重等合理确定核心产品（采购清单中作“与核心产品相同〈或同一〉品牌”实</w:t>
      </w:r>
      <w:r>
        <w:rPr>
          <w:rFonts w:hint="eastAsia" w:ascii="宋体" w:hAnsi="宋体" w:eastAsia="宋体" w:cs="宋体"/>
          <w:color w:val="auto"/>
          <w:spacing w:val="1"/>
          <w:highlight w:val="none"/>
          <w:lang w:eastAsia="zh-CN"/>
        </w:rPr>
        <w:t>质性要求的产品，视为核心产品</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1"/>
          <w:highlight w:val="none"/>
          <w:lang w:eastAsia="zh-CN"/>
        </w:rPr>
        <w:t>并以“核心产品”在“</w:t>
      </w:r>
      <w:r>
        <w:rPr>
          <w:rFonts w:hint="eastAsia" w:ascii="宋体" w:hAnsi="宋体" w:eastAsia="宋体" w:cs="宋体"/>
          <w:color w:val="auto"/>
          <w:highlight w:val="none"/>
          <w:lang w:eastAsia="zh-CN"/>
        </w:rPr>
        <w:t>投标人须知前附表”</w:t>
      </w:r>
      <w:r>
        <w:rPr>
          <w:rFonts w:hint="eastAsia" w:ascii="宋体" w:hAnsi="宋体" w:eastAsia="宋体" w:cs="宋体"/>
          <w:color w:val="auto"/>
          <w:spacing w:val="-1"/>
          <w:highlight w:val="none"/>
          <w:lang w:eastAsia="zh-CN"/>
        </w:rPr>
        <w:t>中载明，评审时按前款规定处理。</w:t>
      </w:r>
    </w:p>
    <w:p w14:paraId="1CDCC5BD">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10.3有效投标品牌不足3家的应按</w:t>
      </w:r>
      <w:r>
        <w:rPr>
          <w:rFonts w:hint="eastAsia" w:ascii="宋体" w:hAnsi="宋体" w:eastAsia="宋体" w:cs="宋体"/>
          <w:b/>
          <w:bCs/>
          <w:color w:val="auto"/>
          <w:spacing w:val="-3"/>
          <w:highlight w:val="none"/>
          <w:lang w:eastAsia="zh-CN"/>
        </w:rPr>
        <w:t>废标</w:t>
      </w:r>
      <w:r>
        <w:rPr>
          <w:rFonts w:hint="eastAsia" w:ascii="宋体" w:hAnsi="宋体" w:eastAsia="宋体" w:cs="宋体"/>
          <w:color w:val="auto"/>
          <w:spacing w:val="-4"/>
          <w:highlight w:val="none"/>
          <w:lang w:eastAsia="zh-CN"/>
        </w:rPr>
        <w:t>处理。</w:t>
      </w:r>
    </w:p>
    <w:p w14:paraId="6A9AFFB3">
      <w:pPr>
        <w:spacing w:line="360" w:lineRule="auto"/>
        <w:ind w:left="38"/>
        <w:outlineLvl w:val="2"/>
        <w:rPr>
          <w:rFonts w:ascii="宋体" w:hAnsi="宋体" w:eastAsia="宋体" w:cs="宋体"/>
          <w:color w:val="auto"/>
          <w:highlight w:val="none"/>
          <w:lang w:eastAsia="zh-CN"/>
        </w:rPr>
      </w:pPr>
      <w:bookmarkStart w:id="265" w:name="bookmark172"/>
      <w:bookmarkEnd w:id="265"/>
      <w:bookmarkStart w:id="266" w:name="bookmark282"/>
      <w:bookmarkEnd w:id="266"/>
      <w:bookmarkStart w:id="267" w:name="_Toc31351"/>
      <w:bookmarkStart w:id="268" w:name="_Toc186477757"/>
      <w:r>
        <w:rPr>
          <w:rFonts w:hint="eastAsia" w:ascii="宋体" w:hAnsi="宋体" w:eastAsia="宋体" w:cs="宋体"/>
          <w:b/>
          <w:bCs/>
          <w:color w:val="auto"/>
          <w:spacing w:val="-6"/>
          <w:highlight w:val="none"/>
          <w:lang w:eastAsia="zh-CN"/>
        </w:rPr>
        <w:t>（四）报价评审</w:t>
      </w:r>
      <w:bookmarkEnd w:id="267"/>
      <w:bookmarkEnd w:id="268"/>
    </w:p>
    <w:p w14:paraId="68FC9D63">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4"/>
          <w:highlight w:val="none"/>
          <w:lang w:eastAsia="zh-CN"/>
        </w:rPr>
        <w:t>11.投标报价评审</w:t>
      </w:r>
    </w:p>
    <w:p w14:paraId="43062D22">
      <w:pPr>
        <w:spacing w:line="360" w:lineRule="auto"/>
        <w:ind w:left="22" w:right="53" w:firstLine="498"/>
        <w:rPr>
          <w:rFonts w:ascii="宋体" w:hAnsi="宋体" w:eastAsia="宋体" w:cs="宋体"/>
          <w:color w:val="auto"/>
          <w:highlight w:val="none"/>
          <w:lang w:eastAsia="zh-CN"/>
        </w:rPr>
      </w:pPr>
      <w:r>
        <w:rPr>
          <w:rFonts w:hint="eastAsia" w:ascii="宋体" w:hAnsi="宋体" w:eastAsia="宋体" w:cs="宋体"/>
          <w:color w:val="auto"/>
          <w:spacing w:val="-4"/>
          <w:highlight w:val="none"/>
          <w:lang w:eastAsia="zh-CN"/>
        </w:rPr>
        <w:t>11.1货物项目的价格分值占总分值的比重不得低于30%。</w:t>
      </w:r>
      <w:r>
        <w:rPr>
          <w:rFonts w:hint="eastAsia" w:ascii="宋体" w:hAnsi="宋体" w:eastAsia="宋体" w:cs="宋体"/>
          <w:color w:val="auto"/>
          <w:spacing w:val="-5"/>
          <w:highlight w:val="none"/>
          <w:lang w:eastAsia="zh-CN"/>
        </w:rPr>
        <w:t>执行国家统一定价</w:t>
      </w:r>
      <w:r>
        <w:rPr>
          <w:rFonts w:hint="eastAsia" w:ascii="宋体" w:hAnsi="宋体" w:eastAsia="宋体" w:cs="宋体"/>
          <w:color w:val="auto"/>
          <w:spacing w:val="-3"/>
          <w:highlight w:val="none"/>
          <w:lang w:eastAsia="zh-CN"/>
        </w:rPr>
        <w:t>标准和采用固定价格采购的项目，其价格不列为评审因素。价格分应当采用低价优先法计算，即满足招标文件要求且投标价格最低的投标报价为评标基准价，其</w:t>
      </w:r>
      <w:r>
        <w:rPr>
          <w:rFonts w:hint="eastAsia" w:ascii="宋体" w:hAnsi="宋体" w:eastAsia="宋体" w:cs="宋体"/>
          <w:color w:val="auto"/>
          <w:spacing w:val="-1"/>
          <w:highlight w:val="none"/>
          <w:lang w:eastAsia="zh-CN"/>
        </w:rPr>
        <w:t>价格分为满分。其他投标人的价格分统一按照下列公式计算：</w:t>
      </w:r>
    </w:p>
    <w:p w14:paraId="5476F00D">
      <w:pPr>
        <w:spacing w:line="360" w:lineRule="auto"/>
        <w:ind w:left="502" w:right="2160" w:firstLine="3"/>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投标报价得分=(评标基准价／投标报价)×价格分值</w:t>
      </w:r>
    </w:p>
    <w:p w14:paraId="3AF3FB41">
      <w:pPr>
        <w:spacing w:line="360" w:lineRule="auto"/>
        <w:ind w:left="502" w:right="2160" w:firstLine="3"/>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评标过程中，不得去掉报价中的最高报价和最低报</w:t>
      </w:r>
      <w:r>
        <w:rPr>
          <w:rFonts w:hint="eastAsia" w:ascii="宋体" w:hAnsi="宋体" w:eastAsia="宋体" w:cs="宋体"/>
          <w:color w:val="auto"/>
          <w:spacing w:val="-3"/>
          <w:highlight w:val="none"/>
          <w:lang w:eastAsia="zh-CN"/>
        </w:rPr>
        <w:t>价。</w:t>
      </w:r>
    </w:p>
    <w:p w14:paraId="5465E5D8">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11.2除算术修正和落实政府采购政策的价格扣除外，不对投标报价进行调整；</w:t>
      </w:r>
    </w:p>
    <w:p w14:paraId="754315B7">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11.3价格分值见本章“四、评标标准”。</w:t>
      </w:r>
    </w:p>
    <w:p w14:paraId="6E71E1C1">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11.4 报价合理性说明：</w:t>
      </w:r>
    </w:p>
    <w:p w14:paraId="577221DA">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评审中出现下列情形之一的，评审委员会应当启动异常低价投标（响应）审查程序：</w:t>
      </w:r>
    </w:p>
    <w:p w14:paraId="2B844DA0">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6.1.1投标（响应）报价低于全部通过符合性审查供应商投标（响应）报价平均值50%的，即投标（响应）报价＜全部通过符合性审查供应商投标（响应）报价平均值×50%；</w:t>
      </w:r>
    </w:p>
    <w:p w14:paraId="28F5AF58">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6.1.2投标（响应）报价低于通过符合性审查的次低报价供应商投标（响应）报价50%的，即投标（响应）报价＜通过符合性审查的次低报价供应商投标（响应）报价×50%；</w:t>
      </w:r>
    </w:p>
    <w:p w14:paraId="52191C23">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6.1.3投标（响应）报价低于采购项目最高限价45%的，即投标（响应）报价＜采购项目最高限价×45%；</w:t>
      </w:r>
    </w:p>
    <w:p w14:paraId="5CB3459D">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6.1.4评审委员会基于专业判断，认为供应商报价过低，有可能影响产品质量或者不能诚信履约的其他情形。</w:t>
      </w:r>
    </w:p>
    <w:p w14:paraId="44877D4C">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采购人可以结合具体项目实际情况，提高上述第6.1.1项至第6.1.3项中启动异常低价投标（响应）审查的数值标准，但是最高不得超过65%。</w:t>
      </w:r>
      <w:r>
        <w:rPr>
          <w:rFonts w:hint="eastAsia" w:ascii="宋体" w:hAnsi="宋体" w:eastAsia="宋体" w:cs="宋体"/>
          <w:b/>
          <w:bCs/>
          <w:color w:val="auto"/>
          <w:spacing w:val="-4"/>
          <w:highlight w:val="none"/>
          <w:lang w:eastAsia="zh-CN"/>
        </w:rPr>
        <w:t>本项目6.1.1至6.1.3项的数值标准修改为6</w:t>
      </w:r>
      <w:r>
        <w:rPr>
          <w:rFonts w:hint="eastAsia" w:ascii="宋体" w:hAnsi="宋体" w:eastAsia="宋体" w:cs="宋体"/>
          <w:b/>
          <w:bCs/>
          <w:color w:val="auto"/>
          <w:spacing w:val="-4"/>
          <w:highlight w:val="none"/>
          <w:lang w:val="en-US" w:eastAsia="zh-CN"/>
        </w:rPr>
        <w:t>5</w:t>
      </w:r>
      <w:r>
        <w:rPr>
          <w:rFonts w:hint="eastAsia" w:ascii="宋体" w:hAnsi="宋体" w:eastAsia="宋体" w:cs="宋体"/>
          <w:b/>
          <w:bCs/>
          <w:color w:val="auto"/>
          <w:spacing w:val="-4"/>
          <w:highlight w:val="none"/>
          <w:lang w:eastAsia="zh-CN"/>
        </w:rPr>
        <w:t>%。</w:t>
      </w:r>
    </w:p>
    <w:p w14:paraId="5A570A75">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相关法律法规对供应商报价有规定的，从其规定。</w:t>
      </w:r>
    </w:p>
    <w:p w14:paraId="1C3AB8FB">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6.2 评审委员会启动异常低价投标（响应）审查后，属于前述第6.1.1项至第6.1.4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6.1.3项情形，供应商已随投标（响应）文件一并提交相关书面说明及必要的证明材料的，在评审现场可不再重复提交。</w:t>
      </w:r>
    </w:p>
    <w:p w14:paraId="1DDFDB07">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FDC1FC">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供应商也可以有预见性地准备好上述要求的书面说明和相关证明材料并加盖公章。</w:t>
      </w:r>
    </w:p>
    <w:p w14:paraId="23EC9904">
      <w:pPr>
        <w:spacing w:line="360" w:lineRule="auto"/>
        <w:ind w:left="22" w:right="53" w:firstLine="498"/>
        <w:rPr>
          <w:rFonts w:ascii="宋体" w:hAnsi="宋体" w:eastAsia="宋体" w:cs="宋体"/>
          <w:b w:val="0"/>
          <w:bCs w:val="0"/>
          <w:color w:val="auto"/>
          <w:spacing w:val="-4"/>
          <w:highlight w:val="none"/>
          <w:lang w:eastAsia="zh-CN"/>
        </w:rPr>
      </w:pPr>
      <w:r>
        <w:rPr>
          <w:rFonts w:hint="eastAsia"/>
          <w:b w:val="0"/>
          <w:bCs w:val="0"/>
          <w:color w:val="auto"/>
          <w:spacing w:val="-5"/>
          <w:highlight w:val="none"/>
          <w:lang w:eastAsia="zh-CN"/>
        </w:rPr>
        <w:t>注：本项目计算报价合理性时根据投标人填报的折扣率计算，例如：本项目投标折扣率设置的最高限价为100%，根据上述1.3项的规定，采购项目最低折扣率限价为6</w:t>
      </w:r>
      <w:r>
        <w:rPr>
          <w:rFonts w:hint="eastAsia"/>
          <w:b w:val="0"/>
          <w:bCs w:val="0"/>
          <w:color w:val="auto"/>
          <w:spacing w:val="-5"/>
          <w:highlight w:val="none"/>
          <w:lang w:val="en-US" w:eastAsia="zh-CN"/>
        </w:rPr>
        <w:t>5</w:t>
      </w:r>
      <w:r>
        <w:rPr>
          <w:rFonts w:hint="eastAsia"/>
          <w:b w:val="0"/>
          <w:bCs w:val="0"/>
          <w:color w:val="auto"/>
          <w:spacing w:val="-5"/>
          <w:highlight w:val="none"/>
          <w:lang w:eastAsia="zh-CN"/>
        </w:rPr>
        <w:t>%，如果投标人填报的折扣率数值低于6</w:t>
      </w:r>
      <w:r>
        <w:rPr>
          <w:rFonts w:hint="eastAsia"/>
          <w:b w:val="0"/>
          <w:bCs w:val="0"/>
          <w:color w:val="auto"/>
          <w:spacing w:val="-5"/>
          <w:highlight w:val="none"/>
          <w:lang w:val="en-US" w:eastAsia="zh-CN"/>
        </w:rPr>
        <w:t>5</w:t>
      </w:r>
      <w:r>
        <w:rPr>
          <w:rFonts w:hint="eastAsia"/>
          <w:b w:val="0"/>
          <w:bCs w:val="0"/>
          <w:color w:val="auto"/>
          <w:spacing w:val="-5"/>
          <w:highlight w:val="none"/>
          <w:lang w:eastAsia="zh-CN"/>
        </w:rPr>
        <w:t>%（例如：折扣率</w:t>
      </w:r>
      <w:r>
        <w:rPr>
          <w:rFonts w:hint="eastAsia"/>
          <w:b w:val="0"/>
          <w:bCs w:val="0"/>
          <w:color w:val="auto"/>
          <w:spacing w:val="-5"/>
          <w:highlight w:val="none"/>
          <w:lang w:val="en-US" w:eastAsia="zh-CN"/>
        </w:rPr>
        <w:t>59</w:t>
      </w:r>
      <w:r>
        <w:rPr>
          <w:rFonts w:hint="eastAsia"/>
          <w:b w:val="0"/>
          <w:bCs w:val="0"/>
          <w:color w:val="auto"/>
          <w:spacing w:val="-5"/>
          <w:highlight w:val="none"/>
          <w:lang w:eastAsia="zh-CN"/>
        </w:rPr>
        <w:t>%是低于6</w:t>
      </w:r>
      <w:r>
        <w:rPr>
          <w:rFonts w:hint="eastAsia"/>
          <w:b w:val="0"/>
          <w:bCs w:val="0"/>
          <w:color w:val="auto"/>
          <w:spacing w:val="-5"/>
          <w:highlight w:val="none"/>
          <w:lang w:val="en-US" w:eastAsia="zh-CN"/>
        </w:rPr>
        <w:t>5</w:t>
      </w:r>
      <w:r>
        <w:rPr>
          <w:rFonts w:hint="eastAsia"/>
          <w:b w:val="0"/>
          <w:bCs w:val="0"/>
          <w:color w:val="auto"/>
          <w:spacing w:val="-5"/>
          <w:highlight w:val="none"/>
          <w:lang w:eastAsia="zh-CN"/>
        </w:rPr>
        <w:t>%），将会对该投标人启动异常低价投标（响应）审查程序。</w:t>
      </w:r>
    </w:p>
    <w:p w14:paraId="4FCB9791">
      <w:pPr>
        <w:spacing w:line="360" w:lineRule="auto"/>
        <w:ind w:left="521" w:right="3540"/>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12.政府采购政策评审</w:t>
      </w:r>
    </w:p>
    <w:p w14:paraId="61DF0A7F">
      <w:pPr>
        <w:spacing w:line="360" w:lineRule="auto"/>
        <w:ind w:left="22" w:right="53" w:firstLine="498"/>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12.1非专门面向中小企业的采购项目或采购包，对符合规定的小微企业（含</w:t>
      </w:r>
      <w:r>
        <w:rPr>
          <w:rFonts w:hint="eastAsia" w:ascii="宋体" w:hAnsi="宋体" w:eastAsia="宋体" w:cs="宋体"/>
          <w:color w:val="auto"/>
          <w:spacing w:val="-3"/>
          <w:highlight w:val="none"/>
          <w:lang w:eastAsia="zh-CN"/>
        </w:rPr>
        <w:t>监狱企业、残疾人福利性单位、联合体各方均为小微企业的联合体、符合小微企业划分标准的个体工商户视同小微企业）报价按照本招标文件“投标人须知前附</w:t>
      </w:r>
      <w:r>
        <w:rPr>
          <w:rFonts w:hint="eastAsia" w:ascii="宋体" w:hAnsi="宋体" w:eastAsia="宋体" w:cs="宋体"/>
          <w:color w:val="auto"/>
          <w:spacing w:val="-4"/>
          <w:highlight w:val="none"/>
          <w:lang w:eastAsia="zh-CN"/>
        </w:rPr>
        <w:t>表”中的规定扣除，对小微企业中的监狱企业、残疾人福利性单位、采购产品纳</w:t>
      </w:r>
      <w:r>
        <w:rPr>
          <w:rFonts w:hint="eastAsia" w:ascii="宋体" w:hAnsi="宋体" w:eastAsia="宋体" w:cs="宋体"/>
          <w:color w:val="auto"/>
          <w:spacing w:val="-3"/>
          <w:highlight w:val="none"/>
          <w:lang w:eastAsia="zh-CN"/>
        </w:rPr>
        <w:t>入创新产品应用示范推荐目录内企业、采购产品获得节能产品或环境标志产品认</w:t>
      </w:r>
      <w:r>
        <w:rPr>
          <w:rFonts w:hint="eastAsia" w:ascii="宋体" w:hAnsi="宋体" w:eastAsia="宋体" w:cs="宋体"/>
          <w:color w:val="auto"/>
          <w:spacing w:val="-4"/>
          <w:highlight w:val="none"/>
          <w:lang w:eastAsia="zh-CN"/>
        </w:rPr>
        <w:t>证证书的企业报价按照本招标文件“投标人须知前附表”中的规定扣除，用扣除</w:t>
      </w:r>
      <w:r>
        <w:rPr>
          <w:rFonts w:hint="eastAsia" w:ascii="宋体" w:hAnsi="宋体" w:eastAsia="宋体" w:cs="宋体"/>
          <w:color w:val="auto"/>
          <w:spacing w:val="-1"/>
          <w:highlight w:val="none"/>
          <w:lang w:eastAsia="zh-CN"/>
        </w:rPr>
        <w:t>后的价格计算评审基准价。</w:t>
      </w:r>
    </w:p>
    <w:p w14:paraId="47C63C06">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12.2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中的两种及以上，将不重复享受小微企业价格扣减的优惠政策。</w:t>
      </w:r>
    </w:p>
    <w:p w14:paraId="49FCAF05">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组成联合体或者接受分包的小微企业与联合体内其他企业、分包企业之间存在直接控股、管理关系的，不享受价格扣除优惠政策。</w:t>
      </w:r>
    </w:p>
    <w:p w14:paraId="04D3A3EF">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价格扣除比例对小型企业和微型企业同等对待，不作区分。</w:t>
      </w:r>
    </w:p>
    <w:p w14:paraId="17B9FC17">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12.3专门面向中小企业、预留部分采购份额面向中小企业采购的项目或采购包，评审时不再进行价格扣除。</w:t>
      </w:r>
    </w:p>
    <w:p w14:paraId="0C5BFA61">
      <w:pPr>
        <w:spacing w:line="360" w:lineRule="auto"/>
        <w:ind w:left="22" w:right="13" w:firstLine="498"/>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12.4对于未预留份额专门面向中小企业的政府采购项目，以及预留</w:t>
      </w:r>
      <w:r>
        <w:rPr>
          <w:rFonts w:hint="eastAsia" w:ascii="宋体" w:hAnsi="宋体" w:eastAsia="宋体" w:cs="宋体"/>
          <w:color w:val="auto"/>
          <w:spacing w:val="-2"/>
          <w:highlight w:val="none"/>
          <w:lang w:eastAsia="zh-CN"/>
        </w:rPr>
        <w:t>份额政府采购项目中的非预留部分标项，对小型和微型企业的投标报价给予10%-20%的</w:t>
      </w:r>
      <w:r>
        <w:rPr>
          <w:rFonts w:hint="eastAsia" w:ascii="宋体" w:hAnsi="宋体" w:eastAsia="宋体" w:cs="宋体"/>
          <w:color w:val="auto"/>
          <w:spacing w:val="-3"/>
          <w:highlight w:val="none"/>
          <w:lang w:eastAsia="zh-CN"/>
        </w:rPr>
        <w:t>扣除，用扣除后的价格参与评审。接受大中型企业与小微企业组成联合体或者允许大中型企业向一家或者多家小微企业分包的政府采购项目，对于联合体协议书</w:t>
      </w:r>
      <w:r>
        <w:rPr>
          <w:rFonts w:hint="eastAsia" w:ascii="宋体" w:hAnsi="宋体" w:eastAsia="宋体" w:cs="宋体"/>
          <w:color w:val="auto"/>
          <w:spacing w:val="-2"/>
          <w:highlight w:val="none"/>
          <w:lang w:eastAsia="zh-CN"/>
        </w:rPr>
        <w:t>或者分包意向协议书约定小微企业的合同份额占到合同总金额30%以上的，对联</w:t>
      </w:r>
      <w:r>
        <w:rPr>
          <w:rFonts w:hint="eastAsia" w:ascii="宋体" w:hAnsi="宋体" w:eastAsia="宋体" w:cs="宋体"/>
          <w:color w:val="auto"/>
          <w:spacing w:val="-1"/>
          <w:highlight w:val="none"/>
          <w:lang w:eastAsia="zh-CN"/>
        </w:rPr>
        <w:t>合体或者大中型企业的报价给予4%-6%的扣除</w:t>
      </w:r>
      <w:r>
        <w:rPr>
          <w:rFonts w:hint="eastAsia" w:ascii="宋体" w:hAnsi="宋体" w:eastAsia="宋体" w:cs="宋体"/>
          <w:color w:val="auto"/>
          <w:spacing w:val="-2"/>
          <w:highlight w:val="none"/>
          <w:lang w:eastAsia="zh-CN"/>
        </w:rPr>
        <w:t>，用扣除后的价格参加评审。组成</w:t>
      </w:r>
      <w:r>
        <w:rPr>
          <w:rFonts w:hint="eastAsia" w:ascii="宋体" w:hAnsi="宋体" w:eastAsia="宋体" w:cs="宋体"/>
          <w:color w:val="auto"/>
          <w:spacing w:val="-3"/>
          <w:highlight w:val="none"/>
          <w:lang w:eastAsia="zh-CN"/>
        </w:rPr>
        <w:t>联合体或者接受分包的小微企业与联合体内其他企业、分包企业之间存在直接控</w:t>
      </w:r>
      <w:r>
        <w:rPr>
          <w:rFonts w:hint="eastAsia" w:ascii="宋体" w:hAnsi="宋体" w:eastAsia="宋体" w:cs="宋体"/>
          <w:color w:val="auto"/>
          <w:spacing w:val="-1"/>
          <w:highlight w:val="none"/>
          <w:lang w:eastAsia="zh-CN"/>
        </w:rPr>
        <w:t>股、管理关系的，不享受价格扣除优惠政策。</w:t>
      </w:r>
    </w:p>
    <w:p w14:paraId="1BBEBF5A">
      <w:pPr>
        <w:spacing w:line="360" w:lineRule="auto"/>
        <w:ind w:left="38"/>
        <w:outlineLvl w:val="2"/>
        <w:rPr>
          <w:rFonts w:ascii="宋体" w:hAnsi="宋体" w:eastAsia="宋体" w:cs="宋体"/>
          <w:color w:val="auto"/>
          <w:highlight w:val="none"/>
          <w:lang w:eastAsia="zh-CN"/>
        </w:rPr>
      </w:pPr>
      <w:bookmarkStart w:id="269" w:name="_Toc186477758"/>
      <w:bookmarkStart w:id="270" w:name="_Toc14638"/>
      <w:r>
        <w:rPr>
          <w:rFonts w:hint="eastAsia" w:ascii="宋体" w:hAnsi="宋体" w:eastAsia="宋体" w:cs="宋体"/>
          <w:b/>
          <w:bCs/>
          <w:color w:val="auto"/>
          <w:spacing w:val="-5"/>
          <w:highlight w:val="none"/>
          <w:lang w:eastAsia="zh-CN"/>
        </w:rPr>
        <w:t>（五）评标得分及复核</w:t>
      </w:r>
      <w:bookmarkEnd w:id="269"/>
      <w:bookmarkEnd w:id="270"/>
    </w:p>
    <w:p w14:paraId="484893B7">
      <w:pPr>
        <w:spacing w:line="360" w:lineRule="auto"/>
        <w:ind w:left="26" w:right="40" w:firstLine="49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13.评标过程中，各项分值一般精确到小数点后两位，评标得分应为商务评</w:t>
      </w:r>
      <w:r>
        <w:rPr>
          <w:rFonts w:hint="eastAsia" w:ascii="宋体" w:hAnsi="宋体" w:eastAsia="宋体" w:cs="宋体"/>
          <w:color w:val="auto"/>
          <w:highlight w:val="none"/>
          <w:lang w:eastAsia="zh-CN"/>
        </w:rPr>
        <w:t>分、技术评分、报价评分之和。评标委员会各</w:t>
      </w:r>
      <w:r>
        <w:rPr>
          <w:rFonts w:hint="eastAsia" w:ascii="宋体" w:hAnsi="宋体" w:eastAsia="宋体" w:cs="宋体"/>
          <w:color w:val="auto"/>
          <w:spacing w:val="-1"/>
          <w:highlight w:val="none"/>
          <w:lang w:eastAsia="zh-CN"/>
        </w:rPr>
        <w:t>成员应汇总每个投标人的得分。</w:t>
      </w:r>
    </w:p>
    <w:p w14:paraId="3C49EC86">
      <w:pPr>
        <w:widowControl w:val="0"/>
        <w:spacing w:line="360" w:lineRule="auto"/>
        <w:ind w:left="23" w:firstLine="499"/>
        <w:rPr>
          <w:rFonts w:ascii="宋体" w:hAnsi="宋体" w:eastAsia="宋体" w:cs="宋体"/>
          <w:color w:val="auto"/>
          <w:highlight w:val="none"/>
          <w:lang w:eastAsia="zh-CN"/>
        </w:rPr>
      </w:pPr>
      <w:r>
        <w:rPr>
          <w:rFonts w:hint="eastAsia" w:ascii="宋体" w:hAnsi="宋体" w:eastAsia="宋体" w:cs="宋体"/>
          <w:color w:val="auto"/>
          <w:spacing w:val="-14"/>
          <w:highlight w:val="none"/>
          <w:lang w:eastAsia="zh-CN"/>
        </w:rPr>
        <w:t>1</w:t>
      </w:r>
      <w:r>
        <w:rPr>
          <w:rFonts w:hint="eastAsia" w:ascii="宋体" w:hAnsi="宋体" w:eastAsia="宋体" w:cs="宋体"/>
          <w:color w:val="auto"/>
          <w:spacing w:val="-13"/>
          <w:highlight w:val="none"/>
          <w:lang w:eastAsia="zh-CN"/>
        </w:rPr>
        <w:t>4.评标结果汇总完成后，采购代理机构应对评标结果进行复核。经复核发</w:t>
      </w:r>
      <w:r>
        <w:rPr>
          <w:rFonts w:hint="eastAsia" w:ascii="宋体" w:hAnsi="宋体" w:eastAsia="宋体" w:cs="宋体"/>
          <w:color w:val="auto"/>
          <w:spacing w:val="-14"/>
          <w:highlight w:val="none"/>
          <w:lang w:eastAsia="zh-CN"/>
        </w:rPr>
        <w:t>现</w:t>
      </w:r>
      <w:r>
        <w:rPr>
          <w:rFonts w:hint="eastAsia" w:ascii="宋体" w:hAnsi="宋体" w:eastAsia="宋体" w:cs="宋体"/>
          <w:color w:val="auto"/>
          <w:spacing w:val="-13"/>
          <w:highlight w:val="none"/>
          <w:lang w:eastAsia="zh-CN"/>
        </w:rPr>
        <w:t>存</w:t>
      </w:r>
      <w:r>
        <w:rPr>
          <w:rFonts w:hint="eastAsia" w:ascii="宋体" w:hAnsi="宋体" w:eastAsia="宋体" w:cs="宋体"/>
          <w:color w:val="auto"/>
          <w:spacing w:val="-12"/>
          <w:highlight w:val="none"/>
          <w:lang w:eastAsia="zh-CN"/>
        </w:rPr>
        <w:t>在以下情形之一的，评标委员会应当当场修改评标结果，并在评标报告中记载：</w:t>
      </w:r>
    </w:p>
    <w:p w14:paraId="7195AF5F">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14.1分值汇总计算错误的；</w:t>
      </w:r>
    </w:p>
    <w:p w14:paraId="1D26B495">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14.2分项评分超出评分标准范围的；</w:t>
      </w:r>
    </w:p>
    <w:p w14:paraId="70FAF0CC">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14.3评标委员会成员对客观评审因素评分不一致的；</w:t>
      </w:r>
    </w:p>
    <w:p w14:paraId="5020EE8F">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14.4经评标委员会认定评分畸高、畸低的。</w:t>
      </w:r>
    </w:p>
    <w:p w14:paraId="04CAE2BF">
      <w:pPr>
        <w:spacing w:line="360" w:lineRule="auto"/>
        <w:ind w:left="43" w:right="40" w:firstLine="478"/>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15.各投标人的最终得分为评标委员会所有成员对各投标人评标得分汇总后</w:t>
      </w:r>
      <w:r>
        <w:rPr>
          <w:rFonts w:hint="eastAsia" w:ascii="宋体" w:hAnsi="宋体" w:eastAsia="宋体" w:cs="宋体"/>
          <w:color w:val="auto"/>
          <w:spacing w:val="-5"/>
          <w:highlight w:val="none"/>
          <w:lang w:eastAsia="zh-CN"/>
        </w:rPr>
        <w:t>的算术平均值。</w:t>
      </w:r>
    </w:p>
    <w:p w14:paraId="70FE5574">
      <w:pPr>
        <w:spacing w:line="360" w:lineRule="auto"/>
        <w:ind w:left="21" w:right="13" w:firstLine="499"/>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15.1除资格性检查认定错误、分值汇总计算错误、分项评分超出评分标准</w:t>
      </w:r>
      <w:r>
        <w:rPr>
          <w:rFonts w:hint="eastAsia" w:ascii="宋体" w:hAnsi="宋体" w:eastAsia="宋体" w:cs="宋体"/>
          <w:color w:val="auto"/>
          <w:spacing w:val="-3"/>
          <w:highlight w:val="none"/>
          <w:lang w:eastAsia="zh-CN"/>
        </w:rPr>
        <w:t>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w:t>
      </w:r>
      <w:r>
        <w:rPr>
          <w:rFonts w:hint="eastAsia" w:ascii="宋体" w:hAnsi="宋体" w:eastAsia="宋体" w:cs="宋体"/>
          <w:color w:val="auto"/>
          <w:spacing w:val="-1"/>
          <w:highlight w:val="none"/>
          <w:lang w:eastAsia="zh-CN"/>
        </w:rPr>
        <w:t>动，并同时书面报告本级财政部门。</w:t>
      </w:r>
    </w:p>
    <w:p w14:paraId="663C6991">
      <w:pPr>
        <w:spacing w:line="360" w:lineRule="auto"/>
        <w:ind w:left="26" w:right="100" w:firstLine="49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15.2采购人或者采购代理机构不得通过对样品进行检测、对投标人</w:t>
      </w:r>
      <w:r>
        <w:rPr>
          <w:rFonts w:hint="eastAsia" w:ascii="宋体" w:hAnsi="宋体" w:eastAsia="宋体" w:cs="宋体"/>
          <w:color w:val="auto"/>
          <w:spacing w:val="-2"/>
          <w:highlight w:val="none"/>
          <w:lang w:eastAsia="zh-CN"/>
        </w:rPr>
        <w:t>进行考察等方式改变评审结果。</w:t>
      </w:r>
    </w:p>
    <w:p w14:paraId="2F1DE244">
      <w:pPr>
        <w:spacing w:line="360" w:lineRule="auto"/>
        <w:ind w:left="38"/>
        <w:outlineLvl w:val="2"/>
        <w:rPr>
          <w:rFonts w:ascii="宋体" w:hAnsi="宋体" w:eastAsia="宋体" w:cs="宋体"/>
          <w:color w:val="auto"/>
          <w:highlight w:val="none"/>
          <w:lang w:eastAsia="zh-CN"/>
        </w:rPr>
      </w:pPr>
      <w:bookmarkStart w:id="271" w:name="_Toc6751"/>
      <w:bookmarkStart w:id="272" w:name="_Toc186477759"/>
      <w:r>
        <w:rPr>
          <w:rFonts w:hint="eastAsia" w:ascii="宋体" w:hAnsi="宋体" w:eastAsia="宋体" w:cs="宋体"/>
          <w:b/>
          <w:bCs/>
          <w:color w:val="auto"/>
          <w:spacing w:val="-6"/>
          <w:highlight w:val="none"/>
          <w:lang w:eastAsia="zh-CN"/>
        </w:rPr>
        <w:t>（六）排序与推荐</w:t>
      </w:r>
      <w:bookmarkEnd w:id="271"/>
      <w:bookmarkEnd w:id="272"/>
    </w:p>
    <w:p w14:paraId="22773765">
      <w:pPr>
        <w:spacing w:line="360" w:lineRule="auto"/>
        <w:ind w:left="24" w:firstLine="496"/>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16.评标结果按评审后得分由高到低顺序排列。投标文件满足招标文件全部</w:t>
      </w:r>
      <w:r>
        <w:rPr>
          <w:rFonts w:hint="eastAsia" w:ascii="宋体" w:hAnsi="宋体" w:eastAsia="宋体" w:cs="宋体"/>
          <w:color w:val="auto"/>
          <w:spacing w:val="-3"/>
          <w:highlight w:val="none"/>
          <w:lang w:eastAsia="zh-CN"/>
        </w:rPr>
        <w:t>实质性要求，且按照评审因素的量化指标评审得分最高的投标人为排名第一的中</w:t>
      </w:r>
      <w:r>
        <w:rPr>
          <w:rFonts w:hint="eastAsia" w:ascii="宋体" w:hAnsi="宋体" w:eastAsia="宋体" w:cs="宋体"/>
          <w:color w:val="auto"/>
          <w:spacing w:val="-8"/>
          <w:highlight w:val="none"/>
          <w:lang w:eastAsia="zh-CN"/>
        </w:rPr>
        <w:t>标候选人。得分相同的，按投标报价由低到高顺序排列。得分且投标报价相同的，</w:t>
      </w:r>
      <w:r>
        <w:rPr>
          <w:rFonts w:hint="eastAsia" w:ascii="宋体" w:hAnsi="宋体" w:eastAsia="宋体" w:cs="宋体"/>
          <w:color w:val="auto"/>
          <w:spacing w:val="-1"/>
          <w:highlight w:val="none"/>
          <w:lang w:eastAsia="zh-CN"/>
        </w:rPr>
        <w:t>按技术指标优劣顺序排列。</w:t>
      </w:r>
    </w:p>
    <w:p w14:paraId="1D1EECE2">
      <w:pPr>
        <w:spacing w:line="360" w:lineRule="auto"/>
        <w:ind w:left="23" w:right="61" w:firstLine="497"/>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17.提供相同品牌产品（单一产品采购项目中的该产品或者非单一产品采购</w:t>
      </w:r>
      <w:r>
        <w:rPr>
          <w:rFonts w:hint="eastAsia" w:ascii="宋体" w:hAnsi="宋体" w:eastAsia="宋体" w:cs="宋体"/>
          <w:color w:val="auto"/>
          <w:spacing w:val="-3"/>
          <w:highlight w:val="none"/>
          <w:lang w:eastAsia="zh-CN"/>
        </w:rPr>
        <w:t>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w:t>
      </w:r>
      <w:r>
        <w:rPr>
          <w:rFonts w:hint="eastAsia" w:ascii="宋体" w:hAnsi="宋体" w:eastAsia="宋体" w:cs="宋体"/>
          <w:color w:val="auto"/>
          <w:spacing w:val="-4"/>
          <w:highlight w:val="none"/>
          <w:lang w:eastAsia="zh-CN"/>
        </w:rPr>
        <w:t>附表”规定的方式确定一个投标人获得中标人推荐资格，招标文件未规定的采取</w:t>
      </w:r>
      <w:r>
        <w:rPr>
          <w:rFonts w:hint="eastAsia" w:ascii="宋体" w:hAnsi="宋体" w:eastAsia="宋体" w:cs="宋体"/>
          <w:color w:val="auto"/>
          <w:spacing w:val="-1"/>
          <w:highlight w:val="none"/>
          <w:lang w:eastAsia="zh-CN"/>
        </w:rPr>
        <w:t>随机抽取方式确定，其他同品牌投标人不作为中标候选人。</w:t>
      </w:r>
    </w:p>
    <w:p w14:paraId="1EDE820C">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18.中标候选人推荐家数详见“投标人须知前附</w:t>
      </w:r>
      <w:r>
        <w:rPr>
          <w:rFonts w:hint="eastAsia" w:ascii="宋体" w:hAnsi="宋体" w:eastAsia="宋体" w:cs="宋体"/>
          <w:color w:val="auto"/>
          <w:spacing w:val="-2"/>
          <w:highlight w:val="none"/>
          <w:lang w:eastAsia="zh-CN"/>
        </w:rPr>
        <w:t>表”。</w:t>
      </w:r>
    </w:p>
    <w:p w14:paraId="2ED142F7">
      <w:pPr>
        <w:spacing w:line="360" w:lineRule="auto"/>
        <w:ind w:left="38"/>
        <w:outlineLvl w:val="2"/>
        <w:rPr>
          <w:rFonts w:ascii="宋体" w:hAnsi="宋体" w:eastAsia="宋体" w:cs="宋体"/>
          <w:color w:val="auto"/>
          <w:highlight w:val="none"/>
          <w:lang w:eastAsia="zh-CN"/>
        </w:rPr>
      </w:pPr>
      <w:bookmarkStart w:id="273" w:name="bookmark177"/>
      <w:bookmarkEnd w:id="273"/>
      <w:bookmarkStart w:id="274" w:name="_Toc1659"/>
      <w:bookmarkStart w:id="275" w:name="_Toc186477760"/>
      <w:r>
        <w:rPr>
          <w:rFonts w:hint="eastAsia" w:ascii="宋体" w:hAnsi="宋体" w:eastAsia="宋体" w:cs="宋体"/>
          <w:b/>
          <w:bCs/>
          <w:color w:val="auto"/>
          <w:spacing w:val="-5"/>
          <w:highlight w:val="none"/>
          <w:lang w:eastAsia="zh-CN"/>
        </w:rPr>
        <w:t>（七）编写评标报告</w:t>
      </w:r>
      <w:bookmarkEnd w:id="274"/>
      <w:bookmarkEnd w:id="275"/>
    </w:p>
    <w:p w14:paraId="5DD50A8B">
      <w:pPr>
        <w:spacing w:line="360" w:lineRule="auto"/>
        <w:ind w:left="21" w:right="61" w:firstLine="499"/>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19.评标委员会根据全体评标成员签字的原始评标记录和评标结果编写评标</w:t>
      </w:r>
      <w:r>
        <w:rPr>
          <w:rFonts w:hint="eastAsia" w:ascii="宋体" w:hAnsi="宋体" w:eastAsia="宋体" w:cs="宋体"/>
          <w:color w:val="auto"/>
          <w:spacing w:val="-3"/>
          <w:highlight w:val="none"/>
          <w:lang w:eastAsia="zh-CN"/>
        </w:rPr>
        <w:t>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w:t>
      </w:r>
      <w:r>
        <w:rPr>
          <w:rFonts w:hint="eastAsia" w:ascii="宋体" w:hAnsi="宋体" w:eastAsia="宋体" w:cs="宋体"/>
          <w:color w:val="auto"/>
          <w:spacing w:val="-1"/>
          <w:highlight w:val="none"/>
          <w:lang w:eastAsia="zh-CN"/>
        </w:rPr>
        <w:t>明理由，否则视为同意评标报告。</w:t>
      </w:r>
    </w:p>
    <w:p w14:paraId="777C3839">
      <w:pPr>
        <w:spacing w:line="360" w:lineRule="auto"/>
        <w:ind w:left="38"/>
        <w:outlineLvl w:val="2"/>
        <w:rPr>
          <w:rFonts w:ascii="宋体" w:hAnsi="宋体" w:eastAsia="宋体" w:cs="宋体"/>
          <w:color w:val="auto"/>
          <w:highlight w:val="none"/>
          <w:lang w:eastAsia="zh-CN"/>
        </w:rPr>
      </w:pPr>
      <w:bookmarkStart w:id="276" w:name="bookmark178"/>
      <w:bookmarkEnd w:id="276"/>
      <w:bookmarkStart w:id="277" w:name="bookmark179"/>
      <w:bookmarkEnd w:id="277"/>
      <w:bookmarkStart w:id="278" w:name="bookmark208"/>
      <w:bookmarkEnd w:id="278"/>
      <w:bookmarkStart w:id="279" w:name="bookmark180"/>
      <w:bookmarkEnd w:id="279"/>
      <w:bookmarkStart w:id="280" w:name="bookmark206"/>
      <w:bookmarkEnd w:id="280"/>
      <w:bookmarkStart w:id="281" w:name="bookmark204"/>
      <w:bookmarkEnd w:id="281"/>
      <w:bookmarkStart w:id="282" w:name="bookmark176"/>
      <w:bookmarkEnd w:id="282"/>
      <w:bookmarkStart w:id="283" w:name="bookmark174"/>
      <w:bookmarkEnd w:id="283"/>
      <w:bookmarkStart w:id="284" w:name="_Toc186477761"/>
      <w:bookmarkStart w:id="285" w:name="_Toc7184"/>
      <w:r>
        <w:rPr>
          <w:rFonts w:hint="eastAsia" w:ascii="宋体" w:hAnsi="宋体" w:eastAsia="宋体" w:cs="宋体"/>
          <w:b/>
          <w:bCs/>
          <w:color w:val="auto"/>
          <w:spacing w:val="-4"/>
          <w:highlight w:val="none"/>
          <w:lang w:eastAsia="zh-CN"/>
        </w:rPr>
        <w:t>（八）投标无效及应予废标的情形</w:t>
      </w:r>
      <w:bookmarkEnd w:id="284"/>
      <w:bookmarkEnd w:id="285"/>
    </w:p>
    <w:p w14:paraId="36B40DF5">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20.投标人存在下列情形之一的，</w:t>
      </w:r>
      <w:r>
        <w:rPr>
          <w:rFonts w:hint="eastAsia" w:ascii="宋体" w:hAnsi="宋体" w:eastAsia="宋体" w:cs="宋体"/>
          <w:b/>
          <w:bCs/>
          <w:color w:val="auto"/>
          <w:spacing w:val="-1"/>
          <w:highlight w:val="none"/>
          <w:lang w:eastAsia="zh-CN"/>
        </w:rPr>
        <w:t>投标无效</w:t>
      </w:r>
      <w:r>
        <w:rPr>
          <w:rFonts w:hint="eastAsia" w:ascii="宋体" w:hAnsi="宋体" w:eastAsia="宋体" w:cs="宋体"/>
          <w:color w:val="auto"/>
          <w:spacing w:val="-1"/>
          <w:highlight w:val="none"/>
          <w:lang w:eastAsia="zh-CN"/>
        </w:rPr>
        <w:t>：</w:t>
      </w:r>
    </w:p>
    <w:p w14:paraId="343A2C66">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20.1投标人不具备《中华人民共和国政府采购法》第二十二条规定条件；</w:t>
      </w:r>
    </w:p>
    <w:p w14:paraId="5EE0BED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20.2投标文件未按招标文件要求签署、盖</w:t>
      </w:r>
      <w:r>
        <w:rPr>
          <w:rFonts w:hint="eastAsia" w:ascii="宋体" w:hAnsi="宋体" w:eastAsia="宋体" w:cs="宋体"/>
          <w:color w:val="auto"/>
          <w:spacing w:val="-2"/>
          <w:highlight w:val="none"/>
          <w:lang w:eastAsia="zh-CN"/>
        </w:rPr>
        <w:t>章的；</w:t>
      </w:r>
    </w:p>
    <w:p w14:paraId="394C9339">
      <w:pPr>
        <w:spacing w:line="360" w:lineRule="auto"/>
        <w:ind w:left="22" w:firstLine="483"/>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20.3不具备招标文件中规定的资格要求的（</w:t>
      </w:r>
      <w:r>
        <w:rPr>
          <w:rFonts w:hint="eastAsia" w:ascii="宋体" w:hAnsi="宋体" w:eastAsia="宋体" w:cs="宋体"/>
          <w:color w:val="auto"/>
          <w:spacing w:val="-4"/>
          <w:highlight w:val="none"/>
          <w:lang w:eastAsia="zh-CN"/>
        </w:rPr>
        <w:t>投标人未提供有效资格文件的，</w:t>
      </w:r>
      <w:r>
        <w:rPr>
          <w:rFonts w:hint="eastAsia" w:ascii="宋体" w:hAnsi="宋体" w:eastAsia="宋体" w:cs="宋体"/>
          <w:color w:val="auto"/>
          <w:spacing w:val="-1"/>
          <w:highlight w:val="none"/>
          <w:lang w:eastAsia="zh-CN"/>
        </w:rPr>
        <w:t>视为投标人不具备招标文件中规定的资格要求</w:t>
      </w:r>
      <w:r>
        <w:rPr>
          <w:rFonts w:hint="eastAsia" w:ascii="宋体" w:hAnsi="宋体" w:eastAsia="宋体" w:cs="宋体"/>
          <w:color w:val="auto"/>
          <w:spacing w:val="5"/>
          <w:highlight w:val="none"/>
          <w:lang w:eastAsia="zh-CN"/>
        </w:rPr>
        <w:t>）；</w:t>
      </w:r>
    </w:p>
    <w:p w14:paraId="2AE33AD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20.4投标文件提供虚假材料的；</w:t>
      </w:r>
    </w:p>
    <w:p w14:paraId="6172BC58">
      <w:pPr>
        <w:spacing w:line="360" w:lineRule="auto"/>
        <w:ind w:left="25" w:right="147" w:firstLine="480"/>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20.5投标文件不满足招标文件中标注“★”号的实质性条款（或指标）要</w:t>
      </w:r>
      <w:r>
        <w:rPr>
          <w:rFonts w:hint="eastAsia" w:ascii="宋体" w:hAnsi="宋体" w:eastAsia="宋体" w:cs="宋体"/>
          <w:color w:val="auto"/>
          <w:spacing w:val="-4"/>
          <w:highlight w:val="none"/>
          <w:lang w:eastAsia="zh-CN"/>
        </w:rPr>
        <w:t>求的；</w:t>
      </w:r>
    </w:p>
    <w:p w14:paraId="0AAAEF36">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20.6投标人报价超过招标文件中规定的最高限价或者委托合计金额的；</w:t>
      </w:r>
    </w:p>
    <w:p w14:paraId="72D28F42">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20.7联合体的供应商未提交各方共同签署的联合体协议的；</w:t>
      </w:r>
    </w:p>
    <w:p w14:paraId="6AD98112">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20.8投标人未按招标文件的规定交纳投标保证金的；</w:t>
      </w:r>
    </w:p>
    <w:p w14:paraId="791DF23C">
      <w:pPr>
        <w:spacing w:line="360" w:lineRule="auto"/>
        <w:ind w:left="23" w:right="220" w:firstLine="482"/>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20.9评审期间,投标人没有按评标委员会的要求提交经授权代表签字的澄清、说明、补正或改变了投标文件的实质性内容的；</w:t>
      </w:r>
    </w:p>
    <w:p w14:paraId="58BB2FE1">
      <w:pPr>
        <w:spacing w:line="360" w:lineRule="auto"/>
        <w:ind w:left="24" w:right="13" w:firstLine="481"/>
        <w:rPr>
          <w:rFonts w:ascii="宋体" w:hAnsi="宋体" w:eastAsia="宋体" w:cs="宋体"/>
          <w:color w:val="auto"/>
          <w:highlight w:val="none"/>
          <w:lang w:eastAsia="zh-CN"/>
        </w:rPr>
      </w:pPr>
      <w:r>
        <w:rPr>
          <w:rFonts w:hint="eastAsia" w:ascii="宋体" w:hAnsi="宋体" w:eastAsia="宋体" w:cs="宋体"/>
          <w:color w:val="auto"/>
          <w:spacing w:val="-5"/>
          <w:highlight w:val="none"/>
          <w:lang w:eastAsia="zh-CN"/>
        </w:rPr>
        <w:t>20.10投标人对采购人、采购代理机构、评标委员会及其工作人员施加影响,</w:t>
      </w:r>
      <w:r>
        <w:rPr>
          <w:rFonts w:hint="eastAsia" w:ascii="宋体" w:hAnsi="宋体" w:eastAsia="宋体" w:cs="宋体"/>
          <w:color w:val="auto"/>
          <w:spacing w:val="-2"/>
          <w:highlight w:val="none"/>
          <w:lang w:eastAsia="zh-CN"/>
        </w:rPr>
        <w:t>有碍公平、公正的；</w:t>
      </w:r>
    </w:p>
    <w:p w14:paraId="649F72CE">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20.11投标文件含有采购人不能接受的附加条件的；</w:t>
      </w:r>
    </w:p>
    <w:p w14:paraId="7419E7F5">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20.12法律、法规、规章规定属于投标无效的其他情形。</w:t>
      </w:r>
    </w:p>
    <w:p w14:paraId="10CA3D46">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21.有下列情形之一的，视为投标人串通投标，其</w:t>
      </w:r>
      <w:r>
        <w:rPr>
          <w:rFonts w:hint="eastAsia" w:ascii="宋体" w:hAnsi="宋体" w:eastAsia="宋体" w:cs="宋体"/>
          <w:b/>
          <w:bCs/>
          <w:color w:val="auto"/>
          <w:spacing w:val="-1"/>
          <w:highlight w:val="none"/>
          <w:lang w:eastAsia="zh-CN"/>
        </w:rPr>
        <w:t>投标无效</w:t>
      </w:r>
      <w:r>
        <w:rPr>
          <w:rFonts w:hint="eastAsia" w:ascii="宋体" w:hAnsi="宋体" w:eastAsia="宋体" w:cs="宋体"/>
          <w:color w:val="auto"/>
          <w:spacing w:val="-1"/>
          <w:highlight w:val="none"/>
          <w:lang w:eastAsia="zh-CN"/>
        </w:rPr>
        <w:t>：</w:t>
      </w:r>
    </w:p>
    <w:p w14:paraId="6E247DC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21.1不同投标人的投标文件由同一单位或者个人编制；</w:t>
      </w:r>
    </w:p>
    <w:p w14:paraId="56E0283C">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21.2不同投标人委托同一单位或者个人办理投标事宜；</w:t>
      </w:r>
    </w:p>
    <w:p w14:paraId="084B193A">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21.3不同投标人的投标文件载明的项目管理成员或者联系人员为同一人；</w:t>
      </w:r>
    </w:p>
    <w:p w14:paraId="77DAF429">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21.4不同投标人的投标文件异常一致或者投标报价呈规律性差异；</w:t>
      </w:r>
    </w:p>
    <w:p w14:paraId="72FFEE3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21.5不同投标人的投标文件相互混装；</w:t>
      </w:r>
    </w:p>
    <w:p w14:paraId="468DB0BA">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21.6不同投标人的投标保证金从同一单位或者个人的账户转出；</w:t>
      </w:r>
    </w:p>
    <w:p w14:paraId="5427DFE9">
      <w:pPr>
        <w:spacing w:line="360" w:lineRule="auto"/>
        <w:ind w:left="46" w:right="100" w:firstLine="459"/>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21.7不同投标人使用同一电脑（机器特征值一致：如MAC地址等）</w:t>
      </w:r>
      <w:r>
        <w:rPr>
          <w:rFonts w:hint="eastAsia" w:ascii="宋体" w:hAnsi="宋体" w:eastAsia="宋体" w:cs="宋体"/>
          <w:color w:val="auto"/>
          <w:spacing w:val="-2"/>
          <w:highlight w:val="none"/>
          <w:lang w:eastAsia="zh-CN"/>
        </w:rPr>
        <w:t>或使用同一电子密钥，编制或上传电子投标文件；</w:t>
      </w:r>
    </w:p>
    <w:p w14:paraId="3825F464">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21.8法律、法规、规章规定属于投标人串通投标的其他情形。</w:t>
      </w:r>
    </w:p>
    <w:p w14:paraId="00494C17">
      <w:pPr>
        <w:widowControl w:val="0"/>
        <w:spacing w:line="360" w:lineRule="auto"/>
        <w:ind w:left="23" w:right="40" w:firstLine="482"/>
        <w:rPr>
          <w:rFonts w:ascii="宋体" w:hAnsi="宋体" w:eastAsia="宋体" w:cs="宋体"/>
          <w:color w:val="auto"/>
          <w:highlight w:val="none"/>
          <w:lang w:eastAsia="zh-CN"/>
        </w:rPr>
      </w:pPr>
      <w:r>
        <w:rPr>
          <w:rFonts w:hint="eastAsia" w:ascii="宋体" w:hAnsi="宋体" w:eastAsia="宋体" w:cs="宋体"/>
          <w:color w:val="auto"/>
          <w:highlight w:val="none"/>
          <w:lang w:eastAsia="zh-CN"/>
        </w:rPr>
        <w:t>22.根据《中华人民共和国政府采购法》第</w:t>
      </w:r>
      <w:r>
        <w:rPr>
          <w:rFonts w:hint="eastAsia" w:ascii="宋体" w:hAnsi="宋体" w:eastAsia="宋体" w:cs="宋体"/>
          <w:color w:val="auto"/>
          <w:spacing w:val="-1"/>
          <w:highlight w:val="none"/>
          <w:lang w:eastAsia="zh-CN"/>
        </w:rPr>
        <w:t>三十六条之规定，在招标采购过程中，出现下列情形之一的，应予</w:t>
      </w:r>
      <w:r>
        <w:rPr>
          <w:rFonts w:hint="eastAsia" w:ascii="宋体" w:hAnsi="宋体" w:eastAsia="宋体" w:cs="宋体"/>
          <w:b/>
          <w:bCs/>
          <w:color w:val="auto"/>
          <w:spacing w:val="-1"/>
          <w:highlight w:val="none"/>
          <w:lang w:eastAsia="zh-CN"/>
        </w:rPr>
        <w:t>废标</w:t>
      </w:r>
      <w:r>
        <w:rPr>
          <w:rFonts w:hint="eastAsia" w:ascii="宋体" w:hAnsi="宋体" w:eastAsia="宋体" w:cs="宋体"/>
          <w:color w:val="auto"/>
          <w:spacing w:val="-1"/>
          <w:highlight w:val="none"/>
          <w:lang w:eastAsia="zh-CN"/>
        </w:rPr>
        <w:t>：</w:t>
      </w:r>
    </w:p>
    <w:p w14:paraId="7CA58855">
      <w:pPr>
        <w:spacing w:line="360" w:lineRule="auto"/>
        <w:ind w:left="43" w:right="100" w:firstLine="463"/>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22.1符合专业条件的供应商或者对招标文件作实质响应的供应商不足3家</w:t>
      </w:r>
      <w:r>
        <w:rPr>
          <w:rFonts w:hint="eastAsia" w:ascii="宋体" w:hAnsi="宋体" w:eastAsia="宋体" w:cs="宋体"/>
          <w:color w:val="auto"/>
          <w:spacing w:val="-15"/>
          <w:highlight w:val="none"/>
          <w:lang w:eastAsia="zh-CN"/>
        </w:rPr>
        <w:t>的；</w:t>
      </w:r>
    </w:p>
    <w:p w14:paraId="400CBA1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22.2出现影响采购公正的违法、违规行为的；</w:t>
      </w:r>
    </w:p>
    <w:p w14:paraId="208E52BE">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22.3投标人的报价均超过了采购预算，采购人不能支付的；</w:t>
      </w:r>
    </w:p>
    <w:p w14:paraId="48B57D8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22.4因重大变故，采购任务取消的；</w:t>
      </w:r>
    </w:p>
    <w:p w14:paraId="36D8C27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22.5 法律、法规、规章规定属于废标的其他情形。</w:t>
      </w:r>
    </w:p>
    <w:p w14:paraId="4259FFF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23.废标后，采购人应当将废标理由通知所有投标人。</w:t>
      </w:r>
    </w:p>
    <w:p w14:paraId="14787055">
      <w:pPr>
        <w:spacing w:line="360" w:lineRule="auto"/>
        <w:ind w:left="38"/>
        <w:outlineLvl w:val="2"/>
        <w:rPr>
          <w:rFonts w:ascii="宋体" w:hAnsi="宋体" w:eastAsia="宋体" w:cs="宋体"/>
          <w:color w:val="auto"/>
          <w:highlight w:val="none"/>
          <w:lang w:eastAsia="zh-CN"/>
        </w:rPr>
      </w:pPr>
      <w:bookmarkStart w:id="286" w:name="bookmark184"/>
      <w:bookmarkEnd w:id="286"/>
      <w:bookmarkStart w:id="287" w:name="bookmark182"/>
      <w:bookmarkEnd w:id="287"/>
      <w:bookmarkStart w:id="288" w:name="bookmark212"/>
      <w:bookmarkEnd w:id="288"/>
      <w:bookmarkStart w:id="289" w:name="bookmark210"/>
      <w:bookmarkEnd w:id="289"/>
      <w:bookmarkStart w:id="290" w:name="bookmark181"/>
      <w:bookmarkEnd w:id="290"/>
      <w:bookmarkStart w:id="291" w:name="_Toc186477762"/>
      <w:bookmarkStart w:id="292" w:name="_Toc29385"/>
      <w:r>
        <w:rPr>
          <w:rFonts w:hint="eastAsia" w:ascii="宋体" w:hAnsi="宋体" w:eastAsia="宋体" w:cs="宋体"/>
          <w:b/>
          <w:bCs/>
          <w:color w:val="auto"/>
          <w:spacing w:val="-5"/>
          <w:highlight w:val="none"/>
          <w:lang w:eastAsia="zh-CN"/>
        </w:rPr>
        <w:t>（九）停止评标的情形</w:t>
      </w:r>
      <w:bookmarkEnd w:id="291"/>
      <w:bookmarkEnd w:id="292"/>
    </w:p>
    <w:p w14:paraId="4F0A5721">
      <w:pPr>
        <w:spacing w:line="360" w:lineRule="auto"/>
        <w:ind w:left="26" w:right="13" w:firstLine="480"/>
        <w:rPr>
          <w:rFonts w:ascii="宋体" w:hAnsi="宋体" w:eastAsia="宋体" w:cs="宋体"/>
          <w:color w:val="auto"/>
          <w:highlight w:val="none"/>
          <w:lang w:eastAsia="zh-CN"/>
        </w:rPr>
      </w:pPr>
      <w:r>
        <w:rPr>
          <w:rFonts w:hint="eastAsia" w:ascii="宋体" w:hAnsi="宋体" w:eastAsia="宋体" w:cs="宋体"/>
          <w:color w:val="auto"/>
          <w:highlight w:val="none"/>
          <w:lang w:eastAsia="zh-CN"/>
        </w:rPr>
        <w:t>24.评标委员会发现招标文件存在歧义、重大缺陷导致评标工作无法进行，</w:t>
      </w:r>
      <w:r>
        <w:rPr>
          <w:rFonts w:hint="eastAsia" w:ascii="宋体" w:hAnsi="宋体" w:eastAsia="宋体" w:cs="宋体"/>
          <w:color w:val="auto"/>
          <w:spacing w:val="-3"/>
          <w:highlight w:val="none"/>
          <w:lang w:eastAsia="zh-CN"/>
        </w:rPr>
        <w:t>或者招标文件内容违反国家有关强制性规定的，应当停止评标工作，与采购</w:t>
      </w:r>
      <w:r>
        <w:rPr>
          <w:rFonts w:hint="eastAsia" w:ascii="宋体" w:hAnsi="宋体" w:eastAsia="宋体" w:cs="宋体"/>
          <w:color w:val="auto"/>
          <w:spacing w:val="-4"/>
          <w:highlight w:val="none"/>
          <w:lang w:eastAsia="zh-CN"/>
        </w:rPr>
        <w:t>人或</w:t>
      </w:r>
      <w:r>
        <w:rPr>
          <w:rFonts w:hint="eastAsia" w:ascii="宋体" w:hAnsi="宋体" w:eastAsia="宋体" w:cs="宋体"/>
          <w:color w:val="auto"/>
          <w:spacing w:val="-3"/>
          <w:highlight w:val="none"/>
          <w:lang w:eastAsia="zh-CN"/>
        </w:rPr>
        <w:t>者采购代理机构沟通并作书面记录。采购人或者采购代理机构确认后，应当修改</w:t>
      </w:r>
      <w:r>
        <w:rPr>
          <w:rFonts w:hint="eastAsia" w:ascii="宋体" w:hAnsi="宋体" w:eastAsia="宋体" w:cs="宋体"/>
          <w:color w:val="auto"/>
          <w:spacing w:val="-1"/>
          <w:highlight w:val="none"/>
          <w:lang w:eastAsia="zh-CN"/>
        </w:rPr>
        <w:t>招标文件，重新组织采购活动。</w:t>
      </w:r>
    </w:p>
    <w:p w14:paraId="5091A62B">
      <w:pPr>
        <w:spacing w:line="360" w:lineRule="auto"/>
        <w:ind w:left="38"/>
        <w:outlineLvl w:val="2"/>
        <w:rPr>
          <w:rFonts w:ascii="宋体" w:hAnsi="宋体" w:eastAsia="宋体" w:cs="宋体"/>
          <w:color w:val="auto"/>
          <w:highlight w:val="none"/>
          <w:lang w:eastAsia="zh-CN"/>
        </w:rPr>
      </w:pPr>
      <w:bookmarkStart w:id="293" w:name="_Toc30882"/>
      <w:bookmarkStart w:id="294" w:name="_Toc186477763"/>
      <w:r>
        <w:rPr>
          <w:rFonts w:hint="eastAsia" w:ascii="宋体" w:hAnsi="宋体" w:eastAsia="宋体" w:cs="宋体"/>
          <w:b/>
          <w:bCs/>
          <w:color w:val="auto"/>
          <w:spacing w:val="-5"/>
          <w:highlight w:val="none"/>
          <w:lang w:eastAsia="zh-CN"/>
        </w:rPr>
        <w:t>（十）重新开展采购</w:t>
      </w:r>
      <w:bookmarkEnd w:id="293"/>
      <w:bookmarkEnd w:id="294"/>
    </w:p>
    <w:p w14:paraId="1AF9FAB1">
      <w:pPr>
        <w:spacing w:line="360" w:lineRule="auto"/>
        <w:ind w:left="27" w:right="40" w:firstLine="479"/>
        <w:rPr>
          <w:rFonts w:ascii="宋体" w:hAnsi="宋体" w:eastAsia="宋体" w:cs="宋体"/>
          <w:color w:val="auto"/>
          <w:highlight w:val="none"/>
          <w:lang w:eastAsia="zh-CN"/>
        </w:rPr>
      </w:pPr>
      <w:r>
        <w:rPr>
          <w:rFonts w:hint="eastAsia" w:ascii="宋体" w:hAnsi="宋体" w:eastAsia="宋体" w:cs="宋体"/>
          <w:color w:val="auto"/>
          <w:highlight w:val="none"/>
          <w:lang w:eastAsia="zh-CN"/>
        </w:rPr>
        <w:t>25.有《中华人民共和国政府采购法》第七</w:t>
      </w:r>
      <w:r>
        <w:rPr>
          <w:rFonts w:hint="eastAsia" w:ascii="宋体" w:hAnsi="宋体" w:eastAsia="宋体" w:cs="宋体"/>
          <w:color w:val="auto"/>
          <w:spacing w:val="-1"/>
          <w:highlight w:val="none"/>
          <w:lang w:eastAsia="zh-CN"/>
        </w:rPr>
        <w:t>十一条、第七十二条规定的违法行为之一，影响或者可能影响中标结果的，依照下列规定处理：</w:t>
      </w:r>
    </w:p>
    <w:p w14:paraId="4C009B40">
      <w:pPr>
        <w:spacing w:line="360" w:lineRule="auto"/>
        <w:ind w:left="24" w:right="100" w:firstLine="48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25.1未确定中标供应商的，终止本次政府采购活动，重新开展政府采购活</w:t>
      </w:r>
      <w:r>
        <w:rPr>
          <w:rFonts w:hint="eastAsia" w:ascii="宋体" w:hAnsi="宋体" w:eastAsia="宋体" w:cs="宋体"/>
          <w:color w:val="auto"/>
          <w:spacing w:val="-6"/>
          <w:highlight w:val="none"/>
          <w:lang w:eastAsia="zh-CN"/>
        </w:rPr>
        <w:t>动。</w:t>
      </w:r>
    </w:p>
    <w:p w14:paraId="2A27514E">
      <w:pPr>
        <w:spacing w:line="360" w:lineRule="auto"/>
        <w:ind w:left="22" w:right="13" w:firstLine="483"/>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25.2已确定中标供应商但尚未签订政府</w:t>
      </w:r>
      <w:r>
        <w:rPr>
          <w:rFonts w:hint="eastAsia" w:ascii="宋体" w:hAnsi="宋体" w:eastAsia="宋体" w:cs="宋体"/>
          <w:color w:val="auto"/>
          <w:spacing w:val="-2"/>
          <w:highlight w:val="none"/>
          <w:lang w:eastAsia="zh-CN"/>
        </w:rPr>
        <w:t>采购合同的，中标结果无效，从合</w:t>
      </w:r>
      <w:r>
        <w:rPr>
          <w:rFonts w:hint="eastAsia" w:ascii="宋体" w:hAnsi="宋体" w:eastAsia="宋体" w:cs="宋体"/>
          <w:color w:val="auto"/>
          <w:spacing w:val="-3"/>
          <w:highlight w:val="none"/>
          <w:lang w:eastAsia="zh-CN"/>
        </w:rPr>
        <w:t>格的中标候选人中另行确定中标供应商；没有合格的中标候选人的，重新开展政</w:t>
      </w:r>
      <w:r>
        <w:rPr>
          <w:rFonts w:hint="eastAsia" w:ascii="宋体" w:hAnsi="宋体" w:eastAsia="宋体" w:cs="宋体"/>
          <w:color w:val="auto"/>
          <w:spacing w:val="-2"/>
          <w:highlight w:val="none"/>
          <w:lang w:eastAsia="zh-CN"/>
        </w:rPr>
        <w:t>府采购活动。</w:t>
      </w:r>
    </w:p>
    <w:p w14:paraId="5C84AA34">
      <w:pPr>
        <w:spacing w:line="360" w:lineRule="auto"/>
        <w:ind w:left="46" w:right="100" w:firstLine="460"/>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25.3政府采购合同已签订但尚未履行的，撤销合同，从合格的中标候选人中另行确定中标供应商；没有合格的中标候选人的，重新开展政府采购活动。</w:t>
      </w:r>
    </w:p>
    <w:p w14:paraId="7FDB4CED">
      <w:pPr>
        <w:spacing w:line="360" w:lineRule="auto"/>
        <w:ind w:left="24" w:right="100" w:firstLine="48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25.4政府采购合同已经履行，给采购人、供应商造成损失的，由责任人承</w:t>
      </w:r>
      <w:r>
        <w:rPr>
          <w:rFonts w:hint="eastAsia" w:ascii="宋体" w:hAnsi="宋体" w:eastAsia="宋体" w:cs="宋体"/>
          <w:color w:val="auto"/>
          <w:spacing w:val="-2"/>
          <w:highlight w:val="none"/>
          <w:lang w:eastAsia="zh-CN"/>
        </w:rPr>
        <w:t>担赔偿责任。</w:t>
      </w:r>
    </w:p>
    <w:p w14:paraId="40E380A0">
      <w:pPr>
        <w:spacing w:line="360" w:lineRule="auto"/>
        <w:ind w:left="24" w:right="13" w:firstLine="48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25.5政府采购当事人有其他违反《中华人民共和国政府采购法》或者《中</w:t>
      </w:r>
      <w:r>
        <w:rPr>
          <w:rFonts w:hint="eastAsia" w:ascii="宋体" w:hAnsi="宋体" w:eastAsia="宋体" w:cs="宋体"/>
          <w:color w:val="auto"/>
          <w:spacing w:val="-3"/>
          <w:highlight w:val="none"/>
          <w:lang w:eastAsia="zh-CN"/>
        </w:rPr>
        <w:t>华人民共和国政府采购法实施条例》等法律法规规定的行为，经改正后仍然影响</w:t>
      </w:r>
      <w:r>
        <w:rPr>
          <w:rFonts w:hint="eastAsia" w:ascii="宋体" w:hAnsi="宋体" w:eastAsia="宋体" w:cs="宋体"/>
          <w:color w:val="auto"/>
          <w:spacing w:val="-1"/>
          <w:highlight w:val="none"/>
          <w:lang w:eastAsia="zh-CN"/>
        </w:rPr>
        <w:t>或者可能影响中标结果或者依法被认定为中标无效的，依照2</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lang w:eastAsia="zh-CN"/>
        </w:rPr>
        <w:t>.1—2</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lang w:eastAsia="zh-CN"/>
        </w:rPr>
        <w:t>.4规定处</w:t>
      </w:r>
      <w:r>
        <w:rPr>
          <w:rFonts w:hint="eastAsia" w:ascii="宋体" w:hAnsi="宋体" w:eastAsia="宋体" w:cs="宋体"/>
          <w:color w:val="auto"/>
          <w:spacing w:val="-6"/>
          <w:highlight w:val="none"/>
          <w:lang w:eastAsia="zh-CN"/>
        </w:rPr>
        <w:t>理。</w:t>
      </w:r>
    </w:p>
    <w:p w14:paraId="5FA83602">
      <w:pPr>
        <w:spacing w:line="360" w:lineRule="auto"/>
        <w:ind w:left="26"/>
        <w:outlineLvl w:val="1"/>
        <w:rPr>
          <w:rFonts w:ascii="宋体" w:hAnsi="宋体" w:eastAsia="宋体" w:cs="宋体"/>
          <w:color w:val="auto"/>
          <w:highlight w:val="none"/>
          <w:lang w:eastAsia="zh-CN"/>
        </w:rPr>
      </w:pPr>
      <w:bookmarkStart w:id="295" w:name="bookmark213"/>
      <w:bookmarkEnd w:id="295"/>
      <w:bookmarkStart w:id="296" w:name="bookmark185"/>
      <w:bookmarkEnd w:id="296"/>
      <w:bookmarkStart w:id="297" w:name="_Toc6075"/>
      <w:r>
        <w:rPr>
          <w:rFonts w:hint="eastAsia" w:ascii="宋体" w:hAnsi="宋体" w:eastAsia="宋体" w:cs="宋体"/>
          <w:b/>
          <w:bCs/>
          <w:color w:val="auto"/>
          <w:spacing w:val="6"/>
          <w:highlight w:val="none"/>
          <w:lang w:eastAsia="zh-CN"/>
        </w:rPr>
        <w:t>三、评标其他要求：/</w:t>
      </w:r>
      <w:bookmarkEnd w:id="297"/>
    </w:p>
    <w:p w14:paraId="3C0AB066">
      <w:pPr>
        <w:widowControl w:val="0"/>
        <w:spacing w:line="360" w:lineRule="auto"/>
        <w:ind w:left="57"/>
        <w:outlineLvl w:val="1"/>
        <w:rPr>
          <w:rFonts w:hint="eastAsia" w:ascii="宋体" w:hAnsi="宋体" w:eastAsia="宋体" w:cs="宋体"/>
          <w:b/>
          <w:bCs/>
          <w:color w:val="auto"/>
          <w:highlight w:val="none"/>
          <w:lang w:eastAsia="zh-CN"/>
        </w:rPr>
      </w:pPr>
      <w:bookmarkStart w:id="298" w:name="bookmark190"/>
      <w:bookmarkEnd w:id="298"/>
      <w:bookmarkStart w:id="299" w:name="bookmark187"/>
      <w:bookmarkEnd w:id="299"/>
      <w:bookmarkStart w:id="300" w:name="bookmark186"/>
      <w:bookmarkEnd w:id="300"/>
      <w:bookmarkStart w:id="301" w:name="bookmark214"/>
      <w:bookmarkEnd w:id="301"/>
      <w:bookmarkStart w:id="302" w:name="bookmark218"/>
      <w:bookmarkEnd w:id="302"/>
      <w:bookmarkStart w:id="303" w:name="bookmark216"/>
      <w:bookmarkEnd w:id="303"/>
      <w:bookmarkStart w:id="304" w:name="bookmark215"/>
      <w:bookmarkEnd w:id="304"/>
      <w:bookmarkStart w:id="305" w:name="bookmark188"/>
      <w:bookmarkEnd w:id="305"/>
      <w:bookmarkStart w:id="306" w:name="_Toc31859"/>
      <w:r>
        <w:rPr>
          <w:rFonts w:hint="eastAsia" w:ascii="宋体" w:hAnsi="宋体" w:eastAsia="宋体" w:cs="宋体"/>
          <w:b/>
          <w:bCs/>
          <w:color w:val="auto"/>
          <w:highlight w:val="none"/>
          <w:lang w:eastAsia="zh-CN"/>
        </w:rPr>
        <w:t>四、评标标准</w:t>
      </w:r>
      <w:bookmarkEnd w:id="306"/>
      <w:bookmarkStart w:id="307" w:name="bookmark189"/>
      <w:bookmarkEnd w:id="307"/>
      <w:bookmarkStart w:id="308" w:name="bookmark217"/>
      <w:bookmarkEnd w:id="308"/>
      <w:bookmarkStart w:id="309" w:name="_Toc186477766"/>
      <w:bookmarkStart w:id="310" w:name="_Toc19570"/>
    </w:p>
    <w:p w14:paraId="5FC14A1F">
      <w:pPr>
        <w:widowControl w:val="0"/>
        <w:spacing w:line="360" w:lineRule="auto"/>
        <w:ind w:left="57"/>
        <w:outlineLvl w:val="1"/>
        <w:rPr>
          <w:rFonts w:ascii="宋体" w:hAnsi="宋体" w:eastAsia="宋体" w:cs="宋体"/>
          <w:b/>
          <w:bCs/>
          <w:color w:val="auto"/>
          <w:spacing w:val="-5"/>
          <w:highlight w:val="none"/>
          <w:lang w:eastAsia="zh-CN"/>
        </w:rPr>
      </w:pPr>
      <w:r>
        <w:rPr>
          <w:rFonts w:hint="eastAsia" w:ascii="宋体" w:hAnsi="宋体" w:eastAsia="宋体" w:cs="宋体"/>
          <w:b/>
          <w:bCs/>
          <w:color w:val="auto"/>
          <w:spacing w:val="-5"/>
          <w:highlight w:val="none"/>
          <w:lang w:eastAsia="zh-CN"/>
        </w:rPr>
        <w:t>（一）符合性审查表</w:t>
      </w:r>
    </w:p>
    <w:tbl>
      <w:tblPr>
        <w:tblStyle w:val="24"/>
        <w:tblW w:w="9516"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2"/>
        <w:gridCol w:w="1643"/>
        <w:gridCol w:w="5717"/>
        <w:gridCol w:w="669"/>
        <w:gridCol w:w="825"/>
      </w:tblGrid>
      <w:tr w14:paraId="69D45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6" w:hRule="atLeast"/>
        </w:trPr>
        <w:tc>
          <w:tcPr>
            <w:tcW w:w="662" w:type="dxa"/>
            <w:vMerge w:val="restart"/>
            <w:tcBorders>
              <w:bottom w:val="nil"/>
            </w:tcBorders>
            <w:shd w:val="clear" w:color="auto" w:fill="FFFFFF" w:themeFill="background1"/>
          </w:tcPr>
          <w:p w14:paraId="21825B4A">
            <w:pPr>
              <w:pStyle w:val="32"/>
              <w:spacing w:line="360" w:lineRule="auto"/>
              <w:jc w:val="both"/>
              <w:rPr>
                <w:b/>
                <w:bCs/>
                <w:color w:val="auto"/>
                <w:spacing w:val="5"/>
                <w:sz w:val="21"/>
                <w:szCs w:val="21"/>
                <w:highlight w:val="none"/>
              </w:rPr>
            </w:pPr>
          </w:p>
          <w:p w14:paraId="1AF56E66">
            <w:pPr>
              <w:pStyle w:val="32"/>
              <w:spacing w:line="360" w:lineRule="auto"/>
              <w:jc w:val="both"/>
              <w:rPr>
                <w:color w:val="auto"/>
                <w:sz w:val="21"/>
                <w:szCs w:val="21"/>
                <w:highlight w:val="none"/>
              </w:rPr>
            </w:pPr>
            <w:r>
              <w:rPr>
                <w:rFonts w:hint="eastAsia"/>
                <w:b/>
                <w:bCs/>
                <w:color w:val="auto"/>
                <w:spacing w:val="5"/>
                <w:sz w:val="21"/>
                <w:szCs w:val="21"/>
                <w:highlight w:val="none"/>
              </w:rPr>
              <w:t>序号</w:t>
            </w:r>
          </w:p>
        </w:tc>
        <w:tc>
          <w:tcPr>
            <w:tcW w:w="1643" w:type="dxa"/>
            <w:vMerge w:val="restart"/>
            <w:tcBorders>
              <w:bottom w:val="nil"/>
            </w:tcBorders>
            <w:shd w:val="clear" w:color="auto" w:fill="FFFFFF" w:themeFill="background1"/>
            <w:vAlign w:val="center"/>
          </w:tcPr>
          <w:p w14:paraId="45700CB1">
            <w:pPr>
              <w:pStyle w:val="32"/>
              <w:spacing w:before="65" w:line="360" w:lineRule="auto"/>
              <w:jc w:val="center"/>
              <w:rPr>
                <w:color w:val="auto"/>
                <w:sz w:val="21"/>
                <w:szCs w:val="21"/>
                <w:highlight w:val="none"/>
              </w:rPr>
            </w:pPr>
            <w:r>
              <w:rPr>
                <w:rFonts w:hint="eastAsia"/>
                <w:b/>
                <w:bCs/>
                <w:color w:val="auto"/>
                <w:spacing w:val="4"/>
                <w:sz w:val="21"/>
                <w:szCs w:val="21"/>
                <w:highlight w:val="none"/>
              </w:rPr>
              <w:t>审查项名称</w:t>
            </w:r>
          </w:p>
        </w:tc>
        <w:tc>
          <w:tcPr>
            <w:tcW w:w="5717" w:type="dxa"/>
            <w:vMerge w:val="restart"/>
            <w:tcBorders>
              <w:bottom w:val="nil"/>
            </w:tcBorders>
            <w:shd w:val="clear" w:color="auto" w:fill="FFFFFF" w:themeFill="background1"/>
            <w:vAlign w:val="center"/>
          </w:tcPr>
          <w:p w14:paraId="3DBA7ACD">
            <w:pPr>
              <w:pStyle w:val="32"/>
              <w:spacing w:before="65" w:line="360" w:lineRule="auto"/>
              <w:jc w:val="center"/>
              <w:rPr>
                <w:color w:val="auto"/>
                <w:sz w:val="21"/>
                <w:szCs w:val="21"/>
                <w:highlight w:val="none"/>
              </w:rPr>
            </w:pPr>
            <w:r>
              <w:rPr>
                <w:rFonts w:hint="eastAsia"/>
                <w:b/>
                <w:bCs/>
                <w:color w:val="auto"/>
                <w:spacing w:val="3"/>
                <w:sz w:val="21"/>
                <w:szCs w:val="21"/>
                <w:highlight w:val="none"/>
              </w:rPr>
              <w:t>审查内容</w:t>
            </w:r>
          </w:p>
        </w:tc>
        <w:tc>
          <w:tcPr>
            <w:tcW w:w="1494" w:type="dxa"/>
            <w:gridSpan w:val="2"/>
            <w:shd w:val="clear" w:color="auto" w:fill="FFFFFF" w:themeFill="background1"/>
            <w:vAlign w:val="center"/>
          </w:tcPr>
          <w:p w14:paraId="40D6FB24">
            <w:pPr>
              <w:pStyle w:val="32"/>
              <w:spacing w:before="142" w:line="360" w:lineRule="auto"/>
              <w:ind w:left="-63"/>
              <w:jc w:val="center"/>
              <w:rPr>
                <w:color w:val="auto"/>
                <w:sz w:val="21"/>
                <w:szCs w:val="21"/>
                <w:highlight w:val="none"/>
              </w:rPr>
            </w:pPr>
            <w:r>
              <w:rPr>
                <w:rFonts w:hint="eastAsia"/>
                <w:b/>
                <w:bCs/>
                <w:color w:val="auto"/>
                <w:spacing w:val="3"/>
                <w:sz w:val="21"/>
                <w:szCs w:val="21"/>
                <w:highlight w:val="none"/>
              </w:rPr>
              <w:t>审查结果</w:t>
            </w:r>
          </w:p>
        </w:tc>
      </w:tr>
      <w:tr w14:paraId="3608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662" w:type="dxa"/>
            <w:vMerge w:val="continue"/>
            <w:tcBorders>
              <w:top w:val="nil"/>
            </w:tcBorders>
            <w:shd w:val="clear" w:color="auto" w:fill="FFFFFF" w:themeFill="background1"/>
            <w:textDirection w:val="tbRlV"/>
          </w:tcPr>
          <w:p w14:paraId="3404C319">
            <w:pPr>
              <w:spacing w:line="360" w:lineRule="auto"/>
              <w:rPr>
                <w:rFonts w:ascii="宋体" w:hAnsi="宋体" w:eastAsia="宋体" w:cs="宋体"/>
                <w:color w:val="auto"/>
                <w:highlight w:val="none"/>
              </w:rPr>
            </w:pPr>
          </w:p>
        </w:tc>
        <w:tc>
          <w:tcPr>
            <w:tcW w:w="1643" w:type="dxa"/>
            <w:vMerge w:val="continue"/>
            <w:tcBorders>
              <w:top w:val="nil"/>
            </w:tcBorders>
            <w:shd w:val="clear" w:color="auto" w:fill="FFFFFF" w:themeFill="background1"/>
            <w:vAlign w:val="center"/>
          </w:tcPr>
          <w:p w14:paraId="71899321">
            <w:pPr>
              <w:spacing w:line="360" w:lineRule="auto"/>
              <w:jc w:val="center"/>
              <w:rPr>
                <w:rFonts w:ascii="宋体" w:hAnsi="宋体" w:eastAsia="宋体" w:cs="宋体"/>
                <w:color w:val="auto"/>
                <w:highlight w:val="none"/>
              </w:rPr>
            </w:pPr>
          </w:p>
        </w:tc>
        <w:tc>
          <w:tcPr>
            <w:tcW w:w="5717" w:type="dxa"/>
            <w:vMerge w:val="continue"/>
            <w:tcBorders>
              <w:top w:val="nil"/>
            </w:tcBorders>
            <w:shd w:val="clear" w:color="auto" w:fill="FFFFFF" w:themeFill="background1"/>
            <w:vAlign w:val="center"/>
          </w:tcPr>
          <w:p w14:paraId="5083ADED">
            <w:pPr>
              <w:spacing w:line="360" w:lineRule="auto"/>
              <w:jc w:val="center"/>
              <w:rPr>
                <w:rFonts w:ascii="宋体" w:hAnsi="宋体" w:eastAsia="宋体" w:cs="宋体"/>
                <w:color w:val="auto"/>
                <w:highlight w:val="none"/>
              </w:rPr>
            </w:pPr>
          </w:p>
        </w:tc>
        <w:tc>
          <w:tcPr>
            <w:tcW w:w="669" w:type="dxa"/>
            <w:shd w:val="clear" w:color="auto" w:fill="FFFFFF" w:themeFill="background1"/>
            <w:vAlign w:val="center"/>
          </w:tcPr>
          <w:p w14:paraId="248B9000">
            <w:pPr>
              <w:pStyle w:val="32"/>
              <w:spacing w:before="136" w:line="360" w:lineRule="auto"/>
              <w:ind w:left="-63"/>
              <w:jc w:val="center"/>
              <w:rPr>
                <w:color w:val="auto"/>
                <w:sz w:val="21"/>
                <w:szCs w:val="21"/>
                <w:highlight w:val="none"/>
              </w:rPr>
            </w:pPr>
            <w:r>
              <w:rPr>
                <w:rFonts w:hint="eastAsia"/>
                <w:b/>
                <w:bCs/>
                <w:color w:val="auto"/>
                <w:spacing w:val="3"/>
                <w:sz w:val="21"/>
                <w:szCs w:val="21"/>
                <w:highlight w:val="none"/>
              </w:rPr>
              <w:t>符合</w:t>
            </w:r>
          </w:p>
        </w:tc>
        <w:tc>
          <w:tcPr>
            <w:tcW w:w="825" w:type="dxa"/>
            <w:shd w:val="clear" w:color="auto" w:fill="FFFFFF" w:themeFill="background1"/>
            <w:vAlign w:val="center"/>
          </w:tcPr>
          <w:p w14:paraId="2D93578F">
            <w:pPr>
              <w:pStyle w:val="32"/>
              <w:spacing w:before="136" w:line="360" w:lineRule="auto"/>
              <w:ind w:left="-108" w:right="-36" w:rightChars="-17"/>
              <w:jc w:val="center"/>
              <w:rPr>
                <w:color w:val="auto"/>
                <w:sz w:val="21"/>
                <w:szCs w:val="21"/>
                <w:highlight w:val="none"/>
              </w:rPr>
            </w:pPr>
            <w:r>
              <w:rPr>
                <w:rFonts w:hint="eastAsia"/>
                <w:b/>
                <w:bCs/>
                <w:color w:val="auto"/>
                <w:spacing w:val="4"/>
                <w:sz w:val="21"/>
                <w:szCs w:val="21"/>
                <w:highlight w:val="none"/>
              </w:rPr>
              <w:t>不符合</w:t>
            </w:r>
          </w:p>
        </w:tc>
      </w:tr>
      <w:tr w14:paraId="3A4C5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603773D">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1</w:t>
            </w:r>
          </w:p>
        </w:tc>
        <w:tc>
          <w:tcPr>
            <w:tcW w:w="1643" w:type="dxa"/>
            <w:vAlign w:val="center"/>
          </w:tcPr>
          <w:p w14:paraId="22258E8E">
            <w:pPr>
              <w:pStyle w:val="32"/>
              <w:spacing w:line="360" w:lineRule="auto"/>
              <w:ind w:left="-92" w:right="-98" w:firstLine="2"/>
              <w:jc w:val="center"/>
              <w:rPr>
                <w:color w:val="auto"/>
                <w:sz w:val="21"/>
                <w:szCs w:val="21"/>
                <w:highlight w:val="none"/>
              </w:rPr>
            </w:pPr>
            <w:r>
              <w:rPr>
                <w:rFonts w:hint="eastAsia"/>
                <w:color w:val="auto"/>
                <w:spacing w:val="7"/>
                <w:sz w:val="21"/>
                <w:szCs w:val="21"/>
                <w:highlight w:val="none"/>
              </w:rPr>
              <w:t>投标文件签</w:t>
            </w:r>
            <w:r>
              <w:rPr>
                <w:rFonts w:hint="eastAsia"/>
                <w:color w:val="auto"/>
                <w:sz w:val="21"/>
                <w:szCs w:val="21"/>
                <w:highlight w:val="none"/>
              </w:rPr>
              <w:t>署</w:t>
            </w:r>
          </w:p>
        </w:tc>
        <w:tc>
          <w:tcPr>
            <w:tcW w:w="5717" w:type="dxa"/>
            <w:vAlign w:val="center"/>
          </w:tcPr>
          <w:p w14:paraId="11F8E5E3">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投标文件按招标文件要求签署、盖章。</w:t>
            </w:r>
          </w:p>
        </w:tc>
        <w:tc>
          <w:tcPr>
            <w:tcW w:w="669" w:type="dxa"/>
            <w:vAlign w:val="center"/>
          </w:tcPr>
          <w:p w14:paraId="6BF4FDBF">
            <w:pPr>
              <w:spacing w:line="360" w:lineRule="auto"/>
              <w:jc w:val="center"/>
              <w:rPr>
                <w:rFonts w:ascii="宋体" w:hAnsi="宋体" w:eastAsia="宋体" w:cs="宋体"/>
                <w:color w:val="auto"/>
                <w:highlight w:val="none"/>
                <w:lang w:eastAsia="zh-CN"/>
              </w:rPr>
            </w:pPr>
          </w:p>
        </w:tc>
        <w:tc>
          <w:tcPr>
            <w:tcW w:w="825" w:type="dxa"/>
            <w:vAlign w:val="center"/>
          </w:tcPr>
          <w:p w14:paraId="436B1FFD">
            <w:pPr>
              <w:spacing w:line="360" w:lineRule="auto"/>
              <w:jc w:val="center"/>
              <w:rPr>
                <w:rFonts w:ascii="宋体" w:hAnsi="宋体" w:eastAsia="宋体" w:cs="宋体"/>
                <w:color w:val="auto"/>
                <w:highlight w:val="none"/>
                <w:lang w:eastAsia="zh-CN"/>
              </w:rPr>
            </w:pPr>
          </w:p>
        </w:tc>
      </w:tr>
      <w:tr w14:paraId="006D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89759FD">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2</w:t>
            </w:r>
          </w:p>
        </w:tc>
        <w:tc>
          <w:tcPr>
            <w:tcW w:w="1643" w:type="dxa"/>
            <w:vAlign w:val="center"/>
          </w:tcPr>
          <w:p w14:paraId="160F3ACC">
            <w:pPr>
              <w:pStyle w:val="32"/>
              <w:spacing w:line="360" w:lineRule="auto"/>
              <w:ind w:left="-92" w:right="-98" w:firstLine="2"/>
              <w:jc w:val="center"/>
              <w:rPr>
                <w:color w:val="auto"/>
                <w:spacing w:val="7"/>
                <w:sz w:val="21"/>
                <w:szCs w:val="21"/>
                <w:highlight w:val="none"/>
                <w:lang w:eastAsia="zh-CN"/>
              </w:rPr>
            </w:pPr>
            <w:r>
              <w:rPr>
                <w:rFonts w:hint="eastAsia"/>
                <w:color w:val="auto"/>
                <w:spacing w:val="7"/>
                <w:sz w:val="21"/>
                <w:szCs w:val="21"/>
                <w:highlight w:val="none"/>
                <w:lang w:eastAsia="zh-CN"/>
              </w:rPr>
              <w:t>投标文件格式</w:t>
            </w:r>
          </w:p>
        </w:tc>
        <w:tc>
          <w:tcPr>
            <w:tcW w:w="5717" w:type="dxa"/>
            <w:vAlign w:val="center"/>
          </w:tcPr>
          <w:p w14:paraId="68C0CD95">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投标文件按照招标文件要求完整提供。</w:t>
            </w:r>
          </w:p>
        </w:tc>
        <w:tc>
          <w:tcPr>
            <w:tcW w:w="669" w:type="dxa"/>
            <w:vAlign w:val="center"/>
          </w:tcPr>
          <w:p w14:paraId="5EEE2FAD">
            <w:pPr>
              <w:spacing w:line="360" w:lineRule="auto"/>
              <w:jc w:val="center"/>
              <w:rPr>
                <w:rFonts w:ascii="宋体" w:hAnsi="宋体" w:eastAsia="宋体" w:cs="宋体"/>
                <w:color w:val="auto"/>
                <w:highlight w:val="none"/>
                <w:lang w:eastAsia="zh-CN"/>
              </w:rPr>
            </w:pPr>
          </w:p>
        </w:tc>
        <w:tc>
          <w:tcPr>
            <w:tcW w:w="825" w:type="dxa"/>
            <w:vAlign w:val="center"/>
          </w:tcPr>
          <w:p w14:paraId="5296F62D">
            <w:pPr>
              <w:spacing w:line="360" w:lineRule="auto"/>
              <w:jc w:val="center"/>
              <w:rPr>
                <w:rFonts w:ascii="宋体" w:hAnsi="宋体" w:eastAsia="宋体" w:cs="宋体"/>
                <w:color w:val="auto"/>
                <w:highlight w:val="none"/>
                <w:lang w:eastAsia="zh-CN"/>
              </w:rPr>
            </w:pPr>
          </w:p>
        </w:tc>
      </w:tr>
      <w:tr w14:paraId="46A7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7D5171E9">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3</w:t>
            </w:r>
          </w:p>
        </w:tc>
        <w:tc>
          <w:tcPr>
            <w:tcW w:w="1643" w:type="dxa"/>
            <w:vAlign w:val="center"/>
          </w:tcPr>
          <w:p w14:paraId="42DBC0FC">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实质性要求</w:t>
            </w:r>
          </w:p>
        </w:tc>
        <w:tc>
          <w:tcPr>
            <w:tcW w:w="5717" w:type="dxa"/>
            <w:vAlign w:val="center"/>
          </w:tcPr>
          <w:p w14:paraId="7FB62166">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投标文件满足招标文件规定的合同履约期限、供货地点、投标有效期。</w:t>
            </w:r>
          </w:p>
        </w:tc>
        <w:tc>
          <w:tcPr>
            <w:tcW w:w="669" w:type="dxa"/>
            <w:vAlign w:val="center"/>
          </w:tcPr>
          <w:p w14:paraId="0ED3C3EE">
            <w:pPr>
              <w:spacing w:line="360" w:lineRule="auto"/>
              <w:jc w:val="center"/>
              <w:rPr>
                <w:rFonts w:ascii="宋体" w:hAnsi="宋体" w:eastAsia="宋体" w:cs="宋体"/>
                <w:color w:val="auto"/>
                <w:highlight w:val="none"/>
                <w:lang w:eastAsia="zh-CN"/>
              </w:rPr>
            </w:pPr>
          </w:p>
        </w:tc>
        <w:tc>
          <w:tcPr>
            <w:tcW w:w="825" w:type="dxa"/>
            <w:vAlign w:val="center"/>
          </w:tcPr>
          <w:p w14:paraId="33EECE94">
            <w:pPr>
              <w:spacing w:line="360" w:lineRule="auto"/>
              <w:jc w:val="center"/>
              <w:rPr>
                <w:rFonts w:ascii="宋体" w:hAnsi="宋体" w:eastAsia="宋体" w:cs="宋体"/>
                <w:color w:val="auto"/>
                <w:highlight w:val="none"/>
                <w:lang w:eastAsia="zh-CN"/>
              </w:rPr>
            </w:pPr>
          </w:p>
        </w:tc>
      </w:tr>
      <w:tr w14:paraId="2513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16D7C90A">
            <w:pPr>
              <w:pStyle w:val="32"/>
              <w:spacing w:line="360" w:lineRule="auto"/>
              <w:ind w:right="-124" w:rightChars="-59"/>
              <w:jc w:val="both"/>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643" w:type="dxa"/>
            <w:vAlign w:val="center"/>
          </w:tcPr>
          <w:p w14:paraId="5797476D">
            <w:pPr>
              <w:pStyle w:val="32"/>
              <w:spacing w:before="51" w:line="360" w:lineRule="auto"/>
              <w:ind w:left="-92" w:right="-98" w:firstLine="2"/>
              <w:jc w:val="center"/>
              <w:rPr>
                <w:rFonts w:hint="default" w:eastAsia="宋体"/>
                <w:color w:val="auto"/>
                <w:spacing w:val="7"/>
                <w:sz w:val="21"/>
                <w:szCs w:val="21"/>
                <w:highlight w:val="none"/>
                <w:lang w:val="en-US" w:eastAsia="zh-CN"/>
              </w:rPr>
            </w:pPr>
            <w:r>
              <w:rPr>
                <w:rFonts w:hint="eastAsia"/>
                <w:color w:val="auto"/>
                <w:spacing w:val="7"/>
                <w:sz w:val="21"/>
                <w:szCs w:val="21"/>
                <w:highlight w:val="none"/>
                <w:lang w:val="en-US" w:eastAsia="zh-CN"/>
              </w:rPr>
              <w:t>商务技术要求</w:t>
            </w:r>
          </w:p>
        </w:tc>
        <w:tc>
          <w:tcPr>
            <w:tcW w:w="5717" w:type="dxa"/>
            <w:vAlign w:val="center"/>
          </w:tcPr>
          <w:p w14:paraId="210C9DD5">
            <w:pPr>
              <w:pStyle w:val="32"/>
              <w:spacing w:line="360" w:lineRule="auto"/>
              <w:ind w:left="24" w:right="-10" w:rightChars="-5"/>
              <w:jc w:val="both"/>
              <w:rPr>
                <w:rFonts w:hint="eastAsia"/>
                <w:color w:val="auto"/>
                <w:spacing w:val="9"/>
                <w:sz w:val="21"/>
                <w:szCs w:val="21"/>
                <w:highlight w:val="none"/>
                <w:lang w:eastAsia="zh-CN"/>
              </w:rPr>
            </w:pPr>
            <w:r>
              <w:rPr>
                <w:rFonts w:hint="eastAsia"/>
                <w:color w:val="auto"/>
                <w:spacing w:val="9"/>
                <w:sz w:val="21"/>
                <w:szCs w:val="21"/>
                <w:highlight w:val="none"/>
                <w:lang w:val="en-US" w:eastAsia="zh-CN"/>
              </w:rPr>
              <w:t>“商务条款偏离表”有一项</w:t>
            </w:r>
            <w:r>
              <w:rPr>
                <w:rFonts w:hint="eastAsia"/>
                <w:color w:val="auto"/>
                <w:spacing w:val="9"/>
                <w:sz w:val="21"/>
                <w:szCs w:val="21"/>
                <w:highlight w:val="none"/>
                <w:lang w:eastAsia="zh-CN"/>
              </w:rPr>
              <w:t>“×”</w:t>
            </w:r>
            <w:r>
              <w:rPr>
                <w:rFonts w:hint="eastAsia"/>
                <w:color w:val="auto"/>
                <w:spacing w:val="9"/>
                <w:sz w:val="21"/>
                <w:szCs w:val="21"/>
                <w:highlight w:val="none"/>
                <w:lang w:val="en-US" w:eastAsia="zh-CN"/>
              </w:rPr>
              <w:t>未响应或者负偏离，均视为未实质性响应投标文件。</w:t>
            </w:r>
          </w:p>
        </w:tc>
        <w:tc>
          <w:tcPr>
            <w:tcW w:w="669" w:type="dxa"/>
            <w:vAlign w:val="center"/>
          </w:tcPr>
          <w:p w14:paraId="61A02656">
            <w:pPr>
              <w:spacing w:line="360" w:lineRule="auto"/>
              <w:jc w:val="center"/>
              <w:rPr>
                <w:rFonts w:ascii="宋体" w:hAnsi="宋体" w:eastAsia="宋体" w:cs="宋体"/>
                <w:color w:val="auto"/>
                <w:highlight w:val="none"/>
                <w:lang w:eastAsia="zh-CN"/>
              </w:rPr>
            </w:pPr>
          </w:p>
        </w:tc>
        <w:tc>
          <w:tcPr>
            <w:tcW w:w="825" w:type="dxa"/>
            <w:vAlign w:val="center"/>
          </w:tcPr>
          <w:p w14:paraId="0E06F485">
            <w:pPr>
              <w:spacing w:line="360" w:lineRule="auto"/>
              <w:jc w:val="center"/>
              <w:rPr>
                <w:rFonts w:ascii="宋体" w:hAnsi="宋体" w:eastAsia="宋体" w:cs="宋体"/>
                <w:color w:val="auto"/>
                <w:highlight w:val="none"/>
                <w:lang w:eastAsia="zh-CN"/>
              </w:rPr>
            </w:pPr>
          </w:p>
        </w:tc>
      </w:tr>
      <w:tr w14:paraId="7A8E5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5" w:hRule="atLeast"/>
        </w:trPr>
        <w:tc>
          <w:tcPr>
            <w:tcW w:w="662" w:type="dxa"/>
            <w:vAlign w:val="center"/>
          </w:tcPr>
          <w:p w14:paraId="0F16A9E0">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5</w:t>
            </w:r>
          </w:p>
        </w:tc>
        <w:tc>
          <w:tcPr>
            <w:tcW w:w="1643" w:type="dxa"/>
            <w:vAlign w:val="center"/>
          </w:tcPr>
          <w:p w14:paraId="1344D0F2">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投标报价</w:t>
            </w:r>
          </w:p>
        </w:tc>
        <w:tc>
          <w:tcPr>
            <w:tcW w:w="5717" w:type="dxa"/>
            <w:vAlign w:val="center"/>
          </w:tcPr>
          <w:p w14:paraId="035AE128">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投标人报价符合招标文件规定。</w:t>
            </w:r>
          </w:p>
        </w:tc>
        <w:tc>
          <w:tcPr>
            <w:tcW w:w="669" w:type="dxa"/>
            <w:vAlign w:val="center"/>
          </w:tcPr>
          <w:p w14:paraId="139F1B05">
            <w:pPr>
              <w:spacing w:line="360" w:lineRule="auto"/>
              <w:jc w:val="center"/>
              <w:rPr>
                <w:rFonts w:ascii="宋体" w:hAnsi="宋体" w:eastAsia="宋体" w:cs="宋体"/>
                <w:color w:val="auto"/>
                <w:highlight w:val="none"/>
                <w:lang w:eastAsia="zh-CN"/>
              </w:rPr>
            </w:pPr>
          </w:p>
        </w:tc>
        <w:tc>
          <w:tcPr>
            <w:tcW w:w="825" w:type="dxa"/>
            <w:vAlign w:val="center"/>
          </w:tcPr>
          <w:p w14:paraId="36F10182">
            <w:pPr>
              <w:spacing w:line="360" w:lineRule="auto"/>
              <w:jc w:val="center"/>
              <w:rPr>
                <w:rFonts w:ascii="宋体" w:hAnsi="宋体" w:eastAsia="宋体" w:cs="宋体"/>
                <w:color w:val="auto"/>
                <w:highlight w:val="none"/>
                <w:lang w:eastAsia="zh-CN"/>
              </w:rPr>
            </w:pPr>
          </w:p>
        </w:tc>
      </w:tr>
      <w:tr w14:paraId="5FBC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1" w:hRule="atLeast"/>
        </w:trPr>
        <w:tc>
          <w:tcPr>
            <w:tcW w:w="662" w:type="dxa"/>
            <w:vAlign w:val="center"/>
          </w:tcPr>
          <w:p w14:paraId="153C042C">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6</w:t>
            </w:r>
          </w:p>
        </w:tc>
        <w:tc>
          <w:tcPr>
            <w:tcW w:w="1643" w:type="dxa"/>
            <w:vAlign w:val="center"/>
          </w:tcPr>
          <w:p w14:paraId="5841FA5A">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投标保证金</w:t>
            </w:r>
          </w:p>
        </w:tc>
        <w:tc>
          <w:tcPr>
            <w:tcW w:w="5717" w:type="dxa"/>
            <w:vAlign w:val="center"/>
          </w:tcPr>
          <w:p w14:paraId="4CBAE193">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投标人按招标文件的规定交纳投标保证金的。</w:t>
            </w:r>
          </w:p>
        </w:tc>
        <w:tc>
          <w:tcPr>
            <w:tcW w:w="669" w:type="dxa"/>
            <w:vAlign w:val="center"/>
          </w:tcPr>
          <w:p w14:paraId="5707B1EA">
            <w:pPr>
              <w:spacing w:line="360" w:lineRule="auto"/>
              <w:jc w:val="center"/>
              <w:rPr>
                <w:rFonts w:ascii="宋体" w:hAnsi="宋体" w:eastAsia="宋体" w:cs="宋体"/>
                <w:color w:val="auto"/>
                <w:highlight w:val="none"/>
                <w:lang w:eastAsia="zh-CN"/>
              </w:rPr>
            </w:pPr>
          </w:p>
        </w:tc>
        <w:tc>
          <w:tcPr>
            <w:tcW w:w="825" w:type="dxa"/>
            <w:vAlign w:val="center"/>
          </w:tcPr>
          <w:p w14:paraId="7F73175F">
            <w:pPr>
              <w:spacing w:line="360" w:lineRule="auto"/>
              <w:jc w:val="center"/>
              <w:rPr>
                <w:rFonts w:ascii="宋体" w:hAnsi="宋体" w:eastAsia="宋体" w:cs="宋体"/>
                <w:color w:val="auto"/>
                <w:highlight w:val="none"/>
                <w:lang w:eastAsia="zh-CN"/>
              </w:rPr>
            </w:pPr>
          </w:p>
        </w:tc>
      </w:tr>
      <w:tr w14:paraId="1487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8" w:hRule="atLeast"/>
        </w:trPr>
        <w:tc>
          <w:tcPr>
            <w:tcW w:w="662" w:type="dxa"/>
            <w:vAlign w:val="center"/>
          </w:tcPr>
          <w:p w14:paraId="0B11F94A">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7</w:t>
            </w:r>
          </w:p>
        </w:tc>
        <w:tc>
          <w:tcPr>
            <w:tcW w:w="1643" w:type="dxa"/>
            <w:vAlign w:val="center"/>
          </w:tcPr>
          <w:p w14:paraId="7D2711FB">
            <w:pPr>
              <w:pStyle w:val="32"/>
              <w:spacing w:before="51" w:line="360" w:lineRule="auto"/>
              <w:ind w:left="-92" w:right="-98" w:firstLine="2"/>
              <w:jc w:val="center"/>
              <w:rPr>
                <w:color w:val="auto"/>
                <w:spacing w:val="7"/>
                <w:sz w:val="21"/>
                <w:szCs w:val="21"/>
                <w:highlight w:val="none"/>
                <w:lang w:eastAsia="zh-CN"/>
              </w:rPr>
            </w:pPr>
            <w:r>
              <w:rPr>
                <w:rFonts w:hint="eastAsia"/>
                <w:color w:val="auto"/>
                <w:spacing w:val="7"/>
                <w:sz w:val="21"/>
                <w:szCs w:val="21"/>
                <w:highlight w:val="none"/>
                <w:lang w:eastAsia="zh-CN"/>
              </w:rPr>
              <w:t>投标文件的澄清、说明、补正</w:t>
            </w:r>
          </w:p>
        </w:tc>
        <w:tc>
          <w:tcPr>
            <w:tcW w:w="5717" w:type="dxa"/>
            <w:vAlign w:val="center"/>
          </w:tcPr>
          <w:p w14:paraId="728CDAC3">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评审期间,投标人按评标委员会的要求提交经授权代表签字的澄清、说明、补正或未改变投标文件的实质性内容。</w:t>
            </w:r>
          </w:p>
        </w:tc>
        <w:tc>
          <w:tcPr>
            <w:tcW w:w="669" w:type="dxa"/>
            <w:vAlign w:val="center"/>
          </w:tcPr>
          <w:p w14:paraId="60FE0D29">
            <w:pPr>
              <w:spacing w:line="360" w:lineRule="auto"/>
              <w:jc w:val="center"/>
              <w:rPr>
                <w:rFonts w:ascii="宋体" w:hAnsi="宋体" w:eastAsia="宋体" w:cs="宋体"/>
                <w:color w:val="auto"/>
                <w:highlight w:val="none"/>
                <w:lang w:eastAsia="zh-CN"/>
              </w:rPr>
            </w:pPr>
          </w:p>
        </w:tc>
        <w:tc>
          <w:tcPr>
            <w:tcW w:w="825" w:type="dxa"/>
            <w:vAlign w:val="center"/>
          </w:tcPr>
          <w:p w14:paraId="560CCA55">
            <w:pPr>
              <w:spacing w:line="360" w:lineRule="auto"/>
              <w:jc w:val="center"/>
              <w:rPr>
                <w:rFonts w:ascii="宋体" w:hAnsi="宋体" w:eastAsia="宋体" w:cs="宋体"/>
                <w:color w:val="auto"/>
                <w:highlight w:val="none"/>
                <w:lang w:eastAsia="zh-CN"/>
              </w:rPr>
            </w:pPr>
          </w:p>
        </w:tc>
      </w:tr>
      <w:tr w14:paraId="3061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trPr>
        <w:tc>
          <w:tcPr>
            <w:tcW w:w="662" w:type="dxa"/>
            <w:vAlign w:val="center"/>
          </w:tcPr>
          <w:p w14:paraId="3D4C67F3">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8</w:t>
            </w:r>
          </w:p>
        </w:tc>
        <w:tc>
          <w:tcPr>
            <w:tcW w:w="1643" w:type="dxa"/>
            <w:vAlign w:val="center"/>
          </w:tcPr>
          <w:p w14:paraId="7F62A794">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围标串标情形</w:t>
            </w:r>
          </w:p>
        </w:tc>
        <w:tc>
          <w:tcPr>
            <w:tcW w:w="5717" w:type="dxa"/>
            <w:vAlign w:val="center"/>
          </w:tcPr>
          <w:p w14:paraId="0C5122AE">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没有“第五章 评标方法及标准”第21条情形之一的。</w:t>
            </w:r>
          </w:p>
        </w:tc>
        <w:tc>
          <w:tcPr>
            <w:tcW w:w="669" w:type="dxa"/>
            <w:vAlign w:val="center"/>
          </w:tcPr>
          <w:p w14:paraId="425E21DA">
            <w:pPr>
              <w:spacing w:line="360" w:lineRule="auto"/>
              <w:jc w:val="center"/>
              <w:rPr>
                <w:rFonts w:ascii="宋体" w:hAnsi="宋体" w:eastAsia="宋体" w:cs="宋体"/>
                <w:color w:val="auto"/>
                <w:highlight w:val="none"/>
                <w:lang w:eastAsia="zh-CN"/>
              </w:rPr>
            </w:pPr>
          </w:p>
        </w:tc>
        <w:tc>
          <w:tcPr>
            <w:tcW w:w="825" w:type="dxa"/>
            <w:vAlign w:val="center"/>
          </w:tcPr>
          <w:p w14:paraId="2A5CB42A">
            <w:pPr>
              <w:spacing w:line="360" w:lineRule="auto"/>
              <w:jc w:val="center"/>
              <w:rPr>
                <w:rFonts w:ascii="宋体" w:hAnsi="宋体" w:eastAsia="宋体" w:cs="宋体"/>
                <w:color w:val="auto"/>
                <w:highlight w:val="none"/>
                <w:lang w:eastAsia="zh-CN"/>
              </w:rPr>
            </w:pPr>
          </w:p>
        </w:tc>
      </w:tr>
      <w:tr w14:paraId="5E00C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662" w:type="dxa"/>
            <w:vAlign w:val="center"/>
          </w:tcPr>
          <w:p w14:paraId="10426FB3">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9</w:t>
            </w:r>
          </w:p>
        </w:tc>
        <w:tc>
          <w:tcPr>
            <w:tcW w:w="1643" w:type="dxa"/>
            <w:vAlign w:val="center"/>
          </w:tcPr>
          <w:p w14:paraId="5505CACE">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附加条件</w:t>
            </w:r>
          </w:p>
        </w:tc>
        <w:tc>
          <w:tcPr>
            <w:tcW w:w="5717" w:type="dxa"/>
            <w:vAlign w:val="center"/>
          </w:tcPr>
          <w:p w14:paraId="7A7EB0DF">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投标文件没有采购人不能接受的条件。</w:t>
            </w:r>
          </w:p>
        </w:tc>
        <w:tc>
          <w:tcPr>
            <w:tcW w:w="669" w:type="dxa"/>
            <w:vAlign w:val="center"/>
          </w:tcPr>
          <w:p w14:paraId="1021AAA5">
            <w:pPr>
              <w:spacing w:line="360" w:lineRule="auto"/>
              <w:jc w:val="center"/>
              <w:rPr>
                <w:rFonts w:ascii="宋体" w:hAnsi="宋体" w:eastAsia="宋体" w:cs="宋体"/>
                <w:color w:val="auto"/>
                <w:highlight w:val="none"/>
                <w:lang w:eastAsia="zh-CN"/>
              </w:rPr>
            </w:pPr>
          </w:p>
        </w:tc>
        <w:tc>
          <w:tcPr>
            <w:tcW w:w="825" w:type="dxa"/>
            <w:vAlign w:val="center"/>
          </w:tcPr>
          <w:p w14:paraId="76D8D393">
            <w:pPr>
              <w:spacing w:line="360" w:lineRule="auto"/>
              <w:jc w:val="center"/>
              <w:rPr>
                <w:rFonts w:ascii="宋体" w:hAnsi="宋体" w:eastAsia="宋体" w:cs="宋体"/>
                <w:color w:val="auto"/>
                <w:highlight w:val="none"/>
                <w:lang w:eastAsia="zh-CN"/>
              </w:rPr>
            </w:pPr>
          </w:p>
        </w:tc>
      </w:tr>
      <w:tr w14:paraId="792A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2" w:type="dxa"/>
            <w:vAlign w:val="center"/>
          </w:tcPr>
          <w:p w14:paraId="50A1B0B3">
            <w:pPr>
              <w:pStyle w:val="32"/>
              <w:spacing w:line="360" w:lineRule="auto"/>
              <w:ind w:right="-124" w:rightChars="-59"/>
              <w:jc w:val="both"/>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643" w:type="dxa"/>
            <w:vAlign w:val="center"/>
          </w:tcPr>
          <w:p w14:paraId="63101EC9">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其他无效情形</w:t>
            </w:r>
          </w:p>
        </w:tc>
        <w:tc>
          <w:tcPr>
            <w:tcW w:w="5717" w:type="dxa"/>
            <w:vAlign w:val="center"/>
          </w:tcPr>
          <w:p w14:paraId="18A4B618">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没有法律、法规、规章规定属于投标无效的其他情形。</w:t>
            </w:r>
          </w:p>
        </w:tc>
        <w:tc>
          <w:tcPr>
            <w:tcW w:w="669" w:type="dxa"/>
            <w:vAlign w:val="center"/>
          </w:tcPr>
          <w:p w14:paraId="6260B9DF">
            <w:pPr>
              <w:spacing w:line="360" w:lineRule="auto"/>
              <w:jc w:val="center"/>
              <w:rPr>
                <w:rFonts w:ascii="宋体" w:hAnsi="宋体" w:eastAsia="宋体" w:cs="宋体"/>
                <w:color w:val="auto"/>
                <w:highlight w:val="none"/>
                <w:lang w:eastAsia="zh-CN"/>
              </w:rPr>
            </w:pPr>
          </w:p>
        </w:tc>
        <w:tc>
          <w:tcPr>
            <w:tcW w:w="825" w:type="dxa"/>
            <w:vAlign w:val="center"/>
          </w:tcPr>
          <w:p w14:paraId="42712FBA">
            <w:pPr>
              <w:spacing w:line="360" w:lineRule="auto"/>
              <w:jc w:val="center"/>
              <w:rPr>
                <w:rFonts w:ascii="宋体" w:hAnsi="宋体" w:eastAsia="宋体" w:cs="宋体"/>
                <w:color w:val="auto"/>
                <w:highlight w:val="none"/>
                <w:lang w:eastAsia="zh-CN"/>
              </w:rPr>
            </w:pPr>
          </w:p>
        </w:tc>
      </w:tr>
    </w:tbl>
    <w:p w14:paraId="451C87FB">
      <w:pPr>
        <w:bidi w:val="0"/>
        <w:rPr>
          <w:rFonts w:hint="eastAsia"/>
          <w:color w:val="auto"/>
          <w:highlight w:val="none"/>
          <w:lang w:eastAsia="zh-CN"/>
        </w:rPr>
      </w:pPr>
    </w:p>
    <w:bookmarkEnd w:id="309"/>
    <w:bookmarkEnd w:id="310"/>
    <w:p w14:paraId="53C927AF">
      <w:pPr>
        <w:pageBreakBefore/>
        <w:widowControl w:val="0"/>
        <w:numPr>
          <w:ilvl w:val="0"/>
          <w:numId w:val="2"/>
        </w:numPr>
        <w:spacing w:line="360" w:lineRule="auto"/>
        <w:outlineLvl w:val="1"/>
        <w:rPr>
          <w:rFonts w:ascii="宋体" w:hAnsi="宋体" w:eastAsia="宋体" w:cs="宋体"/>
          <w:b/>
          <w:bCs/>
          <w:color w:val="auto"/>
          <w:spacing w:val="-6"/>
          <w:sz w:val="24"/>
          <w:szCs w:val="24"/>
          <w:highlight w:val="none"/>
          <w:lang w:eastAsia="zh-CN"/>
        </w:rPr>
      </w:pPr>
      <w:bookmarkStart w:id="311" w:name="bookmark191"/>
      <w:bookmarkEnd w:id="311"/>
      <w:bookmarkStart w:id="312" w:name="bookmark221"/>
      <w:bookmarkEnd w:id="312"/>
      <w:bookmarkStart w:id="313" w:name="_Toc21875"/>
      <w:bookmarkStart w:id="314" w:name="_Toc186477768"/>
      <w:r>
        <w:rPr>
          <w:rFonts w:hint="eastAsia" w:ascii="宋体" w:hAnsi="宋体" w:eastAsia="宋体" w:cs="宋体"/>
          <w:b/>
          <w:bCs/>
          <w:color w:val="auto"/>
          <w:spacing w:val="-6"/>
          <w:sz w:val="24"/>
          <w:szCs w:val="24"/>
          <w:highlight w:val="none"/>
          <w:lang w:eastAsia="zh-CN"/>
        </w:rPr>
        <w:t>评分标准</w:t>
      </w:r>
      <w:bookmarkEnd w:id="313"/>
      <w:bookmarkEnd w:id="314"/>
    </w:p>
    <w:tbl>
      <w:tblPr>
        <w:tblStyle w:val="24"/>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25"/>
        <w:gridCol w:w="581"/>
        <w:gridCol w:w="6358"/>
      </w:tblGrid>
      <w:tr w14:paraId="6275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6D69AA">
            <w:pPr>
              <w:widowControl w:val="0"/>
              <w:overflowPunct w:val="0"/>
              <w:autoSpaceDN/>
              <w:spacing w:line="360" w:lineRule="auto"/>
              <w:jc w:val="center"/>
              <w:rPr>
                <w:rFonts w:ascii="宋体" w:hAnsi="宋体" w:eastAsia="宋体" w:cs="宋体"/>
                <w:color w:val="auto"/>
                <w:kern w:val="2"/>
                <w:highlight w:val="none"/>
                <w:lang w:eastAsia="zh-CN" w:bidi="ar"/>
              </w:rPr>
            </w:pPr>
            <w:r>
              <w:rPr>
                <w:rFonts w:hint="eastAsia" w:ascii="宋体" w:hAnsi="宋体" w:eastAsia="宋体" w:cs="宋体"/>
                <w:b/>
                <w:color w:val="auto"/>
                <w:highlight w:val="none"/>
                <w:lang w:eastAsia="zh-CN"/>
              </w:rPr>
              <w:t>一</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价格</w:t>
            </w:r>
            <w:r>
              <w:rPr>
                <w:rFonts w:hint="eastAsia" w:ascii="宋体" w:hAnsi="宋体" w:eastAsia="宋体" w:cs="宋体"/>
                <w:b/>
                <w:color w:val="auto"/>
                <w:highlight w:val="none"/>
              </w:rPr>
              <w:t>部分（</w:t>
            </w:r>
            <w:r>
              <w:rPr>
                <w:rFonts w:hint="eastAsia" w:ascii="宋体" w:hAnsi="宋体" w:eastAsia="宋体" w:cs="宋体"/>
                <w:b/>
                <w:color w:val="auto"/>
                <w:highlight w:val="none"/>
                <w:lang w:eastAsia="zh-CN"/>
              </w:rPr>
              <w:t>30</w:t>
            </w:r>
            <w:r>
              <w:rPr>
                <w:rFonts w:hint="eastAsia" w:ascii="宋体" w:hAnsi="宋体" w:eastAsia="宋体" w:cs="宋体"/>
                <w:b/>
                <w:color w:val="auto"/>
                <w:highlight w:val="none"/>
              </w:rPr>
              <w:t>分）</w:t>
            </w:r>
          </w:p>
        </w:tc>
      </w:tr>
      <w:tr w14:paraId="50EE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EC89398">
            <w:pPr>
              <w:spacing w:line="360" w:lineRule="auto"/>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F1F146F">
            <w:pPr>
              <w:widowControl w:val="0"/>
              <w:overflowPunct w:val="0"/>
              <w:spacing w:line="360" w:lineRule="auto"/>
              <w:ind w:left="-105" w:leftChars="-50" w:right="-105" w:rightChars="-50"/>
              <w:jc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评审项目</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1BE9D3B2">
            <w:pPr>
              <w:widowControl w:val="0"/>
              <w:overflowPunct w:val="0"/>
              <w:spacing w:line="360" w:lineRule="auto"/>
              <w:ind w:left="-105" w:leftChars="-50" w:right="-105" w:rightChars="-50"/>
              <w:jc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分值</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7D375492">
            <w:pPr>
              <w:widowControl w:val="0"/>
              <w:overflowPunct w:val="0"/>
              <w:autoSpaceDN/>
              <w:spacing w:line="360" w:lineRule="auto"/>
              <w:jc w:val="center"/>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评审标准</w:t>
            </w:r>
          </w:p>
        </w:tc>
      </w:tr>
      <w:tr w14:paraId="78E2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7CF3E65">
            <w:pPr>
              <w:spacing w:line="360" w:lineRule="auto"/>
              <w:jc w:val="center"/>
              <w:textAlignment w:val="center"/>
              <w:rPr>
                <w:rFonts w:ascii="宋体" w:hAnsi="宋体" w:eastAsia="宋体" w:cs="宋体"/>
                <w:color w:val="auto"/>
                <w:kern w:val="2"/>
                <w:highlight w:val="none"/>
              </w:rPr>
            </w:pPr>
            <w:r>
              <w:rPr>
                <w:rFonts w:hint="eastAsia" w:ascii="宋体" w:hAnsi="宋体" w:eastAsia="宋体" w:cs="宋体"/>
                <w:color w:val="auto"/>
                <w:highlight w:val="none"/>
                <w:lang w:eastAsia="zh-CN" w:bidi="ar"/>
              </w:rPr>
              <w:t>6</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3432AB5E">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投标报价</w:t>
            </w:r>
          </w:p>
          <w:p w14:paraId="6F6D3E0E">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（牛羊肉类食材）</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7FEF695">
            <w:pPr>
              <w:widowControl w:val="0"/>
              <w:overflowPunct w:val="0"/>
              <w:spacing w:line="360" w:lineRule="auto"/>
              <w:ind w:left="-105" w:leftChars="-50" w:right="-105" w:rightChars="-50"/>
              <w:jc w:val="center"/>
              <w:rPr>
                <w:rFonts w:ascii="宋体" w:hAnsi="宋体" w:eastAsia="宋体" w:cs="宋体"/>
                <w:color w:val="auto"/>
                <w:highlight w:val="none"/>
              </w:rPr>
            </w:pPr>
            <w:r>
              <w:rPr>
                <w:rFonts w:hint="eastAsia" w:ascii="宋体" w:hAnsi="宋体" w:eastAsia="宋体" w:cs="宋体"/>
                <w:color w:val="auto"/>
                <w:highlight w:val="none"/>
                <w:lang w:val="en-US" w:eastAsia="zh-CN" w:bidi="ar"/>
              </w:rPr>
              <w:t>30</w:t>
            </w:r>
            <w:r>
              <w:rPr>
                <w:rFonts w:hint="eastAsia" w:ascii="宋体" w:hAnsi="宋体" w:eastAsia="宋体" w:cs="宋体"/>
                <w:color w:val="auto"/>
                <w:highlight w:val="none"/>
                <w:lang w:eastAsia="zh-CN" w:bidi="ar"/>
              </w:rPr>
              <w:t>分</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5A7D1D53">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投标报价得分计算方法：</w:t>
            </w:r>
          </w:p>
          <w:p w14:paraId="3D5CB2CA">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1.投标报价的确定</w:t>
            </w:r>
          </w:p>
          <w:p w14:paraId="5F66889B">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投标报价是指满足招标文件要求的折扣率。</w:t>
            </w:r>
          </w:p>
          <w:p w14:paraId="3202BAC1">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2.评标基准价的确定</w:t>
            </w:r>
          </w:p>
          <w:p w14:paraId="0185BCF4">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满足招标文件要求且投标报价（折扣率）最低的为评标基准价</w:t>
            </w:r>
          </w:p>
          <w:p w14:paraId="47C4118E">
            <w:pPr>
              <w:widowControl w:val="0"/>
              <w:overflowPunct w:val="0"/>
              <w:autoSpaceDN/>
              <w:spacing w:line="360" w:lineRule="auto"/>
              <w:jc w:val="both"/>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eastAsia="zh-CN" w:bidi="ar"/>
              </w:rPr>
              <w:t>3.投标报价得分=(评标基准价／投标报价)×</w:t>
            </w:r>
            <w:r>
              <w:rPr>
                <w:rFonts w:hint="eastAsia" w:ascii="宋体" w:hAnsi="宋体" w:eastAsia="宋体" w:cs="宋体"/>
                <w:color w:val="auto"/>
                <w:kern w:val="2"/>
                <w:highlight w:val="none"/>
                <w:lang w:val="en-US" w:eastAsia="zh-CN" w:bidi="ar"/>
              </w:rPr>
              <w:t>30</w:t>
            </w:r>
          </w:p>
          <w:p w14:paraId="50E5922E">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4.评分分值计算保留小数点后两位，小数点后三位“四舍五入”。</w:t>
            </w:r>
          </w:p>
        </w:tc>
      </w:tr>
    </w:tbl>
    <w:tbl>
      <w:tblPr>
        <w:tblStyle w:val="24"/>
        <w:tblpPr w:leftFromText="180" w:rightFromText="180" w:vertAnchor="text" w:horzAnchor="page" w:tblpX="1352" w:tblpY="479"/>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44"/>
        <w:gridCol w:w="709"/>
        <w:gridCol w:w="6899"/>
      </w:tblGrid>
      <w:tr w14:paraId="08CF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1" w:type="dxa"/>
            <w:gridSpan w:val="4"/>
            <w:noWrap/>
            <w:vAlign w:val="center"/>
          </w:tcPr>
          <w:p w14:paraId="565A6D58">
            <w:pPr>
              <w:spacing w:line="360" w:lineRule="auto"/>
              <w:jc w:val="both"/>
              <w:rPr>
                <w:rFonts w:ascii="宋体" w:hAnsi="宋体" w:eastAsia="宋体" w:cs="宋体"/>
                <w:b/>
                <w:color w:val="auto"/>
                <w:highlight w:val="none"/>
                <w:lang w:eastAsia="zh-CN"/>
              </w:rPr>
            </w:pPr>
          </w:p>
          <w:p w14:paraId="5FD5D017">
            <w:pPr>
              <w:spacing w:line="360" w:lineRule="auto"/>
              <w:jc w:val="center"/>
              <w:rPr>
                <w:rFonts w:ascii="宋体" w:hAnsi="宋体" w:eastAsia="宋体" w:cs="宋体"/>
                <w:color w:val="auto"/>
                <w:highlight w:val="none"/>
              </w:rPr>
            </w:pPr>
            <w:r>
              <w:rPr>
                <w:rFonts w:hint="eastAsia" w:ascii="宋体" w:hAnsi="宋体" w:eastAsia="宋体" w:cs="宋体"/>
                <w:b/>
                <w:color w:val="auto"/>
                <w:highlight w:val="none"/>
              </w:rPr>
              <w:t>二、商务部分（</w:t>
            </w:r>
            <w:r>
              <w:rPr>
                <w:rFonts w:hint="eastAsia" w:ascii="宋体" w:hAnsi="宋体" w:eastAsia="宋体" w:cs="宋体"/>
                <w:b/>
                <w:color w:val="auto"/>
                <w:highlight w:val="none"/>
                <w:lang w:eastAsia="zh-CN"/>
              </w:rPr>
              <w:t>15</w:t>
            </w:r>
            <w:r>
              <w:rPr>
                <w:rFonts w:hint="eastAsia" w:ascii="宋体" w:hAnsi="宋体" w:eastAsia="宋体" w:cs="宋体"/>
                <w:b/>
                <w:color w:val="auto"/>
                <w:highlight w:val="none"/>
              </w:rPr>
              <w:t>分）</w:t>
            </w:r>
          </w:p>
        </w:tc>
      </w:tr>
      <w:tr w14:paraId="5022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2E363984">
            <w:pPr>
              <w:spacing w:line="360" w:lineRule="auto"/>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序号</w:t>
            </w:r>
          </w:p>
        </w:tc>
        <w:tc>
          <w:tcPr>
            <w:tcW w:w="744" w:type="dxa"/>
            <w:noWrap/>
            <w:vAlign w:val="center"/>
          </w:tcPr>
          <w:p w14:paraId="4F2673A4">
            <w:pPr>
              <w:widowControl w:val="0"/>
              <w:overflowPunct w:val="0"/>
              <w:spacing w:line="360" w:lineRule="auto"/>
              <w:ind w:left="-105" w:leftChars="-50" w:right="-105" w:rightChars="-50"/>
              <w:jc w:val="center"/>
              <w:rPr>
                <w:rFonts w:ascii="宋体" w:hAnsi="宋体" w:eastAsia="宋体" w:cs="宋体"/>
                <w:color w:val="auto"/>
                <w:highlight w:val="none"/>
              </w:rPr>
            </w:pPr>
            <w:r>
              <w:rPr>
                <w:rFonts w:hint="eastAsia" w:ascii="宋体" w:hAnsi="宋体" w:eastAsia="宋体" w:cs="宋体"/>
                <w:color w:val="auto"/>
                <w:highlight w:val="none"/>
                <w:lang w:eastAsia="zh-CN" w:bidi="ar"/>
              </w:rPr>
              <w:t>评审项目</w:t>
            </w:r>
          </w:p>
        </w:tc>
        <w:tc>
          <w:tcPr>
            <w:tcW w:w="709" w:type="dxa"/>
            <w:noWrap/>
            <w:vAlign w:val="center"/>
          </w:tcPr>
          <w:p w14:paraId="4941ABAF">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分值</w:t>
            </w:r>
          </w:p>
        </w:tc>
        <w:tc>
          <w:tcPr>
            <w:tcW w:w="6899" w:type="dxa"/>
            <w:noWrap/>
            <w:vAlign w:val="center"/>
          </w:tcPr>
          <w:p w14:paraId="1A36E5EE">
            <w:pPr>
              <w:widowControl w:val="0"/>
              <w:overflowPunct w:val="0"/>
              <w:autoSpaceDN/>
              <w:spacing w:line="360" w:lineRule="auto"/>
              <w:jc w:val="center"/>
              <w:rPr>
                <w:rFonts w:ascii="宋体" w:hAnsi="宋体" w:eastAsia="宋体" w:cs="宋体"/>
                <w:color w:val="auto"/>
                <w:highlight w:val="none"/>
                <w:lang w:eastAsia="zh-CN"/>
              </w:rPr>
            </w:pPr>
            <w:r>
              <w:rPr>
                <w:rFonts w:hint="eastAsia" w:ascii="宋体" w:hAnsi="宋体" w:eastAsia="宋体" w:cs="宋体"/>
                <w:color w:val="auto"/>
                <w:kern w:val="2"/>
                <w:highlight w:val="none"/>
                <w:lang w:eastAsia="zh-CN" w:bidi="ar"/>
              </w:rPr>
              <w:t>评审标准</w:t>
            </w:r>
          </w:p>
        </w:tc>
      </w:tr>
      <w:tr w14:paraId="76BA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1A5A66CD">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w:t>
            </w:r>
          </w:p>
        </w:tc>
        <w:tc>
          <w:tcPr>
            <w:tcW w:w="744" w:type="dxa"/>
            <w:noWrap/>
            <w:vAlign w:val="center"/>
          </w:tcPr>
          <w:p w14:paraId="41B75437">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同类</w:t>
            </w:r>
            <w:r>
              <w:rPr>
                <w:rFonts w:hint="eastAsia" w:ascii="宋体" w:hAnsi="宋体" w:eastAsia="宋体" w:cs="宋体"/>
                <w:color w:val="auto"/>
                <w:highlight w:val="none"/>
              </w:rPr>
              <w:t>业绩</w:t>
            </w:r>
          </w:p>
        </w:tc>
        <w:tc>
          <w:tcPr>
            <w:tcW w:w="709" w:type="dxa"/>
            <w:noWrap/>
            <w:vAlign w:val="center"/>
          </w:tcPr>
          <w:p w14:paraId="437018AA">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分</w:t>
            </w:r>
          </w:p>
        </w:tc>
        <w:tc>
          <w:tcPr>
            <w:tcW w:w="6899" w:type="dxa"/>
            <w:noWrap/>
            <w:vAlign w:val="center"/>
          </w:tcPr>
          <w:p w14:paraId="19EBD407">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投标人近三年完成同类项目业绩，每提供一项得4分，最多得8分。</w:t>
            </w:r>
          </w:p>
          <w:p w14:paraId="1CAB63F3">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注：①如：提交投标文件截止时间为202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年0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月03日，则“近三年”是指202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年0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月03日至202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年0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月0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日。②同类项目业绩附合同，合同须附合同首页、体现标的物页、双方签字盖章页等关键页，不提供或提供不清晰导致专家无法判断的不得分。</w:t>
            </w:r>
          </w:p>
        </w:tc>
      </w:tr>
      <w:tr w14:paraId="1918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32885CE1">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744" w:type="dxa"/>
            <w:noWrap/>
            <w:vAlign w:val="center"/>
          </w:tcPr>
          <w:p w14:paraId="7150C734">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项目负责人</w:t>
            </w:r>
          </w:p>
        </w:tc>
        <w:tc>
          <w:tcPr>
            <w:tcW w:w="709" w:type="dxa"/>
            <w:noWrap/>
            <w:vAlign w:val="center"/>
          </w:tcPr>
          <w:p w14:paraId="50E2184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分</w:t>
            </w:r>
          </w:p>
        </w:tc>
        <w:tc>
          <w:tcPr>
            <w:tcW w:w="6899" w:type="dxa"/>
            <w:noWrap/>
            <w:vAlign w:val="center"/>
          </w:tcPr>
          <w:p w14:paraId="6BB3244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根据投标人项目负责人具有相关工作经验得2分。</w:t>
            </w:r>
          </w:p>
          <w:p w14:paraId="7ACC0E7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【须同时提供简历表、身份证、健康证（有效期内）、工资发放证明（非本单位人员不予认可），证明材料未提供的不得分】</w:t>
            </w:r>
          </w:p>
        </w:tc>
      </w:tr>
      <w:tr w14:paraId="7BF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098AEEE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3</w:t>
            </w:r>
          </w:p>
        </w:tc>
        <w:tc>
          <w:tcPr>
            <w:tcW w:w="744" w:type="dxa"/>
            <w:noWrap/>
            <w:vAlign w:val="center"/>
          </w:tcPr>
          <w:p w14:paraId="31B031E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其他拟配备人员</w:t>
            </w:r>
          </w:p>
        </w:tc>
        <w:tc>
          <w:tcPr>
            <w:tcW w:w="709" w:type="dxa"/>
            <w:noWrap/>
            <w:vAlign w:val="center"/>
          </w:tcPr>
          <w:p w14:paraId="4B686552">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5分</w:t>
            </w:r>
          </w:p>
        </w:tc>
        <w:tc>
          <w:tcPr>
            <w:tcW w:w="6899" w:type="dxa"/>
            <w:noWrap/>
            <w:vAlign w:val="center"/>
          </w:tcPr>
          <w:p w14:paraId="4E1280B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根据投标人其他拟配备人员（须明确24小时联络人员1人、固定的送货专员2人），每提供1人得1分，满分5分。</w:t>
            </w:r>
          </w:p>
          <w:p w14:paraId="2CFB232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【须同时提供身份证、健康证（有效期内）、工资发放证明（非本单位人员不予认可）等证明材料，未提供的不得分】</w:t>
            </w:r>
          </w:p>
        </w:tc>
      </w:tr>
      <w:tr w14:paraId="2F7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11" w:type="dxa"/>
            <w:gridSpan w:val="4"/>
            <w:noWrap/>
            <w:vAlign w:val="center"/>
          </w:tcPr>
          <w:p w14:paraId="7B51E1C3">
            <w:pPr>
              <w:spacing w:line="360" w:lineRule="auto"/>
              <w:jc w:val="center"/>
              <w:rPr>
                <w:rFonts w:ascii="宋体" w:hAnsi="宋体" w:eastAsia="宋体" w:cs="宋体"/>
                <w:color w:val="auto"/>
                <w:highlight w:val="none"/>
              </w:rPr>
            </w:pPr>
            <w:r>
              <w:rPr>
                <w:rFonts w:hint="eastAsia" w:ascii="宋体" w:hAnsi="宋体" w:eastAsia="宋体" w:cs="宋体"/>
                <w:b/>
                <w:color w:val="auto"/>
                <w:highlight w:val="none"/>
              </w:rPr>
              <w:t>三、技术部分（</w:t>
            </w:r>
            <w:r>
              <w:rPr>
                <w:rFonts w:hint="eastAsia" w:ascii="宋体" w:hAnsi="宋体" w:eastAsia="宋体" w:cs="宋体"/>
                <w:b/>
                <w:color w:val="auto"/>
                <w:highlight w:val="none"/>
                <w:lang w:eastAsia="zh-CN"/>
              </w:rPr>
              <w:t>55</w:t>
            </w:r>
            <w:r>
              <w:rPr>
                <w:rFonts w:hint="eastAsia" w:ascii="宋体" w:hAnsi="宋体" w:eastAsia="宋体" w:cs="宋体"/>
                <w:b/>
                <w:color w:val="auto"/>
                <w:highlight w:val="none"/>
              </w:rPr>
              <w:t>分）</w:t>
            </w:r>
          </w:p>
        </w:tc>
      </w:tr>
      <w:tr w14:paraId="4A7C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75FB7A70">
            <w:pPr>
              <w:spacing w:line="360" w:lineRule="auto"/>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序号</w:t>
            </w:r>
          </w:p>
        </w:tc>
        <w:tc>
          <w:tcPr>
            <w:tcW w:w="744" w:type="dxa"/>
            <w:shd w:val="clear" w:color="auto" w:fill="auto"/>
            <w:noWrap/>
            <w:vAlign w:val="center"/>
          </w:tcPr>
          <w:p w14:paraId="17BA6476">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评审项目</w:t>
            </w:r>
          </w:p>
        </w:tc>
        <w:tc>
          <w:tcPr>
            <w:tcW w:w="709" w:type="dxa"/>
            <w:shd w:val="clear" w:color="auto" w:fill="auto"/>
            <w:noWrap/>
            <w:vAlign w:val="center"/>
          </w:tcPr>
          <w:p w14:paraId="126AA84C">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分值</w:t>
            </w:r>
          </w:p>
        </w:tc>
        <w:tc>
          <w:tcPr>
            <w:tcW w:w="6899" w:type="dxa"/>
            <w:shd w:val="clear" w:color="auto" w:fill="auto"/>
            <w:noWrap/>
            <w:vAlign w:val="center"/>
          </w:tcPr>
          <w:p w14:paraId="25C0DFC2">
            <w:pPr>
              <w:widowControl w:val="0"/>
              <w:overflowPunct w:val="0"/>
              <w:autoSpaceDN/>
              <w:spacing w:line="360" w:lineRule="auto"/>
              <w:jc w:val="center"/>
              <w:rPr>
                <w:rFonts w:ascii="宋体" w:hAnsi="宋体" w:eastAsia="宋体" w:cs="宋体"/>
                <w:color w:val="auto"/>
                <w:highlight w:val="none"/>
                <w:lang w:eastAsia="zh-CN"/>
              </w:rPr>
            </w:pPr>
            <w:r>
              <w:rPr>
                <w:rFonts w:hint="eastAsia" w:ascii="宋体" w:hAnsi="宋体" w:eastAsia="宋体" w:cs="宋体"/>
                <w:color w:val="auto"/>
                <w:kern w:val="2"/>
                <w:highlight w:val="none"/>
                <w:lang w:eastAsia="zh-CN" w:bidi="ar"/>
              </w:rPr>
              <w:t>评审标准</w:t>
            </w:r>
          </w:p>
        </w:tc>
      </w:tr>
      <w:tr w14:paraId="441F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6775051F">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4</w:t>
            </w:r>
          </w:p>
        </w:tc>
        <w:tc>
          <w:tcPr>
            <w:tcW w:w="744" w:type="dxa"/>
            <w:shd w:val="clear" w:color="auto" w:fill="auto"/>
            <w:noWrap/>
            <w:vAlign w:val="center"/>
          </w:tcPr>
          <w:p w14:paraId="01B79C52">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质量保障及技术参数的符合程度</w:t>
            </w:r>
          </w:p>
        </w:tc>
        <w:tc>
          <w:tcPr>
            <w:tcW w:w="709" w:type="dxa"/>
            <w:shd w:val="clear" w:color="auto" w:fill="auto"/>
            <w:noWrap/>
            <w:vAlign w:val="center"/>
          </w:tcPr>
          <w:p w14:paraId="340594F5">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分</w:t>
            </w:r>
          </w:p>
        </w:tc>
        <w:tc>
          <w:tcPr>
            <w:tcW w:w="6899" w:type="dxa"/>
            <w:shd w:val="clear" w:color="auto" w:fill="auto"/>
            <w:noWrap/>
            <w:vAlign w:val="center"/>
          </w:tcPr>
          <w:p w14:paraId="0A1266F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根据投标人“技术要求偏离表”进行评分，基础分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分，“负偏离”一项扣</w:t>
            </w:r>
            <w:r>
              <w:rPr>
                <w:rFonts w:hint="eastAsia" w:ascii="宋体" w:hAnsi="宋体" w:eastAsia="宋体" w:cs="宋体"/>
                <w:color w:val="auto"/>
                <w:highlight w:val="none"/>
                <w:lang w:val="en-US" w:eastAsia="zh-CN"/>
              </w:rPr>
              <w:t>0.12</w:t>
            </w:r>
            <w:r>
              <w:rPr>
                <w:rFonts w:hint="eastAsia" w:ascii="宋体" w:hAnsi="宋体" w:eastAsia="宋体" w:cs="宋体"/>
                <w:color w:val="auto"/>
                <w:highlight w:val="none"/>
                <w:lang w:eastAsia="zh-CN"/>
              </w:rPr>
              <w:t>分，扣完为止。</w:t>
            </w:r>
          </w:p>
          <w:p w14:paraId="7DE4590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【投标人需提供与所投产品或产品技术参数相关的证明材料（如所投产品的产品规格表或产品检测报告或鉴定证书或制造商产品彩页或制造商官网截图或制造商产品说明书或彩色实物图片</w:t>
            </w:r>
            <w:r>
              <w:rPr>
                <w:rFonts w:hint="eastAsia" w:ascii="宋体" w:hAnsi="宋体" w:eastAsia="宋体" w:cs="宋体"/>
                <w:color w:val="auto"/>
                <w:highlight w:val="none"/>
                <w:lang w:val="en-US" w:eastAsia="zh-CN"/>
              </w:rPr>
              <w:t>及承诺书等证明材料</w:t>
            </w:r>
            <w:r>
              <w:rPr>
                <w:rFonts w:hint="eastAsia" w:ascii="宋体" w:hAnsi="宋体" w:eastAsia="宋体" w:cs="宋体"/>
                <w:color w:val="auto"/>
                <w:highlight w:val="none"/>
                <w:lang w:eastAsia="zh-CN"/>
              </w:rPr>
              <w:t>，不提供或不清楚或不准确，不予认可）】</w:t>
            </w:r>
          </w:p>
        </w:tc>
      </w:tr>
      <w:tr w14:paraId="6698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20CBE5A4">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5</w:t>
            </w:r>
          </w:p>
        </w:tc>
        <w:tc>
          <w:tcPr>
            <w:tcW w:w="744" w:type="dxa"/>
            <w:noWrap/>
            <w:vAlign w:val="center"/>
          </w:tcPr>
          <w:p w14:paraId="792B4894">
            <w:pPr>
              <w:widowControl w:val="0"/>
              <w:kinsoku/>
              <w:autoSpaceDE/>
              <w:autoSpaceDN/>
              <w:adjustRightInd/>
              <w:snapToGrid/>
              <w:spacing w:line="360" w:lineRule="auto"/>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配送能力</w:t>
            </w:r>
          </w:p>
        </w:tc>
        <w:tc>
          <w:tcPr>
            <w:tcW w:w="709" w:type="dxa"/>
            <w:noWrap/>
            <w:vAlign w:val="center"/>
          </w:tcPr>
          <w:p w14:paraId="12265008">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3AF4939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根据投标人拟投入的常温箱式运输车数量评比：</w:t>
            </w:r>
          </w:p>
          <w:p w14:paraId="35E6B90B">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常温箱式运输车不少于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辆，得基础分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分，每增加1辆，加</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满分5分</w:t>
            </w:r>
            <w:r>
              <w:rPr>
                <w:rFonts w:hint="eastAsia" w:ascii="宋体" w:hAnsi="宋体" w:eastAsia="宋体" w:cs="宋体"/>
                <w:color w:val="auto"/>
                <w:highlight w:val="none"/>
                <w:lang w:eastAsia="zh-CN"/>
              </w:rPr>
              <w:t>。</w:t>
            </w:r>
          </w:p>
          <w:p w14:paraId="38D575A7">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【1.自有车辆须提供：有效的《机动车行驶证》、车辆正面图片及保险单，未提供或不完整的不得分。</w:t>
            </w:r>
          </w:p>
          <w:p w14:paraId="5DE06E63">
            <w:pPr>
              <w:numPr>
                <w:ilvl w:val="0"/>
                <w:numId w:val="3"/>
              </w:num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租赁车辆须提供：有效的车辆租赁协议、《机动车行驶证》、车辆正面图片及保险单，未提供或不完整的不得分。</w:t>
            </w:r>
          </w:p>
          <w:p w14:paraId="7EB80ACB">
            <w:pPr>
              <w:numPr>
                <w:ilvl w:val="0"/>
                <w:numId w:val="3"/>
              </w:num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《机动车行驶证》的关键信息应与车辆正面图片、保险单相对应】</w:t>
            </w:r>
          </w:p>
        </w:tc>
      </w:tr>
      <w:tr w14:paraId="5113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3B0C071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6</w:t>
            </w:r>
          </w:p>
        </w:tc>
        <w:tc>
          <w:tcPr>
            <w:tcW w:w="744" w:type="dxa"/>
            <w:noWrap/>
            <w:vAlign w:val="center"/>
          </w:tcPr>
          <w:p w14:paraId="724FAADA">
            <w:pPr>
              <w:widowControl w:val="0"/>
              <w:kinsoku/>
              <w:autoSpaceDE/>
              <w:autoSpaceDN/>
              <w:adjustRightInd/>
              <w:snapToGrid/>
              <w:spacing w:line="360" w:lineRule="auto"/>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仓储能力</w:t>
            </w:r>
          </w:p>
        </w:tc>
        <w:tc>
          <w:tcPr>
            <w:tcW w:w="709" w:type="dxa"/>
            <w:noWrap/>
            <w:vAlign w:val="center"/>
          </w:tcPr>
          <w:p w14:paraId="6A99704B">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07799C8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根据供应商自有或租赁的仓库面积评比：</w:t>
            </w:r>
          </w:p>
          <w:p w14:paraId="13F2062E">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1.面积500平方米及以上的得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p w14:paraId="64AA292C">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.面积</w:t>
            </w:r>
            <w:r>
              <w:rPr>
                <w:rFonts w:hint="eastAsia" w:ascii="宋体" w:hAnsi="宋体" w:eastAsia="宋体" w:cs="宋体"/>
                <w:color w:val="auto"/>
                <w:highlight w:val="none"/>
                <w:lang w:val="en-US" w:eastAsia="zh-CN"/>
              </w:rPr>
              <w:t>300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）至</w:t>
            </w: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不含</w:t>
            </w:r>
            <w:r>
              <w:rPr>
                <w:rFonts w:hint="eastAsia" w:ascii="宋体" w:hAnsi="宋体" w:eastAsia="宋体" w:cs="宋体"/>
                <w:color w:val="auto"/>
                <w:highlight w:val="none"/>
                <w:lang w:eastAsia="zh-CN"/>
              </w:rPr>
              <w:t>）的得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27420DBC">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.面积</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）至</w:t>
            </w:r>
            <w:r>
              <w:rPr>
                <w:rFonts w:hint="eastAsia" w:ascii="宋体" w:hAnsi="宋体" w:eastAsia="宋体" w:cs="宋体"/>
                <w:color w:val="auto"/>
                <w:highlight w:val="none"/>
                <w:lang w:val="en-US" w:eastAsia="zh-CN"/>
              </w:rPr>
              <w:t>300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不含</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w:t>
            </w:r>
          </w:p>
          <w:p w14:paraId="20F90127">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【1、自有的须提供有效的仓库所有权证明材料、仓库图片；</w:t>
            </w:r>
          </w:p>
          <w:p w14:paraId="287C8DC1">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2、租赁的须提供租赁合同、仓库所有权证明材料、仓库图片。</w:t>
            </w:r>
          </w:p>
          <w:p w14:paraId="49C41DE9">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3、同一仓库的多份合同视为1份合同计算。】</w:t>
            </w:r>
          </w:p>
        </w:tc>
      </w:tr>
      <w:tr w14:paraId="6E4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5967CA8C">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7</w:t>
            </w:r>
          </w:p>
        </w:tc>
        <w:tc>
          <w:tcPr>
            <w:tcW w:w="744" w:type="dxa"/>
            <w:noWrap/>
            <w:vAlign w:val="center"/>
          </w:tcPr>
          <w:p w14:paraId="4874E667">
            <w:pPr>
              <w:widowControl w:val="0"/>
              <w:kinsoku/>
              <w:autoSpaceDE/>
              <w:autoSpaceDN/>
              <w:adjustRightInd/>
              <w:snapToGrid/>
              <w:spacing w:line="360" w:lineRule="auto"/>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配送服务方案</w:t>
            </w:r>
          </w:p>
        </w:tc>
        <w:tc>
          <w:tcPr>
            <w:tcW w:w="709" w:type="dxa"/>
            <w:noWrap/>
            <w:vAlign w:val="center"/>
          </w:tcPr>
          <w:p w14:paraId="50F94FCB">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12分</w:t>
            </w:r>
          </w:p>
        </w:tc>
        <w:tc>
          <w:tcPr>
            <w:tcW w:w="6899" w:type="dxa"/>
            <w:noWrap/>
            <w:vAlign w:val="center"/>
          </w:tcPr>
          <w:p w14:paraId="4EF972D9">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配送服务方案包含：</w:t>
            </w:r>
          </w:p>
          <w:p w14:paraId="556F22CD">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配送服务组织结构及配送人员管理制度（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）配送服务组织结构（</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培训与考勤（0.4分）、（3）服务标准（0.4分）、（4）绩效考核与奖惩（0.3分）、（5）安全管理（0.3分）、（6）配送人员及货品记录（0.2分）每缺少一项扣相应分值，内容存在明显错误则该小项不得分。</w:t>
            </w:r>
          </w:p>
          <w:p w14:paraId="53E30B26">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货源保障方案（</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）方案概述（</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）货源渠道现状分析（</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）货源渠道优化策略（</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）实施方案（</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）预期效果（</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5A5A298A">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食材出入库管理制度（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）验收管理（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）入库管理（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）贮存管理（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）出库管理（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）库存与盘点管理（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）制度与监督（</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21E9E6B3">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食材溯源保障措施（</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建立全程追溯体系</w:t>
            </w:r>
            <w:r>
              <w:rPr>
                <w:rFonts w:hint="eastAsia" w:ascii="宋体" w:hAnsi="宋体" w:eastAsia="宋体" w:cs="宋体"/>
                <w:color w:val="auto"/>
                <w:highlight w:val="none"/>
                <w:lang w:val="en-US" w:eastAsia="zh-CN"/>
              </w:rPr>
              <w:t>（0.4分）、（2）‌落实进货查验与索证索票制度（0.4分）、（3）‌</w:t>
            </w:r>
            <w:r>
              <w:rPr>
                <w:rFonts w:hint="default" w:ascii="宋体" w:hAnsi="宋体" w:eastAsia="宋体" w:cs="宋体"/>
                <w:color w:val="auto"/>
                <w:highlight w:val="none"/>
                <w:lang w:val="en-US" w:eastAsia="zh-CN"/>
              </w:rPr>
              <w:t>推进信息化追溯手段应用</w:t>
            </w:r>
            <w:r>
              <w:rPr>
                <w:rFonts w:hint="eastAsia" w:ascii="宋体" w:hAnsi="宋体" w:eastAsia="宋体" w:cs="宋体"/>
                <w:color w:val="auto"/>
                <w:highlight w:val="none"/>
                <w:lang w:val="en-US" w:eastAsia="zh-CN"/>
              </w:rPr>
              <w:t>（0.4分）、（4）完善食品留样与应急响应机制（0.4分）、（5）构建多方协同监管机制（0.4分）每缺少一项扣相应分值，内容存在明显错误则该小项不得分。</w:t>
            </w:r>
          </w:p>
          <w:p w14:paraId="2ADA29E7">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配送车辆管理制度（2分）：（1）总则（0.2分）、（2）管理职责分工（0.2分）、（3）车辆购置与租赁（0.2分）、（4）车辆调度管理（0.3分）、（5）车辆使用管理（0.3分）、（6）车辆维护与保养（0.3分）、（7）车辆安全管理（0.3分）、（8）奖励与处罚（0.2分）每缺少一项扣相应分值，内容存在明显错误则该小项不得分。</w:t>
            </w:r>
          </w:p>
          <w:p w14:paraId="5B127924">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不合格食品退换货及销毁制度（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）不合格食品的识别与报告</w:t>
            </w:r>
          </w:p>
          <w:p w14:paraId="3B07E237">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）不合格食品的退换货管理（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）不合格食品的召回管理（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）不合格食品的销毁管理（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）监督与责任追究（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6BEF554C">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FED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6D762AAE">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8</w:t>
            </w:r>
          </w:p>
        </w:tc>
        <w:tc>
          <w:tcPr>
            <w:tcW w:w="744" w:type="dxa"/>
            <w:noWrap/>
            <w:vAlign w:val="center"/>
          </w:tcPr>
          <w:p w14:paraId="393DF8A4">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食材安全及管理方案</w:t>
            </w:r>
          </w:p>
        </w:tc>
        <w:tc>
          <w:tcPr>
            <w:tcW w:w="709" w:type="dxa"/>
            <w:noWrap/>
            <w:vAlign w:val="center"/>
          </w:tcPr>
          <w:p w14:paraId="70EDA37C">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分</w:t>
            </w:r>
          </w:p>
        </w:tc>
        <w:tc>
          <w:tcPr>
            <w:tcW w:w="6899" w:type="dxa"/>
            <w:noWrap/>
            <w:vAlign w:val="center"/>
          </w:tcPr>
          <w:p w14:paraId="47A0F1DB">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食材安全及管理方案，包含：</w:t>
            </w:r>
          </w:p>
          <w:p w14:paraId="36333B68">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食材采购管理制度（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）供应商准入管理（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）采购方式与流程（</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）采购品质控制（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）索证索票与溯源管理（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）验收与监督机制（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3058C4A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食材贮存管理制度（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）分区分类存放（</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）‌离墙离地存放（</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）温湿度精准控制（</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）规范标识与密闭储存（</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）先进先出与定期盘点（</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）设施维护与卫生管理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）特殊食材储存建议（</w:t>
            </w:r>
            <w:r>
              <w:rPr>
                <w:rFonts w:hint="eastAsia" w:ascii="宋体" w:hAnsi="宋体" w:eastAsia="宋体" w:cs="宋体"/>
                <w:color w:val="auto"/>
                <w:highlight w:val="none"/>
                <w:lang w:val="en-US" w:eastAsia="zh-CN"/>
              </w:rPr>
              <w:t>0.2分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728C628A">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食材安全（质量）查验制度（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资质审查（0.3分）、（2）票据与证明留存（0.3分）、（3）‌包装与标识核查（0.3分）、（4）质量检查（0.3分）、（5）快速检测把关（0.3分）、（6）‌记录与可追溯管理（0.3分）、（7）不合格品处置机制（0.2分）每缺少一项扣相应分值，内容存在明显错误则该小项不得分。</w:t>
            </w:r>
          </w:p>
          <w:p w14:paraId="19EB40EF">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食材留样措施（</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）‌留样量（</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）容器与设备（</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）留样时间（</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）标识与记录（</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）取样规范（</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留样人</w:t>
            </w:r>
            <w:r>
              <w:rPr>
                <w:rFonts w:hint="eastAsia" w:ascii="宋体" w:hAnsi="宋体" w:eastAsia="宋体" w:cs="宋体"/>
                <w:color w:val="auto"/>
                <w:highlight w:val="none"/>
                <w:lang w:eastAsia="zh-CN"/>
              </w:rPr>
              <w:t>员与管理（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301C799E">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食材安全配送制度等（</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）配送过程规范（</w:t>
            </w:r>
            <w:r>
              <w:rPr>
                <w:rFonts w:hint="eastAsia" w:ascii="宋体" w:hAnsi="宋体" w:eastAsia="宋体" w:cs="宋体"/>
                <w:color w:val="auto"/>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）全程可追溯与应急机制（</w:t>
            </w:r>
            <w:r>
              <w:rPr>
                <w:rFonts w:hint="eastAsia" w:ascii="宋体" w:hAnsi="宋体" w:eastAsia="宋体" w:cs="宋体"/>
                <w:color w:val="auto"/>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1D2171F8">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52B6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58AFCF2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9</w:t>
            </w:r>
          </w:p>
        </w:tc>
        <w:tc>
          <w:tcPr>
            <w:tcW w:w="744" w:type="dxa"/>
            <w:noWrap/>
            <w:vAlign w:val="center"/>
          </w:tcPr>
          <w:p w14:paraId="6E405868">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应急措施</w:t>
            </w:r>
          </w:p>
        </w:tc>
        <w:tc>
          <w:tcPr>
            <w:tcW w:w="709" w:type="dxa"/>
            <w:noWrap/>
            <w:vAlign w:val="center"/>
          </w:tcPr>
          <w:p w14:paraId="1E1EEEFD">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5分</w:t>
            </w:r>
          </w:p>
        </w:tc>
        <w:tc>
          <w:tcPr>
            <w:tcW w:w="6899" w:type="dxa"/>
            <w:noWrap/>
            <w:vAlign w:val="center"/>
          </w:tcPr>
          <w:p w14:paraId="3B01E72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应急措施包含：</w:t>
            </w:r>
          </w:p>
          <w:p w14:paraId="4224ECD4">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食品安全事故应急预案</w:t>
            </w:r>
          </w:p>
          <w:p w14:paraId="4601B071">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自然灾害应急预案</w:t>
            </w:r>
          </w:p>
          <w:p w14:paraId="170A12AE">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运输安全应急预案</w:t>
            </w:r>
          </w:p>
          <w:p w14:paraId="60BAFF88">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不合格食材退换处置方案</w:t>
            </w:r>
          </w:p>
          <w:p w14:paraId="1DD4546B">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疾病防控应急预案</w:t>
            </w:r>
          </w:p>
          <w:p w14:paraId="09460EB4">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全部提供得5分，每缺一项扣1分，</w:t>
            </w:r>
            <w:r>
              <w:rPr>
                <w:rFonts w:hint="eastAsia" w:ascii="宋体" w:hAnsi="宋体" w:eastAsia="宋体" w:cs="宋体"/>
                <w:color w:val="auto"/>
                <w:highlight w:val="none"/>
                <w:lang w:val="en-US" w:eastAsia="zh-CN"/>
              </w:rPr>
              <w:t>内容存在明显错误则该小项不得分。</w:t>
            </w:r>
          </w:p>
          <w:p w14:paraId="309AECF4">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02FE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19FAEB06">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10</w:t>
            </w:r>
          </w:p>
        </w:tc>
        <w:tc>
          <w:tcPr>
            <w:tcW w:w="744" w:type="dxa"/>
            <w:noWrap/>
            <w:vAlign w:val="center"/>
          </w:tcPr>
          <w:p w14:paraId="70F2B3D1">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后续服务方案</w:t>
            </w:r>
          </w:p>
        </w:tc>
        <w:tc>
          <w:tcPr>
            <w:tcW w:w="709" w:type="dxa"/>
            <w:noWrap/>
            <w:vAlign w:val="center"/>
          </w:tcPr>
          <w:p w14:paraId="6AFF18C6">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3分</w:t>
            </w:r>
          </w:p>
        </w:tc>
        <w:tc>
          <w:tcPr>
            <w:tcW w:w="6899" w:type="dxa"/>
            <w:noWrap/>
            <w:vAlign w:val="center"/>
          </w:tcPr>
          <w:p w14:paraId="028A061E">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后续服务方案包含但不限于：</w:t>
            </w:r>
          </w:p>
          <w:p w14:paraId="0B580C39">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①后续服务体系</w:t>
            </w:r>
          </w:p>
          <w:p w14:paraId="166F8CA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②客户回访措施</w:t>
            </w:r>
          </w:p>
          <w:p w14:paraId="5157D6F5">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③不合格食材召回处理措施。</w:t>
            </w:r>
          </w:p>
          <w:p w14:paraId="3C8E4DEF">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全部提供得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分，每缺一项扣1分，</w:t>
            </w:r>
            <w:r>
              <w:rPr>
                <w:rFonts w:hint="eastAsia" w:ascii="宋体" w:hAnsi="宋体" w:eastAsia="宋体" w:cs="宋体"/>
                <w:color w:val="auto"/>
                <w:highlight w:val="none"/>
                <w:lang w:val="en-US" w:eastAsia="zh-CN"/>
              </w:rPr>
              <w:t>内容存在明显错误则该小项不得分。</w:t>
            </w:r>
          </w:p>
          <w:p w14:paraId="01F3FF63">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AC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0CB10CD1">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744" w:type="dxa"/>
            <w:noWrap/>
            <w:vAlign w:val="center"/>
          </w:tcPr>
          <w:p w14:paraId="2775C11F">
            <w:pPr>
              <w:spacing w:line="360" w:lineRule="auto"/>
              <w:ind w:right="-107" w:rightChars="-51"/>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服务承诺</w:t>
            </w:r>
          </w:p>
        </w:tc>
        <w:tc>
          <w:tcPr>
            <w:tcW w:w="709" w:type="dxa"/>
            <w:noWrap/>
            <w:vAlign w:val="center"/>
          </w:tcPr>
          <w:p w14:paraId="514F0075">
            <w:pPr>
              <w:spacing w:line="360" w:lineRule="auto"/>
              <w:ind w:right="-107" w:rightChars="-51"/>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4105CB46">
            <w:pPr>
              <w:numPr>
                <w:ilvl w:val="0"/>
                <w:numId w:val="4"/>
              </w:num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提供服务期内不发生任何食品安全事故的承诺书，得1分，不提供，不得分；</w:t>
            </w:r>
          </w:p>
          <w:p w14:paraId="4577FD15">
            <w:pPr>
              <w:numPr>
                <w:ilvl w:val="0"/>
                <w:numId w:val="4"/>
              </w:num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提供服务期内不发生任何食品安全事故的保证措施，得1分，内容存在明显错误则该小项不得分。</w:t>
            </w:r>
          </w:p>
          <w:p w14:paraId="3DD85A51">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（3）提供中标后投保“食品安全责任保险”或其他等效风险控制措施（例如：第三方质量担保等）的承诺书，且投保或担保金额不低于本项目预算金额，得3分，不提供，不得分。</w:t>
            </w:r>
          </w:p>
        </w:tc>
      </w:tr>
      <w:tr w14:paraId="7C8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03" w:type="dxa"/>
            <w:gridSpan w:val="2"/>
            <w:noWrap/>
            <w:vAlign w:val="center"/>
          </w:tcPr>
          <w:p w14:paraId="2A614278">
            <w:pPr>
              <w:spacing w:line="360" w:lineRule="auto"/>
              <w:ind w:left="360"/>
              <w:jc w:val="center"/>
              <w:rPr>
                <w:rFonts w:ascii="宋体" w:hAnsi="宋体" w:eastAsia="宋体" w:cs="宋体"/>
                <w:color w:val="auto"/>
                <w:highlight w:val="none"/>
              </w:rPr>
            </w:pPr>
            <w:r>
              <w:rPr>
                <w:rFonts w:hint="eastAsia" w:ascii="宋体" w:hAnsi="宋体" w:eastAsia="宋体" w:cs="宋体"/>
                <w:color w:val="auto"/>
                <w:highlight w:val="none"/>
              </w:rPr>
              <w:t>合计</w:t>
            </w:r>
          </w:p>
        </w:tc>
        <w:tc>
          <w:tcPr>
            <w:tcW w:w="709" w:type="dxa"/>
            <w:noWrap/>
            <w:vAlign w:val="center"/>
          </w:tcPr>
          <w:p w14:paraId="3E44CE4C">
            <w:pPr>
              <w:spacing w:line="360" w:lineRule="auto"/>
              <w:ind w:left="-124" w:leftChars="-59" w:right="-90" w:rightChars="-43"/>
              <w:jc w:val="center"/>
              <w:rPr>
                <w:rFonts w:ascii="宋体" w:hAnsi="宋体" w:eastAsia="宋体" w:cs="宋体"/>
                <w:color w:val="auto"/>
                <w:highlight w:val="none"/>
              </w:rPr>
            </w:pPr>
            <w:r>
              <w:rPr>
                <w:rFonts w:hint="eastAsia" w:ascii="宋体" w:hAnsi="宋体" w:eastAsia="宋体" w:cs="宋体"/>
                <w:color w:val="auto"/>
                <w:highlight w:val="none"/>
              </w:rPr>
              <w:t>100分</w:t>
            </w:r>
          </w:p>
        </w:tc>
        <w:tc>
          <w:tcPr>
            <w:tcW w:w="6899" w:type="dxa"/>
            <w:noWrap/>
            <w:vAlign w:val="center"/>
          </w:tcPr>
          <w:p w14:paraId="2F319F3B">
            <w:pPr>
              <w:spacing w:line="360" w:lineRule="auto"/>
              <w:ind w:left="360"/>
              <w:jc w:val="center"/>
              <w:rPr>
                <w:rFonts w:ascii="宋体" w:hAnsi="宋体" w:eastAsia="宋体" w:cs="宋体"/>
                <w:color w:val="auto"/>
                <w:highlight w:val="none"/>
              </w:rPr>
            </w:pPr>
          </w:p>
        </w:tc>
      </w:tr>
    </w:tbl>
    <w:p w14:paraId="42720ECE">
      <w:pPr>
        <w:widowControl w:val="0"/>
        <w:spacing w:line="360" w:lineRule="auto"/>
        <w:ind w:left="57"/>
        <w:rPr>
          <w:rFonts w:ascii="宋体" w:hAnsi="宋体" w:eastAsia="宋体" w:cs="宋体"/>
          <w:b/>
          <w:bCs/>
          <w:color w:val="auto"/>
          <w:spacing w:val="-5"/>
          <w:highlight w:val="none"/>
          <w:lang w:eastAsia="zh-CN"/>
        </w:rPr>
      </w:pPr>
      <w:bookmarkStart w:id="315" w:name="bookmark224"/>
      <w:bookmarkEnd w:id="315"/>
      <w:bookmarkStart w:id="316" w:name="bookmark223"/>
      <w:bookmarkEnd w:id="316"/>
      <w:bookmarkStart w:id="317" w:name="_Toc13607"/>
    </w:p>
    <w:p w14:paraId="23B04B3D">
      <w:pPr>
        <w:spacing w:line="360" w:lineRule="auto"/>
        <w:rPr>
          <w:rFonts w:ascii="宋体" w:hAnsi="宋体" w:eastAsia="宋体" w:cs="宋体"/>
          <w:color w:val="auto"/>
          <w:highlight w:val="none"/>
          <w:lang w:eastAsia="zh-CN"/>
        </w:rPr>
      </w:pPr>
    </w:p>
    <w:p w14:paraId="29E33301">
      <w:pPr>
        <w:pStyle w:val="10"/>
        <w:pageBreakBefore/>
        <w:spacing w:before="140" w:line="360" w:lineRule="auto"/>
        <w:jc w:val="center"/>
        <w:outlineLvl w:val="0"/>
        <w:rPr>
          <w:rFonts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第六章合同草案</w:t>
      </w:r>
      <w:bookmarkEnd w:id="317"/>
    </w:p>
    <w:p w14:paraId="13A8079D">
      <w:pPr>
        <w:widowControl w:val="0"/>
        <w:autoSpaceDN/>
        <w:spacing w:line="360" w:lineRule="auto"/>
        <w:jc w:val="center"/>
        <w:rPr>
          <w:rFonts w:eastAsia="宋体" w:cs="宋体"/>
          <w:color w:val="auto"/>
          <w:kern w:val="2"/>
          <w:sz w:val="32"/>
          <w:szCs w:val="32"/>
          <w:highlight w:val="none"/>
        </w:rPr>
      </w:pPr>
      <w:r>
        <w:rPr>
          <w:rFonts w:hint="eastAsia" w:ascii="宋体" w:hAnsi="宋体" w:eastAsia="宋体" w:cs="宋体"/>
          <w:bCs/>
          <w:color w:val="auto"/>
          <w:kern w:val="2"/>
          <w:sz w:val="22"/>
          <w:szCs w:val="22"/>
          <w:highlight w:val="none"/>
          <w:lang w:eastAsia="zh-CN" w:bidi="ar"/>
        </w:rPr>
        <w:t>（具体合同条款以最终签订为准）</w:t>
      </w:r>
    </w:p>
    <w:p w14:paraId="10F1AC33">
      <w:pPr>
        <w:spacing w:before="114" w:line="219" w:lineRule="auto"/>
        <w:ind w:left="1858" w:leftChars="0" w:firstLine="1085" w:firstLineChars="505"/>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13"/>
          <w:sz w:val="24"/>
          <w:szCs w:val="24"/>
          <w:highlight w:val="none"/>
        </w:rPr>
        <w:t>昌吉某某单位食堂物资采购合同</w:t>
      </w:r>
    </w:p>
    <w:p w14:paraId="2D5A30CE">
      <w:pPr>
        <w:pStyle w:val="10"/>
        <w:spacing w:before="116"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甲方(采购方):</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13DC4FC6">
      <w:pPr>
        <w:pStyle w:val="10"/>
        <w:spacing w:before="138"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电话：</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1064CD6">
      <w:pPr>
        <w:pStyle w:val="10"/>
        <w:spacing w:before="137" w:line="232" w:lineRule="auto"/>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地址：</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EB8E639">
      <w:pPr>
        <w:pStyle w:val="10"/>
        <w:spacing w:before="11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乙方(销售方):</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26B0972D">
      <w:pPr>
        <w:pStyle w:val="10"/>
        <w:spacing w:before="122"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35"/>
          <w:sz w:val="24"/>
          <w:szCs w:val="24"/>
          <w:highlight w:val="none"/>
        </w:rPr>
        <w:t>电话：</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E3700DC">
      <w:pPr>
        <w:pStyle w:val="10"/>
        <w:spacing w:before="138" w:line="232" w:lineRule="auto"/>
        <w:rPr>
          <w:rFonts w:hint="eastAsia" w:ascii="宋体" w:hAnsi="宋体" w:eastAsia="宋体" w:cs="宋体"/>
          <w:color w:val="auto"/>
          <w:sz w:val="24"/>
          <w:szCs w:val="24"/>
          <w:highlight w:val="none"/>
        </w:rPr>
      </w:pPr>
      <w:r>
        <w:rPr>
          <w:rFonts w:hint="eastAsia" w:ascii="宋体" w:hAnsi="宋体" w:eastAsia="宋体" w:cs="宋体"/>
          <w:color w:val="auto"/>
          <w:spacing w:val="-36"/>
          <w:sz w:val="24"/>
          <w:szCs w:val="24"/>
          <w:highlight w:val="none"/>
        </w:rPr>
        <w:t>地址：</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11CCA135">
      <w:pPr>
        <w:pStyle w:val="10"/>
        <w:spacing w:before="7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rPr>
        <w:t>招标代理机构：</w:t>
      </w:r>
      <w:r>
        <w:rPr>
          <w:rFonts w:hint="eastAsia" w:ascii="宋体" w:hAnsi="宋体" w:eastAsia="宋体" w:cs="宋体"/>
          <w:color w:val="auto"/>
          <w:spacing w:val="-56"/>
          <w:position w:val="-1"/>
          <w:sz w:val="24"/>
          <w:szCs w:val="24"/>
          <w:highlight w:val="none"/>
        </w:rPr>
        <w:t xml:space="preserve"> </w:t>
      </w:r>
      <w:r>
        <w:rPr>
          <w:rFonts w:hint="eastAsia" w:ascii="宋体" w:hAnsi="宋体" w:eastAsia="宋体" w:cs="宋体"/>
          <w:color w:val="auto"/>
          <w:spacing w:val="1"/>
          <w:position w:val="-1"/>
          <w:sz w:val="24"/>
          <w:szCs w:val="24"/>
          <w:highlight w:val="none"/>
          <w:u w:val="single" w:color="auto"/>
        </w:rPr>
        <w:t xml:space="preserve">                     </w:t>
      </w:r>
      <w:r>
        <w:rPr>
          <w:rFonts w:hint="eastAsia" w:ascii="宋体" w:hAnsi="宋体" w:eastAsia="宋体" w:cs="宋体"/>
          <w:color w:val="auto"/>
          <w:spacing w:val="-22"/>
          <w:position w:val="-1"/>
          <w:sz w:val="24"/>
          <w:szCs w:val="24"/>
          <w:highlight w:val="none"/>
        </w:rPr>
        <w:t xml:space="preserve"> </w:t>
      </w:r>
      <w:r>
        <w:rPr>
          <w:rFonts w:hint="eastAsia" w:ascii="宋体" w:hAnsi="宋体" w:eastAsia="宋体" w:cs="宋体"/>
          <w:color w:val="auto"/>
          <w:spacing w:val="-11"/>
          <w:position w:val="1"/>
          <w:sz w:val="24"/>
          <w:szCs w:val="24"/>
          <w:highlight w:val="none"/>
        </w:rPr>
        <w:t xml:space="preserve">(代理编号            </w:t>
      </w:r>
      <w:r>
        <w:rPr>
          <w:rFonts w:hint="eastAsia" w:ascii="宋体" w:hAnsi="宋体" w:eastAsia="宋体" w:cs="宋体"/>
          <w:color w:val="auto"/>
          <w:spacing w:val="-11"/>
          <w:sz w:val="24"/>
          <w:szCs w:val="24"/>
          <w:highlight w:val="none"/>
        </w:rPr>
        <w:t>)</w:t>
      </w:r>
    </w:p>
    <w:p w14:paraId="4706B755">
      <w:pPr>
        <w:pStyle w:val="10"/>
        <w:tabs>
          <w:tab w:val="left" w:pos="8820"/>
        </w:tabs>
        <w:spacing w:before="124" w:line="320" w:lineRule="auto"/>
        <w:ind w:right="110" w:rightChars="0" w:firstLine="43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根据《中华人民共和国民法典》及相关法律法规的</w:t>
      </w:r>
      <w:r>
        <w:rPr>
          <w:rFonts w:hint="eastAsia" w:ascii="宋体" w:hAnsi="宋体" w:eastAsia="宋体" w:cs="宋体"/>
          <w:color w:val="auto"/>
          <w:spacing w:val="-13"/>
          <w:sz w:val="24"/>
          <w:szCs w:val="24"/>
          <w:highlight w:val="none"/>
        </w:rPr>
        <w:t>规定；甲、乙双</w:t>
      </w:r>
      <w:r>
        <w:rPr>
          <w:rFonts w:hint="eastAsia" w:ascii="宋体" w:hAnsi="宋体" w:eastAsia="宋体" w:cs="宋体"/>
          <w:color w:val="auto"/>
          <w:spacing w:val="-12"/>
          <w:sz w:val="24"/>
          <w:szCs w:val="24"/>
          <w:highlight w:val="none"/>
        </w:rPr>
        <w:t>方本着长期合作、互利互惠的原则，经友好协商，现就甲方向乙方购买</w:t>
      </w:r>
      <w:r>
        <w:rPr>
          <w:rFonts w:hint="eastAsia" w:ascii="宋体" w:hAnsi="宋体" w:eastAsia="宋体" w:cs="宋体"/>
          <w:color w:val="auto"/>
          <w:spacing w:val="-14"/>
          <w:sz w:val="24"/>
          <w:szCs w:val="24"/>
          <w:highlight w:val="none"/>
        </w:rPr>
        <w:t>下列商品订立本合同，双方共同遵守执行。</w:t>
      </w:r>
    </w:p>
    <w:p w14:paraId="1571305A">
      <w:pPr>
        <w:spacing w:before="7" w:line="218" w:lineRule="auto"/>
        <w:ind w:firstLine="46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第一条</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商品名称、规格、价格</w:t>
      </w:r>
    </w:p>
    <w:p w14:paraId="5D407D2A">
      <w:pPr>
        <w:spacing w:line="142" w:lineRule="auto"/>
        <w:rPr>
          <w:rFonts w:hint="eastAsia" w:ascii="宋体" w:hAnsi="宋体" w:eastAsia="宋体" w:cs="宋体"/>
          <w:color w:val="auto"/>
          <w:sz w:val="24"/>
          <w:szCs w:val="24"/>
          <w:highlight w:val="none"/>
        </w:rPr>
      </w:pPr>
    </w:p>
    <w:tbl>
      <w:tblPr>
        <w:tblStyle w:val="3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99"/>
        <w:gridCol w:w="1405"/>
        <w:gridCol w:w="1293"/>
        <w:gridCol w:w="1595"/>
        <w:gridCol w:w="1144"/>
      </w:tblGrid>
      <w:tr w14:paraId="6327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57" w:type="pct"/>
            <w:vAlign w:val="top"/>
          </w:tcPr>
          <w:p w14:paraId="7DCC8252">
            <w:pPr>
              <w:spacing w:before="63" w:line="220" w:lineRule="auto"/>
              <w:ind w:left="7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商品名称</w:t>
            </w:r>
          </w:p>
        </w:tc>
        <w:tc>
          <w:tcPr>
            <w:tcW w:w="786" w:type="pct"/>
            <w:vAlign w:val="top"/>
          </w:tcPr>
          <w:p w14:paraId="352BFDF2">
            <w:pPr>
              <w:spacing w:before="63" w:line="219" w:lineRule="auto"/>
              <w:ind w:left="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规格</w:t>
            </w:r>
          </w:p>
        </w:tc>
        <w:tc>
          <w:tcPr>
            <w:tcW w:w="723" w:type="pct"/>
            <w:vAlign w:val="top"/>
          </w:tcPr>
          <w:p w14:paraId="17AB3856">
            <w:pPr>
              <w:spacing w:before="63" w:line="219" w:lineRule="auto"/>
              <w:ind w:left="2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品牌</w:t>
            </w:r>
          </w:p>
        </w:tc>
        <w:tc>
          <w:tcPr>
            <w:tcW w:w="892" w:type="pct"/>
            <w:vAlign w:val="top"/>
          </w:tcPr>
          <w:p w14:paraId="34CFF25D">
            <w:pPr>
              <w:spacing w:before="61" w:line="218" w:lineRule="auto"/>
              <w:ind w:left="30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单价</w:t>
            </w:r>
          </w:p>
        </w:tc>
        <w:tc>
          <w:tcPr>
            <w:tcW w:w="640" w:type="pct"/>
            <w:vAlign w:val="top"/>
          </w:tcPr>
          <w:p w14:paraId="3F937647">
            <w:pPr>
              <w:spacing w:before="64" w:line="220" w:lineRule="auto"/>
              <w:ind w:left="1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备注</w:t>
            </w:r>
          </w:p>
        </w:tc>
      </w:tr>
      <w:tr w14:paraId="147D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7" w:type="pct"/>
            <w:vAlign w:val="top"/>
          </w:tcPr>
          <w:p w14:paraId="62D56F7A">
            <w:pPr>
              <w:rPr>
                <w:rFonts w:hint="eastAsia" w:ascii="宋体" w:hAnsi="宋体" w:eastAsia="宋体" w:cs="宋体"/>
                <w:color w:val="auto"/>
                <w:sz w:val="24"/>
                <w:szCs w:val="24"/>
                <w:highlight w:val="none"/>
              </w:rPr>
            </w:pPr>
          </w:p>
        </w:tc>
        <w:tc>
          <w:tcPr>
            <w:tcW w:w="786" w:type="pct"/>
            <w:vAlign w:val="top"/>
          </w:tcPr>
          <w:p w14:paraId="4DAAC388">
            <w:pPr>
              <w:spacing w:before="130" w:line="219" w:lineRule="auto"/>
              <w:ind w:left="23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公斤</w:t>
            </w:r>
          </w:p>
        </w:tc>
        <w:tc>
          <w:tcPr>
            <w:tcW w:w="723" w:type="pct"/>
            <w:vAlign w:val="top"/>
          </w:tcPr>
          <w:p w14:paraId="59107904">
            <w:pPr>
              <w:rPr>
                <w:rFonts w:hint="eastAsia" w:ascii="宋体" w:hAnsi="宋体" w:eastAsia="宋体" w:cs="宋体"/>
                <w:color w:val="auto"/>
                <w:sz w:val="24"/>
                <w:szCs w:val="24"/>
                <w:highlight w:val="none"/>
              </w:rPr>
            </w:pPr>
          </w:p>
        </w:tc>
        <w:tc>
          <w:tcPr>
            <w:tcW w:w="892" w:type="pct"/>
            <w:vAlign w:val="top"/>
          </w:tcPr>
          <w:p w14:paraId="000E0952">
            <w:pPr>
              <w:rPr>
                <w:rFonts w:hint="eastAsia" w:ascii="宋体" w:hAnsi="宋体" w:eastAsia="宋体" w:cs="宋体"/>
                <w:color w:val="auto"/>
                <w:sz w:val="24"/>
                <w:szCs w:val="24"/>
                <w:highlight w:val="none"/>
              </w:rPr>
            </w:pPr>
          </w:p>
        </w:tc>
        <w:tc>
          <w:tcPr>
            <w:tcW w:w="640" w:type="pct"/>
            <w:vMerge w:val="restart"/>
            <w:tcBorders>
              <w:bottom w:val="nil"/>
            </w:tcBorders>
            <w:vAlign w:val="top"/>
          </w:tcPr>
          <w:p w14:paraId="010FE4DA">
            <w:pPr>
              <w:rPr>
                <w:rFonts w:hint="eastAsia" w:ascii="宋体" w:hAnsi="宋体" w:eastAsia="宋体" w:cs="宋体"/>
                <w:color w:val="auto"/>
                <w:sz w:val="24"/>
                <w:szCs w:val="24"/>
                <w:highlight w:val="none"/>
              </w:rPr>
            </w:pPr>
          </w:p>
        </w:tc>
      </w:tr>
      <w:tr w14:paraId="6565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957" w:type="pct"/>
            <w:vAlign w:val="top"/>
          </w:tcPr>
          <w:p w14:paraId="6C3EAAF5">
            <w:pPr>
              <w:rPr>
                <w:rFonts w:hint="eastAsia" w:ascii="宋体" w:hAnsi="宋体" w:eastAsia="宋体" w:cs="宋体"/>
                <w:color w:val="auto"/>
                <w:sz w:val="24"/>
                <w:szCs w:val="24"/>
                <w:highlight w:val="none"/>
              </w:rPr>
            </w:pPr>
          </w:p>
        </w:tc>
        <w:tc>
          <w:tcPr>
            <w:tcW w:w="786" w:type="pct"/>
            <w:vAlign w:val="top"/>
          </w:tcPr>
          <w:p w14:paraId="35CBA213">
            <w:pPr>
              <w:spacing w:before="173" w:line="219" w:lineRule="auto"/>
              <w:ind w:left="23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公斤</w:t>
            </w:r>
          </w:p>
        </w:tc>
        <w:tc>
          <w:tcPr>
            <w:tcW w:w="723" w:type="pct"/>
            <w:vAlign w:val="top"/>
          </w:tcPr>
          <w:p w14:paraId="0D3910FA">
            <w:pPr>
              <w:rPr>
                <w:rFonts w:hint="eastAsia" w:ascii="宋体" w:hAnsi="宋体" w:eastAsia="宋体" w:cs="宋体"/>
                <w:color w:val="auto"/>
                <w:sz w:val="24"/>
                <w:szCs w:val="24"/>
                <w:highlight w:val="none"/>
              </w:rPr>
            </w:pPr>
          </w:p>
        </w:tc>
        <w:tc>
          <w:tcPr>
            <w:tcW w:w="892" w:type="pct"/>
            <w:vAlign w:val="top"/>
          </w:tcPr>
          <w:p w14:paraId="4772577E">
            <w:pPr>
              <w:rPr>
                <w:rFonts w:hint="eastAsia" w:ascii="宋体" w:hAnsi="宋体" w:eastAsia="宋体" w:cs="宋体"/>
                <w:color w:val="auto"/>
                <w:sz w:val="24"/>
                <w:szCs w:val="24"/>
                <w:highlight w:val="none"/>
              </w:rPr>
            </w:pPr>
          </w:p>
        </w:tc>
        <w:tc>
          <w:tcPr>
            <w:tcW w:w="640" w:type="pct"/>
            <w:vMerge w:val="continue"/>
            <w:tcBorders>
              <w:top w:val="nil"/>
              <w:bottom w:val="nil"/>
            </w:tcBorders>
            <w:vAlign w:val="top"/>
          </w:tcPr>
          <w:p w14:paraId="606BB5CC">
            <w:pPr>
              <w:rPr>
                <w:rFonts w:hint="eastAsia" w:ascii="宋体" w:hAnsi="宋体" w:eastAsia="宋体" w:cs="宋体"/>
                <w:color w:val="auto"/>
                <w:sz w:val="24"/>
                <w:szCs w:val="24"/>
                <w:highlight w:val="none"/>
              </w:rPr>
            </w:pPr>
          </w:p>
        </w:tc>
      </w:tr>
      <w:tr w14:paraId="0DCF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57" w:type="pct"/>
            <w:vAlign w:val="top"/>
          </w:tcPr>
          <w:p w14:paraId="24E92DCB">
            <w:pPr>
              <w:rPr>
                <w:rFonts w:hint="eastAsia" w:ascii="宋体" w:hAnsi="宋体" w:eastAsia="宋体" w:cs="宋体"/>
                <w:color w:val="auto"/>
                <w:sz w:val="24"/>
                <w:szCs w:val="24"/>
                <w:highlight w:val="none"/>
              </w:rPr>
            </w:pPr>
          </w:p>
        </w:tc>
        <w:tc>
          <w:tcPr>
            <w:tcW w:w="786" w:type="pct"/>
            <w:vAlign w:val="top"/>
          </w:tcPr>
          <w:p w14:paraId="0DD92574">
            <w:pPr>
              <w:spacing w:before="146" w:line="219" w:lineRule="auto"/>
              <w:ind w:left="23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公斤</w:t>
            </w:r>
          </w:p>
        </w:tc>
        <w:tc>
          <w:tcPr>
            <w:tcW w:w="723" w:type="pct"/>
            <w:vAlign w:val="top"/>
          </w:tcPr>
          <w:p w14:paraId="1734B1CF">
            <w:pPr>
              <w:rPr>
                <w:rFonts w:hint="eastAsia" w:ascii="宋体" w:hAnsi="宋体" w:eastAsia="宋体" w:cs="宋体"/>
                <w:color w:val="auto"/>
                <w:sz w:val="24"/>
                <w:szCs w:val="24"/>
                <w:highlight w:val="none"/>
              </w:rPr>
            </w:pPr>
          </w:p>
        </w:tc>
        <w:tc>
          <w:tcPr>
            <w:tcW w:w="892" w:type="pct"/>
            <w:vAlign w:val="top"/>
          </w:tcPr>
          <w:p w14:paraId="54C9E6AB">
            <w:pPr>
              <w:rPr>
                <w:rFonts w:hint="eastAsia" w:ascii="宋体" w:hAnsi="宋体" w:eastAsia="宋体" w:cs="宋体"/>
                <w:color w:val="auto"/>
                <w:sz w:val="24"/>
                <w:szCs w:val="24"/>
                <w:highlight w:val="none"/>
              </w:rPr>
            </w:pPr>
          </w:p>
        </w:tc>
        <w:tc>
          <w:tcPr>
            <w:tcW w:w="640" w:type="pct"/>
            <w:vMerge w:val="continue"/>
            <w:tcBorders>
              <w:top w:val="nil"/>
            </w:tcBorders>
            <w:vAlign w:val="top"/>
          </w:tcPr>
          <w:p w14:paraId="137CE09A">
            <w:pPr>
              <w:rPr>
                <w:rFonts w:hint="eastAsia" w:ascii="宋体" w:hAnsi="宋体" w:eastAsia="宋体" w:cs="宋体"/>
                <w:color w:val="auto"/>
                <w:sz w:val="24"/>
                <w:szCs w:val="24"/>
                <w:highlight w:val="none"/>
              </w:rPr>
            </w:pPr>
          </w:p>
        </w:tc>
      </w:tr>
    </w:tbl>
    <w:p w14:paraId="2363BC7A">
      <w:pPr>
        <w:pStyle w:val="10"/>
        <w:spacing w:before="121" w:line="221" w:lineRule="auto"/>
        <w:ind w:firstLine="366"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29"/>
          <w:sz w:val="24"/>
          <w:szCs w:val="24"/>
          <w:highlight w:val="none"/>
        </w:rPr>
        <w:t>第二条</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29"/>
          <w:sz w:val="24"/>
          <w:szCs w:val="24"/>
          <w:highlight w:val="none"/>
        </w:rPr>
        <w:t>乙方资格保证及商品质量标准</w:t>
      </w:r>
    </w:p>
    <w:p w14:paraId="0252BE72">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2.1 乙方承诺其资质符合2026年生活物资采购项目代理编号</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drawing>
          <wp:inline distT="0" distB="0" distL="0" distR="0">
            <wp:extent cx="1294765" cy="7620"/>
            <wp:effectExtent l="0" t="0" r="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2"/>
                    <a:stretch>
                      <a:fillRect/>
                    </a:stretch>
                  </pic:blipFill>
                  <pic:spPr>
                    <a:xfrm>
                      <a:off x="0" y="0"/>
                      <a:ext cx="1295364" cy="8254"/>
                    </a:xfrm>
                    <a:prstGeom prst="rect">
                      <a:avLst/>
                    </a:prstGeom>
                  </pic:spPr>
                </pic:pic>
              </a:graphicData>
            </a:graphic>
          </wp:inline>
        </w:drawing>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中对于申请人的资格的要求，保证商品质量符合《中华人民共和国食品安全法》、《中华人民共和国产品质量法》等国家法规及相关商品的国家标准、地方标准、行业标准等规范要求。各标准不相同的，以较高者为准。</w:t>
      </w:r>
    </w:p>
    <w:p w14:paraId="1CAB0B90">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2.2 鲜肉表面应微干或湿润，有光泽，肌肉纤维清晰，按压后凹陷迅速恢复，无异味、无黏液、无霉点。每批送货附《动物产品检疫合格证书》《肉品品质检验合格证书》。鲜肉运输时，冷藏车中心温度应保持在0-4°C。</w:t>
      </w:r>
    </w:p>
    <w:p w14:paraId="717C3742">
      <w:pPr>
        <w:pStyle w:val="10"/>
        <w:spacing w:before="118" w:line="222" w:lineRule="auto"/>
        <w:ind w:firstLine="454" w:firstLineChars="20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第三条</w:t>
      </w:r>
      <w:r>
        <w:rPr>
          <w:rFonts w:hint="eastAsia" w:ascii="宋体" w:hAnsi="宋体" w:eastAsia="宋体" w:cs="宋体"/>
          <w:b/>
          <w:bCs/>
          <w:color w:val="auto"/>
          <w:spacing w:val="-7"/>
          <w:sz w:val="24"/>
          <w:szCs w:val="24"/>
          <w:highlight w:val="none"/>
          <w:lang w:val="en-US" w:eastAsia="zh-CN"/>
        </w:rPr>
        <w:t xml:space="preserve"> </w:t>
      </w:r>
      <w:r>
        <w:rPr>
          <w:rFonts w:hint="eastAsia" w:ascii="宋体" w:hAnsi="宋体" w:eastAsia="宋体" w:cs="宋体"/>
          <w:b/>
          <w:bCs/>
          <w:color w:val="auto"/>
          <w:spacing w:val="-7"/>
          <w:sz w:val="24"/>
          <w:szCs w:val="24"/>
          <w:highlight w:val="none"/>
        </w:rPr>
        <w:t>包装要求</w:t>
      </w:r>
    </w:p>
    <w:p w14:paraId="2780749A">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3.1 乙方供应给甲方的产品在外包装上应注明产品名称、规格、产品批准号、生产厂名、地址和联系方式、生产日期、保质期、净含量、贮存条件、食品生产许可证编号、产品标准代号及其他国家法规规定应当标示的内容。若乙方包装标识不合法或与实际产品不符，甲方有权退回当批次全部货物，并要求乙方赔偿因此给甲方造成的一切损失。</w:t>
      </w:r>
    </w:p>
    <w:p w14:paraId="4606031F">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3.2</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商品包装须按国家有关规定或采用适宜运输与保证质量的包装，包装符合安全、环保、卫生标准。因包装不善造成的商品毁损、灭失，由乙方承担责任。</w:t>
      </w:r>
    </w:p>
    <w:p w14:paraId="21EA4D40">
      <w:pPr>
        <w:pStyle w:val="10"/>
        <w:spacing w:line="222" w:lineRule="auto"/>
        <w:ind w:firstLine="43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13"/>
          <w:sz w:val="24"/>
          <w:szCs w:val="24"/>
          <w:highlight w:val="none"/>
        </w:rPr>
        <w:t>第四条</w:t>
      </w:r>
      <w:r>
        <w:rPr>
          <w:rFonts w:hint="eastAsia" w:ascii="宋体" w:hAnsi="宋体" w:eastAsia="宋体" w:cs="宋体"/>
          <w:b/>
          <w:bCs/>
          <w:color w:val="auto"/>
          <w:spacing w:val="92"/>
          <w:sz w:val="24"/>
          <w:szCs w:val="24"/>
          <w:highlight w:val="none"/>
        </w:rPr>
        <w:t xml:space="preserve"> </w:t>
      </w:r>
      <w:r>
        <w:rPr>
          <w:rFonts w:hint="eastAsia" w:ascii="宋体" w:hAnsi="宋体" w:eastAsia="宋体" w:cs="宋体"/>
          <w:b/>
          <w:bCs/>
          <w:color w:val="auto"/>
          <w:spacing w:val="-13"/>
          <w:sz w:val="24"/>
          <w:szCs w:val="24"/>
          <w:highlight w:val="none"/>
        </w:rPr>
        <w:t>商品供货方式</w:t>
      </w:r>
    </w:p>
    <w:p w14:paraId="6CFD2FC7">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4.1 合同期内，甲方以传真、电话、微信等方式向乙方发出订货通知，乙方收到订货通知24小时内及时确认答复，乙方24小时内没有回复的，也视为收到订货通知且应按甲方通知时间将商品送至甲方办公地点或其他甲方指定地点，商品交付甲方验收合格前毁损、灭失的风险均由乙方承担</w:t>
      </w:r>
    </w:p>
    <w:p w14:paraId="05F5E3BB">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4.2</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乙方指定经办人：         ,联系电话：             ;与甲方沟通订货事宜，如果乙方没有经过甲方通知或认可，不按订货通知的要求擅自送货的，甲方有权拒绝收货。乙方更换经办人的，需提前5天通知甲方，若乙方迟延通知或者未通知甲方由此造成的甲方损失由乙方承担。如甲方发现货物不符合本合同约定或有残次品或瑕疵货物的，有权拒收，乙方应在甲方要求的期限内将残次品、瑕疵货物及不符合合同约定的货物予以更换，更换的货物交付时甲方重新验收，如逾期交货，乙方应承担逾期交货的违约责任。</w:t>
      </w:r>
    </w:p>
    <w:p w14:paraId="46DA311F">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4.3 如甲方已发出订货通知，如需要变更交货时间、数量的，甲方提前通知乙方，乙方按照变更后的时间、数量交货。</w:t>
      </w:r>
    </w:p>
    <w:p w14:paraId="79ACB44B">
      <w:pPr>
        <w:pStyle w:val="10"/>
        <w:spacing w:before="84" w:line="313" w:lineRule="auto"/>
        <w:ind w:right="85" w:firstLine="438"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第五条</w:t>
      </w:r>
      <w:r>
        <w:rPr>
          <w:rFonts w:hint="eastAsia" w:ascii="宋体" w:hAnsi="宋体" w:eastAsia="宋体" w:cs="宋体"/>
          <w:b/>
          <w:bCs/>
          <w:color w:val="auto"/>
          <w:spacing w:val="122"/>
          <w:sz w:val="24"/>
          <w:szCs w:val="24"/>
          <w:highlight w:val="none"/>
        </w:rPr>
        <w:t xml:space="preserve"> </w:t>
      </w:r>
      <w:r>
        <w:rPr>
          <w:rFonts w:hint="eastAsia" w:ascii="宋体" w:hAnsi="宋体" w:eastAsia="宋体" w:cs="宋体"/>
          <w:b/>
          <w:bCs/>
          <w:color w:val="auto"/>
          <w:spacing w:val="-11"/>
          <w:sz w:val="24"/>
          <w:szCs w:val="24"/>
          <w:highlight w:val="none"/>
        </w:rPr>
        <w:t>合同有效期及供货确认要求</w:t>
      </w:r>
    </w:p>
    <w:p w14:paraId="3A422456">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自      年      月     日至      年      月     日止，甲方采购商品的数量以合同有效期内甲方记录实收数量为准。合同开始试用期3个月(包含在1年期限内),经甲方确认后，进入合同期，试用期有任何不符合合同约定的行为或货物质量问题或过期临期食品，本合同终止，因合同终止给乙方带来的损失，甲方不承担任何责任。</w:t>
      </w:r>
    </w:p>
    <w:p w14:paraId="6642FE0F">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乙方根据甲方要求要将每一批次供货单(送货单)上写明货物名称、单位、规格、单价、数量、金额、产地等信息，甲方将抽查或者逐一核对的方式对本批次货物进行查验，检验合格后签字确认入库。</w:t>
      </w:r>
    </w:p>
    <w:p w14:paraId="621D0D94">
      <w:pPr>
        <w:pStyle w:val="10"/>
        <w:spacing w:before="34" w:line="222" w:lineRule="auto"/>
        <w:ind w:firstLine="46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第六条</w:t>
      </w:r>
      <w:r>
        <w:rPr>
          <w:rFonts w:hint="eastAsia" w:ascii="宋体" w:hAnsi="宋体" w:eastAsia="宋体" w:cs="宋体"/>
          <w:b/>
          <w:bCs/>
          <w:color w:val="auto"/>
          <w:spacing w:val="91"/>
          <w:sz w:val="24"/>
          <w:szCs w:val="24"/>
          <w:highlight w:val="none"/>
        </w:rPr>
        <w:t xml:space="preserve"> </w:t>
      </w:r>
      <w:r>
        <w:rPr>
          <w:rFonts w:hint="eastAsia" w:ascii="宋体" w:hAnsi="宋体" w:eastAsia="宋体" w:cs="宋体"/>
          <w:b/>
          <w:bCs/>
          <w:color w:val="auto"/>
          <w:spacing w:val="-5"/>
          <w:sz w:val="24"/>
          <w:szCs w:val="24"/>
          <w:highlight w:val="none"/>
        </w:rPr>
        <w:t>商品验收</w:t>
      </w:r>
    </w:p>
    <w:p w14:paraId="3BBA015F">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6.1 乙方应严格执行供货周期，保质、保量的完成商品的供货。在每批次商品到达指定地点后，甲方进行验收。甲方在验收过程中发现商品品种、质量等级、包装、规格、数量不符合合同约定的，甲方有权拒收，要求乙方在3日内无条件更换、补足。因质量问题或未按期交货，耽误甲方使用或造成损失的，乙方应当承担违约责任(参照本合同第八条)。</w:t>
      </w:r>
    </w:p>
    <w:p w14:paraId="2631E2B7">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6.2 乙方随货要提供每批商品的有效质量合格证明，该质量合格证明应列明该批次商品的产地、数量、品种明细。每批次商品到货日期应在生产日期+1/3保质期内或交付时质量合格证明剩余有效期限不低于五分之四，并且包装外应贴有相应的质量合格证明标签号，如乙方货到后质量合格证明超过有效期或有效期内商品出现任何质量问题，甲方有权要求当日内换货或有权拒收该批商品、拒付货款。</w:t>
      </w:r>
    </w:p>
    <w:p w14:paraId="209410CB">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6.3 乙方随货要提供该批次商品与生产日期相对应的出厂检验报告，出厂检验报告必须有相关质量检测项目，如乙方不能提供该出厂检验报告，甲方有权拒收该批商品。乙方应根据甲方的需要提供有效的质量安全检测报告，如乙方未能及时提供第三方有效的质量安全检测报告，甲方可以送样检验，所产生的费用由乙方承担，质量检验不合格的，乙方应当在当日内更换符合本合同要求的合格商品，因此延误交货期的，乙方按照本合同约定承担相应的违约责任。</w:t>
      </w:r>
    </w:p>
    <w:p w14:paraId="1595C5E9">
      <w:pPr>
        <w:pStyle w:val="10"/>
        <w:spacing w:before="47" w:line="222" w:lineRule="auto"/>
        <w:ind w:firstLine="46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第七条</w:t>
      </w:r>
      <w:r>
        <w:rPr>
          <w:rFonts w:hint="eastAsia" w:ascii="宋体" w:hAnsi="宋体" w:eastAsia="宋体" w:cs="宋体"/>
          <w:b/>
          <w:bCs/>
          <w:color w:val="auto"/>
          <w:spacing w:val="89"/>
          <w:sz w:val="24"/>
          <w:szCs w:val="24"/>
          <w:highlight w:val="none"/>
        </w:rPr>
        <w:t xml:space="preserve"> </w:t>
      </w:r>
      <w:r>
        <w:rPr>
          <w:rFonts w:hint="eastAsia" w:ascii="宋体" w:hAnsi="宋体" w:eastAsia="宋体" w:cs="宋体"/>
          <w:b/>
          <w:bCs/>
          <w:color w:val="auto"/>
          <w:spacing w:val="-5"/>
          <w:sz w:val="24"/>
          <w:szCs w:val="24"/>
          <w:highlight w:val="none"/>
        </w:rPr>
        <w:t>货款及结算方式</w:t>
      </w:r>
    </w:p>
    <w:p w14:paraId="451E2579">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7.1 本合同商品价格已包含但不限于成本、利润、税金、验收、保险、运输、因质量问题引起的更换等乙方完成本合同义务甲方应当支付的全部费用。</w:t>
      </w:r>
    </w:p>
    <w:p w14:paraId="6AE6DE03">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7.2 乙方每次随货的送货清单，经甲方指定人员验货后签字确定；甲乙双方各执一份，以此作为结算时的数量依据。</w:t>
      </w:r>
    </w:p>
    <w:p w14:paraId="3D9FD6A3">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7.3 双方按照确认的送货单进行收验货物及对账，乙方需开具普通增值税发票，在乙方提供合法发票后</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天内支付货款。乙方如遇特殊情况未能在规定的时段对账，可与甲方协商解决。甲方根据实际情况给乙方付款。</w:t>
      </w:r>
    </w:p>
    <w:p w14:paraId="3EE220A4">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7.4“先票后款”是本合同结算的重要方式，发票认证通过是付款的必要前提之一，甲方经验收后一次性付款前，乙方应向甲方提供税务发票，甲方接收发票后应尽快启动内部审批流程，审批流程完毕后向乙方支付价款。但如乙方不开发票或者发票不合格，甲方有权延迟启动内部审批流程直至乙方开具合格发票之日，且不承担任何违约责任，乙方的各项合同义务仍应按合同约定履行。如对费用结算有异议，应在收到甲方通知后两个工作日内提出异议，否则视为接受。</w:t>
      </w:r>
    </w:p>
    <w:p w14:paraId="554F19B7">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(1)商品市场价格如有下调，甲方有权提出价格调整，乙方同意的，双方签订书面的调价补充协议，乙方不同意降价的，甲方有权提前解除本合同另行与第三方合作，甲方无需承担任何违约赔偿责任。</w:t>
      </w:r>
    </w:p>
    <w:p w14:paraId="79F55795">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(2)双方同意调价的，以签订书面调价补充协议为准，调价补充协议签订前已送货物按调价前的价格计算，签订后运送的货物按补充协议约定价格结算。</w:t>
      </w:r>
    </w:p>
    <w:p w14:paraId="70E3CC56">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7.5 乙方指定账户：</w:t>
      </w:r>
    </w:p>
    <w:p w14:paraId="42C17101">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 xml:space="preserve">开户行：                                   </w:t>
      </w:r>
    </w:p>
    <w:p w14:paraId="153E3706">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 xml:space="preserve">账户名：                                 </w:t>
      </w:r>
    </w:p>
    <w:p w14:paraId="2E7A8A04">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 xml:space="preserve">账 号：                                 </w:t>
      </w:r>
    </w:p>
    <w:p w14:paraId="7EB94EB4">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乙方应对上述账户的真实性和有效性负责，如账户发生变更的，应在变更之日起3日内书面通知甲方，否则由此造成的损失由乙方自行负责。</w:t>
      </w:r>
    </w:p>
    <w:p w14:paraId="077D5ECC">
      <w:pPr>
        <w:pStyle w:val="10"/>
        <w:spacing w:line="222" w:lineRule="auto"/>
        <w:ind w:firstLine="466"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第八条违约责任</w:t>
      </w:r>
    </w:p>
    <w:p w14:paraId="58A82C0B">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8.1 乙方交付的商品包括但不限于数量(包括多交或少交)、规格、质量标准等不符合合同约定的，甲方有权采取下列任意一种方式或同时采取几种方式追究乙方违约责任：</w:t>
      </w:r>
    </w:p>
    <w:p w14:paraId="4BAD2AA9">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(1)拒收货物；</w:t>
      </w:r>
    </w:p>
    <w:p w14:paraId="2AED49AA">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(2)要求换货或要求退货，乙方在甲方退货之日起三个工作日内退 还甲方已付对应货款；</w:t>
      </w:r>
    </w:p>
    <w:p w14:paraId="497834E4">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(3)要求乙方赔偿甲方由此而产生的全部损失。</w:t>
      </w:r>
    </w:p>
    <w:p w14:paraId="1F547B1B">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(4)列入“黑名单”,3年内禁止乙方参与甲方的经营活动。</w:t>
      </w:r>
    </w:p>
    <w:p w14:paraId="0C82CDE4">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8.2乙方未按本合同约定或甲方通知期限向甲方交货的，甲方有权要求乙方每延期一天按当批次商品总额的5%支付违约金。因乙方交付数量、品种、质量等级不符合约定，无合格证明或出厂报告等情形导致甲方拒收货物的延期交付，视为乙方交货迟延。</w:t>
      </w:r>
    </w:p>
    <w:p w14:paraId="5BD42B08">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8.3 乙方对其出售的商品承担质量担保责任，即使乙方出售商品已具备相关的检验合格证明和出厂检验报告，如出现《食品安全法》禁止情 形的给甲方造成损害的，乙方承担甲方的全部损失。</w:t>
      </w:r>
    </w:p>
    <w:p w14:paraId="1D36D05A">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8.4</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当乙方出现下列情形时，甲方有权选择单方解除本合同：</w:t>
      </w:r>
    </w:p>
    <w:p w14:paraId="299C7E7C">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(1)逾期交货超过24小时；</w:t>
      </w:r>
    </w:p>
    <w:p w14:paraId="04BD9D3B">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(2)交付的商品不符合验收标准的；</w:t>
      </w:r>
    </w:p>
    <w:p w14:paraId="3DB92FE0">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(3)当商品市场价格下降时，乙方不同意降价的；</w:t>
      </w:r>
    </w:p>
    <w:p w14:paraId="6535E13A">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(4)未经甲方书面同意，乙方将本合同的权利义务转让给第三人的；</w:t>
      </w:r>
    </w:p>
    <w:p w14:paraId="6A591E1C">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(5)乙方未取得或被吊销法定许可证或其他证照的；</w:t>
      </w:r>
    </w:p>
    <w:p w14:paraId="266C92CF">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(6)乙方出售商品出现法律法规规定的禁止情形的。</w:t>
      </w:r>
    </w:p>
    <w:p w14:paraId="5D19B826">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甲方依据本合同8.4条款中的情形与乙方解除合同，书面通知送达乙方之日起，并与代理招标公司，评出的第二中标人签订供应合同。甲 方不承担任何违约责任。</w:t>
      </w:r>
    </w:p>
    <w:p w14:paraId="6E1D5FEF">
      <w:pPr>
        <w:pStyle w:val="10"/>
        <w:tabs>
          <w:tab w:val="left" w:pos="8820"/>
        </w:tabs>
        <w:spacing w:before="124" w:line="320" w:lineRule="auto"/>
        <w:ind w:right="110" w:rightChars="0" w:firstLine="432"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8.5</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乙方违约时应当向甲方支付违约金、赔偿金，甲方有权从未支付的货款中扣除，违约金不足以赔偿给甲方造成损失的，甲方仍有权向乙方进行追偿；乙方应当赔偿给甲方的损失，包括但不限于直接损失、预期利益损失、甲方向第三人支付的违约金、赔偿金及甲方为索赔支出的诉讼费、律师费、保全费、保全担保费、交通费、鉴定费、评估费、拍 卖费等全部费用。</w:t>
      </w:r>
    </w:p>
    <w:p w14:paraId="6449C1D8">
      <w:pPr>
        <w:pStyle w:val="10"/>
        <w:tabs>
          <w:tab w:val="left" w:pos="8820"/>
        </w:tabs>
        <w:spacing w:before="124" w:line="320" w:lineRule="auto"/>
        <w:ind w:right="110" w:rightChars="0" w:firstLine="43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8.6</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本合同签订后，未经甲方书面同意，乙方单方面解除合同的，应向甲方承担已交付商品总金额20%的违约金，赔偿由此给甲方造成的全部损失。</w:t>
      </w:r>
    </w:p>
    <w:p w14:paraId="1B03848C">
      <w:pPr>
        <w:pStyle w:val="10"/>
        <w:spacing w:before="158" w:line="222" w:lineRule="auto"/>
        <w:ind w:left="503"/>
        <w:rPr>
          <w:rFonts w:hint="eastAsia" w:ascii="宋体" w:hAnsi="宋体" w:eastAsia="宋体" w:cs="宋体"/>
          <w:b/>
          <w:bCs/>
          <w:color w:val="auto"/>
          <w:sz w:val="24"/>
          <w:szCs w:val="24"/>
          <w:highlight w:val="none"/>
        </w:rPr>
      </w:pPr>
      <w:r>
        <w:rPr>
          <w:rFonts w:hint="eastAsia" w:ascii="宋体" w:hAnsi="宋体" w:eastAsia="宋体" w:cs="宋体"/>
          <w:b/>
          <w:bCs/>
          <w:color w:val="auto"/>
          <w:spacing w:val="-10"/>
          <w:sz w:val="24"/>
          <w:szCs w:val="24"/>
          <w:highlight w:val="none"/>
        </w:rPr>
        <w:t>第九条</w:t>
      </w:r>
      <w:r>
        <w:rPr>
          <w:rFonts w:hint="eastAsia" w:ascii="宋体" w:hAnsi="宋体" w:eastAsia="宋体" w:cs="宋体"/>
          <w:b/>
          <w:bCs/>
          <w:color w:val="auto"/>
          <w:spacing w:val="111"/>
          <w:sz w:val="24"/>
          <w:szCs w:val="24"/>
          <w:highlight w:val="none"/>
        </w:rPr>
        <w:t xml:space="preserve"> </w:t>
      </w:r>
      <w:r>
        <w:rPr>
          <w:rFonts w:hint="eastAsia" w:ascii="宋体" w:hAnsi="宋体" w:eastAsia="宋体" w:cs="宋体"/>
          <w:b/>
          <w:bCs/>
          <w:color w:val="auto"/>
          <w:spacing w:val="-10"/>
          <w:sz w:val="24"/>
          <w:szCs w:val="24"/>
          <w:highlight w:val="none"/>
        </w:rPr>
        <w:t>不可抗力</w:t>
      </w:r>
    </w:p>
    <w:p w14:paraId="1A61410A">
      <w:pPr>
        <w:pStyle w:val="10"/>
        <w:spacing w:before="130" w:line="320" w:lineRule="auto"/>
        <w:ind w:left="13" w:right="562" w:firstLine="49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w:t>
      </w:r>
      <w:r>
        <w:rPr>
          <w:rFonts w:hint="eastAsia" w:ascii="宋体" w:hAnsi="宋体" w:eastAsia="宋体" w:cs="宋体"/>
          <w:color w:val="auto"/>
          <w:spacing w:val="-11"/>
          <w:sz w:val="24"/>
          <w:szCs w:val="24"/>
          <w:highlight w:val="none"/>
        </w:rPr>
        <w:t>惯例认</w:t>
      </w:r>
      <w:r>
        <w:rPr>
          <w:rFonts w:hint="eastAsia" w:ascii="宋体" w:hAnsi="宋体" w:eastAsia="宋体" w:cs="宋体"/>
          <w:color w:val="auto"/>
          <w:spacing w:val="-12"/>
          <w:sz w:val="24"/>
          <w:szCs w:val="24"/>
          <w:highlight w:val="none"/>
        </w:rPr>
        <w:t>作不可抗力的其他事件。一方缺少资金不属于不可</w:t>
      </w:r>
      <w:r>
        <w:rPr>
          <w:rFonts w:hint="eastAsia" w:ascii="宋体" w:hAnsi="宋体" w:eastAsia="宋体" w:cs="宋体"/>
          <w:color w:val="auto"/>
          <w:spacing w:val="-13"/>
          <w:sz w:val="24"/>
          <w:szCs w:val="24"/>
          <w:highlight w:val="none"/>
        </w:rPr>
        <w:t>抗力事件。</w:t>
      </w:r>
    </w:p>
    <w:p w14:paraId="4CC09B62">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不可抗力的后果:</w:t>
      </w:r>
    </w:p>
    <w:p w14:paraId="78DB35F5">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9.1</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如果发生不可抗力事件，影响一方履行其在本协议项下的义务，则在不可抗力造成的延误期内中止履行，而不视为违约。</w:t>
      </w:r>
    </w:p>
    <w:p w14:paraId="03620EFF">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9.2</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宣称发生不可抗力的一方应迅速书面通知对方，并在其后的15天内提供证明不可抗力发生及其持续时间的足够证据。</w:t>
      </w:r>
    </w:p>
    <w:p w14:paraId="2038747B">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9.3</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如果发生不可抗力事件，各方应立即互相协商，以找到公平的解决办法，并且应尽一切合理努力将不可抗力的影响减少到最低限度。</w:t>
      </w:r>
    </w:p>
    <w:p w14:paraId="29DA8B3F">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9.4 金钱债务的迟延责任不得因不可抗力而免除。</w:t>
      </w:r>
    </w:p>
    <w:p w14:paraId="218AD5C7">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9.5 迟延履行期间发生的不可抗力不具有免责效力。</w:t>
      </w:r>
    </w:p>
    <w:p w14:paraId="7A8182D6">
      <w:pPr>
        <w:pStyle w:val="10"/>
        <w:spacing w:before="85" w:line="281" w:lineRule="auto"/>
        <w:ind w:right="333" w:firstLine="430" w:firstLineChars="200"/>
        <w:rPr>
          <w:rFonts w:hint="eastAsia" w:ascii="宋体" w:hAnsi="宋体" w:eastAsia="宋体" w:cs="宋体"/>
          <w:b/>
          <w:bCs/>
          <w:color w:val="auto"/>
          <w:spacing w:val="-13"/>
          <w:sz w:val="24"/>
          <w:szCs w:val="24"/>
          <w:highlight w:val="none"/>
        </w:rPr>
      </w:pPr>
      <w:r>
        <w:rPr>
          <w:rFonts w:hint="eastAsia" w:ascii="宋体" w:hAnsi="宋体" w:eastAsia="宋体" w:cs="宋体"/>
          <w:b/>
          <w:bCs/>
          <w:color w:val="auto"/>
          <w:spacing w:val="-13"/>
          <w:sz w:val="24"/>
          <w:szCs w:val="24"/>
          <w:highlight w:val="none"/>
        </w:rPr>
        <w:t>第十条</w:t>
      </w:r>
      <w:r>
        <w:rPr>
          <w:rFonts w:hint="eastAsia" w:ascii="宋体" w:hAnsi="宋体" w:eastAsia="宋体" w:cs="宋体"/>
          <w:b/>
          <w:bCs/>
          <w:color w:val="auto"/>
          <w:spacing w:val="-13"/>
          <w:sz w:val="24"/>
          <w:szCs w:val="24"/>
          <w:highlight w:val="none"/>
          <w:lang w:val="en-US" w:eastAsia="zh-CN"/>
        </w:rPr>
        <w:t xml:space="preserve"> </w:t>
      </w:r>
      <w:r>
        <w:rPr>
          <w:rFonts w:hint="eastAsia" w:ascii="宋体" w:hAnsi="宋体" w:eastAsia="宋体" w:cs="宋体"/>
          <w:b/>
          <w:bCs/>
          <w:color w:val="auto"/>
          <w:spacing w:val="-13"/>
          <w:sz w:val="24"/>
          <w:szCs w:val="24"/>
          <w:highlight w:val="none"/>
        </w:rPr>
        <w:t>其它约定事项</w:t>
      </w:r>
    </w:p>
    <w:p w14:paraId="07CB4DE8">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10.1</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乙方应提供资质证明材料:《企业法人营业执照》及有关食品质量安全的相关证明文件复印件，所有证明文件均应在有效期内。</w:t>
      </w:r>
    </w:p>
    <w:p w14:paraId="1CF32BA4">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10.2</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乙方及乙方人员在签订及履行本合同的过程中已经或将要获知甲方秘密信息及本合同的内容(包括但不限于文字、图片、视频、影像等形式)的，应承担保密义务，不得向任何第三方透露。保密期限为自乙方及乙方人员获知保密信息之日起至保密信息被甲方依法在公共媒体公开为止。乙方及乙方人员不得在甲方单位内部或外部拍摄照片或视频，也不得在微信、微博、公众号订阅号等自媒体上发布与甲方有关的文字信息、图片或视频，每发生一次向甲方支付违约金壹万元，如情节严重的甲方依法移送相关部门。</w:t>
      </w:r>
    </w:p>
    <w:p w14:paraId="30D7AD08">
      <w:pPr>
        <w:pStyle w:val="10"/>
        <w:spacing w:before="85" w:line="281" w:lineRule="auto"/>
        <w:ind w:left="113" w:right="333" w:firstLine="509"/>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10.3</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除“不可抗力”,依据本合同第八条约定，当事</w:t>
      </w:r>
      <w:r>
        <w:rPr>
          <w:rFonts w:hint="eastAsia" w:ascii="宋体" w:hAnsi="宋体" w:eastAsia="宋体" w:cs="宋体"/>
          <w:color w:val="auto"/>
          <w:spacing w:val="-14"/>
          <w:sz w:val="24"/>
          <w:szCs w:val="24"/>
          <w:highlight w:val="none"/>
        </w:rPr>
        <w:t>人一方要求提前</w:t>
      </w:r>
      <w:r>
        <w:rPr>
          <w:rFonts w:hint="eastAsia" w:ascii="宋体" w:hAnsi="宋体" w:eastAsia="宋体" w:cs="宋体"/>
          <w:color w:val="auto"/>
          <w:spacing w:val="-13"/>
          <w:sz w:val="24"/>
          <w:szCs w:val="24"/>
          <w:highlight w:val="none"/>
        </w:rPr>
        <w:t>解除合同的，应提前30天通知对方，双方均同意的方可提前解除本</w:t>
      </w:r>
      <w:r>
        <w:rPr>
          <w:rFonts w:hint="eastAsia" w:ascii="宋体" w:hAnsi="宋体" w:eastAsia="宋体" w:cs="宋体"/>
          <w:color w:val="auto"/>
          <w:spacing w:val="-14"/>
          <w:sz w:val="24"/>
          <w:szCs w:val="24"/>
          <w:highlight w:val="none"/>
        </w:rPr>
        <w:t>合同。</w:t>
      </w:r>
    </w:p>
    <w:p w14:paraId="752B3929">
      <w:pPr>
        <w:pStyle w:val="10"/>
        <w:spacing w:before="137" w:line="267" w:lineRule="auto"/>
        <w:ind w:left="113" w:right="443" w:firstLine="50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10.4</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0"/>
          <w:sz w:val="24"/>
          <w:szCs w:val="24"/>
          <w:highlight w:val="none"/>
        </w:rPr>
        <w:t>双方如需变更本合同或本合同如有未尽事</w:t>
      </w:r>
      <w:r>
        <w:rPr>
          <w:rFonts w:hint="eastAsia" w:ascii="宋体" w:hAnsi="宋体" w:eastAsia="宋体" w:cs="宋体"/>
          <w:color w:val="auto"/>
          <w:spacing w:val="-11"/>
          <w:sz w:val="24"/>
          <w:szCs w:val="24"/>
          <w:highlight w:val="none"/>
        </w:rPr>
        <w:t>宜，须双方共同协商</w:t>
      </w:r>
      <w:r>
        <w:rPr>
          <w:rFonts w:hint="eastAsia" w:ascii="宋体" w:hAnsi="宋体" w:eastAsia="宋体" w:cs="宋体"/>
          <w:color w:val="auto"/>
          <w:spacing w:val="-14"/>
          <w:sz w:val="24"/>
          <w:szCs w:val="24"/>
          <w:highlight w:val="none"/>
        </w:rPr>
        <w:t>签订书面补充合同，补充合同与本合同具同等效力。</w:t>
      </w:r>
    </w:p>
    <w:p w14:paraId="1775A286">
      <w:pPr>
        <w:pStyle w:val="10"/>
        <w:spacing w:before="155" w:line="268" w:lineRule="auto"/>
        <w:ind w:left="113" w:right="440" w:firstLine="50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10.5</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本合同在履行过程中如发生争议，双方应协商解决，如协商不</w:t>
      </w:r>
      <w:r>
        <w:rPr>
          <w:rFonts w:hint="eastAsia" w:ascii="宋体" w:hAnsi="宋体" w:eastAsia="宋体" w:cs="宋体"/>
          <w:color w:val="auto"/>
          <w:spacing w:val="-13"/>
          <w:sz w:val="24"/>
          <w:szCs w:val="24"/>
          <w:highlight w:val="none"/>
        </w:rPr>
        <w:t>成，各方一致同意向</w:t>
      </w:r>
      <w:r>
        <w:rPr>
          <w:rFonts w:hint="eastAsia" w:ascii="宋体" w:hAnsi="宋体" w:eastAsia="宋体" w:cs="宋体"/>
          <w:color w:val="auto"/>
          <w:spacing w:val="-13"/>
          <w:sz w:val="24"/>
          <w:szCs w:val="24"/>
          <w:highlight w:val="none"/>
          <w:u w:val="single" w:color="auto"/>
        </w:rPr>
        <w:t>甲方住所地</w:t>
      </w:r>
      <w:r>
        <w:rPr>
          <w:rFonts w:hint="eastAsia" w:ascii="宋体" w:hAnsi="宋体" w:eastAsia="宋体" w:cs="宋体"/>
          <w:color w:val="auto"/>
          <w:spacing w:val="-13"/>
          <w:sz w:val="24"/>
          <w:szCs w:val="24"/>
          <w:highlight w:val="none"/>
        </w:rPr>
        <w:t>人民法院起诉。</w:t>
      </w:r>
    </w:p>
    <w:p w14:paraId="04DE8A21">
      <w:pPr>
        <w:pStyle w:val="10"/>
        <w:spacing w:before="147" w:line="310" w:lineRule="auto"/>
        <w:ind w:left="113" w:right="429" w:firstLine="50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10.6</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0"/>
          <w:sz w:val="24"/>
          <w:szCs w:val="24"/>
          <w:highlight w:val="none"/>
        </w:rPr>
        <w:t>本合同履行过程中，甲乙双方按照本合同末尾载明通讯</w:t>
      </w:r>
      <w:r>
        <w:rPr>
          <w:rFonts w:hint="eastAsia" w:ascii="宋体" w:hAnsi="宋体" w:eastAsia="宋体" w:cs="宋体"/>
          <w:color w:val="auto"/>
          <w:spacing w:val="-11"/>
          <w:sz w:val="24"/>
          <w:szCs w:val="24"/>
          <w:highlight w:val="none"/>
        </w:rPr>
        <w:t>地址向</w:t>
      </w:r>
      <w:r>
        <w:rPr>
          <w:rFonts w:hint="eastAsia" w:ascii="宋体" w:hAnsi="宋体" w:eastAsia="宋体" w:cs="宋体"/>
          <w:color w:val="auto"/>
          <w:spacing w:val="-5"/>
          <w:sz w:val="24"/>
          <w:szCs w:val="24"/>
          <w:highlight w:val="none"/>
        </w:rPr>
        <w:t>对方发出的书面文件，以快递形式寄出的，寄出3日后视为对方收到；</w:t>
      </w:r>
      <w:r>
        <w:rPr>
          <w:rFonts w:hint="eastAsia" w:ascii="宋体" w:hAnsi="宋体" w:eastAsia="宋体" w:cs="宋体"/>
          <w:color w:val="auto"/>
          <w:spacing w:val="-10"/>
          <w:sz w:val="24"/>
          <w:szCs w:val="24"/>
          <w:highlight w:val="none"/>
        </w:rPr>
        <w:t>以邮件、电话、传真、短信、微信等形式发出的，发出当天视为对方收到；以其他方式送达的，本合同约定的联系人收到时即视为送达。如双</w:t>
      </w:r>
      <w:r>
        <w:rPr>
          <w:rFonts w:hint="eastAsia" w:ascii="宋体" w:hAnsi="宋体" w:eastAsia="宋体" w:cs="宋体"/>
          <w:color w:val="auto"/>
          <w:spacing w:val="-9"/>
          <w:sz w:val="24"/>
          <w:szCs w:val="24"/>
          <w:highlight w:val="none"/>
        </w:rPr>
        <w:t>方变更地址的，应当在变更当日以书面形式通知对</w:t>
      </w:r>
      <w:r>
        <w:rPr>
          <w:rFonts w:hint="eastAsia" w:ascii="宋体" w:hAnsi="宋体" w:eastAsia="宋体" w:cs="宋体"/>
          <w:color w:val="auto"/>
          <w:spacing w:val="-10"/>
          <w:sz w:val="24"/>
          <w:szCs w:val="24"/>
          <w:highlight w:val="none"/>
        </w:rPr>
        <w:t>方，否则对方按本合</w:t>
      </w:r>
      <w:r>
        <w:rPr>
          <w:rFonts w:hint="eastAsia" w:ascii="宋体" w:hAnsi="宋体" w:eastAsia="宋体" w:cs="宋体"/>
          <w:color w:val="auto"/>
          <w:spacing w:val="-9"/>
          <w:sz w:val="24"/>
          <w:szCs w:val="24"/>
          <w:highlight w:val="none"/>
        </w:rPr>
        <w:t>同地址发出的文件，一经发出并达到上述约定条件即视为</w:t>
      </w:r>
      <w:r>
        <w:rPr>
          <w:rFonts w:hint="eastAsia" w:ascii="宋体" w:hAnsi="宋体" w:eastAsia="宋体" w:cs="宋体"/>
          <w:color w:val="auto"/>
          <w:spacing w:val="-10"/>
          <w:sz w:val="24"/>
          <w:szCs w:val="24"/>
          <w:highlight w:val="none"/>
        </w:rPr>
        <w:t>送达。甲乙双</w:t>
      </w:r>
      <w:r>
        <w:rPr>
          <w:rFonts w:hint="eastAsia" w:ascii="宋体" w:hAnsi="宋体" w:eastAsia="宋体" w:cs="宋体"/>
          <w:color w:val="auto"/>
          <w:spacing w:val="-9"/>
          <w:sz w:val="24"/>
          <w:szCs w:val="24"/>
          <w:highlight w:val="none"/>
        </w:rPr>
        <w:t>方就履行合同产生争议提起诉讼的，该地址也可作为法院法律文书</w:t>
      </w:r>
      <w:r>
        <w:rPr>
          <w:rFonts w:hint="eastAsia" w:ascii="宋体" w:hAnsi="宋体" w:eastAsia="宋体" w:cs="宋体"/>
          <w:color w:val="auto"/>
          <w:spacing w:val="-10"/>
          <w:sz w:val="24"/>
          <w:szCs w:val="24"/>
          <w:highlight w:val="none"/>
        </w:rPr>
        <w:t>的送</w:t>
      </w:r>
      <w:r>
        <w:rPr>
          <w:rFonts w:hint="eastAsia" w:ascii="宋体" w:hAnsi="宋体" w:eastAsia="宋体" w:cs="宋体"/>
          <w:color w:val="auto"/>
          <w:spacing w:val="-19"/>
          <w:sz w:val="24"/>
          <w:szCs w:val="24"/>
          <w:highlight w:val="none"/>
        </w:rPr>
        <w:t>达地址。</w:t>
      </w:r>
    </w:p>
    <w:p w14:paraId="765ED836">
      <w:pPr>
        <w:pStyle w:val="10"/>
        <w:spacing w:before="149" w:line="287" w:lineRule="auto"/>
        <w:ind w:left="113" w:right="377" w:firstLine="50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10.7 本合同一式</w:t>
      </w:r>
      <w:r>
        <w:rPr>
          <w:rFonts w:hint="eastAsia" w:ascii="宋体" w:hAnsi="宋体" w:eastAsia="宋体" w:cs="宋体"/>
          <w:color w:val="auto"/>
          <w:spacing w:val="-8"/>
          <w:sz w:val="24"/>
          <w:szCs w:val="24"/>
          <w:highlight w:val="none"/>
          <w:lang w:val="en-US" w:eastAsia="zh-CN"/>
        </w:rPr>
        <w:t>四</w:t>
      </w:r>
      <w:r>
        <w:rPr>
          <w:rFonts w:hint="eastAsia" w:ascii="宋体" w:hAnsi="宋体" w:eastAsia="宋体" w:cs="宋体"/>
          <w:color w:val="auto"/>
          <w:spacing w:val="-8"/>
          <w:sz w:val="24"/>
          <w:szCs w:val="24"/>
          <w:highlight w:val="none"/>
        </w:rPr>
        <w:t>份，甲方</w:t>
      </w:r>
      <w:r>
        <w:rPr>
          <w:rFonts w:hint="eastAsia" w:ascii="宋体" w:hAnsi="宋体" w:eastAsia="宋体" w:cs="宋体"/>
          <w:color w:val="auto"/>
          <w:spacing w:val="-8"/>
          <w:sz w:val="24"/>
          <w:szCs w:val="24"/>
          <w:highlight w:val="none"/>
          <w:lang w:val="en-US" w:eastAsia="zh-CN"/>
        </w:rPr>
        <w:t>三</w:t>
      </w:r>
      <w:r>
        <w:rPr>
          <w:rFonts w:hint="eastAsia" w:ascii="宋体" w:hAnsi="宋体" w:eastAsia="宋体" w:cs="宋体"/>
          <w:color w:val="auto"/>
          <w:spacing w:val="-8"/>
          <w:sz w:val="24"/>
          <w:szCs w:val="24"/>
          <w:highlight w:val="none"/>
        </w:rPr>
        <w:t>份、乙方持</w:t>
      </w:r>
      <w:r>
        <w:rPr>
          <w:rFonts w:hint="eastAsia" w:ascii="宋体" w:hAnsi="宋体" w:eastAsia="宋体" w:cs="宋体"/>
          <w:color w:val="auto"/>
          <w:spacing w:val="-8"/>
          <w:sz w:val="24"/>
          <w:szCs w:val="24"/>
          <w:highlight w:val="none"/>
          <w:lang w:val="en-US" w:eastAsia="zh-CN"/>
        </w:rPr>
        <w:t>一</w:t>
      </w:r>
      <w:r>
        <w:rPr>
          <w:rFonts w:hint="eastAsia" w:ascii="宋体" w:hAnsi="宋体" w:eastAsia="宋体" w:cs="宋体"/>
          <w:color w:val="auto"/>
          <w:spacing w:val="-8"/>
          <w:sz w:val="24"/>
          <w:szCs w:val="24"/>
          <w:highlight w:val="none"/>
        </w:rPr>
        <w:t>份。合</w:t>
      </w:r>
      <w:r>
        <w:rPr>
          <w:rFonts w:hint="eastAsia" w:ascii="宋体" w:hAnsi="宋体" w:eastAsia="宋体" w:cs="宋体"/>
          <w:color w:val="auto"/>
          <w:spacing w:val="-9"/>
          <w:sz w:val="24"/>
          <w:szCs w:val="24"/>
          <w:highlight w:val="none"/>
        </w:rPr>
        <w:t>同经双方法定代表人或授权代表签字并加盖公章或合同专用章后生效，数据电文与原件</w:t>
      </w:r>
      <w:r>
        <w:rPr>
          <w:rFonts w:hint="eastAsia" w:ascii="宋体" w:hAnsi="宋体" w:eastAsia="宋体" w:cs="宋体"/>
          <w:color w:val="auto"/>
          <w:spacing w:val="-16"/>
          <w:sz w:val="24"/>
          <w:szCs w:val="24"/>
          <w:highlight w:val="none"/>
        </w:rPr>
        <w:t>具同等法律效力。</w:t>
      </w:r>
    </w:p>
    <w:p w14:paraId="23C6B516">
      <w:pPr>
        <w:pStyle w:val="10"/>
        <w:spacing w:before="167" w:line="222" w:lineRule="auto"/>
        <w:ind w:left="6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(以下无正文)</w:t>
      </w:r>
    </w:p>
    <w:p w14:paraId="005A7B62">
      <w:pPr>
        <w:spacing w:line="260" w:lineRule="auto"/>
        <w:rPr>
          <w:rFonts w:hint="eastAsia" w:ascii="宋体" w:hAnsi="宋体" w:eastAsia="宋体" w:cs="宋体"/>
          <w:color w:val="auto"/>
          <w:sz w:val="24"/>
          <w:szCs w:val="24"/>
          <w:highlight w:val="none"/>
        </w:rPr>
      </w:pPr>
    </w:p>
    <w:p w14:paraId="72246BE8">
      <w:pPr>
        <w:spacing w:line="260" w:lineRule="auto"/>
        <w:rPr>
          <w:rFonts w:hint="eastAsia" w:ascii="宋体" w:hAnsi="宋体" w:eastAsia="宋体" w:cs="宋体"/>
          <w:color w:val="auto"/>
          <w:sz w:val="24"/>
          <w:szCs w:val="24"/>
          <w:highlight w:val="none"/>
        </w:rPr>
      </w:pPr>
    </w:p>
    <w:p w14:paraId="6BE36BC8">
      <w:pPr>
        <w:spacing w:line="260" w:lineRule="auto"/>
        <w:rPr>
          <w:rFonts w:hint="eastAsia" w:ascii="宋体" w:hAnsi="宋体" w:eastAsia="宋体" w:cs="宋体"/>
          <w:color w:val="auto"/>
          <w:sz w:val="24"/>
          <w:szCs w:val="24"/>
          <w:highlight w:val="none"/>
        </w:rPr>
      </w:pPr>
    </w:p>
    <w:p w14:paraId="4D30048A">
      <w:pPr>
        <w:spacing w:line="260" w:lineRule="auto"/>
        <w:rPr>
          <w:rFonts w:hint="eastAsia" w:ascii="宋体" w:hAnsi="宋体" w:eastAsia="宋体" w:cs="宋体"/>
          <w:color w:val="auto"/>
          <w:sz w:val="24"/>
          <w:szCs w:val="24"/>
          <w:highlight w:val="none"/>
        </w:rPr>
      </w:pPr>
    </w:p>
    <w:p w14:paraId="48DD01CA">
      <w:pPr>
        <w:spacing w:line="260" w:lineRule="auto"/>
        <w:rPr>
          <w:rFonts w:hint="eastAsia" w:ascii="宋体" w:hAnsi="宋体" w:eastAsia="宋体" w:cs="宋体"/>
          <w:color w:val="auto"/>
          <w:sz w:val="24"/>
          <w:szCs w:val="24"/>
          <w:highlight w:val="none"/>
        </w:rPr>
      </w:pPr>
    </w:p>
    <w:p w14:paraId="04818AA1">
      <w:pPr>
        <w:spacing w:line="260" w:lineRule="auto"/>
        <w:rPr>
          <w:rFonts w:hint="eastAsia" w:ascii="宋体" w:hAnsi="宋体" w:eastAsia="宋体" w:cs="宋体"/>
          <w:color w:val="auto"/>
          <w:sz w:val="24"/>
          <w:szCs w:val="24"/>
          <w:highlight w:val="none"/>
        </w:rPr>
      </w:pPr>
    </w:p>
    <w:p w14:paraId="7D4BD17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4"/>
          <w:sz w:val="24"/>
          <w:szCs w:val="24"/>
          <w:highlight w:val="none"/>
        </w:rPr>
        <w:t>甲方(盖章):</w:t>
      </w:r>
      <w:r>
        <w:rPr>
          <w:rFonts w:hint="eastAsia" w:ascii="宋体" w:hAnsi="宋体" w:eastAsia="宋体" w:cs="宋体"/>
          <w:color w:val="auto"/>
          <w:spacing w:val="24"/>
          <w:sz w:val="24"/>
          <w:szCs w:val="24"/>
          <w:highlight w:val="none"/>
          <w:lang w:val="en-US" w:eastAsia="zh-CN"/>
        </w:rPr>
        <w:t xml:space="preserve">                     </w:t>
      </w:r>
      <w:r>
        <w:rPr>
          <w:rFonts w:hint="eastAsia" w:ascii="宋体" w:hAnsi="宋体" w:eastAsia="宋体" w:cs="宋体"/>
          <w:color w:val="auto"/>
          <w:spacing w:val="37"/>
          <w:sz w:val="24"/>
          <w:szCs w:val="24"/>
          <w:highlight w:val="none"/>
        </w:rPr>
        <w:t>乙方(盖章):</w:t>
      </w:r>
    </w:p>
    <w:p w14:paraId="6E13258A">
      <w:pPr>
        <w:spacing w:line="274" w:lineRule="auto"/>
        <w:rPr>
          <w:rFonts w:hint="eastAsia" w:ascii="宋体" w:hAnsi="宋体" w:eastAsia="宋体" w:cs="宋体"/>
          <w:color w:val="auto"/>
          <w:sz w:val="24"/>
          <w:szCs w:val="24"/>
          <w:highlight w:val="none"/>
        </w:rPr>
      </w:pPr>
    </w:p>
    <w:p w14:paraId="6033AC6A">
      <w:pPr>
        <w:spacing w:line="275" w:lineRule="auto"/>
        <w:rPr>
          <w:rFonts w:hint="eastAsia" w:ascii="宋体" w:hAnsi="宋体" w:eastAsia="宋体" w:cs="宋体"/>
          <w:color w:val="auto"/>
          <w:sz w:val="24"/>
          <w:szCs w:val="24"/>
          <w:highlight w:val="none"/>
        </w:rPr>
      </w:pPr>
    </w:p>
    <w:p w14:paraId="0D2D221E">
      <w:pPr>
        <w:pStyle w:val="10"/>
        <w:spacing w:before="9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法人代表人：</w:t>
      </w:r>
      <w:r>
        <w:rPr>
          <w:rFonts w:hint="eastAsia" w:ascii="宋体" w:hAnsi="宋体" w:eastAsia="宋体" w:cs="宋体"/>
          <w:color w:val="auto"/>
          <w:spacing w:val="-20"/>
          <w:sz w:val="24"/>
          <w:szCs w:val="24"/>
          <w:highlight w:val="none"/>
          <w:lang w:val="en-US" w:eastAsia="zh-CN"/>
        </w:rPr>
        <w:t xml:space="preserve">                              </w:t>
      </w:r>
      <w:r>
        <w:rPr>
          <w:rFonts w:hint="eastAsia" w:ascii="宋体" w:hAnsi="宋体" w:eastAsia="宋体" w:cs="宋体"/>
          <w:color w:val="auto"/>
          <w:spacing w:val="-10"/>
          <w:sz w:val="24"/>
          <w:szCs w:val="24"/>
          <w:highlight w:val="none"/>
        </w:rPr>
        <w:t>法人代表人：</w:t>
      </w:r>
    </w:p>
    <w:p w14:paraId="446E6048">
      <w:pPr>
        <w:spacing w:line="283" w:lineRule="auto"/>
        <w:rPr>
          <w:rFonts w:hint="eastAsia" w:ascii="宋体" w:hAnsi="宋体" w:eastAsia="宋体" w:cs="宋体"/>
          <w:color w:val="auto"/>
          <w:sz w:val="24"/>
          <w:szCs w:val="24"/>
          <w:highlight w:val="none"/>
        </w:rPr>
      </w:pPr>
    </w:p>
    <w:p w14:paraId="230E3997">
      <w:pPr>
        <w:spacing w:line="284" w:lineRule="auto"/>
        <w:rPr>
          <w:rFonts w:hint="eastAsia" w:ascii="宋体" w:hAnsi="宋体" w:eastAsia="宋体" w:cs="宋体"/>
          <w:color w:val="auto"/>
          <w:sz w:val="24"/>
          <w:szCs w:val="24"/>
          <w:highlight w:val="none"/>
        </w:rPr>
      </w:pPr>
    </w:p>
    <w:p w14:paraId="3880B6BD">
      <w:pPr>
        <w:pStyle w:val="10"/>
        <w:spacing w:before="9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委托代理人(签字):</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pacing w:val="22"/>
          <w:sz w:val="24"/>
          <w:szCs w:val="24"/>
          <w:highlight w:val="none"/>
        </w:rPr>
        <w:t>委托代理人(签字):</w:t>
      </w:r>
    </w:p>
    <w:p w14:paraId="5C38869E">
      <w:pPr>
        <w:spacing w:line="273" w:lineRule="auto"/>
        <w:rPr>
          <w:rFonts w:hint="eastAsia" w:ascii="宋体" w:hAnsi="宋体" w:eastAsia="宋体" w:cs="宋体"/>
          <w:color w:val="auto"/>
          <w:sz w:val="24"/>
          <w:szCs w:val="24"/>
          <w:highlight w:val="none"/>
        </w:rPr>
      </w:pPr>
    </w:p>
    <w:p w14:paraId="7B4DBAC4">
      <w:pPr>
        <w:spacing w:line="274" w:lineRule="auto"/>
        <w:rPr>
          <w:rFonts w:hint="eastAsia" w:ascii="宋体" w:hAnsi="宋体" w:eastAsia="宋体" w:cs="宋体"/>
          <w:color w:val="auto"/>
          <w:sz w:val="24"/>
          <w:szCs w:val="24"/>
          <w:highlight w:val="none"/>
        </w:rPr>
      </w:pPr>
    </w:p>
    <w:p w14:paraId="7FAC862D">
      <w:pPr>
        <w:pStyle w:val="10"/>
        <w:spacing w:before="9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34"/>
          <w:sz w:val="24"/>
          <w:szCs w:val="24"/>
          <w:highlight w:val="none"/>
        </w:rPr>
        <w:t>电话：</w:t>
      </w:r>
      <w:r>
        <w:rPr>
          <w:rFonts w:hint="eastAsia" w:ascii="宋体" w:hAnsi="宋体" w:eastAsia="宋体" w:cs="宋体"/>
          <w:color w:val="auto"/>
          <w:spacing w:val="-34"/>
          <w:sz w:val="24"/>
          <w:szCs w:val="24"/>
          <w:highlight w:val="none"/>
          <w:lang w:val="en-US" w:eastAsia="zh-CN"/>
        </w:rPr>
        <w:t xml:space="preserve">                                          </w:t>
      </w:r>
      <w:r>
        <w:rPr>
          <w:rFonts w:hint="eastAsia" w:ascii="宋体" w:hAnsi="宋体" w:eastAsia="宋体" w:cs="宋体"/>
          <w:color w:val="auto"/>
          <w:spacing w:val="-34"/>
          <w:sz w:val="24"/>
          <w:szCs w:val="24"/>
          <w:highlight w:val="none"/>
        </w:rPr>
        <w:t>电话：</w:t>
      </w:r>
    </w:p>
    <w:p w14:paraId="7D58F445">
      <w:pPr>
        <w:pStyle w:val="10"/>
        <w:spacing w:before="91" w:line="223" w:lineRule="auto"/>
        <w:ind w:left="563"/>
        <w:rPr>
          <w:rFonts w:hint="eastAsia" w:ascii="宋体" w:hAnsi="宋体" w:eastAsia="宋体" w:cs="宋体"/>
          <w:color w:val="auto"/>
          <w:sz w:val="24"/>
          <w:szCs w:val="24"/>
          <w:highlight w:val="none"/>
        </w:rPr>
      </w:pPr>
    </w:p>
    <w:p w14:paraId="533431CC">
      <w:pPr>
        <w:spacing w:line="273" w:lineRule="auto"/>
        <w:rPr>
          <w:rFonts w:hint="eastAsia" w:ascii="宋体" w:hAnsi="宋体" w:eastAsia="宋体" w:cs="宋体"/>
          <w:color w:val="auto"/>
          <w:sz w:val="24"/>
          <w:szCs w:val="24"/>
          <w:highlight w:val="none"/>
        </w:rPr>
      </w:pPr>
    </w:p>
    <w:p w14:paraId="5822F7E3">
      <w:pPr>
        <w:pStyle w:val="10"/>
        <w:spacing w:before="98" w:line="201" w:lineRule="auto"/>
        <w:rPr>
          <w:rFonts w:hint="eastAsia"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rPr>
        <w:t>签订时间：</w:t>
      </w:r>
      <w:r>
        <w:rPr>
          <w:rFonts w:hint="eastAsia" w:ascii="宋体" w:hAnsi="宋体" w:eastAsia="宋体" w:cs="宋体"/>
          <w:color w:val="auto"/>
          <w:spacing w:val="22"/>
          <w:position w:val="-1"/>
          <w:sz w:val="24"/>
          <w:szCs w:val="24"/>
          <w:highlight w:val="none"/>
        </w:rPr>
        <w:t xml:space="preserve">  </w:t>
      </w:r>
      <w:r>
        <w:rPr>
          <w:rFonts w:hint="eastAsia" w:ascii="宋体" w:hAnsi="宋体" w:eastAsia="宋体" w:cs="宋体"/>
          <w:color w:val="auto"/>
          <w:spacing w:val="-8"/>
          <w:position w:val="1"/>
          <w:sz w:val="24"/>
          <w:szCs w:val="24"/>
          <w:highlight w:val="none"/>
        </w:rPr>
        <w:t>年</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1"/>
          <w:sz w:val="24"/>
          <w:szCs w:val="24"/>
          <w:highlight w:val="none"/>
        </w:rPr>
        <w:t>月</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5"/>
          <w:sz w:val="24"/>
          <w:szCs w:val="24"/>
          <w:highlight w:val="none"/>
        </w:rPr>
        <w:t>日</w:t>
      </w:r>
      <w:r>
        <w:rPr>
          <w:rFonts w:hint="eastAsia" w:ascii="宋体" w:hAnsi="宋体" w:eastAsia="宋体" w:cs="宋体"/>
          <w:color w:val="auto"/>
          <w:spacing w:val="-8"/>
          <w:position w:val="5"/>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签订时间：</w:t>
      </w:r>
      <w:r>
        <w:rPr>
          <w:rFonts w:hint="eastAsia" w:ascii="宋体" w:hAnsi="宋体" w:eastAsia="宋体" w:cs="宋体"/>
          <w:color w:val="auto"/>
          <w:spacing w:val="22"/>
          <w:position w:val="-1"/>
          <w:sz w:val="24"/>
          <w:szCs w:val="24"/>
          <w:highlight w:val="none"/>
        </w:rPr>
        <w:t xml:space="preserve">  </w:t>
      </w:r>
      <w:r>
        <w:rPr>
          <w:rFonts w:hint="eastAsia" w:ascii="宋体" w:hAnsi="宋体" w:eastAsia="宋体" w:cs="宋体"/>
          <w:color w:val="auto"/>
          <w:spacing w:val="-8"/>
          <w:position w:val="1"/>
          <w:sz w:val="24"/>
          <w:szCs w:val="24"/>
          <w:highlight w:val="none"/>
        </w:rPr>
        <w:t>年</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1"/>
          <w:sz w:val="24"/>
          <w:szCs w:val="24"/>
          <w:highlight w:val="none"/>
        </w:rPr>
        <w:t>月</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5"/>
          <w:sz w:val="24"/>
          <w:szCs w:val="24"/>
          <w:highlight w:val="none"/>
        </w:rPr>
        <w:t>日</w:t>
      </w:r>
    </w:p>
    <w:p w14:paraId="76177C24">
      <w:pPr>
        <w:pStyle w:val="10"/>
        <w:spacing w:before="98" w:line="201" w:lineRule="auto"/>
        <w:ind w:left="563"/>
        <w:rPr>
          <w:rFonts w:hint="eastAsia" w:ascii="宋体" w:hAnsi="宋体" w:eastAsia="宋体" w:cs="宋体"/>
          <w:color w:val="auto"/>
          <w:sz w:val="24"/>
          <w:szCs w:val="24"/>
          <w:highlight w:val="none"/>
        </w:rPr>
      </w:pPr>
    </w:p>
    <w:p w14:paraId="5B623859">
      <w:pPr>
        <w:rPr>
          <w:rFonts w:hint="eastAsia" w:ascii="宋体" w:hAnsi="宋体" w:eastAsia="宋体" w:cs="宋体"/>
          <w:color w:val="auto"/>
          <w:kern w:val="2"/>
          <w:sz w:val="24"/>
          <w:szCs w:val="24"/>
          <w:highlight w:val="none"/>
          <w:lang w:eastAsia="zh-CN" w:bidi="ar"/>
        </w:rPr>
      </w:pPr>
    </w:p>
    <w:p w14:paraId="3745DFF8">
      <w:pPr>
        <w:pStyle w:val="10"/>
        <w:pageBreakBefore/>
        <w:spacing w:before="140" w:line="360" w:lineRule="auto"/>
        <w:jc w:val="center"/>
        <w:outlineLvl w:val="0"/>
        <w:rPr>
          <w:rFonts w:ascii="宋体" w:hAnsi="宋体" w:eastAsia="宋体" w:cs="宋体"/>
          <w:b/>
          <w:bCs/>
          <w:color w:val="auto"/>
          <w:spacing w:val="4"/>
          <w:sz w:val="30"/>
          <w:szCs w:val="30"/>
          <w:highlight w:val="none"/>
          <w:lang w:eastAsia="zh-CN"/>
        </w:rPr>
      </w:pPr>
      <w:r>
        <w:rPr>
          <w:rFonts w:hint="eastAsia" w:ascii="宋体" w:hAnsi="宋体" w:eastAsia="宋体" w:cs="宋体"/>
          <w:b/>
          <w:bCs/>
          <w:color w:val="auto"/>
          <w:spacing w:val="4"/>
          <w:sz w:val="30"/>
          <w:szCs w:val="30"/>
          <w:highlight w:val="none"/>
          <w:lang w:eastAsia="zh-CN"/>
        </w:rPr>
        <w:t>第七章投标文件格式</w:t>
      </w:r>
    </w:p>
    <w:p w14:paraId="0C63EBEC">
      <w:pPr>
        <w:spacing w:line="360" w:lineRule="auto"/>
        <w:rPr>
          <w:rFonts w:ascii="宋体" w:hAnsi="宋体" w:eastAsia="宋体" w:cs="宋体"/>
          <w:color w:val="auto"/>
          <w:highlight w:val="none"/>
          <w:lang w:eastAsia="zh-CN"/>
        </w:rPr>
      </w:pPr>
    </w:p>
    <w:p w14:paraId="5753DBA0">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7204B89A">
      <w:pPr>
        <w:spacing w:line="360" w:lineRule="auto"/>
        <w:rPr>
          <w:rFonts w:ascii="宋体" w:hAnsi="宋体" w:eastAsia="宋体" w:cs="宋体"/>
          <w:color w:val="auto"/>
          <w:highlight w:val="none"/>
          <w:lang w:eastAsia="zh-CN"/>
        </w:rPr>
      </w:pPr>
    </w:p>
    <w:p w14:paraId="3E8FB2A2">
      <w:pPr>
        <w:spacing w:before="270" w:line="360" w:lineRule="auto"/>
        <w:ind w:right="-1"/>
        <w:jc w:val="center"/>
        <w:rPr>
          <w:rFonts w:ascii="宋体" w:hAnsi="宋体" w:eastAsia="宋体" w:cs="宋体"/>
          <w:b/>
          <w:bCs/>
          <w:color w:val="auto"/>
          <w:spacing w:val="-36"/>
          <w:sz w:val="83"/>
          <w:szCs w:val="83"/>
          <w:highlight w:val="none"/>
          <w:lang w:eastAsia="zh-CN"/>
        </w:rPr>
      </w:pPr>
      <w:r>
        <w:rPr>
          <w:rFonts w:hint="eastAsia" w:ascii="宋体" w:hAnsi="宋体" w:eastAsia="宋体" w:cs="宋体"/>
          <w:b/>
          <w:bCs/>
          <w:color w:val="auto"/>
          <w:spacing w:val="-36"/>
          <w:sz w:val="83"/>
          <w:szCs w:val="83"/>
          <w:highlight w:val="none"/>
          <w:lang w:eastAsia="zh-CN"/>
        </w:rPr>
        <w:t>投标文件</w:t>
      </w:r>
    </w:p>
    <w:p w14:paraId="08B7A09E">
      <w:pPr>
        <w:rPr>
          <w:rFonts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br w:type="page"/>
      </w:r>
    </w:p>
    <w:p w14:paraId="1FB5D9F1">
      <w:pPr>
        <w:pStyle w:val="10"/>
        <w:pageBreakBefore/>
        <w:spacing w:before="140" w:line="360" w:lineRule="auto"/>
        <w:jc w:val="center"/>
        <w:outlineLvl w:val="0"/>
        <w:rPr>
          <w:rFonts w:ascii="宋体" w:hAnsi="宋体" w:eastAsia="宋体" w:cs="宋体"/>
          <w:b/>
          <w:bCs/>
          <w:color w:val="auto"/>
          <w:spacing w:val="4"/>
          <w:sz w:val="30"/>
          <w:szCs w:val="30"/>
          <w:highlight w:val="none"/>
          <w:lang w:eastAsia="zh-CN"/>
        </w:rPr>
      </w:pPr>
      <w:bookmarkStart w:id="318" w:name="_Toc22784"/>
      <w:r>
        <w:rPr>
          <w:rFonts w:hint="eastAsia" w:ascii="宋体" w:hAnsi="宋体" w:eastAsia="宋体" w:cs="宋体"/>
          <w:b/>
          <w:bCs/>
          <w:color w:val="auto"/>
          <w:spacing w:val="4"/>
          <w:sz w:val="30"/>
          <w:szCs w:val="30"/>
          <w:highlight w:val="none"/>
          <w:lang w:eastAsia="zh-CN"/>
        </w:rPr>
        <w:t>第七章投标文件格式</w:t>
      </w:r>
      <w:bookmarkEnd w:id="318"/>
    </w:p>
    <w:p w14:paraId="61870790">
      <w:pPr>
        <w:spacing w:line="360" w:lineRule="auto"/>
        <w:rPr>
          <w:rFonts w:ascii="宋体" w:hAnsi="宋体" w:eastAsia="宋体" w:cs="宋体"/>
          <w:color w:val="auto"/>
          <w:highlight w:val="none"/>
          <w:lang w:eastAsia="zh-CN"/>
        </w:rPr>
      </w:pPr>
    </w:p>
    <w:p w14:paraId="050E14E4">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557E28AD">
      <w:pPr>
        <w:spacing w:line="360" w:lineRule="auto"/>
        <w:rPr>
          <w:rFonts w:ascii="宋体" w:hAnsi="宋体" w:eastAsia="宋体" w:cs="宋体"/>
          <w:color w:val="auto"/>
          <w:highlight w:val="none"/>
          <w:lang w:eastAsia="zh-CN"/>
        </w:rPr>
      </w:pPr>
    </w:p>
    <w:p w14:paraId="29774B94">
      <w:pPr>
        <w:spacing w:before="270" w:line="360" w:lineRule="auto"/>
        <w:ind w:right="-1"/>
        <w:jc w:val="center"/>
        <w:rPr>
          <w:rFonts w:ascii="宋体" w:hAnsi="宋体" w:eastAsia="宋体" w:cs="宋体"/>
          <w:b/>
          <w:bCs/>
          <w:color w:val="auto"/>
          <w:spacing w:val="-36"/>
          <w:sz w:val="83"/>
          <w:szCs w:val="83"/>
          <w:highlight w:val="none"/>
          <w:lang w:eastAsia="zh-CN"/>
        </w:rPr>
      </w:pPr>
      <w:r>
        <w:rPr>
          <w:rFonts w:hint="eastAsia" w:ascii="宋体" w:hAnsi="宋体" w:eastAsia="宋体" w:cs="宋体"/>
          <w:b/>
          <w:bCs/>
          <w:color w:val="auto"/>
          <w:spacing w:val="-36"/>
          <w:sz w:val="83"/>
          <w:szCs w:val="83"/>
          <w:highlight w:val="none"/>
          <w:lang w:eastAsia="zh-CN"/>
        </w:rPr>
        <w:t>投标文件</w:t>
      </w:r>
    </w:p>
    <w:p w14:paraId="2D37101A">
      <w:pPr>
        <w:spacing w:before="270" w:line="360" w:lineRule="auto"/>
        <w:ind w:right="-1"/>
        <w:jc w:val="center"/>
        <w:rPr>
          <w:rFonts w:ascii="宋体" w:hAnsi="宋体" w:eastAsia="宋体" w:cs="宋体"/>
          <w:b/>
          <w:bCs/>
          <w:color w:val="auto"/>
          <w:spacing w:val="-36"/>
          <w:sz w:val="56"/>
          <w:szCs w:val="56"/>
          <w:highlight w:val="none"/>
          <w:lang w:eastAsia="zh-CN"/>
        </w:rPr>
      </w:pPr>
      <w:r>
        <w:rPr>
          <w:rFonts w:hint="eastAsia" w:ascii="宋体" w:hAnsi="宋体" w:eastAsia="宋体" w:cs="宋体"/>
          <w:b/>
          <w:bCs/>
          <w:color w:val="auto"/>
          <w:spacing w:val="-36"/>
          <w:sz w:val="56"/>
          <w:szCs w:val="56"/>
          <w:highlight w:val="none"/>
          <w:lang w:eastAsia="zh-CN"/>
        </w:rPr>
        <w:t>资格证明文件</w:t>
      </w:r>
    </w:p>
    <w:p w14:paraId="4CA112D4">
      <w:pPr>
        <w:spacing w:line="360" w:lineRule="auto"/>
        <w:rPr>
          <w:rFonts w:ascii="宋体" w:hAnsi="宋体" w:eastAsia="宋体" w:cs="宋体"/>
          <w:color w:val="auto"/>
          <w:highlight w:val="none"/>
          <w:lang w:eastAsia="zh-CN"/>
        </w:rPr>
      </w:pPr>
    </w:p>
    <w:p w14:paraId="1AB2FA98">
      <w:pPr>
        <w:spacing w:before="114" w:line="360" w:lineRule="auto"/>
        <w:ind w:left="1134"/>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455CAE4B">
      <w:pPr>
        <w:spacing w:line="360" w:lineRule="auto"/>
        <w:rPr>
          <w:rFonts w:ascii="宋体" w:hAnsi="宋体" w:eastAsia="宋体" w:cs="宋体"/>
          <w:color w:val="auto"/>
          <w:highlight w:val="none"/>
          <w:lang w:eastAsia="zh-CN"/>
        </w:rPr>
      </w:pPr>
    </w:p>
    <w:p w14:paraId="255BCF28">
      <w:pPr>
        <w:spacing w:line="360" w:lineRule="auto"/>
        <w:rPr>
          <w:rFonts w:ascii="宋体" w:hAnsi="宋体" w:eastAsia="宋体" w:cs="宋体"/>
          <w:color w:val="auto"/>
          <w:highlight w:val="none"/>
          <w:lang w:eastAsia="zh-CN"/>
        </w:rPr>
      </w:pPr>
    </w:p>
    <w:p w14:paraId="1C5CBD13">
      <w:pPr>
        <w:spacing w:line="360" w:lineRule="auto"/>
        <w:rPr>
          <w:rFonts w:ascii="宋体" w:hAnsi="宋体" w:eastAsia="宋体" w:cs="宋体"/>
          <w:color w:val="auto"/>
          <w:highlight w:val="none"/>
          <w:lang w:eastAsia="zh-CN"/>
        </w:rPr>
      </w:pPr>
    </w:p>
    <w:p w14:paraId="0EED3911">
      <w:pPr>
        <w:spacing w:line="360" w:lineRule="auto"/>
        <w:rPr>
          <w:rFonts w:ascii="宋体" w:hAnsi="宋体" w:eastAsia="宋体" w:cs="宋体"/>
          <w:color w:val="auto"/>
          <w:highlight w:val="none"/>
          <w:lang w:eastAsia="zh-CN"/>
        </w:rPr>
      </w:pPr>
    </w:p>
    <w:p w14:paraId="265CFE55">
      <w:pPr>
        <w:spacing w:line="360" w:lineRule="auto"/>
        <w:rPr>
          <w:rFonts w:ascii="宋体" w:hAnsi="宋体" w:eastAsia="宋体" w:cs="宋体"/>
          <w:color w:val="auto"/>
          <w:highlight w:val="none"/>
          <w:lang w:eastAsia="zh-CN"/>
        </w:rPr>
      </w:pPr>
    </w:p>
    <w:p w14:paraId="5CD3C953">
      <w:pPr>
        <w:spacing w:line="360" w:lineRule="auto"/>
        <w:rPr>
          <w:rFonts w:ascii="宋体" w:hAnsi="宋体" w:eastAsia="宋体" w:cs="宋体"/>
          <w:color w:val="auto"/>
          <w:highlight w:val="none"/>
          <w:lang w:eastAsia="zh-CN"/>
        </w:rPr>
      </w:pPr>
    </w:p>
    <w:p w14:paraId="26FF6AA1">
      <w:pPr>
        <w:spacing w:line="360" w:lineRule="auto"/>
        <w:rPr>
          <w:rFonts w:ascii="宋体" w:hAnsi="宋体" w:eastAsia="宋体" w:cs="宋体"/>
          <w:color w:val="auto"/>
          <w:highlight w:val="none"/>
          <w:lang w:eastAsia="zh-CN"/>
        </w:rPr>
      </w:pPr>
    </w:p>
    <w:p w14:paraId="0883DAD6">
      <w:pPr>
        <w:spacing w:line="360" w:lineRule="auto"/>
        <w:rPr>
          <w:rFonts w:ascii="宋体" w:hAnsi="宋体" w:eastAsia="宋体" w:cs="宋体"/>
          <w:color w:val="auto"/>
          <w:highlight w:val="none"/>
          <w:lang w:eastAsia="zh-CN"/>
        </w:rPr>
      </w:pPr>
    </w:p>
    <w:p w14:paraId="1ECB91F7">
      <w:pPr>
        <w:pStyle w:val="10"/>
        <w:tabs>
          <w:tab w:val="left" w:pos="8364"/>
        </w:tabs>
        <w:spacing w:before="101"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7FF0D963">
      <w:pPr>
        <w:pStyle w:val="10"/>
        <w:tabs>
          <w:tab w:val="left" w:pos="8364"/>
        </w:tabs>
        <w:spacing w:before="101"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037EDD11">
      <w:pPr>
        <w:pStyle w:val="10"/>
        <w:tabs>
          <w:tab w:val="left" w:pos="8364"/>
        </w:tabs>
        <w:spacing w:before="101"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1F2DC533">
      <w:pPr>
        <w:spacing w:line="360" w:lineRule="auto"/>
        <w:rPr>
          <w:rFonts w:ascii="宋体" w:hAnsi="宋体" w:eastAsia="宋体" w:cs="宋体"/>
          <w:color w:val="auto"/>
          <w:highlight w:val="none"/>
          <w:lang w:eastAsia="zh-CN"/>
        </w:rPr>
      </w:pPr>
    </w:p>
    <w:p w14:paraId="6CEB0FD4">
      <w:pPr>
        <w:pStyle w:val="10"/>
        <w:spacing w:before="100" w:line="360" w:lineRule="auto"/>
        <w:ind w:left="3140" w:firstLine="298" w:firstLineChars="10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60DF0CE7">
      <w:pPr>
        <w:spacing w:line="360" w:lineRule="auto"/>
        <w:rPr>
          <w:rFonts w:ascii="宋体" w:hAnsi="宋体" w:eastAsia="宋体" w:cs="宋体"/>
          <w:color w:val="auto"/>
          <w:highlight w:val="none"/>
          <w:lang w:eastAsia="zh-CN"/>
        </w:rPr>
      </w:pPr>
    </w:p>
    <w:p w14:paraId="782D57F9">
      <w:pPr>
        <w:pageBreakBefore/>
        <w:spacing w:line="360" w:lineRule="auto"/>
        <w:ind w:left="28"/>
        <w:outlineLvl w:val="1"/>
        <w:rPr>
          <w:rFonts w:ascii="宋体" w:hAnsi="宋体" w:eastAsia="宋体" w:cs="宋体"/>
          <w:color w:val="auto"/>
          <w:sz w:val="31"/>
          <w:szCs w:val="31"/>
          <w:highlight w:val="none"/>
          <w:lang w:eastAsia="zh-CN"/>
        </w:rPr>
      </w:pPr>
      <w:bookmarkStart w:id="319" w:name="bookmark231"/>
      <w:bookmarkEnd w:id="319"/>
      <w:bookmarkStart w:id="320" w:name="bookmark237"/>
      <w:bookmarkEnd w:id="320"/>
      <w:bookmarkStart w:id="321" w:name="bookmark229"/>
      <w:bookmarkEnd w:id="321"/>
      <w:bookmarkStart w:id="322" w:name="bookmark228"/>
      <w:bookmarkEnd w:id="322"/>
      <w:bookmarkStart w:id="323" w:name="_Toc186477791"/>
      <w:bookmarkStart w:id="324" w:name="_Toc22475"/>
      <w:r>
        <w:rPr>
          <w:rFonts w:hint="eastAsia" w:ascii="宋体" w:hAnsi="宋体" w:eastAsia="宋体" w:cs="宋体"/>
          <w:b/>
          <w:bCs/>
          <w:color w:val="auto"/>
          <w:spacing w:val="7"/>
          <w:sz w:val="31"/>
          <w:szCs w:val="31"/>
          <w:highlight w:val="none"/>
          <w:lang w:eastAsia="zh-CN"/>
        </w:rPr>
        <w:t>一、满足《中华人民共和国政府采购法》第二十二条规定</w:t>
      </w:r>
      <w:bookmarkEnd w:id="323"/>
      <w:bookmarkEnd w:id="324"/>
    </w:p>
    <w:p w14:paraId="557E9C4F">
      <w:pPr>
        <w:spacing w:line="360" w:lineRule="auto"/>
        <w:rPr>
          <w:rFonts w:ascii="宋体" w:hAnsi="宋体" w:eastAsia="宋体" w:cs="宋体"/>
          <w:color w:val="auto"/>
          <w:highlight w:val="none"/>
          <w:lang w:eastAsia="zh-CN"/>
        </w:rPr>
      </w:pPr>
    </w:p>
    <w:p w14:paraId="2CF953C2">
      <w:pPr>
        <w:spacing w:line="360" w:lineRule="auto"/>
        <w:ind w:left="39"/>
        <w:outlineLvl w:val="2"/>
        <w:rPr>
          <w:rFonts w:ascii="宋体" w:hAnsi="宋体" w:eastAsia="宋体" w:cs="宋体"/>
          <w:color w:val="auto"/>
          <w:sz w:val="31"/>
          <w:szCs w:val="31"/>
          <w:highlight w:val="none"/>
          <w:lang w:eastAsia="zh-CN"/>
        </w:rPr>
      </w:pPr>
      <w:bookmarkStart w:id="325" w:name="bookmark232"/>
      <w:bookmarkEnd w:id="325"/>
      <w:bookmarkStart w:id="326" w:name="bookmark230"/>
      <w:bookmarkEnd w:id="326"/>
      <w:bookmarkStart w:id="327" w:name="_Toc186477792"/>
      <w:bookmarkStart w:id="328" w:name="_Toc1178"/>
      <w:r>
        <w:rPr>
          <w:rFonts w:hint="eastAsia" w:ascii="宋体" w:hAnsi="宋体" w:eastAsia="宋体" w:cs="宋体"/>
          <w:b/>
          <w:bCs/>
          <w:color w:val="auto"/>
          <w:spacing w:val="6"/>
          <w:sz w:val="31"/>
          <w:szCs w:val="31"/>
          <w:highlight w:val="none"/>
          <w:lang w:eastAsia="zh-CN"/>
        </w:rPr>
        <w:t>（一）法人、其他组织或者自然人的证明文件</w:t>
      </w:r>
      <w:bookmarkEnd w:id="327"/>
      <w:bookmarkEnd w:id="328"/>
    </w:p>
    <w:p w14:paraId="5191AB63">
      <w:pPr>
        <w:spacing w:line="360" w:lineRule="auto"/>
        <w:ind w:left="5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1、投标人为企业（包括合伙企业）的，应提供有效的“营业执照”；</w:t>
      </w:r>
    </w:p>
    <w:p w14:paraId="19BACBAC">
      <w:pPr>
        <w:spacing w:line="360" w:lineRule="auto"/>
        <w:ind w:left="50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2、投标人为事业单位的，应提供有效的“事业单位法人证书”；</w:t>
      </w:r>
    </w:p>
    <w:p w14:paraId="6628B990">
      <w:pPr>
        <w:spacing w:line="360" w:lineRule="auto"/>
        <w:ind w:left="25"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3、投标人为非企业机构的，应提供有效的“执业许可证”、“登记证书”</w:t>
      </w:r>
      <w:r>
        <w:rPr>
          <w:rFonts w:hint="eastAsia" w:ascii="宋体" w:hAnsi="宋体" w:eastAsia="宋体" w:cs="宋体"/>
          <w:color w:val="auto"/>
          <w:spacing w:val="-2"/>
          <w:sz w:val="24"/>
          <w:szCs w:val="24"/>
          <w:highlight w:val="none"/>
          <w:lang w:eastAsia="zh-CN"/>
        </w:rPr>
        <w:t>等证明文件；</w:t>
      </w:r>
    </w:p>
    <w:p w14:paraId="0298D998">
      <w:pPr>
        <w:spacing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4、投标人是个体工商户的，应提供有效的</w:t>
      </w:r>
      <w:r>
        <w:rPr>
          <w:rFonts w:hint="eastAsia" w:ascii="宋体" w:hAnsi="宋体" w:eastAsia="宋体" w:cs="宋体"/>
          <w:color w:val="auto"/>
          <w:spacing w:val="-1"/>
          <w:sz w:val="24"/>
          <w:szCs w:val="24"/>
          <w:highlight w:val="none"/>
          <w:lang w:eastAsia="zh-CN"/>
        </w:rPr>
        <w:t>“个体工商户营业执照”；</w:t>
      </w:r>
    </w:p>
    <w:p w14:paraId="14ABCF63">
      <w:pPr>
        <w:spacing w:line="360" w:lineRule="auto"/>
        <w:ind w:left="50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5、投标人是自然人的，应提供有效的自然人身份证明。</w:t>
      </w:r>
    </w:p>
    <w:p w14:paraId="0950D329">
      <w:pPr>
        <w:pageBreakBefore/>
        <w:widowControl w:val="0"/>
        <w:spacing w:line="360" w:lineRule="auto"/>
        <w:rPr>
          <w:rFonts w:ascii="宋体" w:hAnsi="宋体" w:eastAsia="宋体" w:cs="宋体"/>
          <w:color w:val="auto"/>
          <w:highlight w:val="none"/>
          <w:lang w:eastAsia="zh-CN"/>
        </w:rPr>
      </w:pPr>
    </w:p>
    <w:p w14:paraId="3571F048">
      <w:pPr>
        <w:spacing w:line="360" w:lineRule="auto"/>
        <w:outlineLvl w:val="2"/>
        <w:rPr>
          <w:rFonts w:ascii="宋体" w:hAnsi="宋体" w:eastAsia="宋体" w:cs="宋体"/>
          <w:b/>
          <w:bCs/>
          <w:color w:val="auto"/>
          <w:spacing w:val="6"/>
          <w:sz w:val="31"/>
          <w:szCs w:val="31"/>
          <w:highlight w:val="none"/>
          <w:lang w:eastAsia="zh-CN"/>
        </w:rPr>
      </w:pPr>
      <w:bookmarkStart w:id="329" w:name="_Toc186477793"/>
      <w:bookmarkStart w:id="330" w:name="_Toc22412"/>
      <w:r>
        <w:rPr>
          <w:rFonts w:hint="eastAsia" w:ascii="宋体" w:hAnsi="宋体" w:eastAsia="宋体" w:cs="宋体"/>
          <w:b/>
          <w:bCs/>
          <w:color w:val="auto"/>
          <w:spacing w:val="6"/>
          <w:sz w:val="31"/>
          <w:szCs w:val="31"/>
          <w:highlight w:val="none"/>
          <w:lang w:eastAsia="zh-CN"/>
        </w:rPr>
        <w:t>（二）政府采购供应商信用承诺函</w:t>
      </w:r>
      <w:bookmarkEnd w:id="329"/>
      <w:bookmarkEnd w:id="330"/>
    </w:p>
    <w:p w14:paraId="36F734E3">
      <w:pPr>
        <w:spacing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单位名称（自然人姓名</w:t>
      </w:r>
      <w:r>
        <w:rPr>
          <w:rFonts w:hint="eastAsia" w:ascii="宋体" w:hAnsi="宋体" w:eastAsia="宋体" w:cs="宋体"/>
          <w:color w:val="auto"/>
          <w:spacing w:val="3"/>
          <w:sz w:val="24"/>
          <w:szCs w:val="24"/>
          <w:highlight w:val="none"/>
          <w:lang w:eastAsia="zh-CN"/>
        </w:rPr>
        <w:t>）：</w:t>
      </w:r>
    </w:p>
    <w:p w14:paraId="1319A83B">
      <w:pPr>
        <w:spacing w:line="360" w:lineRule="auto"/>
        <w:ind w:left="39" w:right="4708"/>
        <w:rPr>
          <w:rFonts w:ascii="宋体" w:hAnsi="宋体" w:eastAsia="宋体" w:cs="宋体"/>
          <w:color w:val="auto"/>
          <w:spacing w:val="-25"/>
          <w:sz w:val="24"/>
          <w:szCs w:val="24"/>
          <w:highlight w:val="none"/>
          <w:lang w:eastAsia="zh-CN"/>
        </w:rPr>
      </w:pPr>
      <w:r>
        <w:rPr>
          <w:rFonts w:hint="eastAsia" w:ascii="宋体" w:hAnsi="宋体" w:eastAsia="宋体" w:cs="宋体"/>
          <w:color w:val="auto"/>
          <w:spacing w:val="-2"/>
          <w:sz w:val="24"/>
          <w:szCs w:val="24"/>
          <w:highlight w:val="none"/>
          <w:lang w:eastAsia="zh-CN"/>
        </w:rPr>
        <w:t>统一社会信用代码（身份证号码</w:t>
      </w:r>
      <w:r>
        <w:rPr>
          <w:rFonts w:hint="eastAsia" w:ascii="宋体" w:hAnsi="宋体" w:eastAsia="宋体" w:cs="宋体"/>
          <w:color w:val="auto"/>
          <w:spacing w:val="-25"/>
          <w:sz w:val="24"/>
          <w:szCs w:val="24"/>
          <w:highlight w:val="none"/>
          <w:lang w:eastAsia="zh-CN"/>
        </w:rPr>
        <w:t>）：</w:t>
      </w:r>
    </w:p>
    <w:p w14:paraId="6852FFAA">
      <w:pPr>
        <w:spacing w:line="360" w:lineRule="auto"/>
        <w:ind w:left="39" w:right="470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法定代表人（负责人</w:t>
      </w:r>
      <w:r>
        <w:rPr>
          <w:rFonts w:hint="eastAsia" w:ascii="宋体" w:hAnsi="宋体" w:eastAsia="宋体" w:cs="宋体"/>
          <w:color w:val="auto"/>
          <w:spacing w:val="3"/>
          <w:sz w:val="24"/>
          <w:szCs w:val="24"/>
          <w:highlight w:val="none"/>
          <w:lang w:eastAsia="zh-CN"/>
        </w:rPr>
        <w:t>）：</w:t>
      </w:r>
    </w:p>
    <w:p w14:paraId="54AEF59C">
      <w:pPr>
        <w:spacing w:before="78" w:line="360" w:lineRule="auto"/>
        <w:ind w:left="40" w:leftChars="19" w:right="181" w:firstLine="458" w:firstLineChars="19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我单位（本人）自愿参加本次政府采购活动，严格遵守《中</w:t>
      </w:r>
      <w:r>
        <w:rPr>
          <w:rFonts w:hint="eastAsia" w:ascii="宋体" w:hAnsi="宋体" w:eastAsia="宋体" w:cs="宋体"/>
          <w:color w:val="auto"/>
          <w:spacing w:val="-4"/>
          <w:sz w:val="24"/>
          <w:szCs w:val="24"/>
          <w:highlight w:val="none"/>
          <w:lang w:eastAsia="zh-CN"/>
        </w:rPr>
        <w:t>华人民共和国政</w:t>
      </w:r>
      <w:r>
        <w:rPr>
          <w:rFonts w:hint="eastAsia" w:ascii="宋体" w:hAnsi="宋体" w:eastAsia="宋体" w:cs="宋体"/>
          <w:color w:val="auto"/>
          <w:spacing w:val="-3"/>
          <w:sz w:val="24"/>
          <w:szCs w:val="24"/>
          <w:highlight w:val="none"/>
          <w:lang w:eastAsia="zh-CN"/>
        </w:rPr>
        <w:t>府采购法》及相关法律法规，坚守公开、公平、公正和诚实信用等原则，依法诚</w:t>
      </w:r>
      <w:r>
        <w:rPr>
          <w:rFonts w:hint="eastAsia" w:ascii="宋体" w:hAnsi="宋体" w:eastAsia="宋体" w:cs="宋体"/>
          <w:color w:val="auto"/>
          <w:spacing w:val="-1"/>
          <w:sz w:val="24"/>
          <w:szCs w:val="24"/>
          <w:highlight w:val="none"/>
          <w:lang w:eastAsia="zh-CN"/>
        </w:rPr>
        <w:t>信经营，并郑重承诺：</w:t>
      </w:r>
    </w:p>
    <w:p w14:paraId="731554D4">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一、我单位（本人）符合《中华人民共和国政府采购法》第二十二条规定：</w:t>
      </w:r>
    </w:p>
    <w:p w14:paraId="68BEB01C">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（一）具有独立承担民事责任的能力;</w:t>
      </w:r>
    </w:p>
    <w:p w14:paraId="1A8390C6">
      <w:pPr>
        <w:spacing w:line="360" w:lineRule="auto"/>
        <w:ind w:left="39"/>
        <w:rPr>
          <w:rFonts w:ascii="宋体" w:hAnsi="宋体" w:eastAsia="宋体" w:cs="宋体"/>
          <w:color w:val="auto"/>
          <w:spacing w:val="-2"/>
          <w:sz w:val="24"/>
          <w:szCs w:val="24"/>
          <w:highlight w:val="none"/>
          <w:lang w:eastAsia="zh-CN"/>
        </w:rPr>
      </w:pPr>
      <w:bookmarkStart w:id="331" w:name="bookmark240"/>
      <w:bookmarkEnd w:id="331"/>
      <w:bookmarkStart w:id="332" w:name="bookmark235"/>
      <w:bookmarkEnd w:id="332"/>
      <w:bookmarkStart w:id="333" w:name="_Toc24591"/>
      <w:bookmarkStart w:id="334" w:name="_Toc186477799"/>
      <w:r>
        <w:rPr>
          <w:rFonts w:hint="eastAsia" w:ascii="宋体" w:hAnsi="宋体" w:eastAsia="宋体" w:cs="宋体"/>
          <w:color w:val="auto"/>
          <w:spacing w:val="-2"/>
          <w:sz w:val="24"/>
          <w:szCs w:val="24"/>
          <w:highlight w:val="none"/>
          <w:lang w:eastAsia="zh-CN"/>
        </w:rPr>
        <w:t>（二）具有良好的商业信誉和健全的财务会计制度;</w:t>
      </w:r>
    </w:p>
    <w:p w14:paraId="79204C39">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（三）具有履行合同所必需的设备和专业技术能力;</w:t>
      </w:r>
    </w:p>
    <w:p w14:paraId="1544D669">
      <w:pPr>
        <w:spacing w:line="360" w:lineRule="auto"/>
        <w:ind w:left="39"/>
        <w:rPr>
          <w:rFonts w:ascii="宋体" w:hAnsi="宋体" w:eastAsia="宋体" w:cs="宋体"/>
          <w:b/>
          <w:bCs/>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（四）有依法缴纳税收和社会保障资金的良好记录;</w:t>
      </w:r>
    </w:p>
    <w:p w14:paraId="08EE8CB2">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（五）参加政府采购活动前三年内，在经营活动中没有重大违法记录;</w:t>
      </w:r>
    </w:p>
    <w:p w14:paraId="7935BB8B">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（六）符合法律、行政法规规定的其他条件。</w:t>
      </w:r>
    </w:p>
    <w:p w14:paraId="4EBAF409">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二、我单位（本人）未被列入严重违法失信名单、失信被执行人名单、重大税收违法失信主体、政府采购严重违法失信行为记录名单。</w:t>
      </w:r>
    </w:p>
    <w:p w14:paraId="352B35C4">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三、如果本公司（本人）有幸中标（成交），在合同签订之前，采购单位有权要求本公司（本人）提供资格证明材料原件进行核验。</w:t>
      </w:r>
    </w:p>
    <w:p w14:paraId="360F241F">
      <w:pPr>
        <w:spacing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28DA3B8">
      <w:pPr>
        <w:spacing w:before="78"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r>
        <w:rPr>
          <w:rFonts w:hint="eastAsia" w:ascii="宋体" w:hAnsi="宋体" w:eastAsia="宋体" w:cs="宋体"/>
          <w:color w:val="auto"/>
          <w:spacing w:val="2"/>
          <w:sz w:val="24"/>
          <w:szCs w:val="24"/>
          <w:highlight w:val="none"/>
          <w:lang w:eastAsia="zh-CN"/>
        </w:rPr>
        <w:t>）：</w:t>
      </w:r>
    </w:p>
    <w:p w14:paraId="2F82704D">
      <w:pPr>
        <w:spacing w:line="360" w:lineRule="auto"/>
        <w:ind w:left="39" w:right="2206"/>
        <w:rPr>
          <w:rFonts w:ascii="宋体" w:hAnsi="宋体" w:eastAsia="宋体" w:cs="宋体"/>
          <w:color w:val="auto"/>
          <w:spacing w:val="-24"/>
          <w:sz w:val="24"/>
          <w:szCs w:val="24"/>
          <w:highlight w:val="none"/>
          <w:lang w:eastAsia="zh-CN"/>
        </w:rPr>
      </w:pPr>
      <w:r>
        <w:rPr>
          <w:rFonts w:hint="eastAsia" w:ascii="宋体" w:hAnsi="宋体" w:eastAsia="宋体" w:cs="宋体"/>
          <w:color w:val="auto"/>
          <w:spacing w:val="-1"/>
          <w:sz w:val="24"/>
          <w:szCs w:val="24"/>
          <w:highlight w:val="none"/>
          <w:lang w:eastAsia="zh-CN"/>
        </w:rPr>
        <w:t>法定代表人、负责人、本人、或授权代表（签字或盖章</w:t>
      </w:r>
      <w:r>
        <w:rPr>
          <w:rFonts w:hint="eastAsia" w:ascii="宋体" w:hAnsi="宋体" w:eastAsia="宋体" w:cs="宋体"/>
          <w:color w:val="auto"/>
          <w:spacing w:val="-24"/>
          <w:sz w:val="24"/>
          <w:szCs w:val="24"/>
          <w:highlight w:val="none"/>
          <w:lang w:eastAsia="zh-CN"/>
        </w:rPr>
        <w:t>）：</w:t>
      </w:r>
    </w:p>
    <w:p w14:paraId="6395BD7D">
      <w:pPr>
        <w:spacing w:line="360" w:lineRule="auto"/>
        <w:ind w:left="39" w:right="2206"/>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日期：年月日</w:t>
      </w:r>
    </w:p>
    <w:p w14:paraId="15CEF5B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44FE1912">
      <w:pPr>
        <w:pageBreakBefore/>
        <w:spacing w:line="360" w:lineRule="auto"/>
        <w:ind w:left="28"/>
        <w:jc w:val="both"/>
        <w:outlineLvl w:val="1"/>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7"/>
          <w:sz w:val="31"/>
          <w:szCs w:val="31"/>
          <w:highlight w:val="none"/>
          <w:lang w:eastAsia="zh-CN"/>
        </w:rPr>
        <w:t>二、落实政府采购政策相关证明文件</w:t>
      </w:r>
      <w:bookmarkEnd w:id="333"/>
      <w:bookmarkEnd w:id="334"/>
      <w:bookmarkStart w:id="335" w:name="bookmark239"/>
      <w:bookmarkEnd w:id="335"/>
      <w:bookmarkStart w:id="336" w:name="_Toc186477801"/>
    </w:p>
    <w:bookmarkEnd w:id="336"/>
    <w:p w14:paraId="04C71C2E">
      <w:pPr>
        <w:spacing w:before="190" w:line="219" w:lineRule="auto"/>
        <w:ind w:left="237" w:leftChars="113" w:firstLine="459" w:firstLineChars="193"/>
        <w:rPr>
          <w:rFonts w:hint="eastAsia" w:ascii="宋体" w:hAnsi="宋体" w:eastAsia="宋体" w:cs="宋体"/>
          <w:color w:val="auto"/>
          <w:spacing w:val="-1"/>
          <w:sz w:val="24"/>
          <w:szCs w:val="24"/>
          <w:highlight w:val="none"/>
        </w:rPr>
      </w:pPr>
      <w:bookmarkStart w:id="337" w:name="bookmark241"/>
      <w:bookmarkEnd w:id="337"/>
      <w:bookmarkStart w:id="338" w:name="bookmark242"/>
      <w:bookmarkEnd w:id="338"/>
    </w:p>
    <w:p w14:paraId="5564D6E9">
      <w:pPr>
        <w:spacing w:before="65" w:line="227" w:lineRule="auto"/>
        <w:jc w:val="center"/>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中小企业声明函（货物）</w:t>
      </w:r>
    </w:p>
    <w:p w14:paraId="6B79F600">
      <w:pPr>
        <w:spacing w:before="190" w:line="219" w:lineRule="auto"/>
        <w:ind w:left="237" w:leftChars="113" w:firstLine="463" w:firstLineChars="193"/>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w:t>
      </w:r>
      <w:r>
        <w:rPr>
          <w:rFonts w:ascii="宋体" w:hAnsi="宋体" w:eastAsia="宋体" w:cs="宋体"/>
          <w:color w:val="auto"/>
          <w:spacing w:val="-1"/>
          <w:sz w:val="24"/>
          <w:szCs w:val="24"/>
          <w:highlight w:val="none"/>
        </w:rPr>
        <w:t>企业发展管理办法》（财库[2020]46号）的规定，本公司（联合体）参加（单位名称）的（项目名称）采购活</w:t>
      </w:r>
      <w:r>
        <w:rPr>
          <w:rFonts w:ascii="宋体" w:hAnsi="宋体" w:eastAsia="宋体" w:cs="宋体"/>
          <w:color w:val="auto"/>
          <w:spacing w:val="-2"/>
          <w:sz w:val="24"/>
          <w:szCs w:val="24"/>
          <w:highlight w:val="none"/>
        </w:rPr>
        <w:t>动，提供</w:t>
      </w:r>
      <w:r>
        <w:rPr>
          <w:rFonts w:ascii="宋体" w:hAnsi="宋体" w:eastAsia="宋体" w:cs="宋体"/>
          <w:color w:val="auto"/>
          <w:sz w:val="24"/>
          <w:szCs w:val="24"/>
          <w:highlight w:val="none"/>
        </w:rPr>
        <w:t>的货物全部由符合政策要求的中小企业制造。相关企业（含联合</w:t>
      </w:r>
      <w:r>
        <w:rPr>
          <w:rFonts w:ascii="宋体" w:hAnsi="宋体" w:eastAsia="宋体" w:cs="宋体"/>
          <w:color w:val="auto"/>
          <w:spacing w:val="-1"/>
          <w:sz w:val="24"/>
          <w:szCs w:val="24"/>
          <w:highlight w:val="none"/>
        </w:rPr>
        <w:t>体中的中小企业、签订分包意向协议的中小企业） 的具体情况如下：</w:t>
      </w:r>
    </w:p>
    <w:p w14:paraId="088F4BC6">
      <w:pPr>
        <w:spacing w:line="218"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1. </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29"/>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1"/>
          <w:sz w:val="24"/>
          <w:szCs w:val="24"/>
          <w:highlight w:val="none"/>
        </w:rPr>
        <w:t xml:space="preserve"> 行业；制造商为</w:t>
      </w:r>
      <w:r>
        <w:rPr>
          <w:rFonts w:ascii="宋体" w:hAnsi="宋体" w:eastAsia="宋体" w:cs="宋体"/>
          <w:color w:val="auto"/>
          <w:spacing w:val="-2"/>
          <w:sz w:val="24"/>
          <w:szCs w:val="24"/>
          <w:highlight w:val="none"/>
          <w:u w:val="single" w:color="auto"/>
        </w:rPr>
        <w:t>（企业名称</w:t>
      </w:r>
      <w:r>
        <w:rPr>
          <w:rFonts w:ascii="宋体" w:hAnsi="宋体" w:eastAsia="宋体" w:cs="宋体"/>
          <w:color w:val="auto"/>
          <w:spacing w:val="10"/>
          <w:sz w:val="24"/>
          <w:szCs w:val="24"/>
          <w:highlight w:val="none"/>
          <w:u w:val="single" w:color="auto"/>
        </w:rPr>
        <w:t>）</w:t>
      </w:r>
      <w:r>
        <w:rPr>
          <w:rFonts w:ascii="宋体" w:hAnsi="宋体" w:eastAsia="宋体" w:cs="宋体"/>
          <w:color w:val="auto"/>
          <w:spacing w:val="10"/>
          <w:sz w:val="24"/>
          <w:szCs w:val="24"/>
          <w:highlight w:val="none"/>
        </w:rPr>
        <w:t>，</w:t>
      </w:r>
      <w:r>
        <w:rPr>
          <w:rFonts w:ascii="宋体" w:hAnsi="宋体" w:eastAsia="宋体" w:cs="宋体"/>
          <w:color w:val="auto"/>
          <w:spacing w:val="-2"/>
          <w:sz w:val="24"/>
          <w:szCs w:val="24"/>
          <w:highlight w:val="none"/>
        </w:rPr>
        <w:t>从业人员</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人，营业收入为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 xml:space="preserve"> 万元，资产总额为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万元</w:t>
      </w:r>
      <w:r>
        <w:rPr>
          <w:rFonts w:ascii="宋体" w:hAnsi="宋体" w:eastAsia="宋体" w:cs="宋体"/>
          <w:color w:val="auto"/>
          <w:spacing w:val="-2"/>
          <w:position w:val="11"/>
          <w:sz w:val="12"/>
          <w:szCs w:val="12"/>
          <w:highlight w:val="none"/>
        </w:rPr>
        <w:t>1</w:t>
      </w:r>
      <w:r>
        <w:rPr>
          <w:rFonts w:ascii="宋体" w:hAnsi="宋体" w:eastAsia="宋体" w:cs="宋体"/>
          <w:color w:val="auto"/>
          <w:spacing w:val="-31"/>
          <w:position w:val="11"/>
          <w:sz w:val="12"/>
          <w:szCs w:val="12"/>
          <w:highlight w:val="none"/>
        </w:rPr>
        <w:t xml:space="preserve"> </w:t>
      </w:r>
      <w:r>
        <w:rPr>
          <w:rFonts w:ascii="宋体" w:hAnsi="宋体" w:eastAsia="宋体" w:cs="宋体"/>
          <w:color w:val="auto"/>
          <w:spacing w:val="-2"/>
          <w:sz w:val="24"/>
          <w:szCs w:val="24"/>
          <w:highlight w:val="none"/>
        </w:rPr>
        <w:t>，属于</w:t>
      </w:r>
      <w:r>
        <w:rPr>
          <w:rFonts w:ascii="宋体" w:hAnsi="宋体" w:eastAsia="宋体" w:cs="宋体"/>
          <w:color w:val="auto"/>
          <w:spacing w:val="-2"/>
          <w:sz w:val="24"/>
          <w:szCs w:val="24"/>
          <w:highlight w:val="none"/>
          <w:u w:val="single" w:color="auto"/>
        </w:rPr>
        <w:t>（中型企业、小</w:t>
      </w:r>
      <w:r>
        <w:rPr>
          <w:rFonts w:ascii="宋体" w:hAnsi="宋体" w:eastAsia="宋体" w:cs="宋体"/>
          <w:color w:val="auto"/>
          <w:spacing w:val="-3"/>
          <w:sz w:val="24"/>
          <w:szCs w:val="24"/>
          <w:highlight w:val="none"/>
          <w:u w:val="single" w:color="auto"/>
        </w:rPr>
        <w:t>型企业、微型企业</w:t>
      </w:r>
      <w:r>
        <w:rPr>
          <w:rFonts w:ascii="宋体" w:hAnsi="宋体" w:eastAsia="宋体" w:cs="宋体"/>
          <w:color w:val="auto"/>
          <w:spacing w:val="3"/>
          <w:sz w:val="24"/>
          <w:szCs w:val="24"/>
          <w:highlight w:val="none"/>
          <w:u w:val="single" w:color="auto"/>
        </w:rPr>
        <w:t>）；</w:t>
      </w:r>
      <w:r>
        <w:rPr>
          <w:rFonts w:ascii="宋体" w:hAnsi="宋体" w:eastAsia="宋体" w:cs="宋体"/>
          <w:color w:val="auto"/>
          <w:sz w:val="24"/>
          <w:szCs w:val="24"/>
          <w:highlight w:val="none"/>
          <w:u w:val="single" w:color="auto"/>
        </w:rPr>
        <w:t xml:space="preserve">  </w:t>
      </w:r>
    </w:p>
    <w:p w14:paraId="412D0E83">
      <w:pPr>
        <w:spacing w:before="213"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2. </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31"/>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1"/>
          <w:sz w:val="24"/>
          <w:szCs w:val="24"/>
          <w:highlight w:val="none"/>
        </w:rPr>
        <w:t>行业；制造商为</w:t>
      </w:r>
      <w:r>
        <w:rPr>
          <w:rFonts w:ascii="宋体" w:hAnsi="宋体" w:eastAsia="宋体" w:cs="宋体"/>
          <w:color w:val="auto"/>
          <w:spacing w:val="-1"/>
          <w:sz w:val="24"/>
          <w:szCs w:val="24"/>
          <w:highlight w:val="none"/>
          <w:u w:val="single" w:color="auto"/>
        </w:rPr>
        <w:t>（企业名称</w:t>
      </w:r>
      <w:r>
        <w:rPr>
          <w:rFonts w:ascii="宋体" w:hAnsi="宋体" w:eastAsia="宋体" w:cs="宋体"/>
          <w:color w:val="auto"/>
          <w:spacing w:val="6"/>
          <w:sz w:val="24"/>
          <w:szCs w:val="24"/>
          <w:highlight w:val="none"/>
          <w:u w:val="single" w:color="auto"/>
        </w:rPr>
        <w:t>）</w:t>
      </w:r>
      <w:r>
        <w:rPr>
          <w:rFonts w:ascii="宋体" w:hAnsi="宋体" w:eastAsia="宋体" w:cs="宋体"/>
          <w:color w:val="auto"/>
          <w:spacing w:val="6"/>
          <w:sz w:val="24"/>
          <w:szCs w:val="24"/>
          <w:highlight w:val="none"/>
        </w:rPr>
        <w:t>，</w:t>
      </w:r>
      <w:r>
        <w:rPr>
          <w:rFonts w:ascii="宋体" w:hAnsi="宋体" w:eastAsia="宋体" w:cs="宋体"/>
          <w:color w:val="auto"/>
          <w:spacing w:val="-1"/>
          <w:sz w:val="24"/>
          <w:szCs w:val="24"/>
          <w:highlight w:val="none"/>
        </w:rPr>
        <w:t xml:space="preserve">从业人员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人，营业收入为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
          <w:sz w:val="24"/>
          <w:szCs w:val="24"/>
          <w:highlight w:val="none"/>
        </w:rPr>
        <w:t>万元</w:t>
      </w:r>
      <w:r>
        <w:rPr>
          <w:rFonts w:ascii="宋体" w:hAnsi="宋体" w:eastAsia="宋体" w:cs="宋体"/>
          <w:color w:val="auto"/>
          <w:spacing w:val="-2"/>
          <w:sz w:val="24"/>
          <w:szCs w:val="24"/>
          <w:highlight w:val="none"/>
        </w:rPr>
        <w:t>，资产总额为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万元，属于</w:t>
      </w:r>
      <w:r>
        <w:rPr>
          <w:rFonts w:ascii="宋体" w:hAnsi="宋体" w:eastAsia="宋体" w:cs="宋体"/>
          <w:color w:val="auto"/>
          <w:spacing w:val="-2"/>
          <w:sz w:val="24"/>
          <w:szCs w:val="24"/>
          <w:highlight w:val="none"/>
          <w:u w:val="single" w:color="auto"/>
        </w:rPr>
        <w:t>（中型企业、小型企业、微型企业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z w:val="24"/>
          <w:szCs w:val="24"/>
          <w:highlight w:val="none"/>
          <w:u w:val="single" w:color="auto"/>
        </w:rPr>
        <w:t xml:space="preserve">  </w:t>
      </w:r>
    </w:p>
    <w:p w14:paraId="46B9EC19">
      <w:pPr>
        <w:spacing w:before="214" w:line="378" w:lineRule="exact"/>
        <w:ind w:left="496"/>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6666FF4C">
      <w:pPr>
        <w:spacing w:before="121" w:line="385" w:lineRule="auto"/>
        <w:ind w:left="4" w:firstLine="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以上企业，不属于大企业的分支机构，不存在控股股东为大企业的情形，也不存在与大企业的负责人为同一人的情形。</w:t>
      </w:r>
    </w:p>
    <w:p w14:paraId="05F42C3C">
      <w:pPr>
        <w:spacing w:before="1" w:line="218" w:lineRule="auto"/>
        <w:ind w:left="481"/>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w:t>
      </w:r>
      <w:r>
        <w:rPr>
          <w:rFonts w:ascii="宋体" w:hAnsi="宋体" w:eastAsia="宋体" w:cs="宋体"/>
          <w:color w:val="auto"/>
          <w:spacing w:val="-1"/>
          <w:sz w:val="24"/>
          <w:szCs w:val="24"/>
          <w:highlight w:val="none"/>
        </w:rPr>
        <w:t>假，将依法承担相应责任。</w:t>
      </w:r>
    </w:p>
    <w:p w14:paraId="51271969">
      <w:pPr>
        <w:pStyle w:val="10"/>
        <w:spacing w:line="282" w:lineRule="auto"/>
        <w:rPr>
          <w:color w:val="auto"/>
          <w:highlight w:val="none"/>
        </w:rPr>
      </w:pPr>
    </w:p>
    <w:p w14:paraId="750BD2A4">
      <w:pPr>
        <w:pStyle w:val="10"/>
        <w:spacing w:line="283" w:lineRule="auto"/>
        <w:rPr>
          <w:color w:val="auto"/>
          <w:highlight w:val="none"/>
        </w:rPr>
      </w:pPr>
    </w:p>
    <w:p w14:paraId="690215B0">
      <w:pPr>
        <w:spacing w:before="78" w:line="219" w:lineRule="auto"/>
        <w:ind w:left="504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企业名称（盖章</w:t>
      </w:r>
      <w:r>
        <w:rPr>
          <w:rFonts w:ascii="宋体" w:hAnsi="宋体" w:eastAsia="宋体" w:cs="宋体"/>
          <w:color w:val="auto"/>
          <w:sz w:val="24"/>
          <w:szCs w:val="24"/>
          <w:highlight w:val="none"/>
        </w:rPr>
        <w:t>）：</w:t>
      </w:r>
    </w:p>
    <w:p w14:paraId="0576F600">
      <w:pPr>
        <w:spacing w:before="57" w:line="220" w:lineRule="auto"/>
        <w:ind w:left="5202"/>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日</w:t>
      </w:r>
      <w:r>
        <w:rPr>
          <w:rFonts w:ascii="宋体" w:hAnsi="宋体" w:eastAsia="宋体" w:cs="宋体"/>
          <w:color w:val="auto"/>
          <w:spacing w:val="12"/>
          <w:sz w:val="24"/>
          <w:szCs w:val="24"/>
          <w:highlight w:val="none"/>
        </w:rPr>
        <w:t xml:space="preserve"> </w:t>
      </w:r>
      <w:r>
        <w:rPr>
          <w:rFonts w:ascii="宋体" w:hAnsi="宋体" w:eastAsia="宋体" w:cs="宋体"/>
          <w:color w:val="auto"/>
          <w:spacing w:val="-21"/>
          <w:sz w:val="24"/>
          <w:szCs w:val="24"/>
          <w:highlight w:val="none"/>
        </w:rPr>
        <w:t>期：</w:t>
      </w:r>
    </w:p>
    <w:p w14:paraId="798EA767">
      <w:pPr>
        <w:spacing w:line="360" w:lineRule="auto"/>
        <w:rPr>
          <w:color w:val="auto"/>
          <w:sz w:val="24"/>
          <w:szCs w:val="24"/>
          <w:highlight w:val="none"/>
          <w:lang w:eastAsia="zh-CN"/>
        </w:rPr>
      </w:pPr>
    </w:p>
    <w:p w14:paraId="036C7399">
      <w:pPr>
        <w:spacing w:line="360" w:lineRule="auto"/>
        <w:rPr>
          <w:color w:val="auto"/>
          <w:sz w:val="24"/>
          <w:szCs w:val="24"/>
          <w:highlight w:val="none"/>
          <w:lang w:eastAsia="zh-CN"/>
        </w:rPr>
      </w:pPr>
      <w:r>
        <w:rPr>
          <w:rFonts w:hint="eastAsia"/>
          <w:color w:val="auto"/>
          <w:sz w:val="24"/>
          <w:szCs w:val="24"/>
          <w:highlight w:val="none"/>
          <w:lang w:eastAsia="zh-CN"/>
        </w:rPr>
        <w:t>注：1、填写前请认真阅读《政府采购促进中小企业发展管理办法》（财库﹝</w:t>
      </w:r>
      <w:r>
        <w:rPr>
          <w:color w:val="auto"/>
          <w:sz w:val="24"/>
          <w:szCs w:val="24"/>
          <w:highlight w:val="none"/>
          <w:lang w:eastAsia="zh-CN"/>
        </w:rPr>
        <w:t>2020</w:t>
      </w:r>
      <w:r>
        <w:rPr>
          <w:rFonts w:hint="eastAsia"/>
          <w:color w:val="auto"/>
          <w:sz w:val="24"/>
          <w:szCs w:val="24"/>
          <w:highlight w:val="none"/>
          <w:lang w:eastAsia="zh-CN"/>
        </w:rPr>
        <w:t>﹞</w:t>
      </w:r>
      <w:r>
        <w:rPr>
          <w:color w:val="auto"/>
          <w:sz w:val="24"/>
          <w:szCs w:val="24"/>
          <w:highlight w:val="none"/>
          <w:lang w:eastAsia="zh-CN"/>
        </w:rPr>
        <w:t xml:space="preserve">46 </w:t>
      </w:r>
      <w:r>
        <w:rPr>
          <w:rFonts w:hint="eastAsia"/>
          <w:color w:val="auto"/>
          <w:sz w:val="24"/>
          <w:szCs w:val="24"/>
          <w:highlight w:val="none"/>
          <w:lang w:eastAsia="zh-CN"/>
        </w:rPr>
        <w:t xml:space="preserve">号）的相关规定。 </w:t>
      </w:r>
    </w:p>
    <w:p w14:paraId="228E1202">
      <w:pPr>
        <w:spacing w:line="360" w:lineRule="auto"/>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从业人员、营业收入、资产总额填报上一年度数据，无上一年度数据的新成立企业可不填报。</w:t>
      </w:r>
    </w:p>
    <w:p w14:paraId="0CCBA28E">
      <w:pPr>
        <w:rPr>
          <w:rFonts w:hint="eastAsia"/>
          <w:color w:val="auto"/>
          <w:sz w:val="24"/>
          <w:szCs w:val="24"/>
          <w:highlight w:val="none"/>
          <w:lang w:eastAsia="zh-CN"/>
        </w:rPr>
      </w:pPr>
      <w:r>
        <w:rPr>
          <w:rFonts w:hint="eastAsia"/>
          <w:color w:val="auto"/>
          <w:sz w:val="24"/>
          <w:szCs w:val="24"/>
          <w:highlight w:val="none"/>
          <w:lang w:eastAsia="zh-CN"/>
        </w:rPr>
        <w:br w:type="page"/>
      </w:r>
    </w:p>
    <w:p w14:paraId="359DBF25">
      <w:pPr>
        <w:pageBreakBefore/>
        <w:spacing w:line="360" w:lineRule="auto"/>
        <w:ind w:left="40"/>
        <w:rPr>
          <w:rFonts w:ascii="宋体" w:hAnsi="宋体" w:eastAsia="宋体" w:cs="宋体"/>
          <w:color w:val="auto"/>
          <w:sz w:val="24"/>
          <w:szCs w:val="24"/>
          <w:highlight w:val="none"/>
          <w:lang w:eastAsia="zh-CN"/>
        </w:rPr>
      </w:pPr>
      <w:r>
        <w:rPr>
          <w:rFonts w:hint="eastAsia" w:ascii="宋体" w:hAnsi="宋体" w:eastAsia="宋体" w:cs="宋体"/>
          <w:b/>
          <w:bCs/>
          <w:color w:val="auto"/>
          <w:spacing w:val="-12"/>
          <w:sz w:val="24"/>
          <w:szCs w:val="24"/>
          <w:highlight w:val="none"/>
          <w:lang w:eastAsia="zh-CN"/>
        </w:rPr>
        <w:t>附件1</w:t>
      </w:r>
    </w:p>
    <w:p w14:paraId="0A4E0FE1">
      <w:pPr>
        <w:spacing w:line="360" w:lineRule="auto"/>
        <w:ind w:firstLine="467" w:firstLineChars="206"/>
        <w:rPr>
          <w:rFonts w:ascii="宋体" w:hAnsi="宋体" w:eastAsia="宋体" w:cs="宋体"/>
          <w:color w:val="auto"/>
          <w:sz w:val="24"/>
          <w:szCs w:val="24"/>
          <w:highlight w:val="none"/>
          <w:lang w:eastAsia="zh-CN"/>
        </w:rPr>
      </w:pPr>
      <w:bookmarkStart w:id="339" w:name="bookmark285"/>
      <w:bookmarkEnd w:id="339"/>
      <w:r>
        <w:rPr>
          <w:rFonts w:hint="eastAsia" w:ascii="宋体" w:hAnsi="宋体" w:eastAsia="宋体" w:cs="宋体"/>
          <w:b/>
          <w:bCs/>
          <w:color w:val="auto"/>
          <w:spacing w:val="-7"/>
          <w:sz w:val="24"/>
          <w:szCs w:val="24"/>
          <w:highlight w:val="none"/>
          <w:lang w:eastAsia="zh-CN"/>
        </w:rPr>
        <w:t>（一）关于“中小企业声明函”的填写要求</w:t>
      </w:r>
    </w:p>
    <w:p w14:paraId="643509F6">
      <w:pPr>
        <w:spacing w:line="360" w:lineRule="auto"/>
        <w:ind w:right="38" w:firstLine="350" w:firstLineChars="155"/>
        <w:rPr>
          <w:rFonts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“中小企业声明函”具体填写要求如下：</w:t>
      </w:r>
    </w:p>
    <w:p w14:paraId="21863790">
      <w:pPr>
        <w:spacing w:line="360" w:lineRule="auto"/>
        <w:ind w:right="38"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1.“单位名称”应填写采购人名称。</w:t>
      </w:r>
    </w:p>
    <w:p w14:paraId="6A203B47">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2.“项目名称”应按照采购文件中确定的项目名称填写。对于分包方</w:t>
      </w:r>
      <w:r>
        <w:rPr>
          <w:rFonts w:hint="eastAsia" w:ascii="宋体" w:hAnsi="宋体" w:eastAsia="宋体" w:cs="宋体"/>
          <w:color w:val="auto"/>
          <w:spacing w:val="-5"/>
          <w:sz w:val="24"/>
          <w:szCs w:val="24"/>
          <w:highlight w:val="none"/>
          <w:lang w:eastAsia="zh-CN"/>
        </w:rPr>
        <w:t>式面向</w:t>
      </w:r>
      <w:r>
        <w:rPr>
          <w:rFonts w:hint="eastAsia" w:ascii="宋体" w:hAnsi="宋体" w:eastAsia="宋体" w:cs="宋体"/>
          <w:color w:val="auto"/>
          <w:spacing w:val="-4"/>
          <w:sz w:val="24"/>
          <w:szCs w:val="24"/>
          <w:highlight w:val="none"/>
          <w:lang w:eastAsia="zh-CN"/>
        </w:rPr>
        <w:t>中小企业采购的项目，应标明中小企业的具体分包内容；对于以联合体方式面向</w:t>
      </w:r>
      <w:r>
        <w:rPr>
          <w:rFonts w:hint="eastAsia" w:ascii="宋体" w:hAnsi="宋体" w:eastAsia="宋体" w:cs="宋体"/>
          <w:color w:val="auto"/>
          <w:spacing w:val="-1"/>
          <w:sz w:val="24"/>
          <w:szCs w:val="24"/>
          <w:highlight w:val="none"/>
          <w:lang w:eastAsia="zh-CN"/>
        </w:rPr>
        <w:t>中小企业采购的项目，应标明联合体中中小企业所承担的具体</w:t>
      </w:r>
      <w:r>
        <w:rPr>
          <w:rFonts w:hint="eastAsia" w:ascii="宋体" w:hAnsi="宋体" w:eastAsia="宋体" w:cs="宋体"/>
          <w:color w:val="auto"/>
          <w:spacing w:val="-2"/>
          <w:sz w:val="24"/>
          <w:szCs w:val="24"/>
          <w:highlight w:val="none"/>
          <w:lang w:eastAsia="zh-CN"/>
        </w:rPr>
        <w:t>内容。</w:t>
      </w:r>
    </w:p>
    <w:p w14:paraId="177F8921">
      <w:pPr>
        <w:spacing w:line="360" w:lineRule="auto"/>
        <w:ind w:right="26"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3.“标的名称”应填写采购文件中细化载明的采购标的名称。对</w:t>
      </w:r>
      <w:r>
        <w:rPr>
          <w:rFonts w:hint="eastAsia" w:ascii="宋体" w:hAnsi="宋体" w:eastAsia="宋体" w:cs="宋体"/>
          <w:color w:val="auto"/>
          <w:spacing w:val="-5"/>
          <w:sz w:val="24"/>
          <w:szCs w:val="24"/>
          <w:highlight w:val="none"/>
          <w:lang w:eastAsia="zh-CN"/>
        </w:rPr>
        <w:t>于分包方式</w:t>
      </w:r>
      <w:r>
        <w:rPr>
          <w:rFonts w:hint="eastAsia" w:ascii="宋体" w:hAnsi="宋体" w:eastAsia="宋体" w:cs="宋体"/>
          <w:color w:val="auto"/>
          <w:spacing w:val="-4"/>
          <w:sz w:val="24"/>
          <w:szCs w:val="24"/>
          <w:highlight w:val="none"/>
          <w:lang w:eastAsia="zh-CN"/>
        </w:rPr>
        <w:t>面向中小企业采购的项目，“标的名称”应填写采购文件中注明的分包给中小企</w:t>
      </w:r>
      <w:r>
        <w:rPr>
          <w:rFonts w:hint="eastAsia" w:ascii="宋体" w:hAnsi="宋体" w:eastAsia="宋体" w:cs="宋体"/>
          <w:color w:val="auto"/>
          <w:spacing w:val="2"/>
          <w:sz w:val="24"/>
          <w:szCs w:val="24"/>
          <w:highlight w:val="none"/>
          <w:lang w:eastAsia="zh-CN"/>
        </w:rPr>
        <w:t>业的采购标的名称；对于以联合体方式面向中小企业采购的项目，“标的名称”</w:t>
      </w:r>
      <w:r>
        <w:rPr>
          <w:rFonts w:hint="eastAsia" w:ascii="宋体" w:hAnsi="宋体" w:eastAsia="宋体" w:cs="宋体"/>
          <w:color w:val="auto"/>
          <w:sz w:val="24"/>
          <w:szCs w:val="24"/>
          <w:highlight w:val="none"/>
          <w:lang w:eastAsia="zh-CN"/>
        </w:rPr>
        <w:t>应填写采购文件中注明的联合体中中小企业</w:t>
      </w:r>
      <w:r>
        <w:rPr>
          <w:rFonts w:hint="eastAsia" w:ascii="宋体" w:hAnsi="宋体" w:eastAsia="宋体" w:cs="宋体"/>
          <w:color w:val="auto"/>
          <w:spacing w:val="-1"/>
          <w:sz w:val="24"/>
          <w:szCs w:val="24"/>
          <w:highlight w:val="none"/>
          <w:lang w:eastAsia="zh-CN"/>
        </w:rPr>
        <w:t>承担的采购标的名称。</w:t>
      </w:r>
    </w:p>
    <w:p w14:paraId="29890CE5">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4.</w:t>
      </w:r>
      <w:r>
        <w:rPr>
          <w:rFonts w:hint="eastAsia" w:ascii="宋体" w:hAnsi="宋体" w:eastAsia="宋体" w:cs="宋体"/>
          <w:b/>
          <w:bCs/>
          <w:color w:val="auto"/>
          <w:spacing w:val="-4"/>
          <w:sz w:val="24"/>
          <w:szCs w:val="24"/>
          <w:highlight w:val="none"/>
          <w:lang w:eastAsia="zh-CN"/>
        </w:rPr>
        <w:t>“采购文件中明确的所属行业”应填写采购文件中明确的采购标的所属行</w:t>
      </w:r>
      <w:r>
        <w:rPr>
          <w:rFonts w:hint="eastAsia" w:ascii="宋体" w:hAnsi="宋体" w:eastAsia="宋体" w:cs="宋体"/>
          <w:b/>
          <w:bCs/>
          <w:color w:val="auto"/>
          <w:spacing w:val="-3"/>
          <w:sz w:val="24"/>
          <w:szCs w:val="24"/>
          <w:highlight w:val="none"/>
          <w:lang w:eastAsia="zh-CN"/>
        </w:rPr>
        <w:t>业，</w:t>
      </w:r>
      <w:r>
        <w:rPr>
          <w:rFonts w:hint="eastAsia" w:ascii="宋体" w:hAnsi="宋体" w:eastAsia="宋体" w:cs="宋体"/>
          <w:color w:val="auto"/>
          <w:spacing w:val="-3"/>
          <w:sz w:val="24"/>
          <w:szCs w:val="24"/>
          <w:highlight w:val="none"/>
          <w:lang w:eastAsia="zh-CN"/>
        </w:rPr>
        <w:t>并应确保与采购标的涉及的货物制造商/服务承接商/工程承建商（根据项目</w:t>
      </w:r>
      <w:r>
        <w:rPr>
          <w:rFonts w:hint="eastAsia" w:ascii="宋体" w:hAnsi="宋体" w:eastAsia="宋体" w:cs="宋体"/>
          <w:color w:val="auto"/>
          <w:spacing w:val="-1"/>
          <w:sz w:val="24"/>
          <w:szCs w:val="24"/>
          <w:highlight w:val="none"/>
          <w:lang w:eastAsia="zh-CN"/>
        </w:rPr>
        <w:t>属性确定）本身的所属行业保持一致。</w:t>
      </w:r>
    </w:p>
    <w:p w14:paraId="21D6F043">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对于分包方式面向中小企业采购的项目，“采购文件中明确的所属行</w:t>
      </w:r>
      <w:r>
        <w:rPr>
          <w:rFonts w:hint="eastAsia" w:ascii="宋体" w:hAnsi="宋体" w:eastAsia="宋体" w:cs="宋体"/>
          <w:color w:val="auto"/>
          <w:spacing w:val="-5"/>
          <w:sz w:val="24"/>
          <w:szCs w:val="24"/>
          <w:highlight w:val="none"/>
          <w:lang w:eastAsia="zh-CN"/>
        </w:rPr>
        <w:t>业”应</w:t>
      </w:r>
      <w:r>
        <w:rPr>
          <w:rFonts w:hint="eastAsia" w:ascii="宋体" w:hAnsi="宋体" w:eastAsia="宋体" w:cs="宋体"/>
          <w:color w:val="auto"/>
          <w:spacing w:val="-3"/>
          <w:sz w:val="24"/>
          <w:szCs w:val="24"/>
          <w:highlight w:val="none"/>
          <w:lang w:eastAsia="zh-CN"/>
        </w:rPr>
        <w:t>按照采购文件中注明的分包给中小企业的采购标的所属行业填写，并应确保与该分包部分采购标的涉及的货物制造商/服务承接商/工程承建商（根据项目属性确</w:t>
      </w:r>
      <w:r>
        <w:rPr>
          <w:rFonts w:hint="eastAsia" w:ascii="宋体" w:hAnsi="宋体" w:eastAsia="宋体" w:cs="宋体"/>
          <w:color w:val="auto"/>
          <w:spacing w:val="-1"/>
          <w:sz w:val="24"/>
          <w:szCs w:val="24"/>
          <w:highlight w:val="none"/>
          <w:lang w:eastAsia="zh-CN"/>
        </w:rPr>
        <w:t>定）本身的所属行业保持一致。</w:t>
      </w:r>
    </w:p>
    <w:p w14:paraId="5C85A17E">
      <w:pPr>
        <w:spacing w:line="360" w:lineRule="auto"/>
        <w:ind w:firstLine="359" w:firstLineChars="155"/>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4"/>
          <w:sz w:val="24"/>
          <w:szCs w:val="24"/>
          <w:highlight w:val="none"/>
          <w:lang w:eastAsia="zh-CN"/>
        </w:rPr>
        <w:t>对于以联合体方式面向中小企业采购的项目，“采购文件中明确的所</w:t>
      </w:r>
      <w:r>
        <w:rPr>
          <w:rFonts w:hint="eastAsia" w:ascii="宋体" w:hAnsi="宋体" w:eastAsia="宋体" w:cs="宋体"/>
          <w:color w:val="auto"/>
          <w:spacing w:val="-5"/>
          <w:sz w:val="24"/>
          <w:szCs w:val="24"/>
          <w:highlight w:val="none"/>
          <w:lang w:eastAsia="zh-CN"/>
        </w:rPr>
        <w:t>属行业”</w:t>
      </w:r>
      <w:r>
        <w:rPr>
          <w:rFonts w:hint="eastAsia" w:ascii="宋体" w:hAnsi="宋体" w:eastAsia="宋体" w:cs="宋体"/>
          <w:color w:val="auto"/>
          <w:spacing w:val="-3"/>
          <w:sz w:val="24"/>
          <w:szCs w:val="24"/>
          <w:highlight w:val="none"/>
          <w:lang w:eastAsia="zh-CN"/>
        </w:rPr>
        <w:t>应按照采购文件中注明的联合体中中小企业承担的采购标的所属行业填写，并应确保与该承担部分采购标的涉及的货物制造商/服务承接商/工程承建商（根据项</w:t>
      </w:r>
      <w:r>
        <w:rPr>
          <w:rFonts w:hint="eastAsia" w:ascii="宋体" w:hAnsi="宋体" w:eastAsia="宋体" w:cs="宋体"/>
          <w:color w:val="auto"/>
          <w:spacing w:val="-1"/>
          <w:sz w:val="24"/>
          <w:szCs w:val="24"/>
          <w:highlight w:val="none"/>
          <w:lang w:eastAsia="zh-CN"/>
        </w:rPr>
        <w:t>目属性确定）本身的所属行业保持一致。</w:t>
      </w:r>
    </w:p>
    <w:p w14:paraId="1A86EFEC">
      <w:pPr>
        <w:spacing w:line="360" w:lineRule="auto"/>
        <w:ind w:right="234"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5.“企业名称”应填写投标（响应）的供应商/服务承接商/工程承建商</w:t>
      </w:r>
      <w:r>
        <w:rPr>
          <w:rFonts w:hint="eastAsia" w:ascii="宋体" w:hAnsi="宋体" w:eastAsia="宋体" w:cs="宋体"/>
          <w:color w:val="auto"/>
          <w:spacing w:val="-2"/>
          <w:sz w:val="24"/>
          <w:szCs w:val="24"/>
          <w:highlight w:val="none"/>
          <w:lang w:eastAsia="zh-CN"/>
        </w:rPr>
        <w:t>（根据项目属性确定）。</w:t>
      </w:r>
    </w:p>
    <w:p w14:paraId="0DD43B0F">
      <w:pPr>
        <w:spacing w:line="360" w:lineRule="auto"/>
        <w:ind w:right="237"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对于分包方式面向中小企业采购的项目，“企业名称”应填写</w:t>
      </w:r>
      <w:r>
        <w:rPr>
          <w:rFonts w:hint="eastAsia" w:ascii="宋体" w:hAnsi="宋体" w:eastAsia="宋体" w:cs="宋体"/>
          <w:color w:val="auto"/>
          <w:spacing w:val="-5"/>
          <w:sz w:val="24"/>
          <w:szCs w:val="24"/>
          <w:highlight w:val="none"/>
          <w:lang w:eastAsia="zh-CN"/>
        </w:rPr>
        <w:t>分包部分采购</w:t>
      </w:r>
      <w:r>
        <w:rPr>
          <w:rFonts w:hint="eastAsia" w:ascii="宋体" w:hAnsi="宋体" w:eastAsia="宋体" w:cs="宋体"/>
          <w:color w:val="auto"/>
          <w:sz w:val="24"/>
          <w:szCs w:val="24"/>
          <w:highlight w:val="none"/>
          <w:lang w:eastAsia="zh-CN"/>
        </w:rPr>
        <w:t>标的对应的供应商/服务承接商/工程承建</w:t>
      </w:r>
      <w:r>
        <w:rPr>
          <w:rFonts w:hint="eastAsia" w:ascii="宋体" w:hAnsi="宋体" w:eastAsia="宋体" w:cs="宋体"/>
          <w:color w:val="auto"/>
          <w:spacing w:val="-1"/>
          <w:sz w:val="24"/>
          <w:szCs w:val="24"/>
          <w:highlight w:val="none"/>
          <w:lang w:eastAsia="zh-CN"/>
        </w:rPr>
        <w:t>商（根据项目属性确定）。</w:t>
      </w:r>
    </w:p>
    <w:p w14:paraId="34CFEA76">
      <w:pPr>
        <w:spacing w:line="360" w:lineRule="auto"/>
        <w:ind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对于以联合体方式面向中小企业采购的项目，“企业名称”应填写联</w:t>
      </w:r>
      <w:r>
        <w:rPr>
          <w:rFonts w:hint="eastAsia" w:ascii="宋体" w:hAnsi="宋体" w:eastAsia="宋体" w:cs="宋体"/>
          <w:color w:val="auto"/>
          <w:spacing w:val="-5"/>
          <w:sz w:val="24"/>
          <w:szCs w:val="24"/>
          <w:highlight w:val="none"/>
          <w:lang w:eastAsia="zh-CN"/>
        </w:rPr>
        <w:t>合体中</w:t>
      </w:r>
      <w:r>
        <w:rPr>
          <w:rFonts w:hint="eastAsia" w:ascii="宋体" w:hAnsi="宋体" w:eastAsia="宋体" w:cs="宋体"/>
          <w:color w:val="auto"/>
          <w:spacing w:val="-3"/>
          <w:sz w:val="24"/>
          <w:szCs w:val="24"/>
          <w:highlight w:val="none"/>
          <w:lang w:eastAsia="zh-CN"/>
        </w:rPr>
        <w:t>中小企业承担采购标的对应的供应商/服务承接商/工程承建商（根据项目属性确定）。</w:t>
      </w:r>
    </w:p>
    <w:p w14:paraId="6731595F">
      <w:pPr>
        <w:widowControl w:val="0"/>
        <w:spacing w:line="360" w:lineRule="auto"/>
        <w:ind w:right="79" w:firstLine="362"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6.从业人员、资产总额指标以上年度末数据为依据，营业收入指标</w:t>
      </w:r>
      <w:r>
        <w:rPr>
          <w:rFonts w:hint="eastAsia" w:ascii="宋体" w:hAnsi="宋体" w:eastAsia="宋体" w:cs="宋体"/>
          <w:color w:val="auto"/>
          <w:spacing w:val="-4"/>
          <w:sz w:val="24"/>
          <w:szCs w:val="24"/>
          <w:highlight w:val="none"/>
          <w:lang w:eastAsia="zh-CN"/>
        </w:rPr>
        <w:t>以上年度</w:t>
      </w:r>
      <w:r>
        <w:rPr>
          <w:rFonts w:hint="eastAsia" w:ascii="宋体" w:hAnsi="宋体" w:eastAsia="宋体" w:cs="宋体"/>
          <w:color w:val="auto"/>
          <w:spacing w:val="-1"/>
          <w:sz w:val="24"/>
          <w:szCs w:val="24"/>
          <w:highlight w:val="none"/>
          <w:lang w:eastAsia="zh-CN"/>
        </w:rPr>
        <w:t>累计数据为依据。无上年度数据的新成立企业可不填报。</w:t>
      </w:r>
    </w:p>
    <w:p w14:paraId="6ED616E9">
      <w:pPr>
        <w:spacing w:line="360" w:lineRule="auto"/>
        <w:ind w:right="80" w:firstLine="356"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7.“中型企业/小型企业/微型企业”部分，供应商应依据企业上年度从业人</w:t>
      </w:r>
      <w:r>
        <w:rPr>
          <w:rFonts w:hint="eastAsia" w:ascii="宋体" w:hAnsi="宋体" w:eastAsia="宋体" w:cs="宋体"/>
          <w:color w:val="auto"/>
          <w:spacing w:val="-3"/>
          <w:sz w:val="24"/>
          <w:szCs w:val="24"/>
          <w:highlight w:val="none"/>
          <w:lang w:eastAsia="zh-CN"/>
        </w:rPr>
        <w:t>员、营业收入、资产总额等指标，按照《中小企业划型标准规定》（工信部联企</w:t>
      </w:r>
      <w:r>
        <w:rPr>
          <w:rFonts w:hint="eastAsia" w:ascii="宋体" w:hAnsi="宋体" w:eastAsia="宋体" w:cs="宋体"/>
          <w:color w:val="auto"/>
          <w:spacing w:val="-1"/>
          <w:sz w:val="24"/>
          <w:szCs w:val="24"/>
          <w:highlight w:val="none"/>
          <w:lang w:eastAsia="zh-CN"/>
        </w:rPr>
        <w:t>业〔2011〕300号）、《金融业企业划型标准规定》（银发〔2015〕309号</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5"/>
          <w:sz w:val="24"/>
          <w:szCs w:val="24"/>
          <w:highlight w:val="none"/>
          <w:lang w:eastAsia="zh-CN"/>
        </w:rPr>
        <w:t>判断“中小企业声明函”载明的货物制造商/服务承接商/工程承建商（根据项目</w:t>
      </w:r>
      <w:r>
        <w:rPr>
          <w:rFonts w:hint="eastAsia" w:ascii="宋体" w:hAnsi="宋体" w:eastAsia="宋体" w:cs="宋体"/>
          <w:color w:val="auto"/>
          <w:sz w:val="24"/>
          <w:szCs w:val="24"/>
          <w:highlight w:val="none"/>
          <w:lang w:eastAsia="zh-CN"/>
        </w:rPr>
        <w:t>属性确定）是否属于采购文件所属行业的中型企业/</w:t>
      </w:r>
      <w:r>
        <w:rPr>
          <w:rFonts w:hint="eastAsia" w:ascii="宋体" w:hAnsi="宋体" w:eastAsia="宋体" w:cs="宋体"/>
          <w:color w:val="auto"/>
          <w:spacing w:val="-1"/>
          <w:sz w:val="24"/>
          <w:szCs w:val="24"/>
          <w:highlight w:val="none"/>
          <w:lang w:eastAsia="zh-CN"/>
        </w:rPr>
        <w:t>小型企业/微型企业。</w:t>
      </w:r>
    </w:p>
    <w:p w14:paraId="63E58EFD">
      <w:pPr>
        <w:spacing w:line="360" w:lineRule="auto"/>
        <w:ind w:right="26" w:firstLine="365"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8.对于已纳入统计部门统计范围的企业，所属行业、从业人员、营业收入、</w:t>
      </w:r>
      <w:r>
        <w:rPr>
          <w:rFonts w:hint="eastAsia" w:ascii="宋体" w:hAnsi="宋体" w:eastAsia="宋体" w:cs="宋体"/>
          <w:color w:val="auto"/>
          <w:spacing w:val="-3"/>
          <w:sz w:val="24"/>
          <w:szCs w:val="24"/>
          <w:highlight w:val="none"/>
          <w:lang w:eastAsia="zh-CN"/>
        </w:rPr>
        <w:t>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w:t>
      </w:r>
      <w:r>
        <w:rPr>
          <w:rFonts w:hint="eastAsia" w:ascii="宋体" w:hAnsi="宋体" w:eastAsia="宋体" w:cs="宋体"/>
          <w:color w:val="auto"/>
          <w:spacing w:val="-2"/>
          <w:sz w:val="24"/>
          <w:szCs w:val="24"/>
          <w:highlight w:val="none"/>
          <w:lang w:eastAsia="zh-CN"/>
        </w:rPr>
        <w:t>据的来源依据。</w:t>
      </w:r>
    </w:p>
    <w:p w14:paraId="7F398D23">
      <w:pPr>
        <w:spacing w:line="360" w:lineRule="auto"/>
        <w:ind w:left="592"/>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（二）关于“中小企业声明函”的提交要求</w:t>
      </w:r>
    </w:p>
    <w:p w14:paraId="556386AB">
      <w:pPr>
        <w:spacing w:line="360" w:lineRule="auto"/>
        <w:ind w:left="23" w:firstLine="49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1.投标（响应）供应商对“中小企业声明函”的真实性负责。</w:t>
      </w:r>
      <w:r>
        <w:rPr>
          <w:rFonts w:hint="eastAsia" w:ascii="宋体" w:hAnsi="宋体" w:eastAsia="宋体" w:cs="宋体"/>
          <w:color w:val="auto"/>
          <w:spacing w:val="-4"/>
          <w:sz w:val="24"/>
          <w:szCs w:val="24"/>
          <w:highlight w:val="none"/>
          <w:lang w:eastAsia="zh-CN"/>
        </w:rPr>
        <w:t>投标（响应）</w:t>
      </w:r>
      <w:r>
        <w:rPr>
          <w:rFonts w:hint="eastAsia" w:ascii="宋体" w:hAnsi="宋体" w:eastAsia="宋体" w:cs="宋体"/>
          <w:color w:val="auto"/>
          <w:spacing w:val="-3"/>
          <w:sz w:val="24"/>
          <w:szCs w:val="24"/>
          <w:highlight w:val="none"/>
          <w:lang w:eastAsia="zh-CN"/>
        </w:rPr>
        <w:t>供应商应当核实投标（响应）的货物制造商/服务承接商/工程承建商（根据项目</w:t>
      </w:r>
      <w:r>
        <w:rPr>
          <w:rFonts w:hint="eastAsia" w:ascii="宋体" w:hAnsi="宋体" w:eastAsia="宋体" w:cs="宋体"/>
          <w:color w:val="auto"/>
          <w:spacing w:val="-7"/>
          <w:sz w:val="24"/>
          <w:szCs w:val="24"/>
          <w:highlight w:val="none"/>
          <w:lang w:eastAsia="zh-CN"/>
        </w:rPr>
        <w:t>属性确定）的相关信息，如对相关信息了解不充分，或</w:t>
      </w:r>
      <w:r>
        <w:rPr>
          <w:rFonts w:hint="eastAsia" w:ascii="宋体" w:hAnsi="宋体" w:eastAsia="宋体" w:cs="宋体"/>
          <w:color w:val="auto"/>
          <w:spacing w:val="-8"/>
          <w:sz w:val="24"/>
          <w:szCs w:val="24"/>
          <w:highlight w:val="none"/>
          <w:lang w:eastAsia="zh-CN"/>
        </w:rPr>
        <w:t>者不能确定相关信息真实、</w:t>
      </w:r>
      <w:r>
        <w:rPr>
          <w:rFonts w:hint="eastAsia" w:ascii="宋体" w:hAnsi="宋体" w:eastAsia="宋体" w:cs="宋体"/>
          <w:color w:val="auto"/>
          <w:spacing w:val="-3"/>
          <w:sz w:val="24"/>
          <w:szCs w:val="24"/>
          <w:highlight w:val="none"/>
          <w:lang w:eastAsia="zh-CN"/>
        </w:rPr>
        <w:t>准确的，不建议出具“中小企业声明函”。</w:t>
      </w:r>
    </w:p>
    <w:p w14:paraId="7B961B22">
      <w:pPr>
        <w:spacing w:line="360" w:lineRule="auto"/>
        <w:ind w:left="23" w:right="8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2.鼓励供应商在投标（响应）时一并提供对货物制造商、服务承</w:t>
      </w:r>
      <w:r>
        <w:rPr>
          <w:rFonts w:hint="eastAsia" w:ascii="宋体" w:hAnsi="宋体" w:eastAsia="宋体" w:cs="宋体"/>
          <w:color w:val="auto"/>
          <w:spacing w:val="-4"/>
          <w:sz w:val="24"/>
          <w:szCs w:val="24"/>
          <w:highlight w:val="none"/>
          <w:lang w:eastAsia="zh-CN"/>
        </w:rPr>
        <w:t>接商、工程</w:t>
      </w:r>
      <w:r>
        <w:rPr>
          <w:rFonts w:hint="eastAsia" w:ascii="宋体" w:hAnsi="宋体" w:eastAsia="宋体" w:cs="宋体"/>
          <w:color w:val="auto"/>
          <w:spacing w:val="-1"/>
          <w:sz w:val="24"/>
          <w:szCs w:val="24"/>
          <w:highlight w:val="none"/>
          <w:lang w:eastAsia="zh-CN"/>
        </w:rPr>
        <w:t>承建商相关信息的核实核验情况以及其他佐证材料。</w:t>
      </w:r>
    </w:p>
    <w:p w14:paraId="775891EE">
      <w:pPr>
        <w:spacing w:line="360" w:lineRule="auto"/>
        <w:ind w:left="22" w:right="18"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3.如供应商提供的“中小企业声明函”存在按采购文件所属行业划</w:t>
      </w:r>
      <w:r>
        <w:rPr>
          <w:rFonts w:hint="eastAsia" w:ascii="宋体" w:hAnsi="宋体" w:eastAsia="宋体" w:cs="宋体"/>
          <w:color w:val="auto"/>
          <w:spacing w:val="-10"/>
          <w:sz w:val="24"/>
          <w:szCs w:val="24"/>
          <w:highlight w:val="none"/>
          <w:lang w:eastAsia="zh-CN"/>
        </w:rPr>
        <w:t>型不实的，</w:t>
      </w:r>
      <w:r>
        <w:rPr>
          <w:rFonts w:hint="eastAsia" w:ascii="宋体" w:hAnsi="宋体" w:eastAsia="宋体" w:cs="宋体"/>
          <w:color w:val="auto"/>
          <w:spacing w:val="-3"/>
          <w:sz w:val="24"/>
          <w:szCs w:val="24"/>
          <w:highlight w:val="none"/>
          <w:lang w:eastAsia="zh-CN"/>
        </w:rPr>
        <w:t>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w:t>
      </w:r>
      <w:r>
        <w:rPr>
          <w:rFonts w:hint="eastAsia" w:ascii="宋体" w:hAnsi="宋体" w:eastAsia="宋体" w:cs="宋体"/>
          <w:color w:val="auto"/>
          <w:spacing w:val="-2"/>
          <w:sz w:val="24"/>
          <w:szCs w:val="24"/>
          <w:highlight w:val="none"/>
          <w:lang w:eastAsia="zh-CN"/>
        </w:rPr>
        <w:t>刑事责任。</w:t>
      </w:r>
    </w:p>
    <w:p w14:paraId="525A4268">
      <w:pPr>
        <w:spacing w:line="360" w:lineRule="auto"/>
        <w:rPr>
          <w:rFonts w:ascii="宋体" w:hAnsi="宋体" w:eastAsia="宋体" w:cs="宋体"/>
          <w:color w:val="auto"/>
          <w:sz w:val="24"/>
          <w:szCs w:val="24"/>
          <w:highlight w:val="none"/>
          <w:lang w:eastAsia="zh-CN"/>
        </w:rPr>
      </w:pPr>
    </w:p>
    <w:p w14:paraId="6C32FFF3">
      <w:pPr>
        <w:pageBreakBefore/>
        <w:spacing w:before="97" w:line="360" w:lineRule="auto"/>
        <w:ind w:left="40"/>
        <w:outlineLvl w:val="2"/>
        <w:rPr>
          <w:rFonts w:ascii="宋体" w:hAnsi="宋体" w:eastAsia="宋体" w:cs="宋体"/>
          <w:b/>
          <w:bCs/>
          <w:color w:val="auto"/>
          <w:spacing w:val="-3"/>
          <w:sz w:val="24"/>
          <w:szCs w:val="24"/>
          <w:highlight w:val="none"/>
          <w:lang w:eastAsia="zh-CN"/>
        </w:rPr>
      </w:pPr>
      <w:bookmarkStart w:id="340" w:name="_Toc17381"/>
      <w:bookmarkStart w:id="341" w:name="_Toc186477803"/>
      <w:r>
        <w:rPr>
          <w:rFonts w:hint="eastAsia" w:ascii="宋体" w:hAnsi="宋体" w:eastAsia="宋体" w:cs="宋体"/>
          <w:b/>
          <w:bCs/>
          <w:color w:val="auto"/>
          <w:spacing w:val="-3"/>
          <w:sz w:val="24"/>
          <w:szCs w:val="24"/>
          <w:highlight w:val="none"/>
          <w:lang w:eastAsia="zh-CN"/>
        </w:rPr>
        <w:t>（二）监狱企业证明文件【如适用】</w:t>
      </w:r>
      <w:bookmarkEnd w:id="340"/>
      <w:bookmarkEnd w:id="341"/>
    </w:p>
    <w:p w14:paraId="326EC70E">
      <w:pPr>
        <w:spacing w:line="360" w:lineRule="auto"/>
        <w:rPr>
          <w:rFonts w:ascii="宋体" w:hAnsi="宋体" w:eastAsia="宋体" w:cs="宋体"/>
          <w:color w:val="auto"/>
          <w:highlight w:val="none"/>
          <w:lang w:eastAsia="zh-CN"/>
        </w:rPr>
      </w:pPr>
    </w:p>
    <w:p w14:paraId="5760ECE6">
      <w:pPr>
        <w:spacing w:line="360" w:lineRule="auto"/>
        <w:rPr>
          <w:rFonts w:ascii="宋体" w:hAnsi="宋体" w:eastAsia="宋体" w:cs="宋体"/>
          <w:color w:val="auto"/>
          <w:highlight w:val="none"/>
          <w:lang w:eastAsia="zh-CN"/>
        </w:rPr>
      </w:pPr>
    </w:p>
    <w:p w14:paraId="0C256DFA">
      <w:pPr>
        <w:spacing w:line="360" w:lineRule="auto"/>
        <w:rPr>
          <w:rFonts w:ascii="宋体" w:hAnsi="宋体" w:eastAsia="宋体" w:cs="宋体"/>
          <w:color w:val="auto"/>
          <w:highlight w:val="none"/>
          <w:lang w:eastAsia="zh-CN"/>
        </w:rPr>
      </w:pPr>
    </w:p>
    <w:p w14:paraId="714D3027">
      <w:pPr>
        <w:spacing w:before="78" w:line="360" w:lineRule="auto"/>
        <w:ind w:left="27" w:right="13" w:firstLine="46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【监狱企业应当提供由省级及以上监狱管理局、戒毒管理局（含新疆生产建</w:t>
      </w:r>
      <w:r>
        <w:rPr>
          <w:rFonts w:hint="eastAsia" w:ascii="宋体" w:hAnsi="宋体" w:eastAsia="宋体" w:cs="宋体"/>
          <w:color w:val="auto"/>
          <w:spacing w:val="-1"/>
          <w:sz w:val="24"/>
          <w:szCs w:val="24"/>
          <w:highlight w:val="none"/>
          <w:lang w:eastAsia="zh-CN"/>
        </w:rPr>
        <w:t>设兵团）出具的监狱企业的证明文件，格式如下】。</w:t>
      </w:r>
    </w:p>
    <w:p w14:paraId="32722DAB">
      <w:pPr>
        <w:spacing w:line="360" w:lineRule="auto"/>
        <w:rPr>
          <w:rFonts w:ascii="宋体" w:hAnsi="宋体" w:eastAsia="宋体" w:cs="宋体"/>
          <w:color w:val="auto"/>
          <w:highlight w:val="none"/>
          <w:lang w:eastAsia="zh-CN"/>
        </w:rPr>
      </w:pPr>
    </w:p>
    <w:p w14:paraId="349CE58E">
      <w:pPr>
        <w:spacing w:line="360" w:lineRule="auto"/>
        <w:rPr>
          <w:rFonts w:ascii="宋体" w:hAnsi="宋体" w:eastAsia="宋体" w:cs="宋体"/>
          <w:color w:val="auto"/>
          <w:highlight w:val="none"/>
          <w:lang w:eastAsia="zh-CN"/>
        </w:rPr>
      </w:pPr>
    </w:p>
    <w:p w14:paraId="2F220CC4">
      <w:pPr>
        <w:spacing w:before="100" w:line="360" w:lineRule="auto"/>
        <w:ind w:left="3056"/>
        <w:rPr>
          <w:rFonts w:ascii="宋体" w:hAnsi="宋体" w:eastAsia="宋体" w:cs="宋体"/>
          <w:color w:val="auto"/>
          <w:sz w:val="31"/>
          <w:szCs w:val="31"/>
          <w:highlight w:val="none"/>
          <w:lang w:eastAsia="zh-CN"/>
        </w:rPr>
      </w:pPr>
      <w:bookmarkStart w:id="342" w:name="bookmark244"/>
      <w:bookmarkEnd w:id="342"/>
      <w:r>
        <w:rPr>
          <w:rFonts w:hint="eastAsia" w:ascii="宋体" w:hAnsi="宋体" w:eastAsia="宋体" w:cs="宋体"/>
          <w:b/>
          <w:bCs/>
          <w:color w:val="auto"/>
          <w:spacing w:val="5"/>
          <w:sz w:val="31"/>
          <w:szCs w:val="31"/>
          <w:highlight w:val="none"/>
          <w:lang w:eastAsia="zh-CN"/>
        </w:rPr>
        <w:t>监狱企业证明函</w:t>
      </w:r>
    </w:p>
    <w:p w14:paraId="1FF954DD">
      <w:pPr>
        <w:spacing w:line="360" w:lineRule="auto"/>
        <w:rPr>
          <w:rFonts w:ascii="宋体" w:hAnsi="宋体" w:eastAsia="宋体" w:cs="宋体"/>
          <w:color w:val="auto"/>
          <w:highlight w:val="none"/>
          <w:lang w:eastAsia="zh-CN"/>
        </w:rPr>
      </w:pPr>
    </w:p>
    <w:p w14:paraId="5F6CE3AC">
      <w:pPr>
        <w:spacing w:line="360" w:lineRule="auto"/>
        <w:rPr>
          <w:rFonts w:ascii="宋体" w:hAnsi="宋体" w:eastAsia="宋体" w:cs="宋体"/>
          <w:color w:val="auto"/>
          <w:highlight w:val="none"/>
          <w:lang w:eastAsia="zh-CN"/>
        </w:rPr>
      </w:pPr>
    </w:p>
    <w:p w14:paraId="39539AC5">
      <w:pPr>
        <w:spacing w:line="360" w:lineRule="auto"/>
        <w:rPr>
          <w:rFonts w:ascii="宋体" w:hAnsi="宋体" w:eastAsia="宋体" w:cs="宋体"/>
          <w:color w:val="auto"/>
          <w:highlight w:val="none"/>
          <w:lang w:eastAsia="zh-CN"/>
        </w:rPr>
      </w:pPr>
    </w:p>
    <w:p w14:paraId="5D1AD1DF">
      <w:pPr>
        <w:spacing w:before="78" w:line="360" w:lineRule="auto"/>
        <w:ind w:left="25" w:right="28" w:firstLine="503"/>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本公司郑重声明，根据财政部、司法部《关于政府采购支持</w:t>
      </w:r>
      <w:r>
        <w:rPr>
          <w:rFonts w:hint="eastAsia" w:ascii="宋体" w:hAnsi="宋体" w:eastAsia="宋体" w:cs="宋体"/>
          <w:color w:val="auto"/>
          <w:spacing w:val="10"/>
          <w:sz w:val="24"/>
          <w:szCs w:val="24"/>
          <w:highlight w:val="none"/>
          <w:lang w:eastAsia="zh-CN"/>
        </w:rPr>
        <w:t>监狱企业发</w:t>
      </w:r>
      <w:r>
        <w:rPr>
          <w:rFonts w:hint="eastAsia" w:ascii="宋体" w:hAnsi="宋体" w:eastAsia="宋体" w:cs="宋体"/>
          <w:color w:val="auto"/>
          <w:spacing w:val="5"/>
          <w:sz w:val="24"/>
          <w:szCs w:val="24"/>
          <w:highlight w:val="none"/>
          <w:lang w:eastAsia="zh-CN"/>
        </w:rPr>
        <w:t>展有关问题的通知》（财库〔2014〕68号）的规定</w:t>
      </w:r>
      <w:r>
        <w:rPr>
          <w:rFonts w:hint="eastAsia" w:ascii="宋体" w:hAnsi="宋体" w:eastAsia="宋体" w:cs="宋体"/>
          <w:color w:val="auto"/>
          <w:spacing w:val="4"/>
          <w:sz w:val="24"/>
          <w:szCs w:val="24"/>
          <w:highlight w:val="none"/>
          <w:lang w:eastAsia="zh-CN"/>
        </w:rPr>
        <w:t>，本公司为监狱企业。</w:t>
      </w:r>
    </w:p>
    <w:p w14:paraId="6DC54689">
      <w:pPr>
        <w:spacing w:line="360" w:lineRule="auto"/>
        <w:rPr>
          <w:rFonts w:ascii="宋体" w:hAnsi="宋体" w:eastAsia="宋体" w:cs="宋体"/>
          <w:color w:val="auto"/>
          <w:highlight w:val="none"/>
          <w:lang w:eastAsia="zh-CN"/>
        </w:rPr>
      </w:pPr>
    </w:p>
    <w:p w14:paraId="170F6D9E">
      <w:pPr>
        <w:spacing w:line="360" w:lineRule="auto"/>
        <w:rPr>
          <w:rFonts w:ascii="宋体" w:hAnsi="宋体" w:eastAsia="宋体" w:cs="宋体"/>
          <w:color w:val="auto"/>
          <w:highlight w:val="none"/>
          <w:lang w:eastAsia="zh-CN"/>
        </w:rPr>
      </w:pPr>
    </w:p>
    <w:p w14:paraId="1BE7E01C">
      <w:pPr>
        <w:spacing w:line="360" w:lineRule="auto"/>
        <w:rPr>
          <w:rFonts w:ascii="宋体" w:hAnsi="宋体" w:eastAsia="宋体" w:cs="宋体"/>
          <w:color w:val="auto"/>
          <w:highlight w:val="none"/>
          <w:lang w:eastAsia="zh-CN"/>
        </w:rPr>
      </w:pPr>
    </w:p>
    <w:p w14:paraId="1283C7AA">
      <w:pPr>
        <w:spacing w:line="360" w:lineRule="auto"/>
        <w:rPr>
          <w:rFonts w:ascii="宋体" w:hAnsi="宋体" w:eastAsia="宋体" w:cs="宋体"/>
          <w:color w:val="auto"/>
          <w:highlight w:val="none"/>
          <w:lang w:eastAsia="zh-CN"/>
        </w:rPr>
      </w:pPr>
    </w:p>
    <w:p w14:paraId="35348CB6">
      <w:pPr>
        <w:spacing w:line="360" w:lineRule="auto"/>
        <w:rPr>
          <w:rFonts w:ascii="宋体" w:hAnsi="宋体" w:eastAsia="宋体" w:cs="宋体"/>
          <w:color w:val="auto"/>
          <w:highlight w:val="none"/>
          <w:lang w:eastAsia="zh-CN"/>
        </w:rPr>
      </w:pPr>
    </w:p>
    <w:p w14:paraId="72B3476A">
      <w:pPr>
        <w:spacing w:before="78" w:line="360" w:lineRule="auto"/>
        <w:ind w:left="431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供应商名称（公章)：</w:t>
      </w:r>
    </w:p>
    <w:p w14:paraId="1D57CADB">
      <w:pPr>
        <w:spacing w:before="184" w:line="360" w:lineRule="auto"/>
        <w:ind w:left="4348"/>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日期：</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年</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月</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日</w:t>
      </w:r>
    </w:p>
    <w:p w14:paraId="54C7F992">
      <w:pPr>
        <w:spacing w:line="360" w:lineRule="auto"/>
        <w:rPr>
          <w:rFonts w:ascii="宋体" w:hAnsi="宋体" w:eastAsia="宋体" w:cs="宋体"/>
          <w:color w:val="auto"/>
          <w:highlight w:val="none"/>
          <w:lang w:eastAsia="zh-CN"/>
        </w:rPr>
      </w:pPr>
    </w:p>
    <w:p w14:paraId="5FFF5F78">
      <w:pPr>
        <w:spacing w:line="360" w:lineRule="auto"/>
        <w:rPr>
          <w:rFonts w:ascii="宋体" w:hAnsi="宋体" w:eastAsia="宋体" w:cs="宋体"/>
          <w:color w:val="auto"/>
          <w:highlight w:val="none"/>
          <w:lang w:eastAsia="zh-CN"/>
        </w:rPr>
      </w:pPr>
    </w:p>
    <w:p w14:paraId="330AFC91">
      <w:pPr>
        <w:spacing w:line="360" w:lineRule="auto"/>
        <w:rPr>
          <w:rFonts w:ascii="宋体" w:hAnsi="宋体" w:eastAsia="宋体" w:cs="宋体"/>
          <w:color w:val="auto"/>
          <w:highlight w:val="none"/>
          <w:lang w:eastAsia="zh-CN"/>
        </w:rPr>
      </w:pPr>
    </w:p>
    <w:p w14:paraId="03799341">
      <w:pPr>
        <w:spacing w:line="360" w:lineRule="auto"/>
        <w:rPr>
          <w:rFonts w:ascii="宋体" w:hAnsi="宋体" w:eastAsia="宋体" w:cs="宋体"/>
          <w:color w:val="auto"/>
          <w:highlight w:val="none"/>
          <w:lang w:eastAsia="zh-CN"/>
        </w:rPr>
      </w:pPr>
    </w:p>
    <w:p w14:paraId="0F7709B4">
      <w:pPr>
        <w:spacing w:before="79" w:line="360" w:lineRule="auto"/>
        <w:ind w:left="3394" w:right="1360" w:hanging="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省级以上监狱管理局、戒毒管理局</w:t>
      </w:r>
      <w:r>
        <w:rPr>
          <w:rFonts w:hint="eastAsia" w:ascii="宋体" w:hAnsi="宋体" w:eastAsia="宋体" w:cs="宋体"/>
          <w:color w:val="auto"/>
          <w:spacing w:val="-5"/>
          <w:sz w:val="24"/>
          <w:szCs w:val="24"/>
          <w:highlight w:val="none"/>
          <w:lang w:eastAsia="zh-CN"/>
        </w:rPr>
        <w:t>（含新疆生产建设兵团）(盖章)：</w:t>
      </w:r>
    </w:p>
    <w:p w14:paraId="1D8CB5E0">
      <w:pPr>
        <w:spacing w:before="36" w:line="360" w:lineRule="auto"/>
        <w:ind w:left="4384"/>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日期：年月日</w:t>
      </w:r>
    </w:p>
    <w:p w14:paraId="0FA285DB">
      <w:pPr>
        <w:spacing w:line="360" w:lineRule="auto"/>
        <w:rPr>
          <w:rFonts w:ascii="宋体" w:hAnsi="宋体" w:eastAsia="宋体" w:cs="宋体"/>
          <w:color w:val="auto"/>
          <w:highlight w:val="none"/>
          <w:lang w:eastAsia="zh-CN"/>
        </w:rPr>
      </w:pPr>
    </w:p>
    <w:p w14:paraId="04E8AC24">
      <w:pPr>
        <w:pageBreakBefore/>
        <w:spacing w:before="97" w:line="360" w:lineRule="auto"/>
        <w:ind w:left="40"/>
        <w:outlineLvl w:val="2"/>
        <w:rPr>
          <w:rFonts w:ascii="宋体" w:hAnsi="宋体" w:eastAsia="宋体" w:cs="宋体"/>
          <w:b/>
          <w:bCs/>
          <w:color w:val="auto"/>
          <w:spacing w:val="-3"/>
          <w:sz w:val="24"/>
          <w:szCs w:val="24"/>
          <w:highlight w:val="none"/>
          <w:lang w:eastAsia="zh-CN"/>
        </w:rPr>
      </w:pPr>
      <w:bookmarkStart w:id="343" w:name="bookmark245"/>
      <w:bookmarkEnd w:id="343"/>
      <w:bookmarkStart w:id="344" w:name="_Toc186477804"/>
      <w:bookmarkStart w:id="345" w:name="_Toc25340"/>
      <w:r>
        <w:rPr>
          <w:rFonts w:hint="eastAsia" w:ascii="宋体" w:hAnsi="宋体" w:eastAsia="宋体" w:cs="宋体"/>
          <w:b/>
          <w:bCs/>
          <w:color w:val="auto"/>
          <w:spacing w:val="-3"/>
          <w:sz w:val="24"/>
          <w:szCs w:val="24"/>
          <w:highlight w:val="none"/>
          <w:lang w:eastAsia="zh-CN"/>
        </w:rPr>
        <w:t>（三）残疾人福利性单位声明函【如适用】</w:t>
      </w:r>
      <w:bookmarkEnd w:id="344"/>
      <w:bookmarkEnd w:id="345"/>
    </w:p>
    <w:p w14:paraId="1C394C87">
      <w:pPr>
        <w:spacing w:line="360" w:lineRule="auto"/>
        <w:rPr>
          <w:rFonts w:ascii="宋体" w:hAnsi="宋体" w:eastAsia="宋体" w:cs="宋体"/>
          <w:color w:val="auto"/>
          <w:highlight w:val="none"/>
          <w:lang w:eastAsia="zh-CN"/>
        </w:rPr>
      </w:pPr>
    </w:p>
    <w:p w14:paraId="41289808">
      <w:pPr>
        <w:spacing w:before="101" w:line="360" w:lineRule="auto"/>
        <w:ind w:left="2412"/>
        <w:rPr>
          <w:rFonts w:ascii="宋体" w:hAnsi="宋体" w:eastAsia="宋体" w:cs="宋体"/>
          <w:color w:val="auto"/>
          <w:sz w:val="31"/>
          <w:szCs w:val="31"/>
          <w:highlight w:val="none"/>
          <w:lang w:eastAsia="zh-CN"/>
        </w:rPr>
      </w:pPr>
      <w:bookmarkStart w:id="346" w:name="bookmark246"/>
      <w:bookmarkEnd w:id="346"/>
      <w:r>
        <w:rPr>
          <w:rFonts w:hint="eastAsia" w:ascii="宋体" w:hAnsi="宋体" w:eastAsia="宋体" w:cs="宋体"/>
          <w:b/>
          <w:bCs/>
          <w:color w:val="auto"/>
          <w:spacing w:val="6"/>
          <w:sz w:val="31"/>
          <w:szCs w:val="31"/>
          <w:highlight w:val="none"/>
          <w:lang w:eastAsia="zh-CN"/>
        </w:rPr>
        <w:t>残疾人福利性单位声明函</w:t>
      </w:r>
    </w:p>
    <w:p w14:paraId="316BDC82">
      <w:pPr>
        <w:spacing w:line="360" w:lineRule="auto"/>
        <w:rPr>
          <w:rFonts w:ascii="宋体" w:hAnsi="宋体" w:eastAsia="宋体" w:cs="宋体"/>
          <w:color w:val="auto"/>
          <w:highlight w:val="none"/>
          <w:lang w:eastAsia="zh-CN"/>
        </w:rPr>
      </w:pPr>
    </w:p>
    <w:p w14:paraId="5A650982">
      <w:pPr>
        <w:spacing w:line="360" w:lineRule="auto"/>
        <w:rPr>
          <w:rFonts w:ascii="宋体" w:hAnsi="宋体" w:eastAsia="宋体" w:cs="宋体"/>
          <w:color w:val="auto"/>
          <w:highlight w:val="none"/>
          <w:lang w:eastAsia="zh-CN"/>
        </w:rPr>
      </w:pPr>
    </w:p>
    <w:p w14:paraId="47C34B4B">
      <w:pPr>
        <w:spacing w:before="78" w:line="360" w:lineRule="auto"/>
        <w:ind w:left="24" w:right="32"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本公司（联合体）郑重声明，根据《财政部民政部</w:t>
      </w:r>
      <w:r>
        <w:rPr>
          <w:rFonts w:hint="eastAsia" w:ascii="宋体" w:hAnsi="宋体" w:eastAsia="宋体" w:cs="宋体"/>
          <w:color w:val="auto"/>
          <w:spacing w:val="-6"/>
          <w:sz w:val="24"/>
          <w:szCs w:val="24"/>
          <w:highlight w:val="none"/>
          <w:lang w:eastAsia="zh-CN"/>
        </w:rPr>
        <w:t>中国残疾人联合会关于</w:t>
      </w:r>
      <w:r>
        <w:rPr>
          <w:rFonts w:hint="eastAsia" w:ascii="宋体" w:hAnsi="宋体" w:eastAsia="宋体" w:cs="宋体"/>
          <w:color w:val="auto"/>
          <w:spacing w:val="-2"/>
          <w:sz w:val="24"/>
          <w:szCs w:val="24"/>
          <w:highlight w:val="none"/>
          <w:lang w:eastAsia="zh-CN"/>
        </w:rPr>
        <w:t>促进残疾人就业政府采购政策的通知》（财库〔2017〕141号）的规定，本公司（联合体）参加</w:t>
      </w:r>
      <w:r>
        <w:rPr>
          <w:rFonts w:hint="eastAsia" w:ascii="宋体" w:hAnsi="宋体" w:eastAsia="宋体" w:cs="宋体"/>
          <w:i/>
          <w:iCs/>
          <w:color w:val="auto"/>
          <w:spacing w:val="-2"/>
          <w:sz w:val="25"/>
          <w:szCs w:val="25"/>
          <w:highlight w:val="none"/>
          <w:u w:val="single"/>
          <w:lang w:eastAsia="zh-CN"/>
        </w:rPr>
        <w:t>（单位名称）</w:t>
      </w:r>
      <w:r>
        <w:rPr>
          <w:rFonts w:hint="eastAsia" w:ascii="宋体" w:hAnsi="宋体" w:eastAsia="宋体" w:cs="宋体"/>
          <w:color w:val="auto"/>
          <w:spacing w:val="-2"/>
          <w:sz w:val="24"/>
          <w:szCs w:val="24"/>
          <w:highlight w:val="none"/>
          <w:lang w:eastAsia="zh-CN"/>
        </w:rPr>
        <w:t>的</w:t>
      </w:r>
      <w:r>
        <w:rPr>
          <w:rFonts w:hint="eastAsia" w:ascii="宋体" w:hAnsi="宋体" w:eastAsia="宋体" w:cs="宋体"/>
          <w:i/>
          <w:iCs/>
          <w:color w:val="auto"/>
          <w:spacing w:val="-2"/>
          <w:sz w:val="25"/>
          <w:szCs w:val="25"/>
          <w:highlight w:val="none"/>
          <w:u w:val="single"/>
          <w:lang w:eastAsia="zh-CN"/>
        </w:rPr>
        <w:t>（项目名称）</w:t>
      </w:r>
      <w:r>
        <w:rPr>
          <w:rFonts w:hint="eastAsia" w:ascii="宋体" w:hAnsi="宋体" w:eastAsia="宋体" w:cs="宋体"/>
          <w:color w:val="auto"/>
          <w:spacing w:val="-2"/>
          <w:sz w:val="24"/>
          <w:szCs w:val="24"/>
          <w:highlight w:val="none"/>
          <w:lang w:eastAsia="zh-CN"/>
        </w:rPr>
        <w:t>采购活动，提供的货物</w:t>
      </w:r>
      <w:r>
        <w:rPr>
          <w:rFonts w:hint="eastAsia" w:ascii="宋体" w:hAnsi="宋体" w:eastAsia="宋体" w:cs="宋体"/>
          <w:b/>
          <w:bCs/>
          <w:color w:val="auto"/>
          <w:spacing w:val="-2"/>
          <w:sz w:val="24"/>
          <w:szCs w:val="24"/>
          <w:highlight w:val="none"/>
          <w:lang w:eastAsia="zh-CN"/>
        </w:rPr>
        <w:t>全部由</w:t>
      </w:r>
      <w:r>
        <w:rPr>
          <w:rFonts w:hint="eastAsia" w:ascii="宋体" w:hAnsi="宋体" w:eastAsia="宋体" w:cs="宋体"/>
          <w:color w:val="auto"/>
          <w:spacing w:val="-4"/>
          <w:sz w:val="24"/>
          <w:szCs w:val="24"/>
          <w:highlight w:val="none"/>
          <w:lang w:eastAsia="zh-CN"/>
        </w:rPr>
        <w:t>符合政策要求的</w:t>
      </w:r>
      <w:r>
        <w:rPr>
          <w:rFonts w:hint="eastAsia" w:ascii="宋体" w:hAnsi="宋体" w:eastAsia="宋体" w:cs="宋体"/>
          <w:b/>
          <w:bCs/>
          <w:color w:val="auto"/>
          <w:spacing w:val="-4"/>
          <w:sz w:val="24"/>
          <w:szCs w:val="24"/>
          <w:highlight w:val="none"/>
          <w:lang w:eastAsia="zh-CN"/>
        </w:rPr>
        <w:t>残疾人福利性单位制造</w:t>
      </w:r>
      <w:r>
        <w:rPr>
          <w:rFonts w:hint="eastAsia" w:ascii="宋体" w:hAnsi="宋体" w:eastAsia="宋体" w:cs="宋体"/>
          <w:color w:val="auto"/>
          <w:spacing w:val="-4"/>
          <w:sz w:val="24"/>
          <w:szCs w:val="24"/>
          <w:highlight w:val="none"/>
          <w:lang w:eastAsia="zh-CN"/>
        </w:rPr>
        <w:t>。相关企业（含联合体中的残疾人福利性</w:t>
      </w:r>
      <w:r>
        <w:rPr>
          <w:rFonts w:hint="eastAsia" w:ascii="宋体" w:hAnsi="宋体" w:eastAsia="宋体" w:cs="宋体"/>
          <w:color w:val="auto"/>
          <w:spacing w:val="-1"/>
          <w:sz w:val="24"/>
          <w:szCs w:val="24"/>
          <w:highlight w:val="none"/>
          <w:lang w:eastAsia="zh-CN"/>
        </w:rPr>
        <w:t>单位、签订分包意向协议书的残疾人福利性单位）的具体情况如下：</w:t>
      </w:r>
    </w:p>
    <w:p w14:paraId="7026824D">
      <w:pPr>
        <w:spacing w:before="36" w:line="360" w:lineRule="auto"/>
        <w:ind w:left="506" w:firstLine="1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i/>
          <w:iCs/>
          <w:color w:val="auto"/>
          <w:spacing w:val="-3"/>
          <w:sz w:val="25"/>
          <w:szCs w:val="25"/>
          <w:highlight w:val="none"/>
          <w:u w:val="single"/>
          <w:lang w:eastAsia="zh-CN"/>
        </w:rPr>
        <w:t>（标的名称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制造商为 </w:t>
      </w:r>
      <w:r>
        <w:rPr>
          <w:rFonts w:hint="eastAsia" w:ascii="宋体" w:hAnsi="宋体" w:eastAsia="宋体" w:cs="宋体"/>
          <w:i/>
          <w:iCs/>
          <w:color w:val="auto"/>
          <w:spacing w:val="-3"/>
          <w:sz w:val="25"/>
          <w:szCs w:val="25"/>
          <w:highlight w:val="none"/>
          <w:u w:val="single"/>
          <w:lang w:eastAsia="zh-CN"/>
        </w:rPr>
        <w:t>（企业名称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属于残疾人福利性单位；2. </w:t>
      </w:r>
      <w:r>
        <w:rPr>
          <w:rFonts w:hint="eastAsia" w:ascii="宋体" w:hAnsi="宋体" w:eastAsia="宋体" w:cs="宋体"/>
          <w:i/>
          <w:iCs/>
          <w:color w:val="auto"/>
          <w:spacing w:val="-3"/>
          <w:sz w:val="25"/>
          <w:szCs w:val="25"/>
          <w:highlight w:val="none"/>
          <w:u w:val="single"/>
          <w:lang w:eastAsia="zh-CN"/>
        </w:rPr>
        <w:t>（标的名称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制造商为 </w:t>
      </w:r>
      <w:r>
        <w:rPr>
          <w:rFonts w:hint="eastAsia" w:ascii="宋体" w:hAnsi="宋体" w:eastAsia="宋体" w:cs="宋体"/>
          <w:i/>
          <w:iCs/>
          <w:color w:val="auto"/>
          <w:spacing w:val="-3"/>
          <w:sz w:val="25"/>
          <w:szCs w:val="25"/>
          <w:highlight w:val="none"/>
          <w:u w:val="single"/>
          <w:lang w:eastAsia="zh-CN"/>
        </w:rPr>
        <w:t>（企业名称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属于残疾人福利性</w:t>
      </w:r>
      <w:r>
        <w:rPr>
          <w:rFonts w:hint="eastAsia" w:ascii="宋体" w:hAnsi="宋体" w:eastAsia="宋体" w:cs="宋体"/>
          <w:color w:val="auto"/>
          <w:spacing w:val="-4"/>
          <w:sz w:val="24"/>
          <w:szCs w:val="24"/>
          <w:highlight w:val="none"/>
          <w:lang w:eastAsia="zh-CN"/>
        </w:rPr>
        <w:t>单位；</w:t>
      </w:r>
      <w:r>
        <w:rPr>
          <w:rFonts w:hint="eastAsia" w:ascii="宋体" w:hAnsi="宋体" w:eastAsia="宋体" w:cs="宋体"/>
          <w:color w:val="auto"/>
          <w:spacing w:val="-7"/>
          <w:sz w:val="24"/>
          <w:szCs w:val="24"/>
          <w:highlight w:val="none"/>
          <w:lang w:eastAsia="zh-CN"/>
        </w:rPr>
        <w:t>……</w:t>
      </w:r>
    </w:p>
    <w:p w14:paraId="01FD13F9">
      <w:pPr>
        <w:spacing w:before="1" w:line="360" w:lineRule="auto"/>
        <w:ind w:left="27" w:right="32" w:firstLine="50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以上企业，不属于大企业的分支机构，不存在控股股东为大企业的情形，也</w:t>
      </w:r>
      <w:r>
        <w:rPr>
          <w:rFonts w:hint="eastAsia" w:ascii="宋体" w:hAnsi="宋体" w:eastAsia="宋体" w:cs="宋体"/>
          <w:color w:val="auto"/>
          <w:spacing w:val="-1"/>
          <w:sz w:val="24"/>
          <w:szCs w:val="24"/>
          <w:highlight w:val="none"/>
          <w:lang w:eastAsia="zh-CN"/>
        </w:rPr>
        <w:t>不存在与大企业的负责人为同一人的情形。</w:t>
      </w:r>
    </w:p>
    <w:p w14:paraId="4A1F8406">
      <w:pPr>
        <w:spacing w:before="34" w:line="360"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w:t>
      </w:r>
      <w:r>
        <w:rPr>
          <w:rFonts w:hint="eastAsia" w:ascii="宋体" w:hAnsi="宋体" w:eastAsia="宋体" w:cs="宋体"/>
          <w:color w:val="auto"/>
          <w:spacing w:val="-1"/>
          <w:sz w:val="24"/>
          <w:szCs w:val="24"/>
          <w:highlight w:val="none"/>
          <w:lang w:eastAsia="zh-CN"/>
        </w:rPr>
        <w:t>假，将依法承担相应责任。</w:t>
      </w:r>
    </w:p>
    <w:p w14:paraId="2A3453E3">
      <w:pPr>
        <w:spacing w:line="360" w:lineRule="auto"/>
        <w:rPr>
          <w:rFonts w:ascii="宋体" w:hAnsi="宋体" w:eastAsia="宋体" w:cs="宋体"/>
          <w:color w:val="auto"/>
          <w:highlight w:val="none"/>
          <w:lang w:eastAsia="zh-CN"/>
        </w:rPr>
      </w:pPr>
    </w:p>
    <w:p w14:paraId="0E33C291">
      <w:pPr>
        <w:spacing w:line="360" w:lineRule="auto"/>
        <w:rPr>
          <w:rFonts w:ascii="宋体" w:hAnsi="宋体" w:eastAsia="宋体" w:cs="宋体"/>
          <w:color w:val="auto"/>
          <w:highlight w:val="none"/>
          <w:lang w:eastAsia="zh-CN"/>
        </w:rPr>
      </w:pPr>
    </w:p>
    <w:p w14:paraId="4227CB8C">
      <w:pPr>
        <w:spacing w:before="78" w:line="360" w:lineRule="auto"/>
        <w:ind w:left="1112" w:right="51" w:hanging="108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说明：</w:t>
      </w:r>
      <w:r>
        <w:rPr>
          <w:rFonts w:hint="eastAsia" w:ascii="宋体" w:hAnsi="宋体" w:eastAsia="宋体" w:cs="宋体"/>
          <w:color w:val="auto"/>
          <w:spacing w:val="-1"/>
          <w:sz w:val="24"/>
          <w:szCs w:val="24"/>
          <w:highlight w:val="none"/>
          <w:lang w:eastAsia="zh-CN"/>
        </w:rPr>
        <w:t>1、货物应当全部由符合政策要求的残疾人福利性单位生产且使用该残疾人福利性单位商号或注册商标（与代理商或投标人无关</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应当严格按上述格式及内容进行填写（应当明确每个标的的生产企业类型及相</w:t>
      </w:r>
      <w:r>
        <w:rPr>
          <w:rFonts w:hint="eastAsia" w:ascii="宋体" w:hAnsi="宋体" w:eastAsia="宋体" w:cs="宋体"/>
          <w:color w:val="auto"/>
          <w:spacing w:val="-2"/>
          <w:sz w:val="24"/>
          <w:szCs w:val="24"/>
          <w:highlight w:val="none"/>
          <w:lang w:eastAsia="zh-CN"/>
        </w:rPr>
        <w:t>关数据</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2"/>
          <w:sz w:val="24"/>
          <w:szCs w:val="24"/>
          <w:highlight w:val="none"/>
          <w:lang w:eastAsia="zh-CN"/>
        </w:rPr>
        <w:t>否则导致的后果由投标人自行承担；</w:t>
      </w:r>
    </w:p>
    <w:p w14:paraId="4EED0C7B">
      <w:pPr>
        <w:spacing w:before="35" w:line="360" w:lineRule="auto"/>
        <w:ind w:left="74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2、以联合体形式参加的，应当由联合体各方盖章。</w:t>
      </w:r>
    </w:p>
    <w:p w14:paraId="1F301056">
      <w:pPr>
        <w:spacing w:line="360" w:lineRule="auto"/>
        <w:rPr>
          <w:rFonts w:ascii="宋体" w:hAnsi="宋体" w:eastAsia="宋体" w:cs="宋体"/>
          <w:color w:val="auto"/>
          <w:highlight w:val="none"/>
          <w:lang w:eastAsia="zh-CN"/>
        </w:rPr>
      </w:pPr>
    </w:p>
    <w:p w14:paraId="01A21B25">
      <w:pPr>
        <w:spacing w:before="78" w:line="360" w:lineRule="auto"/>
        <w:ind w:left="3381" w:right="1062" w:hanging="38"/>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供应商名称（公章)：</w:t>
      </w:r>
    </w:p>
    <w:p w14:paraId="5EBF40C5">
      <w:pPr>
        <w:spacing w:before="78" w:line="360" w:lineRule="auto"/>
        <w:ind w:left="3381" w:right="1062" w:hanging="38"/>
        <w:rPr>
          <w:rFonts w:ascii="宋体" w:hAnsi="宋体" w:eastAsia="宋体" w:cs="宋体"/>
          <w:color w:val="auto"/>
          <w:sz w:val="24"/>
          <w:szCs w:val="24"/>
          <w:highlight w:val="none"/>
          <w:lang w:eastAsia="zh-CN"/>
        </w:rPr>
      </w:pPr>
      <w:r>
        <w:rPr>
          <w:rFonts w:hint="eastAsia" w:ascii="宋体" w:hAnsi="宋体" w:eastAsia="宋体" w:cs="宋体"/>
          <w:color w:val="auto"/>
          <w:spacing w:val="-32"/>
          <w:sz w:val="24"/>
          <w:szCs w:val="24"/>
          <w:highlight w:val="none"/>
          <w:lang w:eastAsia="zh-CN"/>
        </w:rPr>
        <w:t>日期：</w:t>
      </w:r>
    </w:p>
    <w:p w14:paraId="6B3444B3">
      <w:pPr>
        <w:spacing w:line="360" w:lineRule="auto"/>
        <w:rPr>
          <w:rFonts w:ascii="宋体" w:hAnsi="宋体" w:eastAsia="宋体" w:cs="宋体"/>
          <w:color w:val="auto"/>
          <w:highlight w:val="none"/>
          <w:lang w:eastAsia="zh-CN"/>
        </w:rPr>
      </w:pPr>
    </w:p>
    <w:p w14:paraId="5527A42A">
      <w:pPr>
        <w:pageBreakBefore/>
        <w:spacing w:before="101" w:line="360" w:lineRule="auto"/>
        <w:ind w:left="28"/>
        <w:outlineLvl w:val="1"/>
        <w:rPr>
          <w:rFonts w:ascii="宋体" w:hAnsi="宋体" w:eastAsia="宋体" w:cs="宋体"/>
          <w:color w:val="auto"/>
          <w:sz w:val="31"/>
          <w:szCs w:val="31"/>
          <w:highlight w:val="none"/>
          <w:lang w:eastAsia="zh-CN"/>
        </w:rPr>
      </w:pPr>
      <w:bookmarkStart w:id="347" w:name="bookmark252"/>
      <w:bookmarkEnd w:id="347"/>
      <w:bookmarkStart w:id="348" w:name="bookmark248"/>
      <w:bookmarkEnd w:id="348"/>
      <w:bookmarkStart w:id="349" w:name="bookmark247"/>
      <w:bookmarkEnd w:id="349"/>
      <w:bookmarkStart w:id="350" w:name="bookmark250"/>
      <w:bookmarkEnd w:id="350"/>
      <w:bookmarkStart w:id="351" w:name="_Toc186477805"/>
      <w:bookmarkStart w:id="352" w:name="_Toc27981"/>
      <w:r>
        <w:rPr>
          <w:rFonts w:hint="eastAsia" w:ascii="宋体" w:hAnsi="宋体" w:eastAsia="宋体" w:cs="宋体"/>
          <w:b/>
          <w:bCs/>
          <w:color w:val="auto"/>
          <w:spacing w:val="6"/>
          <w:sz w:val="31"/>
          <w:szCs w:val="31"/>
          <w:highlight w:val="none"/>
          <w:lang w:eastAsia="zh-CN"/>
        </w:rPr>
        <w:t>三、不参与围标串标承诺书</w:t>
      </w:r>
      <w:bookmarkEnd w:id="351"/>
      <w:bookmarkEnd w:id="352"/>
    </w:p>
    <w:p w14:paraId="002FA79A">
      <w:pPr>
        <w:spacing w:line="360" w:lineRule="auto"/>
        <w:rPr>
          <w:rFonts w:ascii="宋体" w:hAnsi="宋体" w:eastAsia="宋体" w:cs="宋体"/>
          <w:color w:val="auto"/>
          <w:highlight w:val="none"/>
          <w:lang w:eastAsia="zh-CN"/>
        </w:rPr>
      </w:pPr>
    </w:p>
    <w:p w14:paraId="6F77335E">
      <w:pPr>
        <w:spacing w:line="360" w:lineRule="auto"/>
        <w:rPr>
          <w:rFonts w:ascii="宋体" w:hAnsi="宋体" w:eastAsia="宋体" w:cs="宋体"/>
          <w:color w:val="auto"/>
          <w:highlight w:val="none"/>
          <w:lang w:eastAsia="zh-CN"/>
        </w:rPr>
      </w:pPr>
    </w:p>
    <w:p w14:paraId="6E508ECC">
      <w:pPr>
        <w:spacing w:before="101" w:line="360" w:lineRule="auto"/>
        <w:ind w:left="2578"/>
        <w:rPr>
          <w:rFonts w:ascii="宋体" w:hAnsi="宋体" w:eastAsia="宋体" w:cs="宋体"/>
          <w:color w:val="auto"/>
          <w:sz w:val="31"/>
          <w:szCs w:val="31"/>
          <w:highlight w:val="none"/>
          <w:lang w:eastAsia="zh-CN"/>
        </w:rPr>
      </w:pPr>
      <w:bookmarkStart w:id="353" w:name="bookmark249"/>
      <w:bookmarkEnd w:id="353"/>
      <w:bookmarkStart w:id="354" w:name="_Toc29898"/>
      <w:bookmarkStart w:id="355" w:name="_Toc186477806"/>
      <w:r>
        <w:rPr>
          <w:rFonts w:hint="eastAsia" w:ascii="宋体" w:hAnsi="宋体" w:eastAsia="宋体" w:cs="宋体"/>
          <w:b/>
          <w:bCs/>
          <w:color w:val="auto"/>
          <w:spacing w:val="6"/>
          <w:sz w:val="31"/>
          <w:szCs w:val="31"/>
          <w:highlight w:val="none"/>
          <w:lang w:eastAsia="zh-CN"/>
        </w:rPr>
        <w:t>不参与围标串标承诺书</w:t>
      </w:r>
      <w:bookmarkEnd w:id="354"/>
      <w:bookmarkEnd w:id="355"/>
    </w:p>
    <w:p w14:paraId="5596B486">
      <w:pPr>
        <w:spacing w:line="360" w:lineRule="auto"/>
        <w:rPr>
          <w:rFonts w:ascii="宋体" w:hAnsi="宋体" w:eastAsia="宋体" w:cs="宋体"/>
          <w:color w:val="auto"/>
          <w:highlight w:val="none"/>
          <w:lang w:eastAsia="zh-CN"/>
        </w:rPr>
      </w:pPr>
    </w:p>
    <w:p w14:paraId="2587DEB0">
      <w:pPr>
        <w:spacing w:before="78" w:line="360" w:lineRule="auto"/>
        <w:ind w:left="27" w:right="160" w:firstLine="47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本人作为经授权的投标人代表,清楚知晓我单位</w:t>
      </w:r>
      <w:r>
        <w:rPr>
          <w:rFonts w:hint="eastAsia" w:ascii="宋体" w:hAnsi="宋体" w:eastAsia="宋体" w:cs="宋体"/>
          <w:color w:val="auto"/>
          <w:spacing w:val="-1"/>
          <w:sz w:val="24"/>
          <w:szCs w:val="24"/>
          <w:highlight w:val="none"/>
          <w:lang w:eastAsia="zh-CN"/>
        </w:rPr>
        <w:t>本项目投标活动,对以下事</w:t>
      </w:r>
      <w:r>
        <w:rPr>
          <w:rFonts w:hint="eastAsia" w:ascii="宋体" w:hAnsi="宋体" w:eastAsia="宋体" w:cs="宋体"/>
          <w:color w:val="auto"/>
          <w:spacing w:val="-3"/>
          <w:sz w:val="24"/>
          <w:szCs w:val="24"/>
          <w:highlight w:val="none"/>
          <w:lang w:eastAsia="zh-CN"/>
        </w:rPr>
        <w:t>项作出承诺：</w:t>
      </w:r>
    </w:p>
    <w:p w14:paraId="26126D79">
      <w:pPr>
        <w:spacing w:before="78" w:line="360" w:lineRule="auto"/>
        <w:ind w:left="24" w:right="4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一、我单位和我本人遵循公开透明、公平竞争、公正和诚实信用的原则,依法依规参与本项目竞标。</w:t>
      </w:r>
    </w:p>
    <w:p w14:paraId="0AA8FFAA">
      <w:pPr>
        <w:spacing w:before="184" w:line="36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二、我单位和我本人在本项目政府采购投标活动中,未参与围标串标。</w:t>
      </w:r>
    </w:p>
    <w:p w14:paraId="2C28EBCC">
      <w:pPr>
        <w:spacing w:before="187" w:line="360" w:lineRule="auto"/>
        <w:ind w:left="24" w:right="13"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三、我单位如被查实在本项目政府采购投标活动中存在围标串标</w:t>
      </w:r>
      <w:r>
        <w:rPr>
          <w:rFonts w:hint="eastAsia" w:ascii="宋体" w:hAnsi="宋体" w:eastAsia="宋体" w:cs="宋体"/>
          <w:color w:val="auto"/>
          <w:spacing w:val="-4"/>
          <w:sz w:val="24"/>
          <w:szCs w:val="24"/>
          <w:highlight w:val="none"/>
          <w:lang w:eastAsia="zh-CN"/>
        </w:rPr>
        <w:t>的，递交投</w:t>
      </w:r>
      <w:r>
        <w:rPr>
          <w:rFonts w:hint="eastAsia" w:ascii="宋体" w:hAnsi="宋体" w:eastAsia="宋体" w:cs="宋体"/>
          <w:color w:val="auto"/>
          <w:sz w:val="24"/>
          <w:szCs w:val="24"/>
          <w:highlight w:val="none"/>
          <w:lang w:eastAsia="zh-CN"/>
        </w:rPr>
        <w:t>标文件行为作为实施串通投标违法行为的关键环节,</w:t>
      </w:r>
      <w:r>
        <w:rPr>
          <w:rFonts w:hint="eastAsia" w:ascii="宋体" w:hAnsi="宋体" w:eastAsia="宋体" w:cs="宋体"/>
          <w:color w:val="auto"/>
          <w:spacing w:val="-1"/>
          <w:sz w:val="24"/>
          <w:szCs w:val="24"/>
          <w:highlight w:val="none"/>
          <w:lang w:eastAsia="zh-CN"/>
        </w:rPr>
        <w:t>由我单位及法定代表人承担</w:t>
      </w:r>
    </w:p>
    <w:p w14:paraId="5F7A9660">
      <w:pPr>
        <w:spacing w:before="187" w:line="360" w:lineRule="auto"/>
        <w:ind w:left="2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相应的法律责任，接受相应行政处罚和失信惩戒。</w:t>
      </w:r>
    </w:p>
    <w:p w14:paraId="600F1008">
      <w:pPr>
        <w:spacing w:line="360" w:lineRule="auto"/>
        <w:rPr>
          <w:rFonts w:ascii="宋体" w:hAnsi="宋体" w:eastAsia="宋体" w:cs="宋体"/>
          <w:color w:val="auto"/>
          <w:highlight w:val="none"/>
          <w:lang w:eastAsia="zh-CN"/>
        </w:rPr>
      </w:pPr>
    </w:p>
    <w:p w14:paraId="461EE71A">
      <w:pPr>
        <w:spacing w:line="360" w:lineRule="auto"/>
        <w:rPr>
          <w:rFonts w:ascii="宋体" w:hAnsi="宋体" w:eastAsia="宋体" w:cs="宋体"/>
          <w:color w:val="auto"/>
          <w:highlight w:val="none"/>
          <w:lang w:eastAsia="zh-CN"/>
        </w:rPr>
      </w:pPr>
    </w:p>
    <w:p w14:paraId="7F505BFE">
      <w:pPr>
        <w:spacing w:line="360" w:lineRule="auto"/>
        <w:rPr>
          <w:rFonts w:ascii="宋体" w:hAnsi="宋体" w:eastAsia="宋体" w:cs="宋体"/>
          <w:color w:val="auto"/>
          <w:highlight w:val="none"/>
          <w:lang w:eastAsia="zh-CN"/>
        </w:rPr>
      </w:pPr>
    </w:p>
    <w:p w14:paraId="74868275">
      <w:pPr>
        <w:spacing w:line="360" w:lineRule="auto"/>
        <w:rPr>
          <w:rFonts w:ascii="宋体" w:hAnsi="宋体" w:eastAsia="宋体" w:cs="宋体"/>
          <w:color w:val="auto"/>
          <w:highlight w:val="none"/>
          <w:lang w:eastAsia="zh-CN"/>
        </w:rPr>
      </w:pPr>
    </w:p>
    <w:p w14:paraId="7C73CFC1">
      <w:pPr>
        <w:spacing w:line="360" w:lineRule="auto"/>
        <w:rPr>
          <w:rFonts w:ascii="宋体" w:hAnsi="宋体" w:eastAsia="宋体" w:cs="宋体"/>
          <w:color w:val="auto"/>
          <w:highlight w:val="none"/>
          <w:lang w:eastAsia="zh-CN"/>
        </w:rPr>
      </w:pPr>
    </w:p>
    <w:p w14:paraId="62D77024">
      <w:pPr>
        <w:spacing w:before="79" w:line="360" w:lineRule="auto"/>
        <w:ind w:left="2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p>
    <w:p w14:paraId="3DC9BF5F">
      <w:pPr>
        <w:spacing w:before="79" w:line="360" w:lineRule="auto"/>
        <w:ind w:left="26"/>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法定代表人、负责人、本人、或授权代表（签字或盖章）：</w:t>
      </w:r>
    </w:p>
    <w:p w14:paraId="6DE793EF">
      <w:pPr>
        <w:spacing w:before="79" w:line="360" w:lineRule="auto"/>
        <w:ind w:left="26"/>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日期：年月日</w:t>
      </w:r>
    </w:p>
    <w:p w14:paraId="1476B817">
      <w:pPr>
        <w:spacing w:line="360" w:lineRule="auto"/>
        <w:rPr>
          <w:rFonts w:ascii="宋体" w:hAnsi="宋体" w:eastAsia="宋体" w:cs="宋体"/>
          <w:color w:val="auto"/>
          <w:highlight w:val="none"/>
          <w:lang w:eastAsia="zh-CN"/>
        </w:rPr>
      </w:pPr>
    </w:p>
    <w:p w14:paraId="7DA79DDC">
      <w:pPr>
        <w:spacing w:line="360" w:lineRule="auto"/>
        <w:rPr>
          <w:rFonts w:ascii="宋体" w:hAnsi="宋体" w:eastAsia="宋体" w:cs="宋体"/>
          <w:color w:val="auto"/>
          <w:highlight w:val="none"/>
          <w:lang w:eastAsia="zh-CN"/>
        </w:rPr>
      </w:pPr>
    </w:p>
    <w:p w14:paraId="275BAD8B">
      <w:pPr>
        <w:pageBreakBefore/>
        <w:spacing w:before="100" w:line="360" w:lineRule="auto"/>
        <w:ind w:left="28"/>
        <w:outlineLvl w:val="1"/>
        <w:rPr>
          <w:rFonts w:ascii="宋体" w:hAnsi="宋体" w:eastAsia="宋体" w:cs="宋体"/>
          <w:color w:val="auto"/>
          <w:sz w:val="31"/>
          <w:szCs w:val="31"/>
          <w:highlight w:val="none"/>
          <w:lang w:eastAsia="zh-CN"/>
        </w:rPr>
      </w:pPr>
      <w:bookmarkStart w:id="356" w:name="bookmark287"/>
      <w:bookmarkEnd w:id="356"/>
      <w:bookmarkStart w:id="357" w:name="bookmark253"/>
      <w:bookmarkEnd w:id="357"/>
      <w:bookmarkStart w:id="358" w:name="_Toc186477807"/>
      <w:bookmarkStart w:id="359" w:name="_Toc4981"/>
      <w:r>
        <w:rPr>
          <w:rFonts w:hint="eastAsia" w:ascii="宋体" w:hAnsi="宋体" w:eastAsia="宋体" w:cs="宋体"/>
          <w:b/>
          <w:bCs/>
          <w:color w:val="auto"/>
          <w:spacing w:val="6"/>
          <w:sz w:val="31"/>
          <w:szCs w:val="31"/>
          <w:highlight w:val="none"/>
          <w:lang w:eastAsia="zh-CN"/>
        </w:rPr>
        <w:t>四、其他资格证明文件</w:t>
      </w:r>
      <w:bookmarkEnd w:id="358"/>
      <w:bookmarkEnd w:id="359"/>
    </w:p>
    <w:p w14:paraId="3062C5C9">
      <w:pPr>
        <w:spacing w:before="306" w:line="360" w:lineRule="auto"/>
        <w:ind w:left="506"/>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投标人认为需提供的其它相关资格证明材料</w:t>
      </w:r>
    </w:p>
    <w:p w14:paraId="78427739">
      <w:pPr>
        <w:pStyle w:val="6"/>
        <w:spacing w:line="360" w:lineRule="auto"/>
        <w:rPr>
          <w:rFonts w:ascii="宋体" w:hAnsi="宋体" w:eastAsia="宋体" w:cs="宋体"/>
          <w:color w:val="auto"/>
          <w:spacing w:val="-1"/>
          <w:sz w:val="24"/>
          <w:szCs w:val="24"/>
          <w:highlight w:val="none"/>
          <w:lang w:eastAsia="zh-CN"/>
        </w:rPr>
      </w:pPr>
    </w:p>
    <w:p w14:paraId="5B422737">
      <w:pPr>
        <w:spacing w:line="360" w:lineRule="auto"/>
        <w:rPr>
          <w:rFonts w:ascii="宋体" w:hAnsi="宋体" w:eastAsia="宋体" w:cs="宋体"/>
          <w:color w:val="auto"/>
          <w:highlight w:val="none"/>
          <w:lang w:eastAsia="zh-CN"/>
        </w:rPr>
      </w:pPr>
    </w:p>
    <w:p w14:paraId="72638F2D">
      <w:pPr>
        <w:spacing w:line="360" w:lineRule="auto"/>
        <w:rPr>
          <w:rFonts w:ascii="宋体" w:hAnsi="宋体" w:eastAsia="宋体" w:cs="宋体"/>
          <w:color w:val="auto"/>
          <w:highlight w:val="none"/>
          <w:lang w:eastAsia="zh-CN"/>
        </w:rPr>
      </w:pPr>
    </w:p>
    <w:p w14:paraId="424218A5">
      <w:pPr>
        <w:spacing w:line="360" w:lineRule="auto"/>
        <w:rPr>
          <w:rFonts w:ascii="宋体" w:hAnsi="宋体" w:eastAsia="宋体" w:cs="宋体"/>
          <w:color w:val="auto"/>
          <w:highlight w:val="none"/>
          <w:lang w:eastAsia="zh-CN"/>
        </w:rPr>
      </w:pPr>
    </w:p>
    <w:p w14:paraId="7D9D6119">
      <w:pPr>
        <w:spacing w:line="360" w:lineRule="auto"/>
        <w:rPr>
          <w:rFonts w:ascii="宋体" w:hAnsi="宋体" w:eastAsia="宋体" w:cs="宋体"/>
          <w:color w:val="auto"/>
          <w:highlight w:val="none"/>
          <w:lang w:eastAsia="zh-CN"/>
        </w:rPr>
      </w:pPr>
    </w:p>
    <w:p w14:paraId="1CC343FA">
      <w:pPr>
        <w:spacing w:line="360" w:lineRule="auto"/>
        <w:rPr>
          <w:rFonts w:ascii="宋体" w:hAnsi="宋体" w:eastAsia="宋体" w:cs="宋体"/>
          <w:color w:val="auto"/>
          <w:highlight w:val="none"/>
          <w:lang w:eastAsia="zh-CN"/>
        </w:rPr>
      </w:pPr>
    </w:p>
    <w:p w14:paraId="7FF3DA5D">
      <w:pPr>
        <w:pageBreakBefore/>
        <w:spacing w:line="360" w:lineRule="auto"/>
        <w:rPr>
          <w:rFonts w:ascii="宋体" w:hAnsi="宋体" w:eastAsia="宋体" w:cs="宋体"/>
          <w:color w:val="auto"/>
          <w:highlight w:val="none"/>
          <w:lang w:eastAsia="zh-CN"/>
        </w:rPr>
      </w:pPr>
    </w:p>
    <w:p w14:paraId="6D7F3CD8">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4B69E030">
      <w:pPr>
        <w:spacing w:line="360" w:lineRule="auto"/>
        <w:rPr>
          <w:rFonts w:ascii="宋体" w:hAnsi="宋体" w:eastAsia="宋体" w:cs="宋体"/>
          <w:color w:val="auto"/>
          <w:highlight w:val="none"/>
          <w:lang w:eastAsia="zh-CN"/>
        </w:rPr>
      </w:pPr>
    </w:p>
    <w:p w14:paraId="6B238134">
      <w:pPr>
        <w:spacing w:line="360" w:lineRule="auto"/>
        <w:rPr>
          <w:rFonts w:ascii="宋体" w:hAnsi="宋体" w:eastAsia="宋体" w:cs="宋体"/>
          <w:color w:val="auto"/>
          <w:highlight w:val="none"/>
          <w:lang w:eastAsia="zh-CN"/>
        </w:rPr>
      </w:pPr>
    </w:p>
    <w:p w14:paraId="7EF6A896">
      <w:pPr>
        <w:spacing w:before="269" w:line="360" w:lineRule="auto"/>
        <w:jc w:val="center"/>
        <w:outlineLvl w:val="1"/>
        <w:rPr>
          <w:rFonts w:ascii="宋体" w:hAnsi="宋体" w:eastAsia="宋体" w:cs="宋体"/>
          <w:color w:val="auto"/>
          <w:sz w:val="83"/>
          <w:szCs w:val="83"/>
          <w:highlight w:val="none"/>
          <w:lang w:eastAsia="zh-CN"/>
        </w:rPr>
      </w:pPr>
      <w:bookmarkStart w:id="360" w:name="bookmark254"/>
      <w:bookmarkEnd w:id="360"/>
      <w:bookmarkStart w:id="361" w:name="_Toc24256"/>
      <w:bookmarkStart w:id="362" w:name="_Toc186477808"/>
      <w:r>
        <w:rPr>
          <w:rFonts w:hint="eastAsia" w:ascii="宋体" w:hAnsi="宋体" w:eastAsia="宋体" w:cs="宋体"/>
          <w:b/>
          <w:bCs/>
          <w:color w:val="auto"/>
          <w:spacing w:val="-31"/>
          <w:sz w:val="83"/>
          <w:szCs w:val="83"/>
          <w:highlight w:val="none"/>
          <w:lang w:eastAsia="zh-CN"/>
        </w:rPr>
        <w:t>投标文件</w:t>
      </w:r>
      <w:bookmarkEnd w:id="361"/>
      <w:bookmarkEnd w:id="362"/>
    </w:p>
    <w:p w14:paraId="14D52358">
      <w:pPr>
        <w:spacing w:before="236" w:line="360" w:lineRule="auto"/>
        <w:jc w:val="center"/>
        <w:rPr>
          <w:rFonts w:ascii="宋体" w:hAnsi="宋体" w:eastAsia="宋体" w:cs="宋体"/>
          <w:color w:val="auto"/>
          <w:sz w:val="55"/>
          <w:szCs w:val="55"/>
          <w:highlight w:val="none"/>
          <w:lang w:eastAsia="zh-CN"/>
        </w:rPr>
      </w:pPr>
      <w:r>
        <w:rPr>
          <w:rFonts w:hint="eastAsia" w:ascii="宋体" w:hAnsi="宋体" w:eastAsia="宋体" w:cs="宋体"/>
          <w:b/>
          <w:bCs/>
          <w:color w:val="auto"/>
          <w:spacing w:val="1"/>
          <w:sz w:val="55"/>
          <w:szCs w:val="55"/>
          <w:highlight w:val="none"/>
          <w:lang w:eastAsia="zh-CN"/>
        </w:rPr>
        <w:t>报价文件</w:t>
      </w:r>
    </w:p>
    <w:p w14:paraId="6D44E0AD">
      <w:pPr>
        <w:spacing w:before="220" w:line="360" w:lineRule="auto"/>
        <w:ind w:left="1134"/>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6E5E6F4B">
      <w:pPr>
        <w:spacing w:line="360" w:lineRule="auto"/>
        <w:rPr>
          <w:rFonts w:ascii="宋体" w:hAnsi="宋体" w:eastAsia="宋体" w:cs="宋体"/>
          <w:color w:val="auto"/>
          <w:highlight w:val="none"/>
          <w:lang w:eastAsia="zh-CN"/>
        </w:rPr>
      </w:pPr>
    </w:p>
    <w:p w14:paraId="3CA571AE">
      <w:pPr>
        <w:spacing w:line="360" w:lineRule="auto"/>
        <w:rPr>
          <w:rFonts w:ascii="宋体" w:hAnsi="宋体" w:eastAsia="宋体" w:cs="宋体"/>
          <w:color w:val="auto"/>
          <w:highlight w:val="none"/>
          <w:lang w:eastAsia="zh-CN"/>
        </w:rPr>
      </w:pPr>
    </w:p>
    <w:p w14:paraId="71BF6034">
      <w:pPr>
        <w:spacing w:line="360" w:lineRule="auto"/>
        <w:rPr>
          <w:rFonts w:ascii="宋体" w:hAnsi="宋体" w:eastAsia="宋体" w:cs="宋体"/>
          <w:color w:val="auto"/>
          <w:highlight w:val="none"/>
          <w:lang w:eastAsia="zh-CN"/>
        </w:rPr>
      </w:pPr>
    </w:p>
    <w:p w14:paraId="2097AC09">
      <w:pPr>
        <w:spacing w:line="360" w:lineRule="auto"/>
        <w:rPr>
          <w:rFonts w:ascii="宋体" w:hAnsi="宋体" w:eastAsia="宋体" w:cs="宋体"/>
          <w:color w:val="auto"/>
          <w:highlight w:val="none"/>
          <w:lang w:eastAsia="zh-CN"/>
        </w:rPr>
      </w:pPr>
    </w:p>
    <w:p w14:paraId="5CFEC2EE">
      <w:pPr>
        <w:spacing w:line="360" w:lineRule="auto"/>
        <w:rPr>
          <w:rFonts w:ascii="宋体" w:hAnsi="宋体" w:eastAsia="宋体" w:cs="宋体"/>
          <w:color w:val="auto"/>
          <w:highlight w:val="none"/>
          <w:lang w:eastAsia="zh-CN"/>
        </w:rPr>
      </w:pPr>
    </w:p>
    <w:p w14:paraId="624CA07D">
      <w:pPr>
        <w:spacing w:line="360" w:lineRule="auto"/>
        <w:rPr>
          <w:rFonts w:ascii="宋体" w:hAnsi="宋体" w:eastAsia="宋体" w:cs="宋体"/>
          <w:color w:val="auto"/>
          <w:highlight w:val="none"/>
          <w:lang w:eastAsia="zh-CN"/>
        </w:rPr>
      </w:pPr>
    </w:p>
    <w:p w14:paraId="673B1993">
      <w:pPr>
        <w:spacing w:line="360" w:lineRule="auto"/>
        <w:rPr>
          <w:rFonts w:ascii="宋体" w:hAnsi="宋体" w:eastAsia="宋体" w:cs="宋体"/>
          <w:color w:val="auto"/>
          <w:highlight w:val="none"/>
          <w:lang w:eastAsia="zh-CN"/>
        </w:rPr>
      </w:pPr>
    </w:p>
    <w:p w14:paraId="03D4178D">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25129EE0">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327ADEAE">
      <w:pPr>
        <w:pStyle w:val="10"/>
        <w:tabs>
          <w:tab w:val="left" w:pos="8364"/>
        </w:tabs>
        <w:spacing w:before="100"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49E6F5CA">
      <w:pPr>
        <w:spacing w:line="360" w:lineRule="auto"/>
        <w:rPr>
          <w:rFonts w:ascii="宋体" w:hAnsi="宋体" w:eastAsia="宋体" w:cs="宋体"/>
          <w:color w:val="auto"/>
          <w:highlight w:val="none"/>
          <w:lang w:eastAsia="zh-CN"/>
        </w:rPr>
      </w:pPr>
    </w:p>
    <w:p w14:paraId="09EAD4DF">
      <w:pPr>
        <w:spacing w:line="360" w:lineRule="auto"/>
        <w:rPr>
          <w:rFonts w:ascii="宋体" w:hAnsi="宋体" w:eastAsia="宋体" w:cs="宋体"/>
          <w:color w:val="auto"/>
          <w:highlight w:val="none"/>
          <w:lang w:eastAsia="zh-CN"/>
        </w:rPr>
      </w:pPr>
    </w:p>
    <w:p w14:paraId="37FE1613">
      <w:pPr>
        <w:spacing w:line="360" w:lineRule="auto"/>
        <w:rPr>
          <w:rFonts w:ascii="宋体" w:hAnsi="宋体" w:eastAsia="宋体" w:cs="宋体"/>
          <w:color w:val="auto"/>
          <w:highlight w:val="none"/>
          <w:lang w:eastAsia="zh-CN"/>
        </w:rPr>
      </w:pPr>
    </w:p>
    <w:p w14:paraId="3C968D80">
      <w:pPr>
        <w:spacing w:line="360" w:lineRule="auto"/>
        <w:rPr>
          <w:rFonts w:ascii="宋体" w:hAnsi="宋体" w:eastAsia="宋体" w:cs="宋体"/>
          <w:color w:val="auto"/>
          <w:highlight w:val="none"/>
          <w:lang w:eastAsia="zh-CN"/>
        </w:rPr>
      </w:pPr>
    </w:p>
    <w:p w14:paraId="70F4BCA9">
      <w:pPr>
        <w:pStyle w:val="10"/>
        <w:spacing w:before="102" w:line="360" w:lineRule="auto"/>
        <w:ind w:left="314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0147CFA1">
      <w:pPr>
        <w:spacing w:line="360" w:lineRule="auto"/>
        <w:rPr>
          <w:rFonts w:ascii="宋体" w:hAnsi="宋体" w:eastAsia="宋体" w:cs="宋体"/>
          <w:color w:val="auto"/>
          <w:highlight w:val="none"/>
          <w:lang w:eastAsia="zh-CN"/>
        </w:rPr>
      </w:pPr>
    </w:p>
    <w:p w14:paraId="2DB197B0">
      <w:pPr>
        <w:spacing w:line="360" w:lineRule="auto"/>
        <w:rPr>
          <w:rFonts w:ascii="宋体" w:hAnsi="宋体" w:eastAsia="宋体" w:cs="宋体"/>
          <w:color w:val="auto"/>
          <w:highlight w:val="none"/>
          <w:lang w:eastAsia="zh-CN"/>
        </w:rPr>
      </w:pPr>
    </w:p>
    <w:p w14:paraId="691F2B5A">
      <w:pPr>
        <w:pageBreakBefore/>
        <w:spacing w:before="101" w:line="360" w:lineRule="auto"/>
        <w:jc w:val="center"/>
        <w:outlineLvl w:val="1"/>
        <w:rPr>
          <w:rFonts w:ascii="宋体" w:hAnsi="宋体" w:eastAsia="宋体" w:cs="宋体"/>
          <w:color w:val="auto"/>
          <w:sz w:val="31"/>
          <w:szCs w:val="31"/>
          <w:highlight w:val="none"/>
          <w:lang w:eastAsia="zh-CN"/>
        </w:rPr>
      </w:pPr>
      <w:bookmarkStart w:id="363" w:name="_Toc29424"/>
      <w:bookmarkStart w:id="364" w:name="_Toc186477809"/>
      <w:r>
        <w:rPr>
          <w:rFonts w:hint="eastAsia" w:ascii="宋体" w:hAnsi="宋体" w:eastAsia="宋体" w:cs="宋体"/>
          <w:b/>
          <w:bCs/>
          <w:color w:val="auto"/>
          <w:spacing w:val="5"/>
          <w:sz w:val="31"/>
          <w:szCs w:val="31"/>
          <w:highlight w:val="none"/>
          <w:lang w:eastAsia="zh-CN"/>
        </w:rPr>
        <w:t>一、开标一览表</w:t>
      </w:r>
      <w:bookmarkEnd w:id="363"/>
      <w:bookmarkEnd w:id="364"/>
    </w:p>
    <w:tbl>
      <w:tblPr>
        <w:tblStyle w:val="2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5190"/>
      </w:tblGrid>
      <w:tr w14:paraId="16C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15A6D521">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项目名称</w:t>
            </w:r>
          </w:p>
        </w:tc>
        <w:tc>
          <w:tcPr>
            <w:tcW w:w="5190" w:type="dxa"/>
            <w:tcBorders>
              <w:top w:val="single" w:color="auto" w:sz="4" w:space="0"/>
              <w:left w:val="nil"/>
              <w:bottom w:val="single" w:color="auto" w:sz="4" w:space="0"/>
              <w:right w:val="single" w:color="auto" w:sz="4" w:space="0"/>
            </w:tcBorders>
            <w:shd w:val="clear" w:color="auto" w:fill="auto"/>
            <w:vAlign w:val="center"/>
          </w:tcPr>
          <w:p w14:paraId="4B091BDC">
            <w:pPr>
              <w:widowControl w:val="0"/>
              <w:spacing w:line="360" w:lineRule="auto"/>
              <w:ind w:right="-670"/>
              <w:jc w:val="both"/>
              <w:rPr>
                <w:rFonts w:ascii="宋体" w:hAnsi="宋体" w:eastAsia="宋体" w:cs="宋体"/>
                <w:bCs/>
                <w:color w:val="auto"/>
                <w:kern w:val="2"/>
                <w:highlight w:val="none"/>
              </w:rPr>
            </w:pPr>
          </w:p>
        </w:tc>
      </w:tr>
      <w:tr w14:paraId="237F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09878B0">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项目编号</w:t>
            </w:r>
          </w:p>
        </w:tc>
        <w:tc>
          <w:tcPr>
            <w:tcW w:w="5190" w:type="dxa"/>
            <w:tcBorders>
              <w:top w:val="single" w:color="auto" w:sz="4" w:space="0"/>
              <w:left w:val="nil"/>
              <w:bottom w:val="single" w:color="auto" w:sz="4" w:space="0"/>
              <w:right w:val="single" w:color="auto" w:sz="4" w:space="0"/>
            </w:tcBorders>
            <w:shd w:val="clear" w:color="auto" w:fill="auto"/>
            <w:vAlign w:val="center"/>
          </w:tcPr>
          <w:p w14:paraId="7BB2A44B">
            <w:pPr>
              <w:widowControl w:val="0"/>
              <w:spacing w:line="360" w:lineRule="auto"/>
              <w:ind w:right="-670"/>
              <w:jc w:val="both"/>
              <w:rPr>
                <w:rFonts w:ascii="宋体" w:hAnsi="宋体" w:eastAsia="宋体" w:cs="宋体"/>
                <w:bCs/>
                <w:color w:val="auto"/>
                <w:kern w:val="2"/>
                <w:highlight w:val="none"/>
              </w:rPr>
            </w:pPr>
          </w:p>
        </w:tc>
      </w:tr>
      <w:tr w14:paraId="4FF8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3AF8BF7">
            <w:pPr>
              <w:widowControl w:val="0"/>
              <w:spacing w:line="360" w:lineRule="auto"/>
              <w:jc w:val="center"/>
              <w:rPr>
                <w:rFonts w:ascii="宋体" w:hAnsi="宋体" w:eastAsia="宋体" w:cs="宋体"/>
                <w:bCs/>
                <w:color w:val="auto"/>
                <w:kern w:val="2"/>
                <w:highlight w:val="none"/>
                <w:lang w:eastAsia="zh-CN"/>
              </w:rPr>
            </w:pPr>
            <w:r>
              <w:rPr>
                <w:rFonts w:hint="eastAsia" w:ascii="宋体" w:hAnsi="宋体" w:eastAsia="宋体" w:cs="宋体"/>
                <w:color w:val="auto"/>
                <w:highlight w:val="none"/>
                <w:lang w:eastAsia="zh-CN" w:bidi="ar"/>
              </w:rPr>
              <w:t>牛羊肉类食材</w:t>
            </w:r>
            <w:r>
              <w:rPr>
                <w:rFonts w:hint="eastAsia" w:ascii="宋体" w:hAnsi="宋体" w:eastAsia="宋体" w:cs="宋体"/>
                <w:color w:val="auto"/>
                <w:kern w:val="2"/>
                <w:highlight w:val="none"/>
                <w:lang w:eastAsia="zh-CN" w:bidi="ar"/>
              </w:rPr>
              <w:t>（折扣率）</w:t>
            </w:r>
          </w:p>
        </w:tc>
        <w:tc>
          <w:tcPr>
            <w:tcW w:w="5190" w:type="dxa"/>
            <w:tcBorders>
              <w:top w:val="single" w:color="auto" w:sz="4" w:space="0"/>
              <w:left w:val="nil"/>
              <w:bottom w:val="single" w:color="auto" w:sz="4" w:space="0"/>
              <w:right w:val="single" w:color="auto" w:sz="4" w:space="0"/>
            </w:tcBorders>
            <w:shd w:val="clear" w:color="auto" w:fill="auto"/>
            <w:vAlign w:val="center"/>
          </w:tcPr>
          <w:p w14:paraId="78360D79">
            <w:pPr>
              <w:pStyle w:val="23"/>
              <w:widowControl/>
              <w:spacing w:line="360" w:lineRule="auto"/>
              <w:ind w:firstLine="0"/>
              <w:rPr>
                <w:rFonts w:ascii="宋体" w:hAnsi="宋体" w:cs="宋体"/>
                <w:color w:val="auto"/>
                <w:sz w:val="21"/>
                <w:szCs w:val="21"/>
                <w:highlight w:val="none"/>
              </w:rPr>
            </w:pPr>
          </w:p>
        </w:tc>
      </w:tr>
      <w:tr w14:paraId="3FD6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C1FA2A8">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合同履约期限</w:t>
            </w:r>
          </w:p>
        </w:tc>
        <w:tc>
          <w:tcPr>
            <w:tcW w:w="5190" w:type="dxa"/>
            <w:tcBorders>
              <w:top w:val="single" w:color="auto" w:sz="4" w:space="0"/>
              <w:left w:val="nil"/>
              <w:bottom w:val="single" w:color="auto" w:sz="4" w:space="0"/>
              <w:right w:val="single" w:color="auto" w:sz="4" w:space="0"/>
            </w:tcBorders>
            <w:shd w:val="clear" w:color="auto" w:fill="auto"/>
            <w:vAlign w:val="center"/>
          </w:tcPr>
          <w:p w14:paraId="362CF791">
            <w:pPr>
              <w:widowControl w:val="0"/>
              <w:spacing w:line="360" w:lineRule="auto"/>
              <w:jc w:val="both"/>
              <w:rPr>
                <w:rFonts w:ascii="宋体" w:hAnsi="宋体" w:eastAsia="宋体" w:cs="宋体"/>
                <w:bCs/>
                <w:color w:val="auto"/>
                <w:kern w:val="2"/>
                <w:highlight w:val="none"/>
              </w:rPr>
            </w:pPr>
            <w:r>
              <w:rPr>
                <w:rFonts w:hint="eastAsia" w:ascii="宋体" w:hAnsi="宋体" w:eastAsia="宋体" w:cs="宋体"/>
                <w:color w:val="auto"/>
                <w:highlight w:val="none"/>
                <w:lang w:eastAsia="zh-CN"/>
              </w:rPr>
              <w:t>一年</w:t>
            </w:r>
          </w:p>
        </w:tc>
      </w:tr>
      <w:tr w14:paraId="1798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7A2EF3D3">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保质期（有效期）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3BD8EB47">
            <w:pPr>
              <w:widowControl w:val="0"/>
              <w:spacing w:line="360" w:lineRule="auto"/>
              <w:jc w:val="both"/>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按招标文件要求</w:t>
            </w:r>
          </w:p>
        </w:tc>
      </w:tr>
      <w:tr w14:paraId="2FF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C746982">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投标有效期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6BDC6ED8">
            <w:pPr>
              <w:widowControl w:val="0"/>
              <w:spacing w:line="360" w:lineRule="auto"/>
              <w:jc w:val="both"/>
              <w:rPr>
                <w:rFonts w:ascii="宋体" w:hAnsi="宋体" w:eastAsia="宋体" w:cs="宋体"/>
                <w:bCs/>
                <w:color w:val="auto"/>
                <w:kern w:val="2"/>
                <w:highlight w:val="none"/>
                <w:lang w:eastAsia="zh-CN"/>
              </w:rPr>
            </w:pPr>
            <w:r>
              <w:rPr>
                <w:rFonts w:hint="eastAsia" w:ascii="宋体" w:hAnsi="宋体" w:eastAsia="宋体" w:cs="宋体"/>
                <w:bCs/>
                <w:color w:val="auto"/>
                <w:kern w:val="2"/>
                <w:highlight w:val="none"/>
                <w:lang w:eastAsia="zh-CN"/>
              </w:rPr>
              <w:t>投标截止时间后</w:t>
            </w:r>
            <w:r>
              <w:rPr>
                <w:rFonts w:hint="eastAsia" w:ascii="宋体" w:hAnsi="宋体" w:eastAsia="宋体" w:cs="宋体"/>
                <w:bCs/>
                <w:color w:val="auto"/>
                <w:kern w:val="2"/>
                <w:highlight w:val="none"/>
                <w:u w:val="single"/>
                <w:lang w:eastAsia="zh-CN"/>
              </w:rPr>
              <w:t xml:space="preserve"> 90 </w:t>
            </w:r>
            <w:r>
              <w:rPr>
                <w:rFonts w:hint="eastAsia" w:ascii="宋体" w:hAnsi="宋体" w:eastAsia="宋体" w:cs="宋体"/>
                <w:bCs/>
                <w:color w:val="auto"/>
                <w:kern w:val="2"/>
                <w:highlight w:val="none"/>
                <w:lang w:eastAsia="zh-CN"/>
              </w:rPr>
              <w:t>日历日。</w:t>
            </w:r>
          </w:p>
        </w:tc>
      </w:tr>
      <w:tr w14:paraId="28CD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70FB3AC">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备注</w:t>
            </w:r>
          </w:p>
        </w:tc>
        <w:tc>
          <w:tcPr>
            <w:tcW w:w="5190" w:type="dxa"/>
            <w:tcBorders>
              <w:top w:val="single" w:color="auto" w:sz="4" w:space="0"/>
              <w:left w:val="nil"/>
              <w:bottom w:val="single" w:color="auto" w:sz="4" w:space="0"/>
              <w:right w:val="single" w:color="auto" w:sz="4" w:space="0"/>
            </w:tcBorders>
            <w:shd w:val="clear" w:color="auto" w:fill="auto"/>
            <w:vAlign w:val="center"/>
          </w:tcPr>
          <w:p w14:paraId="698614C8">
            <w:pPr>
              <w:widowControl w:val="0"/>
              <w:spacing w:line="360" w:lineRule="auto"/>
              <w:jc w:val="both"/>
              <w:rPr>
                <w:rFonts w:ascii="宋体" w:hAnsi="宋体" w:eastAsia="宋体" w:cs="宋体"/>
                <w:bCs/>
                <w:color w:val="auto"/>
                <w:kern w:val="2"/>
                <w:highlight w:val="none"/>
              </w:rPr>
            </w:pPr>
          </w:p>
        </w:tc>
      </w:tr>
    </w:tbl>
    <w:p w14:paraId="15C43CD6">
      <w:pPr>
        <w:pStyle w:val="13"/>
        <w:tabs>
          <w:tab w:val="left" w:pos="5580"/>
        </w:tabs>
        <w:spacing w:line="360" w:lineRule="auto"/>
        <w:ind w:left="1080" w:leftChars="257" w:hanging="540"/>
        <w:rPr>
          <w:rFonts w:hAnsi="宋体" w:eastAsia="宋体" w:cs="宋体"/>
          <w:color w:val="auto"/>
          <w:sz w:val="22"/>
          <w:szCs w:val="18"/>
          <w:highlight w:val="none"/>
          <w:lang w:eastAsia="zh-CN"/>
        </w:rPr>
      </w:pPr>
    </w:p>
    <w:p w14:paraId="22153793">
      <w:pPr>
        <w:pStyle w:val="13"/>
        <w:tabs>
          <w:tab w:val="left" w:pos="5580"/>
        </w:tabs>
        <w:spacing w:line="360" w:lineRule="auto"/>
        <w:ind w:left="1080" w:leftChars="257" w:hanging="540"/>
        <w:rPr>
          <w:rFonts w:hAnsi="宋体" w:eastAsia="宋体" w:cs="宋体"/>
          <w:color w:val="auto"/>
          <w:sz w:val="22"/>
          <w:szCs w:val="18"/>
          <w:highlight w:val="none"/>
          <w:lang w:eastAsia="zh-CN"/>
        </w:rPr>
      </w:pPr>
      <w:r>
        <w:rPr>
          <w:rFonts w:hint="eastAsia" w:hAnsi="宋体" w:eastAsia="宋体" w:cs="宋体"/>
          <w:color w:val="auto"/>
          <w:sz w:val="22"/>
          <w:highlight w:val="none"/>
          <w:lang w:eastAsia="zh-CN"/>
        </w:rPr>
        <w:t>供应商名称</w:t>
      </w:r>
      <w:r>
        <w:rPr>
          <w:rFonts w:hint="eastAsia" w:hAnsi="宋体" w:eastAsia="宋体" w:cs="宋体"/>
          <w:color w:val="auto"/>
          <w:sz w:val="22"/>
          <w:highlight w:val="none"/>
        </w:rPr>
        <w:t>(公章)：____________</w:t>
      </w:r>
    </w:p>
    <w:p w14:paraId="2217EFD1">
      <w:pPr>
        <w:pStyle w:val="13"/>
        <w:tabs>
          <w:tab w:val="left" w:pos="5580"/>
        </w:tabs>
        <w:spacing w:line="360" w:lineRule="auto"/>
        <w:ind w:left="1080" w:leftChars="257" w:hanging="540"/>
        <w:rPr>
          <w:rFonts w:hAnsi="宋体" w:eastAsia="宋体" w:cs="宋体"/>
          <w:color w:val="auto"/>
          <w:sz w:val="22"/>
          <w:szCs w:val="18"/>
          <w:highlight w:val="none"/>
          <w:u w:val="single"/>
          <w:lang w:eastAsia="zh-CN"/>
        </w:rPr>
      </w:pPr>
      <w:r>
        <w:rPr>
          <w:rFonts w:hint="eastAsia" w:hAnsi="宋体" w:eastAsia="宋体" w:cs="宋体"/>
          <w:color w:val="auto"/>
          <w:sz w:val="22"/>
          <w:szCs w:val="18"/>
          <w:highlight w:val="none"/>
          <w:lang w:eastAsia="zh-CN"/>
        </w:rPr>
        <w:t>法定代表人或委托代理人(签字或签章):</w:t>
      </w:r>
      <w:r>
        <w:rPr>
          <w:rFonts w:hint="eastAsia" w:hAnsi="宋体" w:eastAsia="宋体" w:cs="宋体"/>
          <w:color w:val="auto"/>
          <w:sz w:val="22"/>
          <w:szCs w:val="18"/>
          <w:highlight w:val="none"/>
          <w:u w:val="single"/>
          <w:lang w:eastAsia="zh-CN"/>
        </w:rPr>
        <w:tab/>
      </w:r>
    </w:p>
    <w:p w14:paraId="3B872A14">
      <w:pPr>
        <w:spacing w:line="360" w:lineRule="auto"/>
        <w:rPr>
          <w:rFonts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日期：年  月  日</w:t>
      </w:r>
    </w:p>
    <w:p w14:paraId="463919B2">
      <w:pPr>
        <w:spacing w:line="360" w:lineRule="auto"/>
        <w:rPr>
          <w:rFonts w:ascii="宋体" w:hAnsi="宋体" w:eastAsia="宋体" w:cs="宋体"/>
          <w:color w:val="auto"/>
          <w:highlight w:val="none"/>
          <w:lang w:eastAsia="zh-CN"/>
        </w:rPr>
      </w:pPr>
    </w:p>
    <w:p w14:paraId="1F722615">
      <w:pPr>
        <w:spacing w:line="360" w:lineRule="auto"/>
        <w:rPr>
          <w:rFonts w:ascii="宋体" w:hAnsi="宋体" w:eastAsia="宋体" w:cs="宋体"/>
          <w:color w:val="auto"/>
          <w:highlight w:val="none"/>
          <w:lang w:eastAsia="zh-CN"/>
        </w:rPr>
      </w:pPr>
    </w:p>
    <w:p w14:paraId="0E181830">
      <w:pPr>
        <w:spacing w:before="78" w:line="360" w:lineRule="auto"/>
        <w:ind w:left="122"/>
        <w:rPr>
          <w:rFonts w:ascii="宋体" w:hAnsi="宋体" w:eastAsia="宋体" w:cs="宋体"/>
          <w:b/>
          <w:bCs/>
          <w:color w:val="auto"/>
          <w:spacing w:val="-8"/>
          <w:highlight w:val="none"/>
          <w:lang w:eastAsia="zh-CN"/>
        </w:rPr>
      </w:pPr>
      <w:r>
        <w:rPr>
          <w:rFonts w:hint="eastAsia" w:ascii="宋体" w:hAnsi="宋体" w:eastAsia="宋体" w:cs="宋体"/>
          <w:b/>
          <w:bCs/>
          <w:color w:val="auto"/>
          <w:spacing w:val="-8"/>
          <w:highlight w:val="none"/>
          <w:lang w:eastAsia="zh-CN"/>
        </w:rPr>
        <w:t>注：</w:t>
      </w:r>
    </w:p>
    <w:p w14:paraId="23E97D68">
      <w:pPr>
        <w:spacing w:before="177" w:line="360" w:lineRule="auto"/>
        <w:ind w:firstLine="408" w:firstLineChars="200"/>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1、本项目投标报价采用报折扣率方式（折扣率不得大于100%，例如：90%或91%或92%或95%等；不得在折扣率前填写“±”，例如：不得填报+101%或-101%等，折扣率以1%为间隔）。</w:t>
      </w:r>
    </w:p>
    <w:p w14:paraId="1BFF3ED9">
      <w:pPr>
        <w:spacing w:before="177" w:line="360" w:lineRule="auto"/>
        <w:ind w:firstLine="408" w:firstLineChars="200"/>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2、所有产品品目预算控制价统一按照北园春集团网站（http://www.beiyuanchun.com）公布的价格（中间价）为基准价报折扣率，如因上述网站信息发布的时效等因素导致该基准价明显高于供货当日实际市场价，需求单位有权与中标人协商对基准价进行下调。若出现上述网站没有信息价（基准价）的产品品目，则由需求单位在新联市场、九鼎农贸市场等大型专业批发市场或大中型商超市场以询价方式确定送货价格(由招标人经三家及以上询价确定送货单价)，并以所询价的平均价作为送货单价，周询月结。月底结账时按中标的折扣率统一结算。</w:t>
      </w:r>
    </w:p>
    <w:p w14:paraId="2746C7A1">
      <w:pPr>
        <w:spacing w:before="177" w:line="360" w:lineRule="auto"/>
        <w:ind w:firstLine="408" w:firstLineChars="200"/>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3、结算价=基准价×中标折扣率；例如某产品信息价（基准价）为1000元，折扣率为95%，实际付款金额为950元（注：该措辞仅供解释使用，具体投标报价由供应商结合自身情况自主报价）。</w:t>
      </w:r>
    </w:p>
    <w:p w14:paraId="1B731A16">
      <w:pPr>
        <w:spacing w:before="177" w:line="360" w:lineRule="auto"/>
        <w:ind w:firstLine="408" w:firstLineChars="200"/>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4、本项目投标报价包括货物到达招标人指定地点的全部费用，包括但不限于项目实施所需的货物费、包装运输费、配送费、人工费、装卸费、管理费、利润、税费等一切费用。</w:t>
      </w:r>
    </w:p>
    <w:p w14:paraId="24005D0B">
      <w:pPr>
        <w:spacing w:before="177" w:line="360" w:lineRule="auto"/>
        <w:ind w:firstLine="408" w:firstLineChars="200"/>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5、严格开具税务发票，投标报价为含税价格，供应商应按含税金额开具增值税普通发票。</w:t>
      </w:r>
    </w:p>
    <w:p w14:paraId="4CD12BFF">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br w:type="page"/>
      </w:r>
    </w:p>
    <w:p w14:paraId="7B5C6FDB">
      <w:pPr>
        <w:spacing w:before="177" w:line="360" w:lineRule="auto"/>
        <w:ind w:firstLine="408" w:firstLineChars="200"/>
        <w:rPr>
          <w:rFonts w:hint="eastAsia" w:ascii="宋体" w:hAnsi="宋体" w:eastAsia="宋体" w:cs="宋体"/>
          <w:color w:val="auto"/>
          <w:spacing w:val="-3"/>
          <w:highlight w:val="none"/>
          <w:lang w:eastAsia="zh-CN"/>
        </w:rPr>
        <w:sectPr>
          <w:headerReference r:id="rId7" w:type="default"/>
          <w:footerReference r:id="rId8" w:type="default"/>
          <w:pgSz w:w="11906" w:h="16839"/>
          <w:pgMar w:top="1218" w:right="1416" w:bottom="1391" w:left="1560" w:header="865" w:footer="964" w:gutter="0"/>
          <w:cols w:space="720" w:num="1"/>
          <w:docGrid w:linePitch="286" w:charSpace="0"/>
        </w:sectPr>
      </w:pPr>
    </w:p>
    <w:p w14:paraId="4321D81F">
      <w:pPr>
        <w:numPr>
          <w:ilvl w:val="0"/>
          <w:numId w:val="5"/>
        </w:numPr>
        <w:spacing w:before="101" w:line="223" w:lineRule="auto"/>
        <w:ind w:left="5983"/>
        <w:outlineLvl w:val="1"/>
        <w:rPr>
          <w:rFonts w:hint="eastAsia" w:ascii="仿宋" w:hAnsi="仿宋" w:eastAsia="仿宋" w:cs="仿宋"/>
          <w:b/>
          <w:bCs/>
          <w:color w:val="auto"/>
          <w:spacing w:val="5"/>
          <w:sz w:val="31"/>
          <w:szCs w:val="31"/>
          <w:highlight w:val="none"/>
          <w:lang w:eastAsia="zh-CN"/>
        </w:rPr>
      </w:pPr>
      <w:bookmarkStart w:id="365" w:name="_Toc186477810"/>
      <w:bookmarkStart w:id="366" w:name="_Toc20570"/>
      <w:r>
        <w:rPr>
          <w:rFonts w:hint="eastAsia" w:ascii="仿宋" w:hAnsi="仿宋" w:eastAsia="仿宋" w:cs="仿宋"/>
          <w:b/>
          <w:bCs/>
          <w:color w:val="auto"/>
          <w:spacing w:val="5"/>
          <w:sz w:val="31"/>
          <w:szCs w:val="31"/>
          <w:highlight w:val="none"/>
          <w:lang w:eastAsia="zh-CN"/>
        </w:rPr>
        <w:t>报价明细表</w:t>
      </w:r>
      <w:bookmarkEnd w:id="365"/>
      <w:bookmarkEnd w:id="366"/>
    </w:p>
    <w:p w14:paraId="329086EB">
      <w:pPr>
        <w:spacing w:before="101" w:line="223" w:lineRule="auto"/>
        <w:outlineLvl w:val="9"/>
        <w:rPr>
          <w:rFonts w:hint="eastAsia" w:ascii="仿宋" w:hAnsi="仿宋" w:eastAsia="仿宋" w:cs="仿宋"/>
          <w:b/>
          <w:bCs/>
          <w:color w:val="auto"/>
          <w:spacing w:val="5"/>
          <w:sz w:val="31"/>
          <w:szCs w:val="31"/>
          <w:highlight w:val="none"/>
          <w:lang w:eastAsia="zh-CN"/>
        </w:rPr>
      </w:pPr>
    </w:p>
    <w:p w14:paraId="10163F78">
      <w:pPr>
        <w:pStyle w:val="13"/>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项目名称:              招标编号:         标项名称: 　 　              </w:t>
      </w:r>
    </w:p>
    <w:tbl>
      <w:tblPr>
        <w:tblStyle w:val="24"/>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645"/>
        <w:gridCol w:w="1652"/>
        <w:gridCol w:w="1982"/>
        <w:gridCol w:w="1310"/>
        <w:gridCol w:w="1459"/>
        <w:gridCol w:w="1891"/>
      </w:tblGrid>
      <w:tr w14:paraId="28FA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5" w:type="dxa"/>
            <w:noWrap/>
            <w:vAlign w:val="center"/>
          </w:tcPr>
          <w:p w14:paraId="433556F9">
            <w:pPr>
              <w:pStyle w:val="13"/>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序号</w:t>
            </w:r>
          </w:p>
        </w:tc>
        <w:tc>
          <w:tcPr>
            <w:tcW w:w="1645" w:type="dxa"/>
            <w:noWrap/>
            <w:vAlign w:val="center"/>
          </w:tcPr>
          <w:p w14:paraId="7D67ACD1">
            <w:pPr>
              <w:pStyle w:val="13"/>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名称</w:t>
            </w:r>
          </w:p>
        </w:tc>
        <w:tc>
          <w:tcPr>
            <w:tcW w:w="1652" w:type="dxa"/>
            <w:noWrap/>
            <w:vAlign w:val="center"/>
          </w:tcPr>
          <w:p w14:paraId="671C0E7C">
            <w:pPr>
              <w:pStyle w:val="13"/>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规格</w:t>
            </w:r>
          </w:p>
        </w:tc>
        <w:tc>
          <w:tcPr>
            <w:tcW w:w="1982" w:type="dxa"/>
            <w:noWrap/>
            <w:vAlign w:val="center"/>
          </w:tcPr>
          <w:p w14:paraId="1348E51C">
            <w:pPr>
              <w:pStyle w:val="13"/>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品牌</w:t>
            </w:r>
          </w:p>
        </w:tc>
        <w:tc>
          <w:tcPr>
            <w:tcW w:w="1310" w:type="dxa"/>
            <w:noWrap/>
            <w:vAlign w:val="center"/>
          </w:tcPr>
          <w:p w14:paraId="16AB62FA">
            <w:pPr>
              <w:pStyle w:val="13"/>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数量</w:t>
            </w:r>
          </w:p>
        </w:tc>
        <w:tc>
          <w:tcPr>
            <w:tcW w:w="1459" w:type="dxa"/>
            <w:vAlign w:val="center"/>
          </w:tcPr>
          <w:p w14:paraId="16AE00EB">
            <w:pPr>
              <w:pStyle w:val="13"/>
              <w:spacing w:line="360" w:lineRule="auto"/>
              <w:jc w:val="center"/>
              <w:rPr>
                <w:rFonts w:hint="default" w:hAnsi="宋体" w:eastAsia="宋体" w:cs="宋体"/>
                <w:color w:val="auto"/>
                <w:szCs w:val="21"/>
                <w:highlight w:val="none"/>
                <w:lang w:val="en-US" w:eastAsia="zh-CN" w:bidi="ar"/>
              </w:rPr>
            </w:pPr>
            <w:r>
              <w:rPr>
                <w:rFonts w:hint="eastAsia" w:hAnsi="宋体" w:eastAsia="宋体" w:cs="宋体"/>
                <w:color w:val="auto"/>
                <w:szCs w:val="21"/>
                <w:highlight w:val="none"/>
                <w:lang w:val="en-US" w:eastAsia="zh-CN" w:bidi="ar"/>
              </w:rPr>
              <w:t>制造商</w:t>
            </w:r>
          </w:p>
        </w:tc>
        <w:tc>
          <w:tcPr>
            <w:tcW w:w="1891" w:type="dxa"/>
            <w:vAlign w:val="center"/>
          </w:tcPr>
          <w:p w14:paraId="52CD7A36">
            <w:pPr>
              <w:pStyle w:val="13"/>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val="en-US" w:eastAsia="zh-CN" w:bidi="ar"/>
              </w:rPr>
              <w:t>折扣率</w:t>
            </w:r>
          </w:p>
        </w:tc>
      </w:tr>
      <w:tr w14:paraId="4DE9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180018B0">
            <w:pPr>
              <w:keepNext w:val="0"/>
              <w:keepLines w:val="0"/>
              <w:widowControl/>
              <w:suppressLineNumbers w:val="0"/>
              <w:jc w:val="center"/>
              <w:textAlignment w:val="center"/>
              <w:rPr>
                <w:rFonts w:hint="eastAsia" w:ascii="宋体" w:hAnsi="宋体" w:eastAsia="宋体" w:cs="宋体"/>
                <w:color w:val="auto"/>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1645" w:type="dxa"/>
            <w:noWrap/>
            <w:vAlign w:val="center"/>
          </w:tcPr>
          <w:p w14:paraId="23B2D2F1">
            <w:pPr>
              <w:keepNext w:val="0"/>
              <w:keepLines w:val="0"/>
              <w:widowControl/>
              <w:suppressLineNumbers w:val="0"/>
              <w:jc w:val="center"/>
              <w:textAlignment w:val="center"/>
              <w:rPr>
                <w:rFonts w:hint="default" w:ascii="宋体" w:hAnsi="宋体" w:eastAsia="宋体" w:cs="宋体"/>
                <w:color w:val="auto"/>
                <w:szCs w:val="21"/>
                <w:highlight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牛腩</w:t>
            </w:r>
          </w:p>
        </w:tc>
        <w:tc>
          <w:tcPr>
            <w:tcW w:w="1652" w:type="dxa"/>
            <w:noWrap/>
            <w:vAlign w:val="center"/>
          </w:tcPr>
          <w:p w14:paraId="5ED849DE">
            <w:pPr>
              <w:keepNext w:val="0"/>
              <w:keepLines w:val="0"/>
              <w:widowControl/>
              <w:suppressLineNumbers w:val="0"/>
              <w:jc w:val="center"/>
              <w:textAlignment w:val="center"/>
              <w:rPr>
                <w:rFonts w:hint="eastAsia" w:hAnsi="宋体" w:eastAsia="宋体"/>
                <w:color w:val="auto"/>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982" w:type="dxa"/>
            <w:noWrap/>
            <w:vAlign w:val="center"/>
          </w:tcPr>
          <w:p w14:paraId="41668E94">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25BB3446">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3FF78095">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restart"/>
            <w:vAlign w:val="center"/>
          </w:tcPr>
          <w:p w14:paraId="1C288140">
            <w:pPr>
              <w:pStyle w:val="13"/>
              <w:spacing w:line="360" w:lineRule="auto"/>
              <w:rPr>
                <w:rFonts w:hint="eastAsia" w:hAnsi="宋体" w:eastAsia="宋体" w:cs="宋体"/>
                <w:color w:val="auto"/>
                <w:szCs w:val="21"/>
                <w:highlight w:val="none"/>
                <w:lang w:eastAsia="zh-CN"/>
              </w:rPr>
            </w:pPr>
          </w:p>
        </w:tc>
      </w:tr>
      <w:tr w14:paraId="3E45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5ABF5BE2">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645" w:type="dxa"/>
            <w:noWrap/>
            <w:vAlign w:val="center"/>
          </w:tcPr>
          <w:p w14:paraId="6318EF8F">
            <w:pPr>
              <w:keepNext w:val="0"/>
              <w:keepLines w:val="0"/>
              <w:widowControl/>
              <w:suppressLineNumbers w:val="0"/>
              <w:jc w:val="center"/>
              <w:textAlignment w:val="center"/>
              <w:rPr>
                <w:rFonts w:hint="eastAsia" w:ascii="宋体" w:hAnsi="宋体" w:eastAsia="宋体" w:cs="宋体"/>
                <w:color w:val="auto"/>
                <w:szCs w:val="21"/>
                <w:highlight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牛后腿</w:t>
            </w:r>
          </w:p>
        </w:tc>
        <w:tc>
          <w:tcPr>
            <w:tcW w:w="1652" w:type="dxa"/>
            <w:noWrap/>
            <w:vAlign w:val="center"/>
          </w:tcPr>
          <w:p w14:paraId="04098273">
            <w:pPr>
              <w:keepNext w:val="0"/>
              <w:keepLines w:val="0"/>
              <w:widowControl/>
              <w:suppressLineNumbers w:val="0"/>
              <w:jc w:val="center"/>
              <w:textAlignment w:val="center"/>
              <w:rPr>
                <w:rFonts w:hint="eastAsia" w:hAnsi="宋体" w:eastAsia="宋体"/>
                <w:color w:val="auto"/>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982" w:type="dxa"/>
            <w:noWrap/>
            <w:vAlign w:val="center"/>
          </w:tcPr>
          <w:p w14:paraId="2AE157EC">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72B95658">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12B006CF">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68CA8BCE">
            <w:pPr>
              <w:pStyle w:val="13"/>
              <w:spacing w:line="360" w:lineRule="auto"/>
              <w:rPr>
                <w:rFonts w:hint="eastAsia" w:hAnsi="宋体" w:eastAsia="宋体" w:cs="宋体"/>
                <w:color w:val="auto"/>
                <w:szCs w:val="21"/>
                <w:highlight w:val="none"/>
                <w:lang w:eastAsia="zh-CN"/>
              </w:rPr>
            </w:pPr>
          </w:p>
        </w:tc>
      </w:tr>
      <w:tr w14:paraId="0FBF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37A48981">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1645" w:type="dxa"/>
            <w:noWrap/>
            <w:vAlign w:val="center"/>
          </w:tcPr>
          <w:p w14:paraId="3488D36F">
            <w:pPr>
              <w:keepNext w:val="0"/>
              <w:keepLines w:val="0"/>
              <w:widowControl/>
              <w:suppressLineNumbers w:val="0"/>
              <w:jc w:val="center"/>
              <w:textAlignment w:val="center"/>
              <w:rPr>
                <w:rFonts w:hint="eastAsia" w:ascii="宋体" w:hAnsi="宋体" w:eastAsia="宋体" w:cs="宋体"/>
                <w:color w:val="auto"/>
                <w:spacing w:val="6"/>
                <w:sz w:val="21"/>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牛腱子</w:t>
            </w:r>
          </w:p>
        </w:tc>
        <w:tc>
          <w:tcPr>
            <w:tcW w:w="1652" w:type="dxa"/>
            <w:noWrap/>
            <w:vAlign w:val="center"/>
          </w:tcPr>
          <w:p w14:paraId="2FE178B1">
            <w:pPr>
              <w:keepNext w:val="0"/>
              <w:keepLines w:val="0"/>
              <w:widowControl/>
              <w:suppressLineNumbers w:val="0"/>
              <w:jc w:val="center"/>
              <w:textAlignment w:val="center"/>
              <w:rPr>
                <w:rFonts w:hint="eastAsia" w:hAnsi="宋体" w:eastAsia="宋体"/>
                <w:color w:val="auto"/>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982" w:type="dxa"/>
            <w:noWrap/>
            <w:vAlign w:val="center"/>
          </w:tcPr>
          <w:p w14:paraId="73F5CE2B">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118F5CDC">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528A1125">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4C3FD7CE">
            <w:pPr>
              <w:rPr>
                <w:rFonts w:hint="eastAsia" w:ascii="宋体" w:hAnsi="宋体" w:eastAsia="宋体" w:cs="宋体"/>
                <w:color w:val="auto"/>
                <w:highlight w:val="none"/>
                <w:lang w:eastAsia="zh-CN"/>
              </w:rPr>
            </w:pPr>
          </w:p>
        </w:tc>
      </w:tr>
      <w:tr w14:paraId="4D72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05A42ED8">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645" w:type="dxa"/>
            <w:noWrap/>
            <w:vAlign w:val="center"/>
          </w:tcPr>
          <w:p w14:paraId="111562ED">
            <w:pPr>
              <w:pStyle w:val="32"/>
              <w:spacing w:before="69" w:line="220" w:lineRule="auto"/>
              <w:ind w:left="0" w:leftChars="0" w:firstLine="0" w:firstLineChars="0"/>
              <w:jc w:val="center"/>
              <w:rPr>
                <w:rFonts w:hint="default" w:ascii="宋体" w:hAnsi="宋体" w:eastAsia="宋体" w:cs="宋体"/>
                <w:color w:val="auto"/>
                <w:szCs w:val="21"/>
                <w:highlight w:val="none"/>
                <w:lang w:val="en-US" w:eastAsia="zh-CN" w:bidi="ar"/>
              </w:rPr>
            </w:pPr>
            <w:r>
              <w:rPr>
                <w:rFonts w:hint="eastAsia" w:cs="宋体"/>
                <w:color w:val="auto"/>
                <w:szCs w:val="21"/>
                <w:highlight w:val="none"/>
                <w:lang w:val="en-US" w:eastAsia="zh-CN" w:bidi="ar"/>
              </w:rPr>
              <w:t>...</w:t>
            </w:r>
          </w:p>
        </w:tc>
        <w:tc>
          <w:tcPr>
            <w:tcW w:w="1652" w:type="dxa"/>
            <w:noWrap/>
            <w:vAlign w:val="center"/>
          </w:tcPr>
          <w:p w14:paraId="5CA7373C">
            <w:pPr>
              <w:pStyle w:val="13"/>
              <w:spacing w:line="360" w:lineRule="auto"/>
              <w:ind w:left="1080" w:leftChars="257" w:hanging="540"/>
              <w:jc w:val="both"/>
              <w:rPr>
                <w:rFonts w:hint="eastAsia" w:hAnsi="宋体" w:eastAsia="宋体"/>
                <w:color w:val="auto"/>
                <w:szCs w:val="21"/>
                <w:highlight w:val="none"/>
              </w:rPr>
            </w:pPr>
            <w:r>
              <w:rPr>
                <w:rFonts w:hint="eastAsia" w:cs="宋体"/>
                <w:color w:val="auto"/>
                <w:szCs w:val="21"/>
                <w:highlight w:val="none"/>
                <w:lang w:val="en-US" w:eastAsia="zh-CN" w:bidi="ar"/>
              </w:rPr>
              <w:t>...</w:t>
            </w:r>
          </w:p>
        </w:tc>
        <w:tc>
          <w:tcPr>
            <w:tcW w:w="1982" w:type="dxa"/>
            <w:noWrap/>
            <w:vAlign w:val="center"/>
          </w:tcPr>
          <w:p w14:paraId="143511C6">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08660679">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7EBD9EEF">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4F5997DC">
            <w:pPr>
              <w:rPr>
                <w:rFonts w:hint="eastAsia" w:ascii="宋体" w:hAnsi="宋体" w:eastAsia="宋体" w:cs="宋体"/>
                <w:color w:val="auto"/>
                <w:highlight w:val="none"/>
                <w:lang w:eastAsia="zh-CN"/>
              </w:rPr>
            </w:pPr>
          </w:p>
        </w:tc>
      </w:tr>
      <w:tr w14:paraId="080B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5F8646A2">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645" w:type="dxa"/>
            <w:noWrap/>
            <w:vAlign w:val="center"/>
          </w:tcPr>
          <w:p w14:paraId="3E9BFEB8">
            <w:pPr>
              <w:pStyle w:val="32"/>
              <w:spacing w:before="68" w:line="219" w:lineRule="auto"/>
              <w:ind w:left="0" w:leftChars="0" w:firstLine="0" w:firstLineChars="0"/>
              <w:jc w:val="center"/>
              <w:rPr>
                <w:rFonts w:hint="eastAsia" w:ascii="宋体" w:hAnsi="宋体" w:eastAsia="宋体" w:cs="宋体"/>
                <w:color w:val="auto"/>
                <w:szCs w:val="21"/>
                <w:highlight w:val="none"/>
                <w:lang w:eastAsia="zh-CN" w:bidi="ar"/>
              </w:rPr>
            </w:pPr>
            <w:r>
              <w:rPr>
                <w:rFonts w:hint="eastAsia" w:cs="宋体"/>
                <w:color w:val="auto"/>
                <w:szCs w:val="21"/>
                <w:highlight w:val="none"/>
                <w:lang w:val="en-US" w:eastAsia="zh-CN" w:bidi="ar"/>
              </w:rPr>
              <w:t>...</w:t>
            </w:r>
          </w:p>
        </w:tc>
        <w:tc>
          <w:tcPr>
            <w:tcW w:w="1652" w:type="dxa"/>
            <w:noWrap/>
            <w:vAlign w:val="center"/>
          </w:tcPr>
          <w:p w14:paraId="1B5B953D">
            <w:pPr>
              <w:pStyle w:val="13"/>
              <w:spacing w:line="360" w:lineRule="auto"/>
              <w:ind w:left="1080" w:leftChars="257" w:hanging="540"/>
              <w:jc w:val="both"/>
              <w:rPr>
                <w:rFonts w:hint="eastAsia" w:hAnsi="宋体" w:eastAsia="宋体"/>
                <w:color w:val="auto"/>
                <w:szCs w:val="21"/>
                <w:highlight w:val="none"/>
              </w:rPr>
            </w:pPr>
            <w:r>
              <w:rPr>
                <w:rFonts w:hint="eastAsia" w:cs="宋体"/>
                <w:color w:val="auto"/>
                <w:szCs w:val="21"/>
                <w:highlight w:val="none"/>
                <w:lang w:val="en-US" w:eastAsia="zh-CN" w:bidi="ar"/>
              </w:rPr>
              <w:t>...</w:t>
            </w:r>
          </w:p>
        </w:tc>
        <w:tc>
          <w:tcPr>
            <w:tcW w:w="1982" w:type="dxa"/>
            <w:noWrap/>
            <w:vAlign w:val="center"/>
          </w:tcPr>
          <w:p w14:paraId="34F9E814">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2FD5994E">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353E484F">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3B8F29D6">
            <w:pPr>
              <w:rPr>
                <w:rFonts w:hint="eastAsia" w:ascii="宋体" w:hAnsi="宋体" w:eastAsia="宋体" w:cs="宋体"/>
                <w:color w:val="auto"/>
                <w:highlight w:val="none"/>
                <w:lang w:eastAsia="zh-CN"/>
              </w:rPr>
            </w:pPr>
          </w:p>
        </w:tc>
      </w:tr>
      <w:tr w14:paraId="29F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22108787">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645" w:type="dxa"/>
            <w:noWrap/>
            <w:vAlign w:val="center"/>
          </w:tcPr>
          <w:p w14:paraId="1EBA0D58">
            <w:pPr>
              <w:pStyle w:val="32"/>
              <w:spacing w:before="69" w:line="220" w:lineRule="auto"/>
              <w:ind w:left="0" w:leftChars="0" w:firstLine="0" w:firstLineChars="0"/>
              <w:jc w:val="center"/>
              <w:rPr>
                <w:rFonts w:hint="eastAsia" w:ascii="宋体" w:hAnsi="宋体" w:eastAsia="宋体" w:cs="宋体"/>
                <w:color w:val="auto"/>
                <w:sz w:val="22"/>
                <w:szCs w:val="22"/>
                <w:highlight w:val="none"/>
                <w:lang w:eastAsia="zh-CN" w:bidi="ar"/>
              </w:rPr>
            </w:pPr>
            <w:r>
              <w:rPr>
                <w:rFonts w:hint="eastAsia" w:cs="宋体"/>
                <w:color w:val="auto"/>
                <w:szCs w:val="21"/>
                <w:highlight w:val="none"/>
                <w:lang w:val="en-US" w:eastAsia="zh-CN" w:bidi="ar"/>
              </w:rPr>
              <w:t>...</w:t>
            </w:r>
          </w:p>
        </w:tc>
        <w:tc>
          <w:tcPr>
            <w:tcW w:w="1652" w:type="dxa"/>
            <w:noWrap/>
            <w:vAlign w:val="center"/>
          </w:tcPr>
          <w:p w14:paraId="03A3D457">
            <w:pPr>
              <w:pStyle w:val="13"/>
              <w:spacing w:line="360" w:lineRule="auto"/>
              <w:ind w:left="1080" w:leftChars="257" w:hanging="540"/>
              <w:jc w:val="both"/>
              <w:rPr>
                <w:rFonts w:hint="eastAsia" w:hAnsi="宋体" w:eastAsia="宋体"/>
                <w:color w:val="auto"/>
                <w:szCs w:val="21"/>
                <w:highlight w:val="none"/>
              </w:rPr>
            </w:pPr>
            <w:r>
              <w:rPr>
                <w:rFonts w:hint="eastAsia" w:cs="宋体"/>
                <w:color w:val="auto"/>
                <w:szCs w:val="21"/>
                <w:highlight w:val="none"/>
                <w:lang w:val="en-US" w:eastAsia="zh-CN" w:bidi="ar"/>
              </w:rPr>
              <w:t>...</w:t>
            </w:r>
          </w:p>
        </w:tc>
        <w:tc>
          <w:tcPr>
            <w:tcW w:w="1982" w:type="dxa"/>
            <w:noWrap/>
            <w:vAlign w:val="center"/>
          </w:tcPr>
          <w:p w14:paraId="3451F475">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2698921A">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64EFAECF">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7E7C4DAF">
            <w:pPr>
              <w:rPr>
                <w:rFonts w:hint="eastAsia" w:ascii="宋体" w:hAnsi="宋体" w:eastAsia="宋体" w:cs="宋体"/>
                <w:color w:val="auto"/>
                <w:highlight w:val="none"/>
                <w:lang w:eastAsia="zh-CN"/>
              </w:rPr>
            </w:pPr>
          </w:p>
        </w:tc>
      </w:tr>
      <w:tr w14:paraId="4763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645" w:type="dxa"/>
            <w:noWrap/>
            <w:vAlign w:val="center"/>
          </w:tcPr>
          <w:p w14:paraId="6011E58A">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snapToGrid w:val="0"/>
                <w:color w:val="auto"/>
                <w:kern w:val="0"/>
                <w:sz w:val="24"/>
                <w:szCs w:val="24"/>
                <w:highlight w:val="none"/>
                <w:u w:val="none"/>
                <w:lang w:val="en-US" w:eastAsia="zh-CN" w:bidi="ar"/>
              </w:rPr>
              <w:t>81</w:t>
            </w:r>
          </w:p>
        </w:tc>
        <w:tc>
          <w:tcPr>
            <w:tcW w:w="1645" w:type="dxa"/>
            <w:noWrap/>
            <w:vAlign w:val="center"/>
          </w:tcPr>
          <w:p w14:paraId="7E3384AD">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毛肚</w:t>
            </w:r>
          </w:p>
        </w:tc>
        <w:tc>
          <w:tcPr>
            <w:tcW w:w="1652" w:type="dxa"/>
            <w:noWrap/>
            <w:vAlign w:val="center"/>
          </w:tcPr>
          <w:p w14:paraId="1117CAA0">
            <w:pPr>
              <w:keepNext w:val="0"/>
              <w:keepLines w:val="0"/>
              <w:widowControl/>
              <w:suppressLineNumbers w:val="0"/>
              <w:jc w:val="center"/>
              <w:textAlignment w:val="center"/>
              <w:rPr>
                <w:rFonts w:hint="eastAsia" w:hAnsi="宋体" w:eastAsia="宋体"/>
                <w:color w:val="auto"/>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982" w:type="dxa"/>
            <w:noWrap/>
            <w:vAlign w:val="center"/>
          </w:tcPr>
          <w:p w14:paraId="6DF22C84">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10CCC9E6">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29E8101B">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5C566266">
            <w:pPr>
              <w:rPr>
                <w:rFonts w:hint="eastAsia" w:ascii="宋体" w:hAnsi="宋体" w:eastAsia="宋体" w:cs="宋体"/>
                <w:color w:val="auto"/>
                <w:highlight w:val="none"/>
                <w:lang w:eastAsia="zh-CN"/>
              </w:rPr>
            </w:pPr>
          </w:p>
        </w:tc>
      </w:tr>
      <w:tr w14:paraId="0A53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71E335E2">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snapToGrid w:val="0"/>
                <w:color w:val="auto"/>
                <w:kern w:val="0"/>
                <w:sz w:val="24"/>
                <w:szCs w:val="24"/>
                <w:highlight w:val="none"/>
                <w:u w:val="none"/>
                <w:lang w:val="en-US" w:eastAsia="zh-CN" w:bidi="ar"/>
              </w:rPr>
              <w:t>82</w:t>
            </w:r>
          </w:p>
        </w:tc>
        <w:tc>
          <w:tcPr>
            <w:tcW w:w="1645" w:type="dxa"/>
            <w:noWrap/>
            <w:vAlign w:val="center"/>
          </w:tcPr>
          <w:p w14:paraId="60C4FF44">
            <w:pPr>
              <w:keepNext w:val="0"/>
              <w:keepLines w:val="0"/>
              <w:widowControl/>
              <w:suppressLineNumbers w:val="0"/>
              <w:jc w:val="center"/>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冻牛舌</w:t>
            </w:r>
          </w:p>
        </w:tc>
        <w:tc>
          <w:tcPr>
            <w:tcW w:w="1652" w:type="dxa"/>
            <w:noWrap/>
            <w:vAlign w:val="center"/>
          </w:tcPr>
          <w:p w14:paraId="708C902C">
            <w:pPr>
              <w:keepNext w:val="0"/>
              <w:keepLines w:val="0"/>
              <w:widowControl/>
              <w:suppressLineNumbers w:val="0"/>
              <w:jc w:val="center"/>
              <w:textAlignment w:val="center"/>
              <w:rPr>
                <w:rFonts w:hint="eastAsia" w:hAnsi="宋体" w:eastAsia="宋体"/>
                <w:color w:val="auto"/>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982" w:type="dxa"/>
            <w:noWrap/>
            <w:vAlign w:val="center"/>
          </w:tcPr>
          <w:p w14:paraId="04E97272">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690AB322">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7BBF981B">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079F34EA">
            <w:pPr>
              <w:rPr>
                <w:rFonts w:hint="eastAsia" w:ascii="宋体" w:hAnsi="宋体" w:eastAsia="宋体" w:cs="宋体"/>
                <w:color w:val="auto"/>
                <w:highlight w:val="none"/>
                <w:lang w:eastAsia="zh-CN"/>
              </w:rPr>
            </w:pPr>
          </w:p>
        </w:tc>
      </w:tr>
      <w:tr w14:paraId="6D86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05B21561">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snapToGrid w:val="0"/>
                <w:color w:val="auto"/>
                <w:kern w:val="0"/>
                <w:sz w:val="24"/>
                <w:szCs w:val="24"/>
                <w:highlight w:val="none"/>
                <w:u w:val="none"/>
                <w:lang w:val="en-US" w:eastAsia="zh-CN" w:bidi="ar"/>
              </w:rPr>
              <w:t>83</w:t>
            </w:r>
          </w:p>
        </w:tc>
        <w:tc>
          <w:tcPr>
            <w:tcW w:w="1645" w:type="dxa"/>
            <w:noWrap/>
            <w:vAlign w:val="center"/>
          </w:tcPr>
          <w:p w14:paraId="51CBDB0F">
            <w:pPr>
              <w:keepNext w:val="0"/>
              <w:keepLines w:val="0"/>
              <w:widowControl/>
              <w:suppressLineNumbers w:val="0"/>
              <w:jc w:val="center"/>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冻牛排</w:t>
            </w:r>
          </w:p>
        </w:tc>
        <w:tc>
          <w:tcPr>
            <w:tcW w:w="1652" w:type="dxa"/>
            <w:noWrap/>
            <w:vAlign w:val="center"/>
          </w:tcPr>
          <w:p w14:paraId="5D8F6415">
            <w:pPr>
              <w:keepNext w:val="0"/>
              <w:keepLines w:val="0"/>
              <w:widowControl/>
              <w:suppressLineNumbers w:val="0"/>
              <w:jc w:val="center"/>
              <w:textAlignment w:val="center"/>
              <w:rPr>
                <w:rFonts w:hint="eastAsia" w:hAnsi="宋体" w:eastAsia="宋体"/>
                <w:color w:val="auto"/>
                <w:szCs w:val="21"/>
                <w:highlight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982" w:type="dxa"/>
            <w:noWrap/>
            <w:vAlign w:val="center"/>
          </w:tcPr>
          <w:p w14:paraId="6B925757">
            <w:pPr>
              <w:pStyle w:val="13"/>
              <w:spacing w:line="360" w:lineRule="auto"/>
              <w:ind w:left="1080" w:leftChars="257" w:hanging="540"/>
              <w:jc w:val="center"/>
              <w:rPr>
                <w:rFonts w:hint="eastAsia" w:hAnsi="宋体" w:eastAsia="宋体"/>
                <w:color w:val="auto"/>
                <w:szCs w:val="21"/>
                <w:highlight w:val="none"/>
              </w:rPr>
            </w:pPr>
          </w:p>
        </w:tc>
        <w:tc>
          <w:tcPr>
            <w:tcW w:w="1310" w:type="dxa"/>
            <w:noWrap/>
            <w:vAlign w:val="center"/>
          </w:tcPr>
          <w:p w14:paraId="3770FCB3">
            <w:pPr>
              <w:pStyle w:val="13"/>
              <w:spacing w:line="360" w:lineRule="auto"/>
              <w:ind w:left="1080" w:leftChars="257" w:hanging="540"/>
              <w:jc w:val="center"/>
              <w:rPr>
                <w:rFonts w:hint="eastAsia" w:hAnsi="宋体" w:eastAsia="宋体"/>
                <w:color w:val="auto"/>
                <w:szCs w:val="21"/>
                <w:highlight w:val="none"/>
                <w:lang w:eastAsia="zh-CN"/>
              </w:rPr>
            </w:pPr>
          </w:p>
        </w:tc>
        <w:tc>
          <w:tcPr>
            <w:tcW w:w="1459" w:type="dxa"/>
            <w:vAlign w:val="center"/>
          </w:tcPr>
          <w:p w14:paraId="12D7020B">
            <w:pPr>
              <w:pStyle w:val="13"/>
              <w:spacing w:line="360" w:lineRule="auto"/>
              <w:ind w:left="1080" w:leftChars="257" w:hanging="540"/>
              <w:jc w:val="center"/>
              <w:rPr>
                <w:rFonts w:hint="eastAsia" w:hAnsi="宋体" w:eastAsia="宋体"/>
                <w:color w:val="auto"/>
                <w:szCs w:val="21"/>
                <w:highlight w:val="none"/>
                <w:lang w:eastAsia="zh-CN"/>
              </w:rPr>
            </w:pPr>
          </w:p>
        </w:tc>
        <w:tc>
          <w:tcPr>
            <w:tcW w:w="1891" w:type="dxa"/>
            <w:vMerge w:val="continue"/>
            <w:vAlign w:val="center"/>
          </w:tcPr>
          <w:p w14:paraId="7000C5B9">
            <w:pPr>
              <w:rPr>
                <w:rFonts w:hint="eastAsia" w:ascii="宋体" w:hAnsi="宋体" w:eastAsia="宋体" w:cs="宋体"/>
                <w:color w:val="auto"/>
                <w:highlight w:val="none"/>
                <w:lang w:eastAsia="zh-CN"/>
              </w:rPr>
            </w:pPr>
          </w:p>
        </w:tc>
      </w:tr>
    </w:tbl>
    <w:p w14:paraId="2DB969AD">
      <w:pPr>
        <w:pStyle w:val="13"/>
        <w:tabs>
          <w:tab w:val="left" w:pos="5370"/>
        </w:tabs>
        <w:spacing w:line="360" w:lineRule="auto"/>
        <w:ind w:left="1080" w:leftChars="257" w:hanging="540"/>
        <w:rPr>
          <w:rFonts w:hint="eastAsia" w:ascii="仿宋" w:hAnsi="仿宋" w:eastAsia="仿宋"/>
          <w:color w:val="auto"/>
          <w:sz w:val="24"/>
          <w:highlight w:val="none"/>
          <w:lang w:eastAsia="zh-CN"/>
        </w:rPr>
      </w:pPr>
    </w:p>
    <w:p w14:paraId="2BF65D12">
      <w:pPr>
        <w:pStyle w:val="13"/>
        <w:tabs>
          <w:tab w:val="left" w:pos="5370"/>
        </w:tabs>
        <w:spacing w:line="360" w:lineRule="auto"/>
        <w:ind w:left="1080" w:leftChars="257" w:hanging="54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u w:val="single"/>
          <w:lang w:eastAsia="zh-CN"/>
        </w:rPr>
        <w:tab/>
      </w:r>
    </w:p>
    <w:p w14:paraId="072795CB">
      <w:pPr>
        <w:pStyle w:val="13"/>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2A49D4A1">
      <w:pPr>
        <w:pStyle w:val="13"/>
        <w:ind w:left="1079" w:leftChars="428" w:hanging="180" w:hangingChars="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w:t>
      </w:r>
    </w:p>
    <w:p w14:paraId="02ECE522">
      <w:pPr>
        <w:pStyle w:val="13"/>
        <w:ind w:left="1079" w:leftChars="428" w:hanging="180" w:hangingChars="75"/>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eastAsia="zh-CN"/>
        </w:rPr>
        <w:t>1.为了方便采购人履约验收，本表内容尽可能的填写完善。</w:t>
      </w:r>
    </w:p>
    <w:p w14:paraId="701F2980">
      <w:pPr>
        <w:pageBreakBefore/>
        <w:spacing w:line="307" w:lineRule="auto"/>
        <w:rPr>
          <w:rFonts w:hint="eastAsia" w:ascii="仿宋" w:hAnsi="仿宋" w:eastAsia="仿宋" w:cs="仿宋"/>
          <w:color w:val="auto"/>
          <w:highlight w:val="none"/>
          <w:lang w:eastAsia="zh-CN"/>
        </w:rPr>
        <w:sectPr>
          <w:pgSz w:w="16839" w:h="11906" w:orient="landscape"/>
          <w:pgMar w:top="1786" w:right="1219" w:bottom="1786" w:left="1389" w:header="868" w:footer="1185" w:gutter="0"/>
          <w:pgNumType w:fmt="numberInDash"/>
          <w:cols w:space="720" w:num="1"/>
        </w:sectPr>
      </w:pPr>
    </w:p>
    <w:p w14:paraId="427AAE4C">
      <w:pPr>
        <w:pageBreakBefore/>
        <w:spacing w:line="360" w:lineRule="auto"/>
        <w:rPr>
          <w:rFonts w:ascii="宋体" w:hAnsi="宋体" w:eastAsia="宋体" w:cs="宋体"/>
          <w:color w:val="auto"/>
          <w:highlight w:val="none"/>
          <w:lang w:eastAsia="zh-CN"/>
        </w:rPr>
      </w:pPr>
    </w:p>
    <w:p w14:paraId="2021C7F6">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46989D09">
      <w:pPr>
        <w:spacing w:line="360" w:lineRule="auto"/>
        <w:rPr>
          <w:rFonts w:ascii="宋体" w:hAnsi="宋体" w:eastAsia="宋体" w:cs="宋体"/>
          <w:color w:val="auto"/>
          <w:highlight w:val="none"/>
          <w:lang w:eastAsia="zh-CN"/>
        </w:rPr>
      </w:pPr>
    </w:p>
    <w:p w14:paraId="317ACF7F">
      <w:pPr>
        <w:spacing w:line="360" w:lineRule="auto"/>
        <w:rPr>
          <w:rFonts w:ascii="宋体" w:hAnsi="宋体" w:eastAsia="宋体" w:cs="宋体"/>
          <w:color w:val="auto"/>
          <w:highlight w:val="none"/>
          <w:lang w:eastAsia="zh-CN"/>
        </w:rPr>
      </w:pPr>
    </w:p>
    <w:p w14:paraId="7F8D1FE9">
      <w:pPr>
        <w:spacing w:line="360" w:lineRule="auto"/>
        <w:rPr>
          <w:rFonts w:ascii="宋体" w:hAnsi="宋体" w:eastAsia="宋体" w:cs="宋体"/>
          <w:color w:val="auto"/>
          <w:highlight w:val="none"/>
          <w:lang w:eastAsia="zh-CN"/>
        </w:rPr>
      </w:pPr>
    </w:p>
    <w:p w14:paraId="0B9EC783">
      <w:pPr>
        <w:spacing w:before="270" w:line="360" w:lineRule="auto"/>
        <w:ind w:right="-30"/>
        <w:jc w:val="center"/>
        <w:rPr>
          <w:rFonts w:ascii="宋体" w:hAnsi="宋体" w:eastAsia="宋体" w:cs="宋体"/>
          <w:b/>
          <w:bCs/>
          <w:color w:val="auto"/>
          <w:spacing w:val="-36"/>
          <w:sz w:val="60"/>
          <w:szCs w:val="60"/>
          <w:highlight w:val="none"/>
          <w:lang w:eastAsia="zh-CN"/>
        </w:rPr>
      </w:pPr>
      <w:r>
        <w:rPr>
          <w:rFonts w:hint="eastAsia" w:ascii="宋体" w:hAnsi="宋体" w:eastAsia="宋体" w:cs="宋体"/>
          <w:b/>
          <w:bCs/>
          <w:color w:val="auto"/>
          <w:spacing w:val="-36"/>
          <w:sz w:val="60"/>
          <w:szCs w:val="60"/>
          <w:highlight w:val="none"/>
          <w:lang w:eastAsia="zh-CN"/>
        </w:rPr>
        <w:t>投标文件</w:t>
      </w:r>
    </w:p>
    <w:p w14:paraId="30EC3EF2">
      <w:pPr>
        <w:spacing w:before="270" w:line="360" w:lineRule="auto"/>
        <w:ind w:right="-30"/>
        <w:jc w:val="center"/>
        <w:rPr>
          <w:rFonts w:ascii="宋体" w:hAnsi="宋体" w:eastAsia="宋体" w:cs="宋体"/>
          <w:color w:val="auto"/>
          <w:sz w:val="40"/>
          <w:szCs w:val="40"/>
          <w:highlight w:val="none"/>
          <w:lang w:eastAsia="zh-CN"/>
        </w:rPr>
      </w:pPr>
      <w:r>
        <w:rPr>
          <w:rFonts w:hint="eastAsia" w:ascii="宋体" w:hAnsi="宋体" w:eastAsia="宋体" w:cs="宋体"/>
          <w:b/>
          <w:bCs/>
          <w:color w:val="auto"/>
          <w:sz w:val="40"/>
          <w:szCs w:val="40"/>
          <w:highlight w:val="none"/>
          <w:lang w:eastAsia="zh-CN"/>
        </w:rPr>
        <w:t>商务技术文件</w:t>
      </w:r>
    </w:p>
    <w:p w14:paraId="34E16DA2">
      <w:pPr>
        <w:spacing w:before="109" w:line="360" w:lineRule="auto"/>
        <w:jc w:val="center"/>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67B4FFE2">
      <w:pPr>
        <w:spacing w:line="360" w:lineRule="auto"/>
        <w:rPr>
          <w:rFonts w:ascii="宋体" w:hAnsi="宋体" w:eastAsia="宋体" w:cs="宋体"/>
          <w:color w:val="auto"/>
          <w:highlight w:val="none"/>
          <w:lang w:eastAsia="zh-CN"/>
        </w:rPr>
      </w:pPr>
    </w:p>
    <w:p w14:paraId="3E19414B">
      <w:pPr>
        <w:spacing w:line="360" w:lineRule="auto"/>
        <w:rPr>
          <w:rFonts w:ascii="宋体" w:hAnsi="宋体" w:eastAsia="宋体" w:cs="宋体"/>
          <w:color w:val="auto"/>
          <w:highlight w:val="none"/>
          <w:lang w:eastAsia="zh-CN"/>
        </w:rPr>
      </w:pPr>
    </w:p>
    <w:p w14:paraId="77420434">
      <w:pPr>
        <w:spacing w:line="360" w:lineRule="auto"/>
        <w:rPr>
          <w:rFonts w:ascii="宋体" w:hAnsi="宋体" w:eastAsia="宋体" w:cs="宋体"/>
          <w:color w:val="auto"/>
          <w:highlight w:val="none"/>
          <w:lang w:eastAsia="zh-CN"/>
        </w:rPr>
      </w:pPr>
    </w:p>
    <w:p w14:paraId="07F7978A">
      <w:pPr>
        <w:spacing w:line="360" w:lineRule="auto"/>
        <w:rPr>
          <w:rFonts w:ascii="宋体" w:hAnsi="宋体" w:eastAsia="宋体" w:cs="宋体"/>
          <w:color w:val="auto"/>
          <w:highlight w:val="none"/>
          <w:lang w:eastAsia="zh-CN"/>
        </w:rPr>
      </w:pPr>
    </w:p>
    <w:p w14:paraId="78E1A5A4">
      <w:pPr>
        <w:spacing w:line="360" w:lineRule="auto"/>
        <w:rPr>
          <w:rFonts w:ascii="宋体" w:hAnsi="宋体" w:eastAsia="宋体" w:cs="宋体"/>
          <w:color w:val="auto"/>
          <w:highlight w:val="none"/>
          <w:lang w:eastAsia="zh-CN"/>
        </w:rPr>
      </w:pPr>
    </w:p>
    <w:p w14:paraId="67B8BA56">
      <w:pPr>
        <w:spacing w:line="360" w:lineRule="auto"/>
        <w:rPr>
          <w:rFonts w:ascii="宋体" w:hAnsi="宋体" w:eastAsia="宋体" w:cs="宋体"/>
          <w:color w:val="auto"/>
          <w:highlight w:val="none"/>
          <w:lang w:eastAsia="zh-CN"/>
        </w:rPr>
      </w:pPr>
    </w:p>
    <w:p w14:paraId="11BCB4BB">
      <w:pPr>
        <w:spacing w:line="360" w:lineRule="auto"/>
        <w:rPr>
          <w:rFonts w:ascii="宋体" w:hAnsi="宋体" w:eastAsia="宋体" w:cs="宋体"/>
          <w:color w:val="auto"/>
          <w:highlight w:val="none"/>
          <w:lang w:eastAsia="zh-CN"/>
        </w:rPr>
      </w:pPr>
    </w:p>
    <w:p w14:paraId="3D0C290E">
      <w:pPr>
        <w:spacing w:line="360" w:lineRule="auto"/>
        <w:rPr>
          <w:rFonts w:ascii="宋体" w:hAnsi="宋体" w:eastAsia="宋体" w:cs="宋体"/>
          <w:color w:val="auto"/>
          <w:highlight w:val="none"/>
          <w:lang w:eastAsia="zh-CN"/>
        </w:rPr>
      </w:pPr>
    </w:p>
    <w:p w14:paraId="4298B308">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08859A30">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4EA1F61F">
      <w:pPr>
        <w:pStyle w:val="10"/>
        <w:tabs>
          <w:tab w:val="left" w:pos="8364"/>
        </w:tabs>
        <w:spacing w:before="100"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411B9CFD">
      <w:pPr>
        <w:spacing w:line="360" w:lineRule="auto"/>
        <w:rPr>
          <w:rFonts w:ascii="宋体" w:hAnsi="宋体" w:eastAsia="宋体" w:cs="宋体"/>
          <w:color w:val="auto"/>
          <w:highlight w:val="none"/>
          <w:lang w:eastAsia="zh-CN"/>
        </w:rPr>
      </w:pPr>
    </w:p>
    <w:p w14:paraId="3E058239">
      <w:pPr>
        <w:spacing w:line="360" w:lineRule="auto"/>
        <w:rPr>
          <w:rFonts w:ascii="宋体" w:hAnsi="宋体" w:eastAsia="宋体" w:cs="宋体"/>
          <w:color w:val="auto"/>
          <w:highlight w:val="none"/>
          <w:lang w:eastAsia="zh-CN"/>
        </w:rPr>
      </w:pPr>
    </w:p>
    <w:p w14:paraId="567A24EC">
      <w:pPr>
        <w:spacing w:line="360" w:lineRule="auto"/>
        <w:rPr>
          <w:rFonts w:ascii="宋体" w:hAnsi="宋体" w:eastAsia="宋体" w:cs="宋体"/>
          <w:color w:val="auto"/>
          <w:highlight w:val="none"/>
          <w:lang w:eastAsia="zh-CN"/>
        </w:rPr>
      </w:pPr>
    </w:p>
    <w:p w14:paraId="4340584D">
      <w:pPr>
        <w:spacing w:line="360" w:lineRule="auto"/>
        <w:rPr>
          <w:rFonts w:ascii="宋体" w:hAnsi="宋体" w:eastAsia="宋体" w:cs="宋体"/>
          <w:color w:val="auto"/>
          <w:highlight w:val="none"/>
          <w:lang w:eastAsia="zh-CN"/>
        </w:rPr>
      </w:pPr>
    </w:p>
    <w:p w14:paraId="4C928591">
      <w:pPr>
        <w:pStyle w:val="10"/>
        <w:spacing w:before="102" w:line="360" w:lineRule="auto"/>
        <w:ind w:left="314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6FB24FC0">
      <w:pPr>
        <w:spacing w:line="360" w:lineRule="auto"/>
        <w:rPr>
          <w:rFonts w:ascii="宋体" w:hAnsi="宋体" w:eastAsia="宋体" w:cs="宋体"/>
          <w:color w:val="auto"/>
          <w:highlight w:val="none"/>
          <w:lang w:eastAsia="zh-CN"/>
        </w:rPr>
      </w:pPr>
    </w:p>
    <w:p w14:paraId="428511F1">
      <w:pPr>
        <w:pageBreakBefore/>
        <w:spacing w:before="101" w:line="360" w:lineRule="auto"/>
        <w:ind w:left="3379"/>
        <w:outlineLvl w:val="1"/>
        <w:rPr>
          <w:rFonts w:ascii="宋体" w:hAnsi="宋体" w:eastAsia="宋体" w:cs="宋体"/>
          <w:color w:val="auto"/>
          <w:sz w:val="31"/>
          <w:szCs w:val="31"/>
          <w:highlight w:val="none"/>
          <w:lang w:eastAsia="zh-CN"/>
        </w:rPr>
      </w:pPr>
      <w:bookmarkStart w:id="367" w:name="bookmark256"/>
      <w:bookmarkEnd w:id="367"/>
      <w:bookmarkStart w:id="368" w:name="bookmark255"/>
      <w:bookmarkEnd w:id="368"/>
      <w:bookmarkStart w:id="369" w:name="_Toc186477812"/>
      <w:bookmarkStart w:id="370" w:name="_Toc13720"/>
      <w:r>
        <w:rPr>
          <w:rFonts w:hint="eastAsia" w:ascii="宋体" w:hAnsi="宋体" w:eastAsia="宋体" w:cs="宋体"/>
          <w:b/>
          <w:bCs/>
          <w:color w:val="auto"/>
          <w:spacing w:val="3"/>
          <w:sz w:val="31"/>
          <w:szCs w:val="31"/>
          <w:highlight w:val="none"/>
          <w:lang w:val="en-US" w:eastAsia="zh-CN"/>
        </w:rPr>
        <w:t>三</w:t>
      </w:r>
      <w:r>
        <w:rPr>
          <w:rFonts w:hint="eastAsia" w:ascii="宋体" w:hAnsi="宋体" w:eastAsia="宋体" w:cs="宋体"/>
          <w:b/>
          <w:bCs/>
          <w:color w:val="auto"/>
          <w:spacing w:val="3"/>
          <w:sz w:val="31"/>
          <w:szCs w:val="31"/>
          <w:highlight w:val="none"/>
          <w:lang w:eastAsia="zh-CN"/>
        </w:rPr>
        <w:t>、投标函</w:t>
      </w:r>
      <w:bookmarkEnd w:id="369"/>
      <w:bookmarkEnd w:id="370"/>
    </w:p>
    <w:p w14:paraId="3D0981EE">
      <w:pPr>
        <w:tabs>
          <w:tab w:val="left" w:pos="5580"/>
        </w:tabs>
        <w:spacing w:line="360" w:lineRule="auto"/>
        <w:ind w:left="1080" w:hanging="10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致：</w:t>
      </w:r>
      <w:r>
        <w:rPr>
          <w:rFonts w:hint="eastAsia" w:ascii="宋体" w:hAnsi="宋体" w:eastAsia="宋体" w:cs="宋体"/>
          <w:color w:val="auto"/>
          <w:sz w:val="24"/>
          <w:highlight w:val="none"/>
          <w:u w:val="single"/>
          <w:lang w:eastAsia="zh-CN"/>
        </w:rPr>
        <w:t xml:space="preserve">（采购人名称） </w:t>
      </w:r>
    </w:p>
    <w:p w14:paraId="2AB458FC">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根据贵方(</w:t>
      </w:r>
      <w:r>
        <w:rPr>
          <w:rFonts w:hint="eastAsia" w:hAnsi="宋体" w:eastAsia="宋体" w:cs="宋体"/>
          <w:i/>
          <w:color w:val="auto"/>
          <w:sz w:val="24"/>
          <w:highlight w:val="none"/>
          <w:u w:val="single"/>
          <w:lang w:eastAsia="zh-CN"/>
        </w:rPr>
        <w:t>项目名称) （项目编号）</w:t>
      </w:r>
      <w:r>
        <w:rPr>
          <w:rFonts w:hint="eastAsia" w:hAnsi="宋体" w:eastAsia="宋体" w:cs="宋体"/>
          <w:color w:val="auto"/>
          <w:sz w:val="24"/>
          <w:highlight w:val="none"/>
          <w:lang w:eastAsia="zh-CN"/>
        </w:rPr>
        <w:t>项目的投标邀请,签字代表(</w:t>
      </w:r>
      <w:r>
        <w:rPr>
          <w:rFonts w:hint="eastAsia" w:hAnsi="宋体" w:eastAsia="宋体" w:cs="宋体"/>
          <w:i/>
          <w:color w:val="auto"/>
          <w:sz w:val="24"/>
          <w:highlight w:val="none"/>
          <w:u w:val="single"/>
          <w:lang w:eastAsia="zh-CN"/>
        </w:rPr>
        <w:t>姓名、职务</w:t>
      </w:r>
      <w:r>
        <w:rPr>
          <w:rFonts w:hint="eastAsia" w:hAnsi="宋体" w:eastAsia="宋体" w:cs="宋体"/>
          <w:color w:val="auto"/>
          <w:sz w:val="24"/>
          <w:highlight w:val="none"/>
          <w:lang w:eastAsia="zh-CN"/>
        </w:rPr>
        <w:t>)经正式授权并代表投标人（</w:t>
      </w:r>
      <w:r>
        <w:rPr>
          <w:rFonts w:hint="eastAsia" w:hAnsi="宋体" w:eastAsia="宋体" w:cs="宋体"/>
          <w:i/>
          <w:color w:val="auto"/>
          <w:sz w:val="24"/>
          <w:highlight w:val="none"/>
          <w:u w:val="single"/>
          <w:lang w:eastAsia="zh-CN"/>
        </w:rPr>
        <w:t>名称、地址</w:t>
      </w:r>
      <w:r>
        <w:rPr>
          <w:rFonts w:hint="eastAsia" w:hAnsi="宋体" w:eastAsia="宋体" w:cs="宋体"/>
          <w:color w:val="auto"/>
          <w:sz w:val="24"/>
          <w:highlight w:val="none"/>
          <w:lang w:eastAsia="zh-CN"/>
        </w:rPr>
        <w:t>）提交电子投标响应文件。</w:t>
      </w:r>
    </w:p>
    <w:p w14:paraId="50FF6DAD">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据此，签字代表宣布同意如下：</w:t>
      </w:r>
    </w:p>
    <w:p w14:paraId="4ACFD78C">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（1）已详细审查全部招标文件，包括所有补充通知（如果有的话），完全理解并同意放弃对这方面有不明、误解的权利。</w:t>
      </w:r>
    </w:p>
    <w:p w14:paraId="45E84A75">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（2）附投标分项报价表中规定的应提供货物及伴随服务的投标总价（包括满足本次招标全部采购需求所应提供的货物以及伴随的服务）详见开标一览表。</w:t>
      </w:r>
    </w:p>
    <w:p w14:paraId="2EF15FC1">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（3）本投标有效期为投标截止时间后 90 日历日。</w:t>
      </w:r>
    </w:p>
    <w:p w14:paraId="539F2B0F">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（4）我方不是为本项目提供整体设计、规范编制或者项目管理、监理、检测等服务的投标人，我方不是采购代理机构的附属机构。</w:t>
      </w:r>
    </w:p>
    <w:p w14:paraId="0B1B0A05">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（5）所报的各分项投标报价在合同履行过程中是固定不变的，不得以任何理由予以变更。</w:t>
      </w:r>
    </w:p>
    <w:p w14:paraId="0E62364F">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（6）接受价格的算术修正。</w:t>
      </w:r>
    </w:p>
    <w:p w14:paraId="5DD69DA7">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 xml:space="preserve">（7）一旦我方中标，我方保证在贵方约定的时间交付货物。 </w:t>
      </w:r>
    </w:p>
    <w:p w14:paraId="427BAB72">
      <w:pPr>
        <w:pStyle w:val="13"/>
        <w:tabs>
          <w:tab w:val="left" w:pos="5580"/>
        </w:tabs>
        <w:spacing w:line="360" w:lineRule="auto"/>
        <w:ind w:left="2"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（8）如果我方中标，非贵方原因，我方保证按照采购人要求的质量标准完成本项目的服务。</w:t>
      </w:r>
    </w:p>
    <w:p w14:paraId="4B42B384">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（9）如果我方中标，我方将按招标文件规定的时间内签订合同。如果违约，我方愿以投标保证金作为赔偿金，同时贵方有权终止我方中标并选择其他投标人。</w:t>
      </w:r>
    </w:p>
    <w:p w14:paraId="00CB9EFF">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（10）如果我方中标，到达现场的货物质量、技术要求与招标文件要求不一致的，质量达不到一次性合格,我方将进行整改直至贵方验收合格为止，并愿以中标价的</w:t>
      </w:r>
      <w:r>
        <w:rPr>
          <w:rFonts w:hint="eastAsia" w:hAnsi="宋体" w:eastAsia="宋体" w:cs="宋体"/>
          <w:color w:val="auto"/>
          <w:sz w:val="24"/>
          <w:highlight w:val="none"/>
          <w:u w:val="single"/>
          <w:lang w:eastAsia="zh-CN"/>
        </w:rPr>
        <w:t>10%</w:t>
      </w:r>
      <w:r>
        <w:rPr>
          <w:rFonts w:hint="eastAsia" w:hAnsi="宋体" w:eastAsia="宋体" w:cs="宋体"/>
          <w:color w:val="auto"/>
          <w:sz w:val="24"/>
          <w:highlight w:val="none"/>
          <w:lang w:eastAsia="zh-CN"/>
        </w:rPr>
        <w:t>作为违约金。</w:t>
      </w:r>
    </w:p>
    <w:p w14:paraId="1F949BD3">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（11）合同履约期限：</w:t>
      </w:r>
      <w:r>
        <w:rPr>
          <w:rFonts w:hint="eastAsia" w:hAnsi="宋体" w:eastAsia="宋体" w:cs="宋体"/>
          <w:color w:val="auto"/>
          <w:sz w:val="24"/>
          <w:highlight w:val="none"/>
          <w:u w:val="single"/>
          <w:lang w:eastAsia="zh-CN"/>
        </w:rPr>
        <w:t xml:space="preserve">     一年         </w:t>
      </w:r>
      <w:r>
        <w:rPr>
          <w:rFonts w:hint="eastAsia" w:hAnsi="宋体" w:eastAsia="宋体" w:cs="宋体"/>
          <w:color w:val="auto"/>
          <w:sz w:val="24"/>
          <w:highlight w:val="none"/>
          <w:lang w:eastAsia="zh-CN"/>
        </w:rPr>
        <w:t>。</w:t>
      </w:r>
    </w:p>
    <w:p w14:paraId="1945ABB9">
      <w:pPr>
        <w:pStyle w:val="13"/>
        <w:widowControl w:val="0"/>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（12）按照招标文件的规定，在中标后向采购代理机构一次性支付招标代理费。</w:t>
      </w:r>
    </w:p>
    <w:p w14:paraId="199EFF8D">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（13）按照贵方可能的要求，提供与投标有关的一切数据或资料，完全理解贵方不一定接受最低价的投标或收到的任何投标。</w:t>
      </w:r>
    </w:p>
    <w:p w14:paraId="572CFD98">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（14）按照招标文件的规定履行合同责任和义务。</w:t>
      </w:r>
    </w:p>
    <w:p w14:paraId="6FE3B142">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（15）我单位保证提供的投标文件的内容真实有效，如有不符，视为提供虚假资料谋取中标，我单位愿承担相应法律责任。</w:t>
      </w:r>
    </w:p>
    <w:p w14:paraId="74E7C18A">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（16）完全理解并无条件承担中标后不依法与贵方签订合同的法律后果。</w:t>
      </w:r>
    </w:p>
    <w:p w14:paraId="0BB19CE3">
      <w:pPr>
        <w:spacing w:line="360" w:lineRule="auto"/>
        <w:ind w:left="509"/>
        <w:rPr>
          <w:rFonts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（17）</w:t>
      </w:r>
      <w:r>
        <w:rPr>
          <w:rFonts w:hint="eastAsia" w:ascii="宋体" w:hAnsi="宋体" w:eastAsia="宋体" w:cs="宋体"/>
          <w:color w:val="auto"/>
          <w:spacing w:val="-3"/>
          <w:sz w:val="24"/>
          <w:szCs w:val="24"/>
          <w:highlight w:val="none"/>
          <w:lang w:eastAsia="zh-CN"/>
        </w:rPr>
        <w:t>重要声明：</w:t>
      </w:r>
    </w:p>
    <w:p w14:paraId="7574B07B">
      <w:pPr>
        <w:spacing w:line="360" w:lineRule="auto"/>
        <w:ind w:left="509"/>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1）与我方单位负责人为同一人的其他单位名称：</w:t>
      </w:r>
    </w:p>
    <w:p w14:paraId="0CB07F2B">
      <w:pPr>
        <w:spacing w:line="360" w:lineRule="auto"/>
        <w:ind w:left="859"/>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□无；□有，具体单位名称为</w:t>
      </w:r>
      <w:r>
        <w:rPr>
          <w:rFonts w:hint="eastAsia" w:ascii="宋体" w:hAnsi="宋体" w:eastAsia="宋体" w:cs="宋体"/>
          <w:color w:val="auto"/>
          <w:spacing w:val="-42"/>
          <w:sz w:val="24"/>
          <w:szCs w:val="24"/>
          <w:highlight w:val="none"/>
          <w:lang w:eastAsia="zh-CN"/>
        </w:rPr>
        <w:t>：</w:t>
      </w:r>
      <w:r>
        <w:rPr>
          <w:rFonts w:hint="eastAsia" w:ascii="宋体" w:hAnsi="宋体" w:eastAsia="宋体" w:cs="宋体"/>
          <w:i/>
          <w:iCs/>
          <w:color w:val="auto"/>
          <w:spacing w:val="-42"/>
          <w:sz w:val="24"/>
          <w:szCs w:val="24"/>
          <w:highlight w:val="none"/>
          <w:u w:val="single"/>
          <w:lang w:eastAsia="zh-CN"/>
        </w:rPr>
        <w:t>（</w:t>
      </w:r>
      <w:r>
        <w:rPr>
          <w:rFonts w:hint="eastAsia" w:ascii="宋体" w:hAnsi="宋体" w:eastAsia="宋体" w:cs="宋体"/>
          <w:i/>
          <w:iCs/>
          <w:color w:val="auto"/>
          <w:spacing w:val="-12"/>
          <w:sz w:val="24"/>
          <w:szCs w:val="24"/>
          <w:highlight w:val="none"/>
          <w:u w:val="single"/>
          <w:lang w:eastAsia="zh-CN"/>
        </w:rPr>
        <w:t>由供应商如实填写</w:t>
      </w:r>
      <w:r>
        <w:rPr>
          <w:rFonts w:hint="eastAsia" w:ascii="宋体" w:hAnsi="宋体" w:eastAsia="宋体" w:cs="宋体"/>
          <w:i/>
          <w:iCs/>
          <w:color w:val="auto"/>
          <w:spacing w:val="-12"/>
          <w:sz w:val="24"/>
          <w:szCs w:val="24"/>
          <w:highlight w:val="none"/>
          <w:lang w:eastAsia="zh-CN"/>
        </w:rPr>
        <w:t>）</w:t>
      </w:r>
      <w:r>
        <w:rPr>
          <w:rFonts w:hint="eastAsia" w:ascii="宋体" w:hAnsi="宋体" w:eastAsia="宋体" w:cs="宋体"/>
          <w:color w:val="auto"/>
          <w:spacing w:val="-12"/>
          <w:sz w:val="24"/>
          <w:szCs w:val="24"/>
          <w:highlight w:val="none"/>
          <w:lang w:eastAsia="zh-CN"/>
        </w:rPr>
        <w:t>。</w:t>
      </w:r>
    </w:p>
    <w:p w14:paraId="6EFAC6F7">
      <w:pPr>
        <w:spacing w:line="360" w:lineRule="auto"/>
        <w:ind w:left="509"/>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2）与我方存在控股、管理关系的其他单位的名称：</w:t>
      </w:r>
    </w:p>
    <w:p w14:paraId="3EDFEA07">
      <w:pPr>
        <w:spacing w:line="360" w:lineRule="auto"/>
        <w:ind w:left="859"/>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□无；□有，具体单位名称为</w:t>
      </w:r>
      <w:r>
        <w:rPr>
          <w:rFonts w:hint="eastAsia" w:ascii="宋体" w:hAnsi="宋体" w:eastAsia="宋体" w:cs="宋体"/>
          <w:color w:val="auto"/>
          <w:spacing w:val="8"/>
          <w:sz w:val="24"/>
          <w:szCs w:val="24"/>
          <w:highlight w:val="none"/>
          <w:lang w:eastAsia="zh-CN"/>
        </w:rPr>
        <w:t>：</w:t>
      </w:r>
      <w:r>
        <w:rPr>
          <w:rFonts w:hint="eastAsia" w:ascii="宋体" w:hAnsi="宋体" w:eastAsia="宋体" w:cs="宋体"/>
          <w:i/>
          <w:iCs/>
          <w:color w:val="auto"/>
          <w:spacing w:val="8"/>
          <w:sz w:val="24"/>
          <w:szCs w:val="24"/>
          <w:highlight w:val="none"/>
          <w:u w:val="single"/>
          <w:lang w:eastAsia="zh-CN"/>
        </w:rPr>
        <w:t>（</w:t>
      </w:r>
      <w:r>
        <w:rPr>
          <w:rFonts w:hint="eastAsia" w:ascii="宋体" w:hAnsi="宋体" w:eastAsia="宋体" w:cs="宋体"/>
          <w:i/>
          <w:iCs/>
          <w:color w:val="auto"/>
          <w:spacing w:val="-12"/>
          <w:sz w:val="24"/>
          <w:szCs w:val="24"/>
          <w:highlight w:val="none"/>
          <w:u w:val="single"/>
          <w:lang w:eastAsia="zh-CN"/>
        </w:rPr>
        <w:t>由供应商如实填写</w:t>
      </w:r>
      <w:r>
        <w:rPr>
          <w:rFonts w:hint="eastAsia" w:ascii="宋体" w:hAnsi="宋体" w:eastAsia="宋体" w:cs="宋体"/>
          <w:i/>
          <w:iCs/>
          <w:color w:val="auto"/>
          <w:spacing w:val="-12"/>
          <w:sz w:val="24"/>
          <w:szCs w:val="24"/>
          <w:highlight w:val="none"/>
          <w:lang w:eastAsia="zh-CN"/>
        </w:rPr>
        <w:t>）</w:t>
      </w:r>
      <w:r>
        <w:rPr>
          <w:rFonts w:hint="eastAsia" w:ascii="宋体" w:hAnsi="宋体" w:eastAsia="宋体" w:cs="宋体"/>
          <w:color w:val="auto"/>
          <w:spacing w:val="-12"/>
          <w:sz w:val="24"/>
          <w:szCs w:val="24"/>
          <w:highlight w:val="none"/>
          <w:lang w:eastAsia="zh-CN"/>
        </w:rPr>
        <w:t>。</w:t>
      </w:r>
    </w:p>
    <w:p w14:paraId="24BE699A">
      <w:pPr>
        <w:pStyle w:val="13"/>
        <w:tabs>
          <w:tab w:val="left" w:pos="5580"/>
        </w:tabs>
        <w:spacing w:line="360" w:lineRule="auto"/>
        <w:ind w:left="2" w:leftChars="1" w:firstLine="464" w:firstLineChars="200"/>
        <w:rPr>
          <w:rFonts w:hAnsi="宋体" w:eastAsia="宋体" w:cs="宋体"/>
          <w:color w:val="auto"/>
          <w:sz w:val="24"/>
          <w:highlight w:val="none"/>
          <w:lang w:eastAsia="zh-CN"/>
        </w:rPr>
      </w:pPr>
      <w:r>
        <w:rPr>
          <w:rFonts w:hint="eastAsia" w:hAnsi="宋体" w:eastAsia="宋体" w:cs="宋体"/>
          <w:color w:val="auto"/>
          <w:spacing w:val="-4"/>
          <w:sz w:val="24"/>
          <w:szCs w:val="24"/>
          <w:highlight w:val="none"/>
          <w:lang w:eastAsia="zh-CN"/>
        </w:rPr>
        <w:t>（备注：以上2项声明，必须如实选择，选中项用</w:t>
      </w:r>
      <w:r>
        <w:rPr>
          <w:rFonts w:hint="eastAsia" w:hAnsi="宋体" w:eastAsia="宋体" w:cs="宋体"/>
          <w:color w:val="auto"/>
          <w:spacing w:val="-5"/>
          <w:sz w:val="24"/>
          <w:szCs w:val="24"/>
          <w:highlight w:val="none"/>
          <w:lang w:eastAsia="zh-CN"/>
        </w:rPr>
        <w:t>☑表示，未选中项用□表</w:t>
      </w:r>
      <w:r>
        <w:rPr>
          <w:rFonts w:hint="eastAsia" w:hAnsi="宋体" w:eastAsia="宋体" w:cs="宋体"/>
          <w:color w:val="auto"/>
          <w:spacing w:val="-4"/>
          <w:sz w:val="24"/>
          <w:szCs w:val="24"/>
          <w:highlight w:val="none"/>
          <w:lang w:eastAsia="zh-CN"/>
        </w:rPr>
        <w:t>示。①“单位负责人”是指单位法定代表人或者法律、行政法规规定代表单位行</w:t>
      </w:r>
      <w:r>
        <w:rPr>
          <w:rFonts w:hint="eastAsia" w:hAnsi="宋体" w:eastAsia="宋体" w:cs="宋体"/>
          <w:color w:val="auto"/>
          <w:spacing w:val="-3"/>
          <w:sz w:val="24"/>
          <w:szCs w:val="24"/>
          <w:highlight w:val="none"/>
          <w:lang w:eastAsia="zh-CN"/>
        </w:rPr>
        <w:t>使职权的主要负责人。②本条所规定的控股、管理关系仅限于直接控股、直接管理关系，不包括间接的控股或管理关系。③供应商如未如实填报，视为提供虚假</w:t>
      </w:r>
      <w:r>
        <w:rPr>
          <w:rFonts w:hint="eastAsia" w:hAnsi="宋体" w:eastAsia="宋体" w:cs="宋体"/>
          <w:color w:val="auto"/>
          <w:spacing w:val="-6"/>
          <w:sz w:val="24"/>
          <w:szCs w:val="24"/>
          <w:highlight w:val="none"/>
          <w:lang w:eastAsia="zh-CN"/>
        </w:rPr>
        <w:t>材料谋取中标，应承担相应法律责任。）</w:t>
      </w:r>
    </w:p>
    <w:p w14:paraId="2CA960F0">
      <w:pPr>
        <w:pStyle w:val="13"/>
        <w:tabs>
          <w:tab w:val="left" w:pos="5580"/>
        </w:tabs>
        <w:spacing w:line="360" w:lineRule="auto"/>
        <w:ind w:left="359" w:leftChars="68" w:hanging="216" w:hangingChars="90"/>
        <w:rPr>
          <w:rFonts w:hAnsi="宋体" w:eastAsia="宋体" w:cs="宋体"/>
          <w:color w:val="auto"/>
          <w:sz w:val="24"/>
          <w:highlight w:val="none"/>
          <w:lang w:eastAsia="zh-CN"/>
        </w:rPr>
      </w:pPr>
    </w:p>
    <w:p w14:paraId="127B3B80">
      <w:pPr>
        <w:pStyle w:val="13"/>
        <w:tabs>
          <w:tab w:val="left" w:pos="5580"/>
        </w:tabs>
        <w:spacing w:line="360" w:lineRule="auto"/>
        <w:ind w:left="382" w:leftChars="182" w:firstLine="24" w:firstLineChars="10"/>
        <w:rPr>
          <w:rFonts w:hAnsi="宋体" w:eastAsia="宋体" w:cs="宋体"/>
          <w:color w:val="auto"/>
          <w:sz w:val="24"/>
          <w:highlight w:val="none"/>
          <w:lang w:eastAsia="zh-CN"/>
        </w:rPr>
      </w:pPr>
      <w:r>
        <w:rPr>
          <w:rFonts w:hint="eastAsia" w:hAnsi="宋体" w:eastAsia="宋体" w:cs="宋体"/>
          <w:color w:val="auto"/>
          <w:sz w:val="24"/>
          <w:highlight w:val="none"/>
          <w:lang w:eastAsia="zh-CN"/>
        </w:rPr>
        <w:t>与本投标有关的一切正式往来信函请寄：</w:t>
      </w:r>
    </w:p>
    <w:p w14:paraId="3E033F70">
      <w:pPr>
        <w:pStyle w:val="13"/>
        <w:tabs>
          <w:tab w:val="left" w:pos="5580"/>
        </w:tabs>
        <w:spacing w:line="360" w:lineRule="auto"/>
        <w:ind w:left="1080" w:leftChars="257" w:hanging="540"/>
        <w:rPr>
          <w:rFonts w:hAnsi="宋体" w:eastAsia="宋体" w:cs="宋体"/>
          <w:color w:val="auto"/>
          <w:sz w:val="24"/>
          <w:highlight w:val="none"/>
          <w:lang w:eastAsia="zh-CN"/>
        </w:rPr>
      </w:pPr>
      <w:r>
        <w:rPr>
          <w:rFonts w:hint="eastAsia" w:hAnsi="宋体" w:eastAsia="宋体" w:cs="宋体"/>
          <w:color w:val="auto"/>
          <w:sz w:val="24"/>
          <w:highlight w:val="none"/>
          <w:lang w:eastAsia="zh-CN"/>
        </w:rPr>
        <w:t>地址：     传真：</w:t>
      </w:r>
    </w:p>
    <w:p w14:paraId="58C698EE">
      <w:pPr>
        <w:pStyle w:val="13"/>
        <w:tabs>
          <w:tab w:val="left" w:pos="5580"/>
        </w:tabs>
        <w:spacing w:line="360" w:lineRule="auto"/>
        <w:ind w:left="1080" w:leftChars="257" w:hanging="540"/>
        <w:rPr>
          <w:rFonts w:hAnsi="宋体" w:eastAsia="宋体" w:cs="宋体"/>
          <w:b/>
          <w:color w:val="auto"/>
          <w:sz w:val="24"/>
          <w:highlight w:val="none"/>
          <w:lang w:eastAsia="zh-CN"/>
        </w:rPr>
      </w:pPr>
      <w:r>
        <w:rPr>
          <w:rFonts w:hint="eastAsia" w:hAnsi="宋体" w:eastAsia="宋体" w:cs="宋体"/>
          <w:color w:val="auto"/>
          <w:sz w:val="24"/>
          <w:highlight w:val="none"/>
          <w:lang w:eastAsia="zh-CN"/>
        </w:rPr>
        <w:t>电话：     电子函件：</w:t>
      </w:r>
    </w:p>
    <w:p w14:paraId="6456DDC6">
      <w:pPr>
        <w:pStyle w:val="13"/>
        <w:tabs>
          <w:tab w:val="left" w:pos="5580"/>
        </w:tabs>
        <w:spacing w:line="360" w:lineRule="auto"/>
        <w:ind w:left="1080" w:leftChars="257" w:hanging="540"/>
        <w:rPr>
          <w:rFonts w:hAnsi="宋体" w:eastAsia="宋体" w:cs="宋体"/>
          <w:color w:val="auto"/>
          <w:sz w:val="24"/>
          <w:highlight w:val="none"/>
          <w:lang w:eastAsia="zh-CN"/>
        </w:rPr>
      </w:pPr>
    </w:p>
    <w:p w14:paraId="080361A7">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32171E16">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78721D0D">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lang w:eastAsia="zh-CN"/>
        </w:rPr>
        <w:t>日期：______年____月____日</w:t>
      </w:r>
    </w:p>
    <w:p w14:paraId="3D2A18A4">
      <w:pPr>
        <w:pageBreakBefore/>
        <w:spacing w:before="100" w:line="360" w:lineRule="auto"/>
        <w:ind w:left="1389"/>
        <w:outlineLvl w:val="1"/>
        <w:rPr>
          <w:rFonts w:ascii="宋体" w:hAnsi="宋体" w:eastAsia="宋体" w:cs="宋体"/>
          <w:color w:val="auto"/>
          <w:sz w:val="31"/>
          <w:szCs w:val="31"/>
          <w:highlight w:val="none"/>
          <w:lang w:eastAsia="zh-CN"/>
        </w:rPr>
      </w:pPr>
      <w:bookmarkStart w:id="371" w:name="bookmark265"/>
      <w:bookmarkEnd w:id="371"/>
      <w:bookmarkStart w:id="372" w:name="bookmark258"/>
      <w:bookmarkEnd w:id="372"/>
      <w:bookmarkStart w:id="373" w:name="_Toc27420"/>
      <w:bookmarkStart w:id="374" w:name="_Toc186477814"/>
      <w:r>
        <w:rPr>
          <w:rFonts w:hint="eastAsia" w:ascii="宋体" w:hAnsi="宋体" w:eastAsia="宋体" w:cs="宋体"/>
          <w:b/>
          <w:bCs/>
          <w:color w:val="auto"/>
          <w:spacing w:val="6"/>
          <w:sz w:val="31"/>
          <w:szCs w:val="31"/>
          <w:highlight w:val="none"/>
          <w:lang w:val="en-US" w:eastAsia="zh-CN"/>
        </w:rPr>
        <w:t>四</w:t>
      </w:r>
      <w:r>
        <w:rPr>
          <w:rFonts w:hint="eastAsia" w:ascii="宋体" w:hAnsi="宋体" w:eastAsia="宋体" w:cs="宋体"/>
          <w:b/>
          <w:bCs/>
          <w:color w:val="auto"/>
          <w:spacing w:val="6"/>
          <w:sz w:val="31"/>
          <w:szCs w:val="31"/>
          <w:highlight w:val="none"/>
          <w:lang w:eastAsia="zh-CN"/>
        </w:rPr>
        <w:t>、法定代表人（单位负责人）身份证明</w:t>
      </w:r>
      <w:bookmarkEnd w:id="373"/>
      <w:bookmarkEnd w:id="374"/>
    </w:p>
    <w:p w14:paraId="39A07E64">
      <w:pPr>
        <w:spacing w:line="360" w:lineRule="auto"/>
        <w:rPr>
          <w:rFonts w:ascii="宋体" w:hAnsi="宋体" w:eastAsia="宋体" w:cs="宋体"/>
          <w:color w:val="auto"/>
          <w:highlight w:val="none"/>
          <w:lang w:eastAsia="zh-CN"/>
        </w:rPr>
      </w:pPr>
    </w:p>
    <w:p w14:paraId="7FC96BB0">
      <w:pPr>
        <w:spacing w:before="78" w:line="360" w:lineRule="auto"/>
        <w:ind w:left="1085" w:right="4604" w:hanging="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致</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
          <w:sz w:val="24"/>
          <w:szCs w:val="24"/>
          <w:highlight w:val="none"/>
          <w:lang w:eastAsia="zh-CN"/>
        </w:rPr>
        <w:t>采购人或采购代理机构）</w:t>
      </w:r>
      <w:r>
        <w:rPr>
          <w:rFonts w:hint="eastAsia" w:ascii="宋体" w:hAnsi="宋体" w:eastAsia="宋体" w:cs="宋体"/>
          <w:color w:val="auto"/>
          <w:spacing w:val="-4"/>
          <w:sz w:val="24"/>
          <w:szCs w:val="24"/>
          <w:highlight w:val="none"/>
          <w:lang w:eastAsia="zh-CN"/>
        </w:rPr>
        <w:t>兹证明，</w:t>
      </w:r>
    </w:p>
    <w:p w14:paraId="21806CF9">
      <w:pPr>
        <w:spacing w:before="34" w:line="360" w:lineRule="auto"/>
        <w:ind w:left="60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姓名：性别：年龄：职务：</w:t>
      </w:r>
    </w:p>
    <w:p w14:paraId="1D2ED512">
      <w:pPr>
        <w:spacing w:line="360" w:lineRule="auto"/>
        <w:rPr>
          <w:rFonts w:ascii="宋体" w:hAnsi="宋体" w:eastAsia="宋体" w:cs="宋体"/>
          <w:color w:val="auto"/>
          <w:highlight w:val="none"/>
          <w:lang w:eastAsia="zh-CN"/>
        </w:rPr>
      </w:pPr>
    </w:p>
    <w:p w14:paraId="661BCAFE">
      <w:pPr>
        <w:spacing w:before="79" w:line="360" w:lineRule="auto"/>
        <w:ind w:left="60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 （供应商名称</w:t>
      </w:r>
      <w:r>
        <w:rPr>
          <w:rFonts w:hint="eastAsia" w:ascii="宋体" w:hAnsi="宋体" w:eastAsia="宋体" w:cs="宋体"/>
          <w:color w:val="auto"/>
          <w:spacing w:val="-1"/>
          <w:sz w:val="24"/>
          <w:szCs w:val="24"/>
          <w:highlight w:val="none"/>
          <w:lang w:eastAsia="zh-CN"/>
        </w:rPr>
        <w:t>）的法定代表人（单位负责人）。</w:t>
      </w:r>
    </w:p>
    <w:p w14:paraId="55035D14">
      <w:pPr>
        <w:spacing w:line="360" w:lineRule="auto"/>
        <w:rPr>
          <w:rFonts w:ascii="宋体" w:hAnsi="宋体" w:eastAsia="宋体" w:cs="宋体"/>
          <w:color w:val="auto"/>
          <w:highlight w:val="none"/>
          <w:lang w:eastAsia="zh-CN"/>
        </w:rPr>
      </w:pPr>
    </w:p>
    <w:p w14:paraId="44E2759F">
      <w:pPr>
        <w:spacing w:before="78" w:line="360" w:lineRule="auto"/>
        <w:ind w:left="62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附：法定代表人（单位负责人）身份证、护照等身份证明文件电子件：</w:t>
      </w:r>
    </w:p>
    <w:p w14:paraId="787A7103">
      <w:pPr>
        <w:spacing w:before="7" w:line="360" w:lineRule="auto"/>
        <w:rPr>
          <w:rFonts w:ascii="宋体" w:hAnsi="宋体" w:eastAsia="宋体" w:cs="宋体"/>
          <w:color w:val="auto"/>
          <w:highlight w:val="none"/>
          <w:lang w:eastAsia="zh-CN"/>
        </w:rPr>
      </w:pPr>
    </w:p>
    <w:p w14:paraId="3FC2F511">
      <w:pPr>
        <w:spacing w:before="7" w:line="360" w:lineRule="auto"/>
        <w:rPr>
          <w:rFonts w:ascii="宋体" w:hAnsi="宋体" w:eastAsia="宋体" w:cs="宋体"/>
          <w:color w:val="auto"/>
          <w:highlight w:val="none"/>
          <w:lang w:eastAsia="zh-CN"/>
        </w:rPr>
      </w:pPr>
    </w:p>
    <w:p w14:paraId="04DE134C">
      <w:pPr>
        <w:spacing w:before="7" w:line="360" w:lineRule="auto"/>
        <w:rPr>
          <w:rFonts w:ascii="宋体" w:hAnsi="宋体" w:eastAsia="宋体" w:cs="宋体"/>
          <w:color w:val="auto"/>
          <w:highlight w:val="none"/>
          <w:lang w:eastAsia="zh-CN"/>
        </w:rPr>
      </w:pPr>
    </w:p>
    <w:p w14:paraId="1FA214B5">
      <w:pPr>
        <w:spacing w:before="6" w:line="360" w:lineRule="auto"/>
        <w:rPr>
          <w:rFonts w:ascii="宋体" w:hAnsi="宋体" w:eastAsia="宋体" w:cs="宋体"/>
          <w:color w:val="auto"/>
          <w:highlight w:val="none"/>
          <w:lang w:eastAsia="zh-CN"/>
        </w:rPr>
      </w:pPr>
    </w:p>
    <w:p w14:paraId="38106023">
      <w:pPr>
        <w:spacing w:before="6" w:line="360" w:lineRule="auto"/>
        <w:rPr>
          <w:rFonts w:ascii="宋体" w:hAnsi="宋体" w:eastAsia="宋体" w:cs="宋体"/>
          <w:color w:val="auto"/>
          <w:highlight w:val="none"/>
          <w:lang w:eastAsia="zh-CN"/>
        </w:rPr>
      </w:pPr>
    </w:p>
    <w:tbl>
      <w:tblPr>
        <w:tblStyle w:val="24"/>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4ED8366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8531" w:type="dxa"/>
          </w:tcPr>
          <w:p w14:paraId="4552F05D">
            <w:pPr>
              <w:spacing w:line="360" w:lineRule="auto"/>
              <w:rPr>
                <w:rFonts w:ascii="宋体" w:hAnsi="宋体" w:eastAsia="宋体" w:cs="宋体"/>
                <w:color w:val="auto"/>
                <w:highlight w:val="none"/>
                <w:lang w:eastAsia="zh-CN"/>
              </w:rPr>
            </w:pPr>
          </w:p>
        </w:tc>
      </w:tr>
    </w:tbl>
    <w:p w14:paraId="78466CC9">
      <w:pPr>
        <w:spacing w:line="360" w:lineRule="auto"/>
        <w:rPr>
          <w:rFonts w:ascii="宋体" w:hAnsi="宋体" w:eastAsia="宋体" w:cs="宋体"/>
          <w:color w:val="auto"/>
          <w:highlight w:val="none"/>
          <w:lang w:eastAsia="zh-CN"/>
        </w:rPr>
      </w:pPr>
    </w:p>
    <w:p w14:paraId="101BA577">
      <w:pPr>
        <w:spacing w:line="360" w:lineRule="auto"/>
        <w:rPr>
          <w:rFonts w:ascii="宋体" w:hAnsi="宋体" w:eastAsia="宋体" w:cs="宋体"/>
          <w:color w:val="auto"/>
          <w:highlight w:val="none"/>
          <w:lang w:eastAsia="zh-CN"/>
        </w:rPr>
      </w:pPr>
    </w:p>
    <w:p w14:paraId="2D0964AB">
      <w:pPr>
        <w:spacing w:line="360" w:lineRule="auto"/>
        <w:ind w:firstLine="440" w:firstLineChars="200"/>
        <w:rPr>
          <w:rFonts w:ascii="宋体" w:hAnsi="宋体" w:eastAsia="宋体" w:cs="宋体"/>
          <w:color w:val="auto"/>
          <w:sz w:val="22"/>
          <w:highlight w:val="none"/>
          <w:lang w:eastAsia="zh-CN"/>
        </w:rPr>
      </w:pPr>
    </w:p>
    <w:p w14:paraId="0D74E386">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34B56237">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6262E4BD">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lang w:eastAsia="zh-CN"/>
        </w:rPr>
        <w:t>日期：______年____月____日</w:t>
      </w:r>
    </w:p>
    <w:p w14:paraId="6A15CB5D">
      <w:pPr>
        <w:pageBreakBefore/>
        <w:spacing w:before="101" w:line="360" w:lineRule="auto"/>
        <w:ind w:left="3153"/>
        <w:outlineLvl w:val="1"/>
        <w:rPr>
          <w:rFonts w:ascii="宋体" w:hAnsi="宋体" w:eastAsia="宋体" w:cs="宋体"/>
          <w:color w:val="auto"/>
          <w:sz w:val="31"/>
          <w:szCs w:val="31"/>
          <w:highlight w:val="none"/>
          <w:lang w:eastAsia="zh-CN"/>
        </w:rPr>
      </w:pPr>
      <w:bookmarkStart w:id="375" w:name="bookmark259"/>
      <w:bookmarkEnd w:id="375"/>
      <w:bookmarkStart w:id="376" w:name="bookmark260"/>
      <w:bookmarkEnd w:id="376"/>
      <w:bookmarkStart w:id="377" w:name="_Toc186477815"/>
      <w:bookmarkStart w:id="378" w:name="_Toc16842"/>
      <w:r>
        <w:rPr>
          <w:rFonts w:hint="eastAsia" w:ascii="宋体" w:hAnsi="宋体" w:eastAsia="宋体" w:cs="宋体"/>
          <w:b/>
          <w:bCs/>
          <w:color w:val="auto"/>
          <w:spacing w:val="5"/>
          <w:sz w:val="31"/>
          <w:szCs w:val="31"/>
          <w:highlight w:val="none"/>
          <w:lang w:val="en-US" w:eastAsia="zh-CN"/>
        </w:rPr>
        <w:t>五</w:t>
      </w:r>
      <w:r>
        <w:rPr>
          <w:rFonts w:hint="eastAsia" w:ascii="宋体" w:hAnsi="宋体" w:eastAsia="宋体" w:cs="宋体"/>
          <w:b/>
          <w:bCs/>
          <w:color w:val="auto"/>
          <w:spacing w:val="5"/>
          <w:sz w:val="31"/>
          <w:szCs w:val="31"/>
          <w:highlight w:val="none"/>
          <w:lang w:eastAsia="zh-CN"/>
        </w:rPr>
        <w:t>、授权委托书</w:t>
      </w:r>
      <w:bookmarkEnd w:id="377"/>
      <w:bookmarkEnd w:id="378"/>
    </w:p>
    <w:p w14:paraId="7DCAD74C">
      <w:pPr>
        <w:spacing w:before="310" w:line="360" w:lineRule="auto"/>
        <w:ind w:left="122" w:right="37"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本人（姓名）系（供应商名称</w:t>
      </w:r>
      <w:r>
        <w:rPr>
          <w:rFonts w:hint="eastAsia" w:ascii="宋体" w:hAnsi="宋体" w:eastAsia="宋体" w:cs="宋体"/>
          <w:color w:val="auto"/>
          <w:spacing w:val="-1"/>
          <w:sz w:val="24"/>
          <w:szCs w:val="24"/>
          <w:highlight w:val="none"/>
          <w:lang w:eastAsia="zh-CN"/>
        </w:rPr>
        <w:t>）的法定代表人（单位负责</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3"/>
          <w:sz w:val="24"/>
          <w:szCs w:val="24"/>
          <w:highlight w:val="none"/>
          <w:lang w:eastAsia="zh-CN"/>
        </w:rPr>
        <w:t>现委托（姓名）为我方代理人。</w:t>
      </w:r>
      <w:r>
        <w:rPr>
          <w:rFonts w:hint="eastAsia" w:ascii="宋体" w:hAnsi="宋体" w:eastAsia="宋体" w:cs="宋体"/>
          <w:color w:val="auto"/>
          <w:spacing w:val="-4"/>
          <w:sz w:val="24"/>
          <w:szCs w:val="24"/>
          <w:highlight w:val="none"/>
          <w:lang w:eastAsia="zh-CN"/>
        </w:rPr>
        <w:t>代理人根据授权，以我方名义签署、</w:t>
      </w:r>
      <w:r>
        <w:rPr>
          <w:rFonts w:hint="eastAsia" w:ascii="宋体" w:hAnsi="宋体" w:eastAsia="宋体" w:cs="宋体"/>
          <w:color w:val="auto"/>
          <w:spacing w:val="-3"/>
          <w:sz w:val="24"/>
          <w:szCs w:val="24"/>
          <w:highlight w:val="none"/>
          <w:lang w:eastAsia="zh-CN"/>
        </w:rPr>
        <w:t>澄清确认、说明、补正、递交、撤回、修改</w:t>
      </w:r>
      <w:r>
        <w:rPr>
          <w:rFonts w:hint="eastAsia" w:ascii="宋体" w:hAnsi="宋体" w:eastAsia="宋体" w:cs="宋体"/>
          <w:color w:val="auto"/>
          <w:spacing w:val="-4"/>
          <w:sz w:val="24"/>
          <w:szCs w:val="24"/>
          <w:highlight w:val="none"/>
          <w:lang w:eastAsia="zh-CN"/>
        </w:rPr>
        <w:t>（项目名称）投标文件、</w:t>
      </w:r>
      <w:r>
        <w:rPr>
          <w:rFonts w:hint="eastAsia" w:ascii="宋体" w:hAnsi="宋体" w:eastAsia="宋体" w:cs="宋体"/>
          <w:color w:val="auto"/>
          <w:spacing w:val="-1"/>
          <w:sz w:val="24"/>
          <w:szCs w:val="24"/>
          <w:highlight w:val="none"/>
          <w:lang w:eastAsia="zh-CN"/>
        </w:rPr>
        <w:t>签订合同和处理有关事宜，其法律后果由我方承担。</w:t>
      </w:r>
    </w:p>
    <w:p w14:paraId="64E5A924">
      <w:pPr>
        <w:spacing w:before="33" w:line="360" w:lineRule="auto"/>
        <w:ind w:left="601" w:right="102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委托期限：自本授权委托书签署之日起至投标有效期届满之日止。</w:t>
      </w:r>
      <w:r>
        <w:rPr>
          <w:rFonts w:hint="eastAsia" w:ascii="宋体" w:hAnsi="宋体" w:eastAsia="宋体" w:cs="宋体"/>
          <w:color w:val="auto"/>
          <w:spacing w:val="-1"/>
          <w:sz w:val="24"/>
          <w:szCs w:val="24"/>
          <w:highlight w:val="none"/>
          <w:lang w:eastAsia="zh-CN"/>
        </w:rPr>
        <w:t>代理人无转委托权。</w:t>
      </w:r>
    </w:p>
    <w:p w14:paraId="004D8659">
      <w:pPr>
        <w:spacing w:line="360" w:lineRule="auto"/>
        <w:rPr>
          <w:rFonts w:ascii="宋体" w:hAnsi="宋体" w:eastAsia="宋体" w:cs="宋体"/>
          <w:color w:val="auto"/>
          <w:highlight w:val="none"/>
          <w:lang w:eastAsia="zh-CN"/>
        </w:rPr>
      </w:pPr>
    </w:p>
    <w:p w14:paraId="1AC1E1AF">
      <w:pPr>
        <w:spacing w:before="78" w:line="360" w:lineRule="auto"/>
        <w:ind w:left="12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p>
    <w:p w14:paraId="1C0F145D">
      <w:pPr>
        <w:spacing w:line="360" w:lineRule="auto"/>
        <w:rPr>
          <w:rFonts w:ascii="宋体" w:hAnsi="宋体" w:eastAsia="宋体" w:cs="宋体"/>
          <w:color w:val="auto"/>
          <w:highlight w:val="none"/>
          <w:lang w:eastAsia="zh-CN"/>
        </w:rPr>
      </w:pPr>
    </w:p>
    <w:p w14:paraId="47462AAB">
      <w:pPr>
        <w:spacing w:before="78" w:line="360" w:lineRule="auto"/>
        <w:ind w:left="12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z w:val="24"/>
          <w:szCs w:val="24"/>
          <w:highlight w:val="none"/>
          <w:lang w:eastAsia="zh-CN"/>
        </w:rPr>
        <w:t>签字或盖章)：</w:t>
      </w:r>
    </w:p>
    <w:p w14:paraId="3740B6A2">
      <w:pPr>
        <w:spacing w:line="360" w:lineRule="auto"/>
        <w:rPr>
          <w:rFonts w:ascii="宋体" w:hAnsi="宋体" w:eastAsia="宋体" w:cs="宋体"/>
          <w:color w:val="auto"/>
          <w:highlight w:val="none"/>
          <w:lang w:eastAsia="zh-CN"/>
        </w:rPr>
      </w:pPr>
    </w:p>
    <w:p w14:paraId="6EB3ACBC">
      <w:pPr>
        <w:spacing w:before="79" w:line="360" w:lineRule="auto"/>
        <w:ind w:left="12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委托代理人（签字或盖章)：    联系电话：</w:t>
      </w:r>
    </w:p>
    <w:p w14:paraId="6E6652CD">
      <w:pPr>
        <w:spacing w:line="360" w:lineRule="auto"/>
        <w:rPr>
          <w:rFonts w:ascii="宋体" w:hAnsi="宋体" w:eastAsia="宋体" w:cs="宋体"/>
          <w:color w:val="auto"/>
          <w:highlight w:val="none"/>
          <w:lang w:eastAsia="zh-CN"/>
        </w:rPr>
      </w:pPr>
    </w:p>
    <w:p w14:paraId="18E57732">
      <w:pPr>
        <w:spacing w:before="78" w:line="360" w:lineRule="auto"/>
        <w:ind w:left="163"/>
        <w:rPr>
          <w:rFonts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日期：年月日</w:t>
      </w:r>
    </w:p>
    <w:p w14:paraId="518B37E6">
      <w:pPr>
        <w:spacing w:line="360" w:lineRule="auto"/>
        <w:rPr>
          <w:rFonts w:ascii="宋体" w:hAnsi="宋体" w:eastAsia="宋体" w:cs="宋体"/>
          <w:color w:val="auto"/>
          <w:highlight w:val="none"/>
          <w:lang w:eastAsia="zh-CN"/>
        </w:rPr>
      </w:pPr>
    </w:p>
    <w:p w14:paraId="63EE2B92">
      <w:pPr>
        <w:spacing w:before="79" w:line="360" w:lineRule="auto"/>
        <w:ind w:left="14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附：法定代表人及委托代理人身份证明文件电子件：</w:t>
      </w:r>
    </w:p>
    <w:p w14:paraId="4DB2F512">
      <w:pPr>
        <w:spacing w:line="360" w:lineRule="auto"/>
        <w:rPr>
          <w:rFonts w:ascii="宋体" w:hAnsi="宋体" w:eastAsia="宋体" w:cs="宋体"/>
          <w:color w:val="auto"/>
          <w:highlight w:val="none"/>
          <w:lang w:eastAsia="zh-CN"/>
        </w:rPr>
      </w:pPr>
    </w:p>
    <w:tbl>
      <w:tblPr>
        <w:tblStyle w:val="24"/>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050851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8531" w:type="dxa"/>
          </w:tcPr>
          <w:p w14:paraId="6F3EBA41">
            <w:pPr>
              <w:spacing w:line="360" w:lineRule="auto"/>
              <w:rPr>
                <w:rFonts w:ascii="宋体" w:hAnsi="宋体" w:eastAsia="宋体" w:cs="宋体"/>
                <w:color w:val="auto"/>
                <w:highlight w:val="none"/>
                <w:lang w:eastAsia="zh-CN"/>
              </w:rPr>
            </w:pPr>
          </w:p>
        </w:tc>
      </w:tr>
    </w:tbl>
    <w:p w14:paraId="2897C022">
      <w:pPr>
        <w:spacing w:before="115" w:line="360" w:lineRule="auto"/>
        <w:ind w:left="60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说明：</w:t>
      </w:r>
    </w:p>
    <w:p w14:paraId="58CB9821">
      <w:pPr>
        <w:spacing w:before="182" w:line="360" w:lineRule="auto"/>
        <w:ind w:left="126" w:right="18"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1.若投标人为事业单位或其他组织或分支机构，则法定代表人（单位负责人）</w:t>
      </w:r>
      <w:r>
        <w:rPr>
          <w:rFonts w:hint="eastAsia" w:ascii="宋体" w:hAnsi="宋体" w:eastAsia="宋体" w:cs="宋体"/>
          <w:color w:val="auto"/>
          <w:spacing w:val="-2"/>
          <w:sz w:val="24"/>
          <w:szCs w:val="24"/>
          <w:highlight w:val="none"/>
          <w:lang w:eastAsia="zh-CN"/>
        </w:rPr>
        <w:t>处的签署人可为单位负责人。</w:t>
      </w:r>
    </w:p>
    <w:p w14:paraId="305638C9">
      <w:pPr>
        <w:spacing w:before="35" w:line="360" w:lineRule="auto"/>
        <w:ind w:left="123" w:right="117"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2.若投标文件中签字之处均为法定代表人（单位负责人）本人签</w:t>
      </w:r>
      <w:r>
        <w:rPr>
          <w:rFonts w:hint="eastAsia" w:ascii="宋体" w:hAnsi="宋体" w:eastAsia="宋体" w:cs="宋体"/>
          <w:color w:val="auto"/>
          <w:spacing w:val="-4"/>
          <w:sz w:val="24"/>
          <w:szCs w:val="24"/>
          <w:highlight w:val="none"/>
          <w:lang w:eastAsia="zh-CN"/>
        </w:rPr>
        <w:t>署，则可不</w:t>
      </w:r>
      <w:r>
        <w:rPr>
          <w:rFonts w:hint="eastAsia" w:ascii="宋体" w:hAnsi="宋体" w:eastAsia="宋体" w:cs="宋体"/>
          <w:color w:val="auto"/>
          <w:sz w:val="24"/>
          <w:szCs w:val="24"/>
          <w:highlight w:val="none"/>
          <w:lang w:eastAsia="zh-CN"/>
        </w:rPr>
        <w:t>提供本《授权委托书》，但须提供《法定代表人（</w:t>
      </w:r>
      <w:r>
        <w:rPr>
          <w:rFonts w:hint="eastAsia" w:ascii="宋体" w:hAnsi="宋体" w:eastAsia="宋体" w:cs="宋体"/>
          <w:color w:val="auto"/>
          <w:spacing w:val="-1"/>
          <w:sz w:val="24"/>
          <w:szCs w:val="24"/>
          <w:highlight w:val="none"/>
          <w:lang w:eastAsia="zh-CN"/>
        </w:rPr>
        <w:t>单位负责人）身份证明》。</w:t>
      </w:r>
    </w:p>
    <w:p w14:paraId="7D838FE3">
      <w:pPr>
        <w:spacing w:before="35" w:line="360" w:lineRule="auto"/>
        <w:ind w:left="60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3.投标人为自然人的情形，可不提供本《授权委托书》。</w:t>
      </w:r>
    </w:p>
    <w:p w14:paraId="53B5E1C9">
      <w:pPr>
        <w:spacing w:before="184" w:line="360" w:lineRule="auto"/>
        <w:ind w:left="121" w:right="117"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4.投标人应随本《授权委托书》同时提供法定代表人（单位负责人）及</w:t>
      </w:r>
      <w:r>
        <w:rPr>
          <w:rFonts w:hint="eastAsia" w:ascii="宋体" w:hAnsi="宋体" w:eastAsia="宋体" w:cs="宋体"/>
          <w:color w:val="auto"/>
          <w:spacing w:val="-4"/>
          <w:sz w:val="24"/>
          <w:szCs w:val="24"/>
          <w:highlight w:val="none"/>
          <w:lang w:eastAsia="zh-CN"/>
        </w:rPr>
        <w:t>委托</w:t>
      </w:r>
      <w:r>
        <w:rPr>
          <w:rFonts w:hint="eastAsia" w:ascii="宋体" w:hAnsi="宋体" w:eastAsia="宋体" w:cs="宋体"/>
          <w:color w:val="auto"/>
          <w:spacing w:val="-3"/>
          <w:sz w:val="24"/>
          <w:szCs w:val="24"/>
          <w:highlight w:val="none"/>
          <w:lang w:eastAsia="zh-CN"/>
        </w:rPr>
        <w:t>代理人的有效的身份证、护照等身份证明文件电子件。提供身份证的，应同时提</w:t>
      </w:r>
      <w:r>
        <w:rPr>
          <w:rFonts w:hint="eastAsia" w:ascii="宋体" w:hAnsi="宋体" w:eastAsia="宋体" w:cs="宋体"/>
          <w:color w:val="auto"/>
          <w:spacing w:val="-2"/>
          <w:sz w:val="24"/>
          <w:szCs w:val="24"/>
          <w:highlight w:val="none"/>
          <w:lang w:eastAsia="zh-CN"/>
        </w:rPr>
        <w:t>供身份证</w:t>
      </w:r>
      <w:r>
        <w:rPr>
          <w:rFonts w:hint="eastAsia" w:ascii="宋体" w:hAnsi="宋体" w:eastAsia="宋体" w:cs="宋体"/>
          <w:b/>
          <w:bCs/>
          <w:color w:val="auto"/>
          <w:spacing w:val="-2"/>
          <w:sz w:val="24"/>
          <w:szCs w:val="24"/>
          <w:highlight w:val="none"/>
          <w:lang w:eastAsia="zh-CN"/>
        </w:rPr>
        <w:t>双面</w:t>
      </w:r>
      <w:r>
        <w:rPr>
          <w:rFonts w:hint="eastAsia" w:ascii="宋体" w:hAnsi="宋体" w:eastAsia="宋体" w:cs="宋体"/>
          <w:color w:val="auto"/>
          <w:spacing w:val="-2"/>
          <w:sz w:val="24"/>
          <w:szCs w:val="24"/>
          <w:highlight w:val="none"/>
          <w:lang w:eastAsia="zh-CN"/>
        </w:rPr>
        <w:t>电子件。</w:t>
      </w:r>
    </w:p>
    <w:p w14:paraId="558E4221">
      <w:pPr>
        <w:pageBreakBefore/>
        <w:spacing w:before="101" w:line="360" w:lineRule="auto"/>
        <w:ind w:left="1639"/>
        <w:outlineLvl w:val="1"/>
        <w:rPr>
          <w:rFonts w:ascii="宋体" w:hAnsi="宋体" w:eastAsia="宋体" w:cs="宋体"/>
          <w:color w:val="auto"/>
          <w:sz w:val="31"/>
          <w:szCs w:val="31"/>
          <w:highlight w:val="none"/>
          <w:lang w:eastAsia="zh-CN"/>
        </w:rPr>
      </w:pPr>
      <w:bookmarkStart w:id="379" w:name="bookmark266"/>
      <w:bookmarkEnd w:id="379"/>
      <w:bookmarkStart w:id="380" w:name="bookmark262"/>
      <w:bookmarkEnd w:id="380"/>
      <w:bookmarkStart w:id="381" w:name="bookmark264"/>
      <w:bookmarkEnd w:id="381"/>
      <w:bookmarkStart w:id="382" w:name="_Toc9027"/>
      <w:bookmarkStart w:id="383" w:name="_Toc186477816"/>
      <w:r>
        <w:rPr>
          <w:rFonts w:hint="eastAsia" w:ascii="宋体" w:hAnsi="宋体" w:eastAsia="宋体" w:cs="宋体"/>
          <w:b/>
          <w:bCs/>
          <w:color w:val="auto"/>
          <w:spacing w:val="5"/>
          <w:sz w:val="31"/>
          <w:szCs w:val="31"/>
          <w:highlight w:val="none"/>
          <w:lang w:val="en-US" w:eastAsia="zh-CN"/>
        </w:rPr>
        <w:t>六</w:t>
      </w:r>
      <w:r>
        <w:rPr>
          <w:rFonts w:hint="eastAsia" w:ascii="宋体" w:hAnsi="宋体" w:eastAsia="宋体" w:cs="宋体"/>
          <w:b/>
          <w:bCs/>
          <w:color w:val="auto"/>
          <w:spacing w:val="5"/>
          <w:sz w:val="31"/>
          <w:szCs w:val="31"/>
          <w:highlight w:val="none"/>
          <w:lang w:eastAsia="zh-CN"/>
        </w:rPr>
        <w:t>、政府采购投标人廉洁自律承诺书</w:t>
      </w:r>
      <w:bookmarkEnd w:id="382"/>
      <w:bookmarkEnd w:id="383"/>
    </w:p>
    <w:p w14:paraId="725EA70C">
      <w:pPr>
        <w:spacing w:line="360" w:lineRule="auto"/>
        <w:rPr>
          <w:rFonts w:ascii="宋体" w:hAnsi="宋体" w:eastAsia="宋体" w:cs="宋体"/>
          <w:color w:val="auto"/>
          <w:highlight w:val="none"/>
          <w:lang w:eastAsia="zh-CN"/>
        </w:rPr>
      </w:pPr>
    </w:p>
    <w:p w14:paraId="43865D2E">
      <w:pPr>
        <w:spacing w:before="78" w:line="360" w:lineRule="auto"/>
        <w:ind w:left="3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6CE4FDF7">
      <w:pPr>
        <w:spacing w:before="259" w:line="360" w:lineRule="auto"/>
        <w:ind w:left="25" w:right="178"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我单位响应你单位项目招标要求参加投标。在这次投</w:t>
      </w:r>
      <w:r>
        <w:rPr>
          <w:rFonts w:hint="eastAsia" w:ascii="宋体" w:hAnsi="宋体" w:eastAsia="宋体" w:cs="宋体"/>
          <w:color w:val="auto"/>
          <w:spacing w:val="-4"/>
          <w:sz w:val="24"/>
          <w:szCs w:val="24"/>
          <w:highlight w:val="none"/>
          <w:lang w:eastAsia="zh-CN"/>
        </w:rPr>
        <w:t>标过程中和中标后，我</w:t>
      </w:r>
      <w:r>
        <w:rPr>
          <w:rFonts w:hint="eastAsia" w:ascii="宋体" w:hAnsi="宋体" w:eastAsia="宋体" w:cs="宋体"/>
          <w:color w:val="auto"/>
          <w:spacing w:val="-1"/>
          <w:sz w:val="24"/>
          <w:szCs w:val="24"/>
          <w:highlight w:val="none"/>
          <w:lang w:eastAsia="zh-CN"/>
        </w:rPr>
        <w:t>们将严格遵守国家法律法规要求，并郑重承诺：</w:t>
      </w:r>
    </w:p>
    <w:p w14:paraId="27E5F679">
      <w:pPr>
        <w:spacing w:before="35" w:line="360" w:lineRule="auto"/>
        <w:ind w:left="25" w:right="122"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一、不向项目有关人员及部门赠送礼金礼物、有价证券、回扣以及中介费、</w:t>
      </w:r>
      <w:r>
        <w:rPr>
          <w:rFonts w:hint="eastAsia" w:ascii="宋体" w:hAnsi="宋体" w:eastAsia="宋体" w:cs="宋体"/>
          <w:color w:val="auto"/>
          <w:spacing w:val="-1"/>
          <w:sz w:val="24"/>
          <w:szCs w:val="24"/>
          <w:highlight w:val="none"/>
          <w:lang w:eastAsia="zh-CN"/>
        </w:rPr>
        <w:t>介绍费、咨询费等好处费；</w:t>
      </w:r>
    </w:p>
    <w:p w14:paraId="60D83300">
      <w:pPr>
        <w:spacing w:before="184" w:line="36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二、不为项目有关人员及部门报销应由你方单位或个人支付的费用；</w:t>
      </w:r>
    </w:p>
    <w:p w14:paraId="4EF52AE9">
      <w:pPr>
        <w:spacing w:before="182" w:line="360" w:lineRule="auto"/>
        <w:ind w:firstLine="46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三、不向项目有关人员及部门提供有可能影响公正的宴请和健身娱乐等活动；</w:t>
      </w:r>
    </w:p>
    <w:p w14:paraId="49B38A6F">
      <w:pPr>
        <w:spacing w:before="183" w:line="36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四、不为项目有关人员及部门出国（境）、旅游</w:t>
      </w:r>
      <w:r>
        <w:rPr>
          <w:rFonts w:hint="eastAsia" w:ascii="宋体" w:hAnsi="宋体" w:eastAsia="宋体" w:cs="宋体"/>
          <w:color w:val="auto"/>
          <w:spacing w:val="-2"/>
          <w:sz w:val="24"/>
          <w:szCs w:val="24"/>
          <w:highlight w:val="none"/>
          <w:lang w:eastAsia="zh-CN"/>
        </w:rPr>
        <w:t>等提供方便；</w:t>
      </w:r>
    </w:p>
    <w:p w14:paraId="6EBDFABA">
      <w:pPr>
        <w:spacing w:before="183" w:line="360" w:lineRule="auto"/>
        <w:ind w:left="25" w:right="178"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五、不为项目有关人员个人装修住房、婚丧嫁娶</w:t>
      </w:r>
      <w:r>
        <w:rPr>
          <w:rFonts w:hint="eastAsia" w:ascii="宋体" w:hAnsi="宋体" w:eastAsia="宋体" w:cs="宋体"/>
          <w:color w:val="auto"/>
          <w:spacing w:val="-4"/>
          <w:sz w:val="24"/>
          <w:szCs w:val="24"/>
          <w:highlight w:val="none"/>
          <w:lang w:eastAsia="zh-CN"/>
        </w:rPr>
        <w:t>、配偶子女工作安排等提供好处；</w:t>
      </w:r>
    </w:p>
    <w:p w14:paraId="5072EF33">
      <w:pPr>
        <w:spacing w:before="182" w:line="360" w:lineRule="auto"/>
        <w:ind w:left="31" w:right="178" w:firstLine="47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六、严格遵守《中华人民共和国政府采购法》《中华</w:t>
      </w:r>
      <w:r>
        <w:rPr>
          <w:rFonts w:hint="eastAsia" w:ascii="宋体" w:hAnsi="宋体" w:eastAsia="宋体" w:cs="宋体"/>
          <w:color w:val="auto"/>
          <w:spacing w:val="-4"/>
          <w:sz w:val="24"/>
          <w:szCs w:val="24"/>
          <w:highlight w:val="none"/>
          <w:lang w:eastAsia="zh-CN"/>
        </w:rPr>
        <w:t>人民共和国政府采购法</w:t>
      </w:r>
      <w:r>
        <w:rPr>
          <w:rFonts w:hint="eastAsia" w:ascii="宋体" w:hAnsi="宋体" w:eastAsia="宋体" w:cs="宋体"/>
          <w:color w:val="auto"/>
          <w:spacing w:val="-3"/>
          <w:sz w:val="24"/>
          <w:szCs w:val="24"/>
          <w:highlight w:val="none"/>
          <w:lang w:eastAsia="zh-CN"/>
        </w:rPr>
        <w:t>实施条例》《中华人民共和国民法典》等法律法规，诚实守信</w:t>
      </w:r>
      <w:r>
        <w:rPr>
          <w:rFonts w:hint="eastAsia" w:ascii="宋体" w:hAnsi="宋体" w:eastAsia="宋体" w:cs="宋体"/>
          <w:color w:val="auto"/>
          <w:spacing w:val="-4"/>
          <w:sz w:val="24"/>
          <w:szCs w:val="24"/>
          <w:highlight w:val="none"/>
          <w:lang w:eastAsia="zh-CN"/>
        </w:rPr>
        <w:t>，合法经营，坚决</w:t>
      </w:r>
      <w:r>
        <w:rPr>
          <w:rFonts w:hint="eastAsia" w:ascii="宋体" w:hAnsi="宋体" w:eastAsia="宋体" w:cs="宋体"/>
          <w:color w:val="auto"/>
          <w:spacing w:val="-1"/>
          <w:sz w:val="24"/>
          <w:szCs w:val="24"/>
          <w:highlight w:val="none"/>
          <w:lang w:eastAsia="zh-CN"/>
        </w:rPr>
        <w:t>抵制各种违法违纪行为。</w:t>
      </w:r>
    </w:p>
    <w:p w14:paraId="084FEC65">
      <w:pPr>
        <w:spacing w:before="183" w:line="360" w:lineRule="auto"/>
        <w:ind w:left="31" w:right="141" w:firstLine="47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如违反上述承诺，你单位有权立即取消我单位投</w:t>
      </w:r>
      <w:r>
        <w:rPr>
          <w:rFonts w:hint="eastAsia" w:ascii="宋体" w:hAnsi="宋体" w:eastAsia="宋体" w:cs="宋体"/>
          <w:color w:val="auto"/>
          <w:spacing w:val="-4"/>
          <w:sz w:val="24"/>
          <w:szCs w:val="24"/>
          <w:highlight w:val="none"/>
          <w:lang w:eastAsia="zh-CN"/>
        </w:rPr>
        <w:t>标、中标或在建项目的建设</w:t>
      </w:r>
      <w:r>
        <w:rPr>
          <w:rFonts w:hint="eastAsia" w:ascii="宋体" w:hAnsi="宋体" w:eastAsia="宋体" w:cs="宋体"/>
          <w:color w:val="auto"/>
          <w:spacing w:val="-2"/>
          <w:sz w:val="24"/>
          <w:szCs w:val="24"/>
          <w:highlight w:val="none"/>
          <w:lang w:eastAsia="zh-CN"/>
        </w:rPr>
        <w:t>资格，有权拒绝我单位在一定时期内进入你单位进行项目建设或其他</w:t>
      </w:r>
      <w:r>
        <w:rPr>
          <w:rFonts w:hint="eastAsia" w:ascii="宋体" w:hAnsi="宋体" w:eastAsia="宋体" w:cs="宋体"/>
          <w:color w:val="auto"/>
          <w:spacing w:val="-3"/>
          <w:sz w:val="24"/>
          <w:szCs w:val="24"/>
          <w:highlight w:val="none"/>
          <w:lang w:eastAsia="zh-CN"/>
        </w:rPr>
        <w:t>经营活动，</w:t>
      </w:r>
      <w:r>
        <w:rPr>
          <w:rFonts w:hint="eastAsia" w:ascii="宋体" w:hAnsi="宋体" w:eastAsia="宋体" w:cs="宋体"/>
          <w:color w:val="auto"/>
          <w:spacing w:val="-1"/>
          <w:sz w:val="24"/>
          <w:szCs w:val="24"/>
          <w:highlight w:val="none"/>
          <w:lang w:eastAsia="zh-CN"/>
        </w:rPr>
        <w:t>并通报主管部门。由此引起的相应损失均由我单位承担。</w:t>
      </w:r>
    </w:p>
    <w:p w14:paraId="3B449183">
      <w:pPr>
        <w:spacing w:line="360" w:lineRule="auto"/>
        <w:rPr>
          <w:rFonts w:ascii="宋体" w:hAnsi="宋体" w:eastAsia="宋体" w:cs="宋体"/>
          <w:color w:val="auto"/>
          <w:highlight w:val="none"/>
          <w:lang w:eastAsia="zh-CN"/>
        </w:rPr>
      </w:pPr>
    </w:p>
    <w:p w14:paraId="4D2B35C7">
      <w:pPr>
        <w:spacing w:line="360" w:lineRule="auto"/>
        <w:rPr>
          <w:rFonts w:ascii="宋体" w:hAnsi="宋体" w:eastAsia="宋体" w:cs="宋体"/>
          <w:color w:val="auto"/>
          <w:highlight w:val="none"/>
          <w:lang w:eastAsia="zh-CN"/>
        </w:rPr>
      </w:pPr>
    </w:p>
    <w:p w14:paraId="4AA29DFD">
      <w:pPr>
        <w:spacing w:line="360" w:lineRule="auto"/>
        <w:rPr>
          <w:rFonts w:ascii="宋体" w:hAnsi="宋体" w:eastAsia="宋体" w:cs="宋体"/>
          <w:color w:val="auto"/>
          <w:highlight w:val="none"/>
          <w:lang w:eastAsia="zh-CN"/>
        </w:rPr>
      </w:pPr>
    </w:p>
    <w:p w14:paraId="6FF9E40B">
      <w:pPr>
        <w:spacing w:line="360" w:lineRule="auto"/>
        <w:rPr>
          <w:rFonts w:ascii="宋体" w:hAnsi="宋体" w:eastAsia="宋体" w:cs="宋体"/>
          <w:color w:val="auto"/>
          <w:highlight w:val="none"/>
          <w:lang w:eastAsia="zh-CN"/>
        </w:rPr>
      </w:pPr>
    </w:p>
    <w:p w14:paraId="3471A9DE">
      <w:pPr>
        <w:spacing w:line="360" w:lineRule="auto"/>
        <w:rPr>
          <w:rFonts w:ascii="宋体" w:hAnsi="宋体" w:eastAsia="宋体" w:cs="宋体"/>
          <w:color w:val="auto"/>
          <w:highlight w:val="none"/>
          <w:lang w:eastAsia="zh-CN"/>
        </w:rPr>
      </w:pPr>
    </w:p>
    <w:p w14:paraId="76A83C56">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24B544DD">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4D4B619C">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rPr>
        <w:t>日期：______年____月____日</w:t>
      </w:r>
    </w:p>
    <w:p w14:paraId="534B28C5">
      <w:pPr>
        <w:spacing w:line="360" w:lineRule="auto"/>
        <w:rPr>
          <w:rFonts w:ascii="宋体" w:hAnsi="宋体" w:eastAsia="宋体" w:cs="宋体"/>
          <w:color w:val="auto"/>
          <w:highlight w:val="none"/>
          <w:lang w:eastAsia="zh-CN"/>
        </w:rPr>
      </w:pPr>
    </w:p>
    <w:p w14:paraId="075C365D">
      <w:pPr>
        <w:pageBreakBefore/>
        <w:numPr>
          <w:ilvl w:val="0"/>
          <w:numId w:val="0"/>
        </w:numPr>
        <w:spacing w:before="101" w:line="360" w:lineRule="auto"/>
        <w:jc w:val="center"/>
        <w:outlineLvl w:val="1"/>
        <w:rPr>
          <w:rFonts w:ascii="宋体" w:hAnsi="宋体" w:eastAsia="宋体" w:cs="宋体"/>
          <w:b/>
          <w:bCs/>
          <w:color w:val="auto"/>
          <w:spacing w:val="1"/>
          <w:sz w:val="31"/>
          <w:szCs w:val="31"/>
          <w:highlight w:val="none"/>
          <w:lang w:eastAsia="zh-CN"/>
        </w:rPr>
      </w:pPr>
      <w:bookmarkStart w:id="384" w:name="_Toc11108"/>
      <w:bookmarkStart w:id="385" w:name="_Toc186477818"/>
      <w:r>
        <w:rPr>
          <w:rFonts w:hint="eastAsia" w:ascii="宋体" w:hAnsi="宋体" w:eastAsia="宋体" w:cs="宋体"/>
          <w:b/>
          <w:bCs/>
          <w:snapToGrid w:val="0"/>
          <w:color w:val="auto"/>
          <w:spacing w:val="1"/>
          <w:sz w:val="31"/>
          <w:szCs w:val="31"/>
          <w:highlight w:val="none"/>
          <w:lang w:val="en-US" w:eastAsia="zh-CN" w:bidi="ar-SA"/>
        </w:rPr>
        <w:t>七、</w:t>
      </w:r>
      <w:r>
        <w:rPr>
          <w:rFonts w:hint="eastAsia" w:ascii="宋体" w:hAnsi="宋体" w:eastAsia="宋体" w:cs="宋体"/>
          <w:b/>
          <w:bCs/>
          <w:color w:val="auto"/>
          <w:spacing w:val="1"/>
          <w:sz w:val="31"/>
          <w:szCs w:val="31"/>
          <w:highlight w:val="none"/>
          <w:lang w:eastAsia="zh-CN"/>
        </w:rPr>
        <w:t>商务、技术要求偏离表</w:t>
      </w:r>
      <w:bookmarkEnd w:id="384"/>
      <w:bookmarkEnd w:id="385"/>
    </w:p>
    <w:p w14:paraId="65791853">
      <w:pPr>
        <w:spacing w:line="360" w:lineRule="auto"/>
        <w:jc w:val="center"/>
        <w:rPr>
          <w:rFonts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（一）商务条款偏离表</w:t>
      </w:r>
    </w:p>
    <w:tbl>
      <w:tblPr>
        <w:tblStyle w:val="24"/>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759"/>
        <w:gridCol w:w="1147"/>
        <w:gridCol w:w="947"/>
      </w:tblGrid>
      <w:tr w14:paraId="7B3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42" w:type="dxa"/>
            <w:shd w:val="clear" w:color="auto" w:fill="F3F3F3"/>
            <w:vAlign w:val="center"/>
          </w:tcPr>
          <w:p w14:paraId="45B6BF6B">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759" w:type="dxa"/>
            <w:shd w:val="clear" w:color="auto" w:fill="F3F3F3"/>
            <w:vAlign w:val="center"/>
          </w:tcPr>
          <w:p w14:paraId="2E0E4E83">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主要商务条款</w:t>
            </w:r>
          </w:p>
        </w:tc>
        <w:tc>
          <w:tcPr>
            <w:tcW w:w="1147" w:type="dxa"/>
            <w:shd w:val="clear" w:color="auto" w:fill="F3F3F3"/>
            <w:vAlign w:val="center"/>
          </w:tcPr>
          <w:p w14:paraId="71AC1B80">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是否</w:t>
            </w:r>
          </w:p>
          <w:p w14:paraId="3E19761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响应</w:t>
            </w:r>
          </w:p>
        </w:tc>
        <w:tc>
          <w:tcPr>
            <w:tcW w:w="947" w:type="dxa"/>
            <w:shd w:val="clear" w:color="auto" w:fill="F3F3F3"/>
            <w:vAlign w:val="center"/>
          </w:tcPr>
          <w:p w14:paraId="0A066D8C">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0468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7E2F6CA7">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1</w:t>
            </w:r>
          </w:p>
        </w:tc>
        <w:tc>
          <w:tcPr>
            <w:tcW w:w="5759" w:type="dxa"/>
            <w:vAlign w:val="center"/>
          </w:tcPr>
          <w:p w14:paraId="667B5D69">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完全理解并接受对合格供应商、合格的服务质量和其他服务要求；</w:t>
            </w:r>
          </w:p>
        </w:tc>
        <w:tc>
          <w:tcPr>
            <w:tcW w:w="1147" w:type="dxa"/>
            <w:vAlign w:val="center"/>
          </w:tcPr>
          <w:p w14:paraId="099FD686">
            <w:pPr>
              <w:adjustRightInd/>
              <w:spacing w:line="360" w:lineRule="auto"/>
              <w:textAlignment w:val="auto"/>
              <w:rPr>
                <w:rFonts w:ascii="宋体" w:hAnsi="宋体" w:eastAsia="宋体" w:cs="宋体"/>
                <w:snapToGrid/>
                <w:color w:val="auto"/>
                <w:kern w:val="2"/>
                <w:szCs w:val="24"/>
                <w:highlight w:val="none"/>
                <w:lang w:eastAsia="zh-CN"/>
              </w:rPr>
            </w:pPr>
          </w:p>
        </w:tc>
        <w:tc>
          <w:tcPr>
            <w:tcW w:w="947" w:type="dxa"/>
            <w:vAlign w:val="center"/>
          </w:tcPr>
          <w:p w14:paraId="090143E8">
            <w:pPr>
              <w:spacing w:line="360" w:lineRule="auto"/>
              <w:jc w:val="center"/>
              <w:rPr>
                <w:rFonts w:ascii="宋体" w:hAnsi="宋体" w:eastAsia="宋体" w:cs="宋体"/>
                <w:color w:val="auto"/>
                <w:sz w:val="24"/>
                <w:highlight w:val="none"/>
                <w:lang w:eastAsia="zh-CN"/>
              </w:rPr>
            </w:pPr>
          </w:p>
        </w:tc>
      </w:tr>
      <w:tr w14:paraId="441E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04B82C44">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2</w:t>
            </w:r>
          </w:p>
        </w:tc>
        <w:tc>
          <w:tcPr>
            <w:tcW w:w="5759" w:type="dxa"/>
            <w:vAlign w:val="center"/>
          </w:tcPr>
          <w:p w14:paraId="61C669C1">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完全理解并接受对供应商的各项须知、规约要求和责任义务；</w:t>
            </w:r>
          </w:p>
        </w:tc>
        <w:tc>
          <w:tcPr>
            <w:tcW w:w="1147" w:type="dxa"/>
            <w:vAlign w:val="center"/>
          </w:tcPr>
          <w:p w14:paraId="0D94F189">
            <w:pPr>
              <w:spacing w:line="360" w:lineRule="auto"/>
              <w:jc w:val="center"/>
              <w:rPr>
                <w:rFonts w:ascii="宋体" w:hAnsi="宋体" w:eastAsia="宋体" w:cs="宋体"/>
                <w:color w:val="auto"/>
                <w:sz w:val="24"/>
                <w:highlight w:val="none"/>
                <w:lang w:eastAsia="zh-CN"/>
              </w:rPr>
            </w:pPr>
          </w:p>
        </w:tc>
        <w:tc>
          <w:tcPr>
            <w:tcW w:w="947" w:type="dxa"/>
            <w:vAlign w:val="center"/>
          </w:tcPr>
          <w:p w14:paraId="0700A804">
            <w:pPr>
              <w:spacing w:line="360" w:lineRule="auto"/>
              <w:ind w:right="-35"/>
              <w:jc w:val="center"/>
              <w:rPr>
                <w:rFonts w:ascii="宋体" w:hAnsi="宋体" w:eastAsia="宋体" w:cs="宋体"/>
                <w:color w:val="auto"/>
                <w:sz w:val="24"/>
                <w:highlight w:val="none"/>
                <w:lang w:eastAsia="zh-CN"/>
              </w:rPr>
            </w:pPr>
          </w:p>
        </w:tc>
      </w:tr>
      <w:tr w14:paraId="59AD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6F6572CC">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3</w:t>
            </w:r>
          </w:p>
        </w:tc>
        <w:tc>
          <w:tcPr>
            <w:tcW w:w="5759" w:type="dxa"/>
            <w:vAlign w:val="center"/>
          </w:tcPr>
          <w:p w14:paraId="0761F94C">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完全理解并接受“第三章采购需求”中“（一）商务要求”的各项要求，并按要求提供相应证明材料。</w:t>
            </w:r>
          </w:p>
        </w:tc>
        <w:tc>
          <w:tcPr>
            <w:tcW w:w="1147" w:type="dxa"/>
            <w:vAlign w:val="center"/>
          </w:tcPr>
          <w:p w14:paraId="0C8A227C">
            <w:pPr>
              <w:spacing w:line="360" w:lineRule="auto"/>
              <w:jc w:val="center"/>
              <w:rPr>
                <w:rFonts w:ascii="宋体" w:hAnsi="宋体" w:eastAsia="宋体" w:cs="宋体"/>
                <w:color w:val="auto"/>
                <w:sz w:val="24"/>
                <w:highlight w:val="none"/>
                <w:lang w:eastAsia="zh-CN"/>
              </w:rPr>
            </w:pPr>
          </w:p>
        </w:tc>
        <w:tc>
          <w:tcPr>
            <w:tcW w:w="947" w:type="dxa"/>
            <w:vAlign w:val="center"/>
          </w:tcPr>
          <w:p w14:paraId="1331914F">
            <w:pPr>
              <w:spacing w:line="360" w:lineRule="auto"/>
              <w:ind w:right="-35"/>
              <w:jc w:val="center"/>
              <w:rPr>
                <w:rFonts w:ascii="宋体" w:hAnsi="宋体" w:eastAsia="宋体" w:cs="宋体"/>
                <w:color w:val="auto"/>
                <w:sz w:val="24"/>
                <w:highlight w:val="none"/>
                <w:lang w:eastAsia="zh-CN"/>
              </w:rPr>
            </w:pPr>
          </w:p>
        </w:tc>
      </w:tr>
      <w:tr w14:paraId="5E01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796EBDFE">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4</w:t>
            </w:r>
          </w:p>
        </w:tc>
        <w:tc>
          <w:tcPr>
            <w:tcW w:w="5759" w:type="dxa"/>
            <w:vAlign w:val="center"/>
          </w:tcPr>
          <w:p w14:paraId="1B565985">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同意按本项目要求缴付相关款项；</w:t>
            </w:r>
          </w:p>
        </w:tc>
        <w:tc>
          <w:tcPr>
            <w:tcW w:w="1147" w:type="dxa"/>
            <w:vAlign w:val="center"/>
          </w:tcPr>
          <w:p w14:paraId="0F1644FB">
            <w:pPr>
              <w:spacing w:line="360" w:lineRule="auto"/>
              <w:jc w:val="center"/>
              <w:rPr>
                <w:rFonts w:ascii="宋体" w:hAnsi="宋体" w:eastAsia="宋体" w:cs="宋体"/>
                <w:color w:val="auto"/>
                <w:sz w:val="24"/>
                <w:highlight w:val="none"/>
                <w:lang w:eastAsia="zh-CN"/>
              </w:rPr>
            </w:pPr>
          </w:p>
        </w:tc>
        <w:tc>
          <w:tcPr>
            <w:tcW w:w="947" w:type="dxa"/>
            <w:vAlign w:val="center"/>
          </w:tcPr>
          <w:p w14:paraId="027270CD">
            <w:pPr>
              <w:spacing w:line="360" w:lineRule="auto"/>
              <w:ind w:right="-35"/>
              <w:jc w:val="center"/>
              <w:rPr>
                <w:rFonts w:ascii="宋体" w:hAnsi="宋体" w:eastAsia="宋体" w:cs="宋体"/>
                <w:color w:val="auto"/>
                <w:sz w:val="24"/>
                <w:highlight w:val="none"/>
                <w:lang w:eastAsia="zh-CN"/>
              </w:rPr>
            </w:pPr>
          </w:p>
        </w:tc>
      </w:tr>
      <w:tr w14:paraId="0A0C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2" w:type="dxa"/>
            <w:shd w:val="clear" w:color="auto" w:fill="auto"/>
            <w:vAlign w:val="center"/>
          </w:tcPr>
          <w:p w14:paraId="4F492DB2">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5</w:t>
            </w:r>
          </w:p>
        </w:tc>
        <w:tc>
          <w:tcPr>
            <w:tcW w:w="5759" w:type="dxa"/>
            <w:vAlign w:val="center"/>
          </w:tcPr>
          <w:p w14:paraId="21B8BB8F">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投标有效期：投标截止时间后 90 日历日；</w:t>
            </w:r>
          </w:p>
        </w:tc>
        <w:tc>
          <w:tcPr>
            <w:tcW w:w="1147" w:type="dxa"/>
            <w:vAlign w:val="center"/>
          </w:tcPr>
          <w:p w14:paraId="34CCE44A">
            <w:pPr>
              <w:spacing w:line="360" w:lineRule="auto"/>
              <w:jc w:val="center"/>
              <w:rPr>
                <w:rFonts w:ascii="宋体" w:hAnsi="宋体" w:eastAsia="宋体" w:cs="宋体"/>
                <w:color w:val="auto"/>
                <w:sz w:val="24"/>
                <w:highlight w:val="none"/>
              </w:rPr>
            </w:pPr>
          </w:p>
        </w:tc>
        <w:tc>
          <w:tcPr>
            <w:tcW w:w="947" w:type="dxa"/>
            <w:vAlign w:val="center"/>
          </w:tcPr>
          <w:p w14:paraId="46D2A0F6">
            <w:pPr>
              <w:spacing w:line="360" w:lineRule="auto"/>
              <w:ind w:right="-35"/>
              <w:jc w:val="center"/>
              <w:rPr>
                <w:rFonts w:ascii="宋体" w:hAnsi="宋体" w:eastAsia="宋体" w:cs="宋体"/>
                <w:color w:val="auto"/>
                <w:sz w:val="24"/>
                <w:highlight w:val="none"/>
              </w:rPr>
            </w:pPr>
          </w:p>
        </w:tc>
      </w:tr>
      <w:tr w14:paraId="0B17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1C01A9E">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6</w:t>
            </w:r>
          </w:p>
        </w:tc>
        <w:tc>
          <w:tcPr>
            <w:tcW w:w="5759" w:type="dxa"/>
            <w:vAlign w:val="center"/>
          </w:tcPr>
          <w:p w14:paraId="25FE61A2">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响应内容均涵盖招标要求及一切费用和伴随服务；</w:t>
            </w:r>
          </w:p>
        </w:tc>
        <w:tc>
          <w:tcPr>
            <w:tcW w:w="1147" w:type="dxa"/>
            <w:vAlign w:val="center"/>
          </w:tcPr>
          <w:p w14:paraId="07D99561">
            <w:pPr>
              <w:spacing w:line="360" w:lineRule="auto"/>
              <w:jc w:val="center"/>
              <w:rPr>
                <w:rFonts w:ascii="宋体" w:hAnsi="宋体" w:eastAsia="宋体" w:cs="宋体"/>
                <w:color w:val="auto"/>
                <w:sz w:val="24"/>
                <w:highlight w:val="none"/>
                <w:lang w:eastAsia="zh-CN"/>
              </w:rPr>
            </w:pPr>
          </w:p>
        </w:tc>
        <w:tc>
          <w:tcPr>
            <w:tcW w:w="947" w:type="dxa"/>
            <w:vAlign w:val="center"/>
          </w:tcPr>
          <w:p w14:paraId="12A165CD">
            <w:pPr>
              <w:adjustRightInd/>
              <w:spacing w:line="360" w:lineRule="auto"/>
              <w:textAlignment w:val="auto"/>
              <w:rPr>
                <w:rFonts w:ascii="宋体" w:hAnsi="宋体" w:eastAsia="宋体" w:cs="宋体"/>
                <w:snapToGrid/>
                <w:color w:val="auto"/>
                <w:kern w:val="2"/>
                <w:szCs w:val="24"/>
                <w:highlight w:val="none"/>
                <w:lang w:eastAsia="zh-CN"/>
              </w:rPr>
            </w:pPr>
          </w:p>
        </w:tc>
      </w:tr>
      <w:tr w14:paraId="6864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D308176">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7</w:t>
            </w:r>
          </w:p>
        </w:tc>
        <w:tc>
          <w:tcPr>
            <w:tcW w:w="5759" w:type="dxa"/>
            <w:vAlign w:val="center"/>
          </w:tcPr>
          <w:p w14:paraId="18AE3FCA">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同意接受本项目</w:t>
            </w:r>
            <w:r>
              <w:rPr>
                <w:rFonts w:hint="eastAsia" w:ascii="宋体" w:hAnsi="宋体" w:eastAsia="宋体" w:cs="宋体"/>
                <w:color w:val="auto"/>
                <w:spacing w:val="-5"/>
                <w:highlight w:val="none"/>
                <w:lang w:val="en-US" w:eastAsia="zh-CN"/>
              </w:rPr>
              <w:t>供货</w:t>
            </w:r>
            <w:r>
              <w:rPr>
                <w:rFonts w:hint="eastAsia" w:ascii="宋体" w:hAnsi="宋体" w:eastAsia="宋体" w:cs="宋体"/>
                <w:color w:val="auto"/>
                <w:spacing w:val="-5"/>
                <w:highlight w:val="none"/>
                <w:lang w:eastAsia="zh-CN"/>
              </w:rPr>
              <w:t>期、付款进度或相关实施部署进度安排要求；</w:t>
            </w:r>
          </w:p>
        </w:tc>
        <w:tc>
          <w:tcPr>
            <w:tcW w:w="1147" w:type="dxa"/>
            <w:vAlign w:val="center"/>
          </w:tcPr>
          <w:p w14:paraId="27DDC75D">
            <w:pPr>
              <w:spacing w:line="360" w:lineRule="auto"/>
              <w:jc w:val="center"/>
              <w:rPr>
                <w:rFonts w:ascii="宋体" w:hAnsi="宋体" w:eastAsia="宋体" w:cs="宋体"/>
                <w:color w:val="auto"/>
                <w:sz w:val="24"/>
                <w:highlight w:val="none"/>
                <w:lang w:eastAsia="zh-CN"/>
              </w:rPr>
            </w:pPr>
          </w:p>
        </w:tc>
        <w:tc>
          <w:tcPr>
            <w:tcW w:w="947" w:type="dxa"/>
            <w:vAlign w:val="center"/>
          </w:tcPr>
          <w:p w14:paraId="0CB28471">
            <w:pPr>
              <w:spacing w:line="360" w:lineRule="auto"/>
              <w:jc w:val="center"/>
              <w:rPr>
                <w:rFonts w:ascii="宋体" w:hAnsi="宋体" w:eastAsia="宋体" w:cs="宋体"/>
                <w:color w:val="auto"/>
                <w:sz w:val="24"/>
                <w:highlight w:val="none"/>
                <w:lang w:eastAsia="zh-CN"/>
              </w:rPr>
            </w:pPr>
          </w:p>
        </w:tc>
      </w:tr>
      <w:tr w14:paraId="5AB9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dxa"/>
            <w:vAlign w:val="center"/>
          </w:tcPr>
          <w:p w14:paraId="4FA6E064">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8</w:t>
            </w:r>
          </w:p>
        </w:tc>
        <w:tc>
          <w:tcPr>
            <w:tcW w:w="5759" w:type="dxa"/>
            <w:vAlign w:val="center"/>
          </w:tcPr>
          <w:p w14:paraId="51B021ED">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同意采购人以任何形式对我方的投标文件内容的真实性和有效性进行审查、验证；</w:t>
            </w:r>
          </w:p>
        </w:tc>
        <w:tc>
          <w:tcPr>
            <w:tcW w:w="1147" w:type="dxa"/>
            <w:vAlign w:val="center"/>
          </w:tcPr>
          <w:p w14:paraId="3521E33C">
            <w:pPr>
              <w:tabs>
                <w:tab w:val="left" w:pos="0"/>
                <w:tab w:val="left" w:pos="720"/>
                <w:tab w:val="left" w:pos="1160"/>
              </w:tabs>
              <w:spacing w:line="360" w:lineRule="auto"/>
              <w:rPr>
                <w:rFonts w:ascii="宋体" w:hAnsi="宋体" w:eastAsia="宋体" w:cs="宋体"/>
                <w:color w:val="auto"/>
                <w:sz w:val="24"/>
                <w:szCs w:val="24"/>
                <w:highlight w:val="none"/>
                <w:lang w:eastAsia="zh-CN"/>
              </w:rPr>
            </w:pPr>
          </w:p>
        </w:tc>
        <w:tc>
          <w:tcPr>
            <w:tcW w:w="947" w:type="dxa"/>
            <w:vAlign w:val="center"/>
          </w:tcPr>
          <w:p w14:paraId="791C685A">
            <w:pPr>
              <w:adjustRightInd/>
              <w:spacing w:line="360" w:lineRule="auto"/>
              <w:jc w:val="both"/>
              <w:textAlignment w:val="auto"/>
              <w:rPr>
                <w:rFonts w:ascii="宋体" w:hAnsi="宋体" w:eastAsia="宋体" w:cs="宋体"/>
                <w:snapToGrid/>
                <w:color w:val="auto"/>
                <w:kern w:val="2"/>
                <w:szCs w:val="24"/>
                <w:highlight w:val="none"/>
                <w:lang w:eastAsia="zh-CN"/>
              </w:rPr>
            </w:pPr>
          </w:p>
        </w:tc>
      </w:tr>
    </w:tbl>
    <w:p w14:paraId="53E248CD">
      <w:pPr>
        <w:spacing w:line="360" w:lineRule="auto"/>
        <w:rPr>
          <w:rFonts w:ascii="宋体" w:hAnsi="宋体" w:eastAsia="宋体" w:cs="宋体"/>
          <w:color w:val="auto"/>
          <w:sz w:val="22"/>
          <w:szCs w:val="20"/>
          <w:highlight w:val="none"/>
          <w:lang w:eastAsia="zh-CN"/>
        </w:rPr>
      </w:pPr>
    </w:p>
    <w:p w14:paraId="1432A02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6C09FBE">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GB" w:eastAsia="zh-CN"/>
        </w:rPr>
        <w:t>于上述要求，如供应商完全响应，则请在“是否响应”栏内打“√”，对打“×”视为偏离，</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lang w:val="en-GB" w:eastAsia="zh-CN"/>
        </w:rPr>
        <w:t>在“偏离说明”栏内注明</w:t>
      </w:r>
      <w:r>
        <w:rPr>
          <w:rFonts w:hint="eastAsia" w:ascii="宋体" w:hAnsi="宋体" w:eastAsia="宋体" w:cs="宋体"/>
          <w:color w:val="auto"/>
          <w:sz w:val="24"/>
          <w:szCs w:val="24"/>
          <w:highlight w:val="none"/>
          <w:lang w:eastAsia="zh-CN"/>
        </w:rPr>
        <w:t>偏离情况</w:t>
      </w:r>
      <w:r>
        <w:rPr>
          <w:rFonts w:hint="eastAsia" w:ascii="宋体" w:hAnsi="宋体" w:eastAsia="宋体" w:cs="宋体"/>
          <w:color w:val="auto"/>
          <w:sz w:val="24"/>
          <w:szCs w:val="24"/>
          <w:highlight w:val="none"/>
          <w:lang w:val="en-GB" w:eastAsia="zh-CN"/>
        </w:rPr>
        <w:t>说明；</w:t>
      </w:r>
    </w:p>
    <w:p w14:paraId="0E25F187">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以上商务条款偏离表有一项为“×”未响应或者负偏离，均视为未实质性响应磋商文件,属于采购人不能接受的条件。</w:t>
      </w:r>
    </w:p>
    <w:p w14:paraId="320B8D0A">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供应商应认真填写本响应表，若</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lang w:val="en-GB" w:eastAsia="zh-CN"/>
        </w:rPr>
        <w:t>在评审期间，发现有虚假填写本响应表的，则将可能被视为存在两个</w:t>
      </w:r>
      <w:r>
        <w:rPr>
          <w:rFonts w:hint="eastAsia" w:ascii="宋体" w:hAnsi="宋体" w:eastAsia="宋体" w:cs="宋体"/>
          <w:color w:val="auto"/>
          <w:sz w:val="24"/>
          <w:szCs w:val="24"/>
          <w:highlight w:val="none"/>
          <w:lang w:eastAsia="zh-CN"/>
        </w:rPr>
        <w:t>响应方案</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lang w:val="en-GB" w:eastAsia="zh-CN"/>
        </w:rPr>
        <w:t>将按本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GB" w:eastAsia="zh-CN"/>
        </w:rPr>
        <w:t>文件相关规定执行；</w:t>
      </w:r>
    </w:p>
    <w:p w14:paraId="7AA13C28">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本表内容不得擅自修改。</w:t>
      </w:r>
    </w:p>
    <w:p w14:paraId="6E096EB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40AF17B2">
      <w:pPr>
        <w:spacing w:line="360" w:lineRule="auto"/>
        <w:jc w:val="center"/>
        <w:rPr>
          <w:rFonts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（二）技术要求偏离表</w:t>
      </w:r>
    </w:p>
    <w:p w14:paraId="669063C2">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　项目名称：</w:t>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项目编号：</w:t>
      </w:r>
    </w:p>
    <w:p w14:paraId="0BCD2184">
      <w:pPr>
        <w:spacing w:line="360" w:lineRule="auto"/>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lang w:eastAsia="zh-CN"/>
        </w:rPr>
        <w:t>　</w:t>
      </w:r>
      <w:r>
        <w:rPr>
          <w:rFonts w:hint="eastAsia" w:ascii="宋体" w:hAnsi="宋体" w:eastAsia="宋体" w:cs="宋体"/>
          <w:color w:val="auto"/>
          <w:sz w:val="22"/>
          <w:highlight w:val="none"/>
        </w:rPr>
        <w:t>包号：</w:t>
      </w:r>
    </w:p>
    <w:tbl>
      <w:tblPr>
        <w:tblStyle w:val="24"/>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52"/>
        <w:gridCol w:w="1260"/>
        <w:gridCol w:w="1128"/>
        <w:gridCol w:w="1140"/>
        <w:gridCol w:w="624"/>
        <w:gridCol w:w="788"/>
        <w:gridCol w:w="1150"/>
      </w:tblGrid>
      <w:tr w14:paraId="47A1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311297A7">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品目号</w:t>
            </w:r>
          </w:p>
        </w:tc>
        <w:tc>
          <w:tcPr>
            <w:tcW w:w="1152" w:type="dxa"/>
            <w:vAlign w:val="center"/>
          </w:tcPr>
          <w:p w14:paraId="0322BBE5">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货物名称</w:t>
            </w:r>
          </w:p>
        </w:tc>
        <w:tc>
          <w:tcPr>
            <w:tcW w:w="1260" w:type="dxa"/>
            <w:vAlign w:val="center"/>
          </w:tcPr>
          <w:p w14:paraId="5A3AD966">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招标规格</w:t>
            </w:r>
          </w:p>
        </w:tc>
        <w:tc>
          <w:tcPr>
            <w:tcW w:w="1128" w:type="dxa"/>
            <w:vAlign w:val="center"/>
          </w:tcPr>
          <w:p w14:paraId="7950E16F">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技术指标要求</w:t>
            </w:r>
          </w:p>
        </w:tc>
        <w:tc>
          <w:tcPr>
            <w:tcW w:w="1140" w:type="dxa"/>
            <w:vAlign w:val="center"/>
          </w:tcPr>
          <w:p w14:paraId="65BA443D">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投标投标情况</w:t>
            </w:r>
          </w:p>
        </w:tc>
        <w:tc>
          <w:tcPr>
            <w:tcW w:w="624" w:type="dxa"/>
            <w:vAlign w:val="center"/>
          </w:tcPr>
          <w:p w14:paraId="31327A3B">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偏离</w:t>
            </w:r>
          </w:p>
        </w:tc>
        <w:tc>
          <w:tcPr>
            <w:tcW w:w="788" w:type="dxa"/>
            <w:vAlign w:val="center"/>
          </w:tcPr>
          <w:p w14:paraId="40C2D49F">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说明</w:t>
            </w:r>
          </w:p>
        </w:tc>
        <w:tc>
          <w:tcPr>
            <w:tcW w:w="1150" w:type="dxa"/>
            <w:vAlign w:val="center"/>
          </w:tcPr>
          <w:p w14:paraId="18388BF8">
            <w:pPr>
              <w:spacing w:line="360" w:lineRule="auto"/>
              <w:jc w:val="center"/>
              <w:rPr>
                <w:rFonts w:ascii="宋体" w:hAnsi="宋体" w:eastAsia="宋体" w:cs="宋体"/>
                <w:color w:val="auto"/>
                <w:sz w:val="22"/>
                <w:highlight w:val="none"/>
                <w:lang w:eastAsia="zh-CN"/>
              </w:rPr>
            </w:pPr>
            <w:r>
              <w:rPr>
                <w:rFonts w:hint="eastAsia" w:ascii="宋体" w:hAnsi="宋体" w:eastAsia="宋体" w:cs="宋体"/>
                <w:color w:val="auto"/>
                <w:spacing w:val="-3"/>
                <w:highlight w:val="none"/>
                <w:lang w:eastAsia="zh-CN"/>
              </w:rPr>
              <w:t>相关证明材料或彩色实物图片</w:t>
            </w:r>
          </w:p>
        </w:tc>
      </w:tr>
      <w:tr w14:paraId="40C7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404FF9AA">
            <w:pPr>
              <w:spacing w:line="360" w:lineRule="auto"/>
              <w:jc w:val="center"/>
              <w:rPr>
                <w:rFonts w:ascii="宋体" w:hAnsi="宋体" w:eastAsia="宋体" w:cs="宋体"/>
                <w:color w:val="auto"/>
                <w:sz w:val="22"/>
                <w:highlight w:val="none"/>
                <w:lang w:eastAsia="zh-CN"/>
              </w:rPr>
            </w:pPr>
          </w:p>
        </w:tc>
        <w:tc>
          <w:tcPr>
            <w:tcW w:w="1152" w:type="dxa"/>
            <w:vAlign w:val="center"/>
          </w:tcPr>
          <w:p w14:paraId="2AC8B29E">
            <w:pPr>
              <w:spacing w:line="360" w:lineRule="auto"/>
              <w:jc w:val="center"/>
              <w:rPr>
                <w:rFonts w:ascii="宋体" w:hAnsi="宋体" w:eastAsia="宋体" w:cs="宋体"/>
                <w:color w:val="auto"/>
                <w:sz w:val="22"/>
                <w:highlight w:val="none"/>
                <w:lang w:eastAsia="zh-CN"/>
              </w:rPr>
            </w:pPr>
          </w:p>
        </w:tc>
        <w:tc>
          <w:tcPr>
            <w:tcW w:w="1260" w:type="dxa"/>
            <w:vAlign w:val="center"/>
          </w:tcPr>
          <w:p w14:paraId="76B41579">
            <w:pPr>
              <w:spacing w:line="360" w:lineRule="auto"/>
              <w:jc w:val="center"/>
              <w:rPr>
                <w:rFonts w:ascii="宋体" w:hAnsi="宋体" w:eastAsia="宋体" w:cs="宋体"/>
                <w:color w:val="auto"/>
                <w:sz w:val="22"/>
                <w:highlight w:val="none"/>
                <w:lang w:eastAsia="zh-CN"/>
              </w:rPr>
            </w:pPr>
          </w:p>
        </w:tc>
        <w:tc>
          <w:tcPr>
            <w:tcW w:w="1128" w:type="dxa"/>
            <w:vAlign w:val="center"/>
          </w:tcPr>
          <w:p w14:paraId="5479B4E4">
            <w:pPr>
              <w:spacing w:line="360" w:lineRule="auto"/>
              <w:jc w:val="center"/>
              <w:rPr>
                <w:rFonts w:ascii="宋体" w:hAnsi="宋体" w:eastAsia="宋体" w:cs="宋体"/>
                <w:color w:val="auto"/>
                <w:sz w:val="22"/>
                <w:highlight w:val="none"/>
                <w:lang w:eastAsia="zh-CN"/>
              </w:rPr>
            </w:pPr>
          </w:p>
        </w:tc>
        <w:tc>
          <w:tcPr>
            <w:tcW w:w="1140" w:type="dxa"/>
            <w:vAlign w:val="center"/>
          </w:tcPr>
          <w:p w14:paraId="04DA2A5B">
            <w:pPr>
              <w:spacing w:line="360" w:lineRule="auto"/>
              <w:jc w:val="center"/>
              <w:rPr>
                <w:rFonts w:ascii="宋体" w:hAnsi="宋体" w:eastAsia="宋体" w:cs="宋体"/>
                <w:color w:val="auto"/>
                <w:sz w:val="22"/>
                <w:highlight w:val="none"/>
                <w:lang w:eastAsia="zh-CN"/>
              </w:rPr>
            </w:pPr>
          </w:p>
        </w:tc>
        <w:tc>
          <w:tcPr>
            <w:tcW w:w="624" w:type="dxa"/>
            <w:vAlign w:val="center"/>
          </w:tcPr>
          <w:p w14:paraId="63A941E8">
            <w:pPr>
              <w:spacing w:line="360" w:lineRule="auto"/>
              <w:jc w:val="center"/>
              <w:rPr>
                <w:rFonts w:ascii="宋体" w:hAnsi="宋体" w:eastAsia="宋体" w:cs="宋体"/>
                <w:color w:val="auto"/>
                <w:sz w:val="22"/>
                <w:highlight w:val="none"/>
                <w:lang w:eastAsia="zh-CN"/>
              </w:rPr>
            </w:pPr>
          </w:p>
        </w:tc>
        <w:tc>
          <w:tcPr>
            <w:tcW w:w="788" w:type="dxa"/>
            <w:vAlign w:val="center"/>
          </w:tcPr>
          <w:p w14:paraId="48EFA4C6">
            <w:pPr>
              <w:spacing w:line="360" w:lineRule="auto"/>
              <w:jc w:val="center"/>
              <w:rPr>
                <w:rFonts w:ascii="宋体" w:hAnsi="宋体" w:eastAsia="宋体" w:cs="宋体"/>
                <w:color w:val="auto"/>
                <w:sz w:val="22"/>
                <w:highlight w:val="none"/>
                <w:lang w:eastAsia="zh-CN"/>
              </w:rPr>
            </w:pPr>
          </w:p>
        </w:tc>
        <w:tc>
          <w:tcPr>
            <w:tcW w:w="1150" w:type="dxa"/>
            <w:vAlign w:val="center"/>
          </w:tcPr>
          <w:p w14:paraId="5050FD3E">
            <w:pPr>
              <w:spacing w:line="360" w:lineRule="auto"/>
              <w:jc w:val="center"/>
              <w:rPr>
                <w:rFonts w:ascii="宋体" w:hAnsi="宋体" w:eastAsia="宋体" w:cs="宋体"/>
                <w:color w:val="auto"/>
                <w:sz w:val="22"/>
                <w:highlight w:val="none"/>
                <w:lang w:eastAsia="zh-CN"/>
              </w:rPr>
            </w:pPr>
          </w:p>
        </w:tc>
      </w:tr>
      <w:tr w14:paraId="111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270EC29E">
            <w:pPr>
              <w:spacing w:line="360" w:lineRule="auto"/>
              <w:jc w:val="center"/>
              <w:rPr>
                <w:rFonts w:ascii="宋体" w:hAnsi="宋体" w:eastAsia="宋体" w:cs="宋体"/>
                <w:color w:val="auto"/>
                <w:sz w:val="22"/>
                <w:highlight w:val="none"/>
                <w:lang w:eastAsia="zh-CN"/>
              </w:rPr>
            </w:pPr>
          </w:p>
        </w:tc>
        <w:tc>
          <w:tcPr>
            <w:tcW w:w="1152" w:type="dxa"/>
            <w:vAlign w:val="center"/>
          </w:tcPr>
          <w:p w14:paraId="6B9B7EA9">
            <w:pPr>
              <w:spacing w:line="360" w:lineRule="auto"/>
              <w:jc w:val="center"/>
              <w:rPr>
                <w:rFonts w:ascii="宋体" w:hAnsi="宋体" w:eastAsia="宋体" w:cs="宋体"/>
                <w:color w:val="auto"/>
                <w:sz w:val="22"/>
                <w:highlight w:val="none"/>
                <w:lang w:eastAsia="zh-CN"/>
              </w:rPr>
            </w:pPr>
          </w:p>
        </w:tc>
        <w:tc>
          <w:tcPr>
            <w:tcW w:w="1260" w:type="dxa"/>
            <w:vAlign w:val="center"/>
          </w:tcPr>
          <w:p w14:paraId="4D4FB289">
            <w:pPr>
              <w:spacing w:line="360" w:lineRule="auto"/>
              <w:jc w:val="center"/>
              <w:rPr>
                <w:rFonts w:ascii="宋体" w:hAnsi="宋体" w:eastAsia="宋体" w:cs="宋体"/>
                <w:color w:val="auto"/>
                <w:sz w:val="22"/>
                <w:highlight w:val="none"/>
                <w:lang w:eastAsia="zh-CN"/>
              </w:rPr>
            </w:pPr>
          </w:p>
        </w:tc>
        <w:tc>
          <w:tcPr>
            <w:tcW w:w="1128" w:type="dxa"/>
            <w:vAlign w:val="center"/>
          </w:tcPr>
          <w:p w14:paraId="19338BD3">
            <w:pPr>
              <w:spacing w:line="360" w:lineRule="auto"/>
              <w:jc w:val="center"/>
              <w:rPr>
                <w:rFonts w:ascii="宋体" w:hAnsi="宋体" w:eastAsia="宋体" w:cs="宋体"/>
                <w:color w:val="auto"/>
                <w:sz w:val="22"/>
                <w:highlight w:val="none"/>
                <w:lang w:eastAsia="zh-CN"/>
              </w:rPr>
            </w:pPr>
          </w:p>
        </w:tc>
        <w:tc>
          <w:tcPr>
            <w:tcW w:w="1140" w:type="dxa"/>
            <w:vAlign w:val="center"/>
          </w:tcPr>
          <w:p w14:paraId="19D4355D">
            <w:pPr>
              <w:spacing w:line="360" w:lineRule="auto"/>
              <w:jc w:val="center"/>
              <w:rPr>
                <w:rFonts w:ascii="宋体" w:hAnsi="宋体" w:eastAsia="宋体" w:cs="宋体"/>
                <w:color w:val="auto"/>
                <w:sz w:val="22"/>
                <w:highlight w:val="none"/>
                <w:lang w:eastAsia="zh-CN"/>
              </w:rPr>
            </w:pPr>
          </w:p>
        </w:tc>
        <w:tc>
          <w:tcPr>
            <w:tcW w:w="624" w:type="dxa"/>
            <w:vAlign w:val="center"/>
          </w:tcPr>
          <w:p w14:paraId="7B323D85">
            <w:pPr>
              <w:spacing w:line="360" w:lineRule="auto"/>
              <w:jc w:val="center"/>
              <w:rPr>
                <w:rFonts w:ascii="宋体" w:hAnsi="宋体" w:eastAsia="宋体" w:cs="宋体"/>
                <w:color w:val="auto"/>
                <w:sz w:val="22"/>
                <w:highlight w:val="none"/>
                <w:lang w:eastAsia="zh-CN"/>
              </w:rPr>
            </w:pPr>
          </w:p>
        </w:tc>
        <w:tc>
          <w:tcPr>
            <w:tcW w:w="788" w:type="dxa"/>
            <w:vAlign w:val="center"/>
          </w:tcPr>
          <w:p w14:paraId="69E89705">
            <w:pPr>
              <w:spacing w:line="360" w:lineRule="auto"/>
              <w:jc w:val="center"/>
              <w:rPr>
                <w:rFonts w:ascii="宋体" w:hAnsi="宋体" w:eastAsia="宋体" w:cs="宋体"/>
                <w:color w:val="auto"/>
                <w:sz w:val="22"/>
                <w:highlight w:val="none"/>
                <w:lang w:eastAsia="zh-CN"/>
              </w:rPr>
            </w:pPr>
          </w:p>
        </w:tc>
        <w:tc>
          <w:tcPr>
            <w:tcW w:w="1150" w:type="dxa"/>
            <w:vAlign w:val="center"/>
          </w:tcPr>
          <w:p w14:paraId="30A344D5">
            <w:pPr>
              <w:spacing w:line="360" w:lineRule="auto"/>
              <w:jc w:val="center"/>
              <w:rPr>
                <w:rFonts w:ascii="宋体" w:hAnsi="宋体" w:eastAsia="宋体" w:cs="宋体"/>
                <w:color w:val="auto"/>
                <w:sz w:val="22"/>
                <w:highlight w:val="none"/>
                <w:lang w:eastAsia="zh-CN"/>
              </w:rPr>
            </w:pPr>
          </w:p>
        </w:tc>
      </w:tr>
      <w:tr w14:paraId="4367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C1928B9">
            <w:pPr>
              <w:spacing w:line="360" w:lineRule="auto"/>
              <w:jc w:val="center"/>
              <w:rPr>
                <w:rFonts w:ascii="宋体" w:hAnsi="宋体" w:eastAsia="宋体" w:cs="宋体"/>
                <w:color w:val="auto"/>
                <w:sz w:val="22"/>
                <w:highlight w:val="none"/>
                <w:lang w:eastAsia="zh-CN"/>
              </w:rPr>
            </w:pPr>
          </w:p>
        </w:tc>
        <w:tc>
          <w:tcPr>
            <w:tcW w:w="1152" w:type="dxa"/>
            <w:vAlign w:val="center"/>
          </w:tcPr>
          <w:p w14:paraId="237A57EC">
            <w:pPr>
              <w:spacing w:line="360" w:lineRule="auto"/>
              <w:jc w:val="center"/>
              <w:rPr>
                <w:rFonts w:ascii="宋体" w:hAnsi="宋体" w:eastAsia="宋体" w:cs="宋体"/>
                <w:color w:val="auto"/>
                <w:sz w:val="22"/>
                <w:highlight w:val="none"/>
                <w:lang w:eastAsia="zh-CN"/>
              </w:rPr>
            </w:pPr>
          </w:p>
        </w:tc>
        <w:tc>
          <w:tcPr>
            <w:tcW w:w="1260" w:type="dxa"/>
            <w:vAlign w:val="center"/>
          </w:tcPr>
          <w:p w14:paraId="46EA0403">
            <w:pPr>
              <w:spacing w:line="360" w:lineRule="auto"/>
              <w:jc w:val="center"/>
              <w:rPr>
                <w:rFonts w:ascii="宋体" w:hAnsi="宋体" w:eastAsia="宋体" w:cs="宋体"/>
                <w:color w:val="auto"/>
                <w:sz w:val="22"/>
                <w:highlight w:val="none"/>
                <w:lang w:eastAsia="zh-CN"/>
              </w:rPr>
            </w:pPr>
          </w:p>
        </w:tc>
        <w:tc>
          <w:tcPr>
            <w:tcW w:w="1128" w:type="dxa"/>
            <w:vAlign w:val="center"/>
          </w:tcPr>
          <w:p w14:paraId="3500369F">
            <w:pPr>
              <w:spacing w:line="360" w:lineRule="auto"/>
              <w:jc w:val="center"/>
              <w:rPr>
                <w:rFonts w:ascii="宋体" w:hAnsi="宋体" w:eastAsia="宋体" w:cs="宋体"/>
                <w:color w:val="auto"/>
                <w:sz w:val="22"/>
                <w:highlight w:val="none"/>
                <w:lang w:eastAsia="zh-CN"/>
              </w:rPr>
            </w:pPr>
          </w:p>
        </w:tc>
        <w:tc>
          <w:tcPr>
            <w:tcW w:w="1140" w:type="dxa"/>
            <w:vAlign w:val="center"/>
          </w:tcPr>
          <w:p w14:paraId="770E1A15">
            <w:pPr>
              <w:spacing w:line="360" w:lineRule="auto"/>
              <w:jc w:val="center"/>
              <w:rPr>
                <w:rFonts w:ascii="宋体" w:hAnsi="宋体" w:eastAsia="宋体" w:cs="宋体"/>
                <w:color w:val="auto"/>
                <w:sz w:val="22"/>
                <w:highlight w:val="none"/>
                <w:lang w:eastAsia="zh-CN"/>
              </w:rPr>
            </w:pPr>
          </w:p>
        </w:tc>
        <w:tc>
          <w:tcPr>
            <w:tcW w:w="624" w:type="dxa"/>
            <w:vAlign w:val="center"/>
          </w:tcPr>
          <w:p w14:paraId="73B98591">
            <w:pPr>
              <w:spacing w:line="360" w:lineRule="auto"/>
              <w:jc w:val="center"/>
              <w:rPr>
                <w:rFonts w:ascii="宋体" w:hAnsi="宋体" w:eastAsia="宋体" w:cs="宋体"/>
                <w:color w:val="auto"/>
                <w:sz w:val="22"/>
                <w:highlight w:val="none"/>
                <w:lang w:eastAsia="zh-CN"/>
              </w:rPr>
            </w:pPr>
          </w:p>
        </w:tc>
        <w:tc>
          <w:tcPr>
            <w:tcW w:w="788" w:type="dxa"/>
            <w:vAlign w:val="center"/>
          </w:tcPr>
          <w:p w14:paraId="6AEBAD27">
            <w:pPr>
              <w:spacing w:line="360" w:lineRule="auto"/>
              <w:jc w:val="center"/>
              <w:rPr>
                <w:rFonts w:ascii="宋体" w:hAnsi="宋体" w:eastAsia="宋体" w:cs="宋体"/>
                <w:color w:val="auto"/>
                <w:sz w:val="22"/>
                <w:highlight w:val="none"/>
                <w:lang w:eastAsia="zh-CN"/>
              </w:rPr>
            </w:pPr>
          </w:p>
        </w:tc>
        <w:tc>
          <w:tcPr>
            <w:tcW w:w="1150" w:type="dxa"/>
            <w:vAlign w:val="center"/>
          </w:tcPr>
          <w:p w14:paraId="53208298">
            <w:pPr>
              <w:spacing w:line="360" w:lineRule="auto"/>
              <w:jc w:val="center"/>
              <w:rPr>
                <w:rFonts w:ascii="宋体" w:hAnsi="宋体" w:eastAsia="宋体" w:cs="宋体"/>
                <w:color w:val="auto"/>
                <w:sz w:val="22"/>
                <w:highlight w:val="none"/>
                <w:lang w:eastAsia="zh-CN"/>
              </w:rPr>
            </w:pPr>
          </w:p>
        </w:tc>
      </w:tr>
      <w:tr w14:paraId="5C51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142F9F9F">
            <w:pPr>
              <w:spacing w:line="360" w:lineRule="auto"/>
              <w:jc w:val="center"/>
              <w:rPr>
                <w:rFonts w:ascii="宋体" w:hAnsi="宋体" w:eastAsia="宋体" w:cs="宋体"/>
                <w:color w:val="auto"/>
                <w:sz w:val="22"/>
                <w:highlight w:val="none"/>
                <w:lang w:eastAsia="zh-CN"/>
              </w:rPr>
            </w:pPr>
          </w:p>
        </w:tc>
        <w:tc>
          <w:tcPr>
            <w:tcW w:w="1152" w:type="dxa"/>
            <w:vAlign w:val="center"/>
          </w:tcPr>
          <w:p w14:paraId="0E5747BD">
            <w:pPr>
              <w:spacing w:line="360" w:lineRule="auto"/>
              <w:jc w:val="center"/>
              <w:rPr>
                <w:rFonts w:ascii="宋体" w:hAnsi="宋体" w:eastAsia="宋体" w:cs="宋体"/>
                <w:color w:val="auto"/>
                <w:sz w:val="22"/>
                <w:highlight w:val="none"/>
                <w:lang w:eastAsia="zh-CN"/>
              </w:rPr>
            </w:pPr>
          </w:p>
        </w:tc>
        <w:tc>
          <w:tcPr>
            <w:tcW w:w="1260" w:type="dxa"/>
            <w:vAlign w:val="center"/>
          </w:tcPr>
          <w:p w14:paraId="154963A4">
            <w:pPr>
              <w:spacing w:line="360" w:lineRule="auto"/>
              <w:jc w:val="center"/>
              <w:rPr>
                <w:rFonts w:ascii="宋体" w:hAnsi="宋体" w:eastAsia="宋体" w:cs="宋体"/>
                <w:color w:val="auto"/>
                <w:sz w:val="22"/>
                <w:highlight w:val="none"/>
                <w:lang w:eastAsia="zh-CN"/>
              </w:rPr>
            </w:pPr>
          </w:p>
        </w:tc>
        <w:tc>
          <w:tcPr>
            <w:tcW w:w="1128" w:type="dxa"/>
            <w:vAlign w:val="center"/>
          </w:tcPr>
          <w:p w14:paraId="51CA4B16">
            <w:pPr>
              <w:spacing w:line="360" w:lineRule="auto"/>
              <w:jc w:val="center"/>
              <w:rPr>
                <w:rFonts w:ascii="宋体" w:hAnsi="宋体" w:eastAsia="宋体" w:cs="宋体"/>
                <w:color w:val="auto"/>
                <w:sz w:val="22"/>
                <w:highlight w:val="none"/>
                <w:lang w:eastAsia="zh-CN"/>
              </w:rPr>
            </w:pPr>
          </w:p>
        </w:tc>
        <w:tc>
          <w:tcPr>
            <w:tcW w:w="1140" w:type="dxa"/>
            <w:vAlign w:val="center"/>
          </w:tcPr>
          <w:p w14:paraId="30E7ECA4">
            <w:pPr>
              <w:spacing w:line="360" w:lineRule="auto"/>
              <w:jc w:val="center"/>
              <w:rPr>
                <w:rFonts w:ascii="宋体" w:hAnsi="宋体" w:eastAsia="宋体" w:cs="宋体"/>
                <w:color w:val="auto"/>
                <w:sz w:val="22"/>
                <w:highlight w:val="none"/>
                <w:lang w:eastAsia="zh-CN"/>
              </w:rPr>
            </w:pPr>
          </w:p>
        </w:tc>
        <w:tc>
          <w:tcPr>
            <w:tcW w:w="624" w:type="dxa"/>
            <w:vAlign w:val="center"/>
          </w:tcPr>
          <w:p w14:paraId="5D641D9B">
            <w:pPr>
              <w:spacing w:line="360" w:lineRule="auto"/>
              <w:jc w:val="center"/>
              <w:rPr>
                <w:rFonts w:ascii="宋体" w:hAnsi="宋体" w:eastAsia="宋体" w:cs="宋体"/>
                <w:color w:val="auto"/>
                <w:sz w:val="22"/>
                <w:highlight w:val="none"/>
                <w:lang w:eastAsia="zh-CN"/>
              </w:rPr>
            </w:pPr>
          </w:p>
        </w:tc>
        <w:tc>
          <w:tcPr>
            <w:tcW w:w="788" w:type="dxa"/>
            <w:vAlign w:val="center"/>
          </w:tcPr>
          <w:p w14:paraId="4400B8E3">
            <w:pPr>
              <w:spacing w:line="360" w:lineRule="auto"/>
              <w:jc w:val="center"/>
              <w:rPr>
                <w:rFonts w:ascii="宋体" w:hAnsi="宋体" w:eastAsia="宋体" w:cs="宋体"/>
                <w:color w:val="auto"/>
                <w:sz w:val="22"/>
                <w:highlight w:val="none"/>
                <w:lang w:eastAsia="zh-CN"/>
              </w:rPr>
            </w:pPr>
          </w:p>
        </w:tc>
        <w:tc>
          <w:tcPr>
            <w:tcW w:w="1150" w:type="dxa"/>
            <w:vAlign w:val="center"/>
          </w:tcPr>
          <w:p w14:paraId="79B30C07">
            <w:pPr>
              <w:spacing w:line="360" w:lineRule="auto"/>
              <w:jc w:val="center"/>
              <w:rPr>
                <w:rFonts w:ascii="宋体" w:hAnsi="宋体" w:eastAsia="宋体" w:cs="宋体"/>
                <w:color w:val="auto"/>
                <w:sz w:val="22"/>
                <w:highlight w:val="none"/>
                <w:lang w:eastAsia="zh-CN"/>
              </w:rPr>
            </w:pPr>
          </w:p>
        </w:tc>
      </w:tr>
      <w:tr w14:paraId="33B6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B7D76D2">
            <w:pPr>
              <w:spacing w:line="360" w:lineRule="auto"/>
              <w:jc w:val="center"/>
              <w:rPr>
                <w:rFonts w:ascii="宋体" w:hAnsi="宋体" w:eastAsia="宋体" w:cs="宋体"/>
                <w:color w:val="auto"/>
                <w:sz w:val="22"/>
                <w:highlight w:val="none"/>
                <w:lang w:eastAsia="zh-CN"/>
              </w:rPr>
            </w:pPr>
          </w:p>
        </w:tc>
        <w:tc>
          <w:tcPr>
            <w:tcW w:w="1152" w:type="dxa"/>
            <w:vAlign w:val="center"/>
          </w:tcPr>
          <w:p w14:paraId="36AE3FCE">
            <w:pPr>
              <w:spacing w:line="360" w:lineRule="auto"/>
              <w:jc w:val="center"/>
              <w:rPr>
                <w:rFonts w:ascii="宋体" w:hAnsi="宋体" w:eastAsia="宋体" w:cs="宋体"/>
                <w:color w:val="auto"/>
                <w:sz w:val="22"/>
                <w:highlight w:val="none"/>
                <w:lang w:eastAsia="zh-CN"/>
              </w:rPr>
            </w:pPr>
          </w:p>
        </w:tc>
        <w:tc>
          <w:tcPr>
            <w:tcW w:w="1260" w:type="dxa"/>
            <w:vAlign w:val="center"/>
          </w:tcPr>
          <w:p w14:paraId="0E24C9F3">
            <w:pPr>
              <w:spacing w:line="360" w:lineRule="auto"/>
              <w:jc w:val="center"/>
              <w:rPr>
                <w:rFonts w:ascii="宋体" w:hAnsi="宋体" w:eastAsia="宋体" w:cs="宋体"/>
                <w:color w:val="auto"/>
                <w:sz w:val="22"/>
                <w:highlight w:val="none"/>
                <w:lang w:eastAsia="zh-CN"/>
              </w:rPr>
            </w:pPr>
          </w:p>
        </w:tc>
        <w:tc>
          <w:tcPr>
            <w:tcW w:w="1128" w:type="dxa"/>
            <w:vAlign w:val="center"/>
          </w:tcPr>
          <w:p w14:paraId="04087D10">
            <w:pPr>
              <w:spacing w:line="360" w:lineRule="auto"/>
              <w:jc w:val="center"/>
              <w:rPr>
                <w:rFonts w:ascii="宋体" w:hAnsi="宋体" w:eastAsia="宋体" w:cs="宋体"/>
                <w:color w:val="auto"/>
                <w:sz w:val="22"/>
                <w:highlight w:val="none"/>
                <w:lang w:eastAsia="zh-CN"/>
              </w:rPr>
            </w:pPr>
          </w:p>
        </w:tc>
        <w:tc>
          <w:tcPr>
            <w:tcW w:w="1140" w:type="dxa"/>
            <w:vAlign w:val="center"/>
          </w:tcPr>
          <w:p w14:paraId="79DD6AF8">
            <w:pPr>
              <w:spacing w:line="360" w:lineRule="auto"/>
              <w:jc w:val="center"/>
              <w:rPr>
                <w:rFonts w:ascii="宋体" w:hAnsi="宋体" w:eastAsia="宋体" w:cs="宋体"/>
                <w:color w:val="auto"/>
                <w:sz w:val="22"/>
                <w:highlight w:val="none"/>
                <w:lang w:eastAsia="zh-CN"/>
              </w:rPr>
            </w:pPr>
          </w:p>
        </w:tc>
        <w:tc>
          <w:tcPr>
            <w:tcW w:w="624" w:type="dxa"/>
            <w:vAlign w:val="center"/>
          </w:tcPr>
          <w:p w14:paraId="4DD0B6F4">
            <w:pPr>
              <w:spacing w:line="360" w:lineRule="auto"/>
              <w:jc w:val="center"/>
              <w:rPr>
                <w:rFonts w:ascii="宋体" w:hAnsi="宋体" w:eastAsia="宋体" w:cs="宋体"/>
                <w:color w:val="auto"/>
                <w:sz w:val="22"/>
                <w:highlight w:val="none"/>
                <w:lang w:eastAsia="zh-CN"/>
              </w:rPr>
            </w:pPr>
          </w:p>
        </w:tc>
        <w:tc>
          <w:tcPr>
            <w:tcW w:w="788" w:type="dxa"/>
            <w:vAlign w:val="center"/>
          </w:tcPr>
          <w:p w14:paraId="6F560EDB">
            <w:pPr>
              <w:spacing w:line="360" w:lineRule="auto"/>
              <w:jc w:val="center"/>
              <w:rPr>
                <w:rFonts w:ascii="宋体" w:hAnsi="宋体" w:eastAsia="宋体" w:cs="宋体"/>
                <w:color w:val="auto"/>
                <w:sz w:val="22"/>
                <w:highlight w:val="none"/>
                <w:lang w:eastAsia="zh-CN"/>
              </w:rPr>
            </w:pPr>
          </w:p>
        </w:tc>
        <w:tc>
          <w:tcPr>
            <w:tcW w:w="1150" w:type="dxa"/>
            <w:vAlign w:val="center"/>
          </w:tcPr>
          <w:p w14:paraId="49AECEE4">
            <w:pPr>
              <w:spacing w:line="360" w:lineRule="auto"/>
              <w:jc w:val="center"/>
              <w:rPr>
                <w:rFonts w:ascii="宋体" w:hAnsi="宋体" w:eastAsia="宋体" w:cs="宋体"/>
                <w:color w:val="auto"/>
                <w:sz w:val="22"/>
                <w:highlight w:val="none"/>
                <w:lang w:eastAsia="zh-CN"/>
              </w:rPr>
            </w:pPr>
          </w:p>
        </w:tc>
      </w:tr>
      <w:tr w14:paraId="618B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46781201">
            <w:pPr>
              <w:spacing w:line="360" w:lineRule="auto"/>
              <w:jc w:val="center"/>
              <w:rPr>
                <w:rFonts w:ascii="宋体" w:hAnsi="宋体" w:eastAsia="宋体" w:cs="宋体"/>
                <w:color w:val="auto"/>
                <w:sz w:val="22"/>
                <w:highlight w:val="none"/>
                <w:lang w:eastAsia="zh-CN"/>
              </w:rPr>
            </w:pPr>
          </w:p>
        </w:tc>
        <w:tc>
          <w:tcPr>
            <w:tcW w:w="1152" w:type="dxa"/>
            <w:vAlign w:val="center"/>
          </w:tcPr>
          <w:p w14:paraId="20F42456">
            <w:pPr>
              <w:spacing w:line="360" w:lineRule="auto"/>
              <w:jc w:val="center"/>
              <w:rPr>
                <w:rFonts w:ascii="宋体" w:hAnsi="宋体" w:eastAsia="宋体" w:cs="宋体"/>
                <w:color w:val="auto"/>
                <w:sz w:val="22"/>
                <w:highlight w:val="none"/>
                <w:lang w:eastAsia="zh-CN"/>
              </w:rPr>
            </w:pPr>
          </w:p>
        </w:tc>
        <w:tc>
          <w:tcPr>
            <w:tcW w:w="1260" w:type="dxa"/>
            <w:vAlign w:val="center"/>
          </w:tcPr>
          <w:p w14:paraId="3AE00DB8">
            <w:pPr>
              <w:spacing w:line="360" w:lineRule="auto"/>
              <w:jc w:val="center"/>
              <w:rPr>
                <w:rFonts w:ascii="宋体" w:hAnsi="宋体" w:eastAsia="宋体" w:cs="宋体"/>
                <w:color w:val="auto"/>
                <w:sz w:val="22"/>
                <w:highlight w:val="none"/>
                <w:lang w:eastAsia="zh-CN"/>
              </w:rPr>
            </w:pPr>
          </w:p>
        </w:tc>
        <w:tc>
          <w:tcPr>
            <w:tcW w:w="1128" w:type="dxa"/>
            <w:vAlign w:val="center"/>
          </w:tcPr>
          <w:p w14:paraId="6561963A">
            <w:pPr>
              <w:spacing w:line="360" w:lineRule="auto"/>
              <w:jc w:val="center"/>
              <w:rPr>
                <w:rFonts w:ascii="宋体" w:hAnsi="宋体" w:eastAsia="宋体" w:cs="宋体"/>
                <w:color w:val="auto"/>
                <w:sz w:val="22"/>
                <w:highlight w:val="none"/>
                <w:lang w:eastAsia="zh-CN"/>
              </w:rPr>
            </w:pPr>
          </w:p>
        </w:tc>
        <w:tc>
          <w:tcPr>
            <w:tcW w:w="1140" w:type="dxa"/>
            <w:vAlign w:val="center"/>
          </w:tcPr>
          <w:p w14:paraId="769BEB55">
            <w:pPr>
              <w:spacing w:line="360" w:lineRule="auto"/>
              <w:jc w:val="center"/>
              <w:rPr>
                <w:rFonts w:ascii="宋体" w:hAnsi="宋体" w:eastAsia="宋体" w:cs="宋体"/>
                <w:color w:val="auto"/>
                <w:sz w:val="22"/>
                <w:highlight w:val="none"/>
                <w:lang w:eastAsia="zh-CN"/>
              </w:rPr>
            </w:pPr>
          </w:p>
        </w:tc>
        <w:tc>
          <w:tcPr>
            <w:tcW w:w="624" w:type="dxa"/>
            <w:vAlign w:val="center"/>
          </w:tcPr>
          <w:p w14:paraId="47C1DB5F">
            <w:pPr>
              <w:spacing w:line="360" w:lineRule="auto"/>
              <w:jc w:val="center"/>
              <w:rPr>
                <w:rFonts w:ascii="宋体" w:hAnsi="宋体" w:eastAsia="宋体" w:cs="宋体"/>
                <w:color w:val="auto"/>
                <w:sz w:val="22"/>
                <w:highlight w:val="none"/>
                <w:lang w:eastAsia="zh-CN"/>
              </w:rPr>
            </w:pPr>
          </w:p>
        </w:tc>
        <w:tc>
          <w:tcPr>
            <w:tcW w:w="788" w:type="dxa"/>
            <w:vAlign w:val="center"/>
          </w:tcPr>
          <w:p w14:paraId="4280C526">
            <w:pPr>
              <w:spacing w:line="360" w:lineRule="auto"/>
              <w:jc w:val="center"/>
              <w:rPr>
                <w:rFonts w:ascii="宋体" w:hAnsi="宋体" w:eastAsia="宋体" w:cs="宋体"/>
                <w:color w:val="auto"/>
                <w:sz w:val="22"/>
                <w:highlight w:val="none"/>
                <w:lang w:eastAsia="zh-CN"/>
              </w:rPr>
            </w:pPr>
          </w:p>
        </w:tc>
        <w:tc>
          <w:tcPr>
            <w:tcW w:w="1150" w:type="dxa"/>
            <w:vAlign w:val="center"/>
          </w:tcPr>
          <w:p w14:paraId="11F8653A">
            <w:pPr>
              <w:spacing w:line="360" w:lineRule="auto"/>
              <w:jc w:val="center"/>
              <w:rPr>
                <w:rFonts w:ascii="宋体" w:hAnsi="宋体" w:eastAsia="宋体" w:cs="宋体"/>
                <w:color w:val="auto"/>
                <w:sz w:val="22"/>
                <w:highlight w:val="none"/>
                <w:lang w:eastAsia="zh-CN"/>
              </w:rPr>
            </w:pPr>
          </w:p>
        </w:tc>
      </w:tr>
    </w:tbl>
    <w:p w14:paraId="043AC56C">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说明：在偏离项必须注明正偏离、负偏离或无偏离。</w:t>
      </w:r>
    </w:p>
    <w:p w14:paraId="2F2FB65E">
      <w:pPr>
        <w:spacing w:line="360" w:lineRule="auto"/>
        <w:ind w:firstLine="440" w:firstLineChars="200"/>
        <w:rPr>
          <w:rFonts w:ascii="宋体" w:hAnsi="宋体" w:eastAsia="宋体" w:cs="宋体"/>
          <w:color w:val="auto"/>
          <w:sz w:val="22"/>
          <w:highlight w:val="none"/>
          <w:lang w:eastAsia="zh-CN"/>
        </w:rPr>
      </w:pPr>
    </w:p>
    <w:p w14:paraId="4CE26A02">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67520C87">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64BBB5DF">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日期：______年____月____日</w:t>
      </w:r>
    </w:p>
    <w:p w14:paraId="2D690339">
      <w:pPr>
        <w:spacing w:line="360" w:lineRule="auto"/>
        <w:ind w:firstLine="440" w:firstLineChars="200"/>
        <w:rPr>
          <w:rFonts w:ascii="宋体" w:hAnsi="宋体" w:eastAsia="宋体" w:cs="宋体"/>
          <w:color w:val="auto"/>
          <w:sz w:val="22"/>
          <w:highlight w:val="none"/>
          <w:lang w:eastAsia="zh-CN"/>
        </w:rPr>
      </w:pPr>
    </w:p>
    <w:p w14:paraId="3EAA943F">
      <w:pPr>
        <w:spacing w:line="360" w:lineRule="auto"/>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w:t>
      </w:r>
    </w:p>
    <w:p w14:paraId="629F7DF4">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1.投标人应按照招标文件“第三章 采购需求”中的“（二）技术要求”填写，投标人针对采购需求内容要求有差异的，则在此表中列明实际响应的内容提要并加以说明，以便查对。无差异说明表示完全响应。</w:t>
      </w:r>
    </w:p>
    <w:p w14:paraId="4500A1E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2.投标人须根据“第三章 采购需求”中“（二）技术要求”的“</w:t>
      </w:r>
      <w:r>
        <w:rPr>
          <w:rFonts w:hint="eastAsia" w:ascii="宋体" w:hAnsi="宋体" w:eastAsia="宋体" w:cs="宋体"/>
          <w:color w:val="auto"/>
          <w:sz w:val="24"/>
          <w:szCs w:val="24"/>
          <w:highlight w:val="none"/>
          <w:lang w:val="en-US" w:eastAsia="zh-CN"/>
        </w:rPr>
        <w:t>需求清单</w:t>
      </w:r>
      <w:r>
        <w:rPr>
          <w:rFonts w:hint="eastAsia" w:ascii="宋体" w:hAnsi="宋体" w:eastAsia="宋体" w:cs="宋体"/>
          <w:color w:val="auto"/>
          <w:sz w:val="24"/>
          <w:szCs w:val="24"/>
          <w:highlight w:val="none"/>
          <w:lang w:eastAsia="zh-CN"/>
        </w:rPr>
        <w:t>”，逐一提供与所投产品或产品技术参数相关的证明材料（如所投产品的产品规格表或产品检测报告或鉴定证书或制造商产品彩页或制造商官网截图或制造商产品说明书或彩色实物图片</w:t>
      </w:r>
      <w:r>
        <w:rPr>
          <w:rFonts w:hint="eastAsia" w:ascii="宋体" w:hAnsi="宋体" w:eastAsia="宋体" w:cs="宋体"/>
          <w:color w:val="auto"/>
          <w:sz w:val="24"/>
          <w:szCs w:val="24"/>
          <w:highlight w:val="none"/>
          <w:lang w:val="en-US" w:eastAsia="zh-CN"/>
        </w:rPr>
        <w:t>及承诺书</w:t>
      </w:r>
      <w:r>
        <w:rPr>
          <w:rFonts w:hint="eastAsia" w:ascii="宋体" w:hAnsi="宋体" w:eastAsia="宋体" w:cs="宋体"/>
          <w:color w:val="auto"/>
          <w:sz w:val="24"/>
          <w:szCs w:val="24"/>
          <w:highlight w:val="none"/>
          <w:lang w:eastAsia="zh-CN"/>
        </w:rPr>
        <w:t>等证明材料，不提供或不清楚或不准确，不予认可）。</w:t>
      </w:r>
    </w:p>
    <w:p w14:paraId="02007940">
      <w:pPr>
        <w:spacing w:line="360" w:lineRule="auto"/>
        <w:rPr>
          <w:rFonts w:ascii="宋体" w:hAnsi="宋体" w:eastAsia="宋体" w:cs="宋体"/>
          <w:color w:val="auto"/>
          <w:highlight w:val="none"/>
          <w:lang w:eastAsia="zh-CN"/>
        </w:rPr>
      </w:pPr>
    </w:p>
    <w:p w14:paraId="4E36B7D0">
      <w:pPr>
        <w:pageBreakBefore/>
        <w:spacing w:before="101" w:line="360" w:lineRule="auto"/>
        <w:jc w:val="center"/>
        <w:outlineLvl w:val="1"/>
        <w:rPr>
          <w:rFonts w:ascii="宋体" w:hAnsi="宋体" w:eastAsia="宋体" w:cs="宋体"/>
          <w:b/>
          <w:bCs/>
          <w:color w:val="auto"/>
          <w:spacing w:val="1"/>
          <w:sz w:val="31"/>
          <w:szCs w:val="31"/>
          <w:highlight w:val="none"/>
          <w:lang w:eastAsia="zh-CN"/>
        </w:rPr>
      </w:pPr>
      <w:bookmarkStart w:id="386" w:name="bookmark268"/>
      <w:bookmarkEnd w:id="386"/>
      <w:bookmarkStart w:id="387" w:name="bookmark267"/>
      <w:bookmarkEnd w:id="387"/>
      <w:bookmarkStart w:id="388" w:name="_Toc12335"/>
      <w:bookmarkStart w:id="389" w:name="_Toc186477819"/>
      <w:r>
        <w:rPr>
          <w:rFonts w:hint="eastAsia" w:ascii="宋体" w:hAnsi="宋体" w:eastAsia="宋体" w:cs="宋体"/>
          <w:b/>
          <w:bCs/>
          <w:color w:val="auto"/>
          <w:spacing w:val="1"/>
          <w:sz w:val="31"/>
          <w:szCs w:val="31"/>
          <w:highlight w:val="none"/>
          <w:lang w:val="en-US" w:eastAsia="zh-CN"/>
        </w:rPr>
        <w:t>八</w:t>
      </w:r>
      <w:r>
        <w:rPr>
          <w:rFonts w:hint="eastAsia" w:ascii="宋体" w:hAnsi="宋体" w:eastAsia="宋体" w:cs="宋体"/>
          <w:b/>
          <w:bCs/>
          <w:color w:val="auto"/>
          <w:spacing w:val="1"/>
          <w:sz w:val="31"/>
          <w:szCs w:val="31"/>
          <w:highlight w:val="none"/>
          <w:lang w:eastAsia="zh-CN"/>
        </w:rPr>
        <w:t>、业绩证明文件</w:t>
      </w:r>
      <w:bookmarkEnd w:id="388"/>
      <w:bookmarkEnd w:id="389"/>
    </w:p>
    <w:p w14:paraId="6F712BB3">
      <w:pPr>
        <w:spacing w:before="307" w:line="360" w:lineRule="auto"/>
        <w:ind w:left="42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项目名称：</w:t>
      </w:r>
    </w:p>
    <w:p w14:paraId="799B59C6">
      <w:pPr>
        <w:spacing w:before="182" w:line="360" w:lineRule="auto"/>
        <w:ind w:left="42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项目（包）编号：</w:t>
      </w:r>
    </w:p>
    <w:p w14:paraId="02AA6BB7">
      <w:pPr>
        <w:spacing w:line="360" w:lineRule="auto"/>
        <w:rPr>
          <w:rFonts w:ascii="宋体" w:hAnsi="宋体" w:eastAsia="宋体" w:cs="宋体"/>
          <w:color w:val="auto"/>
          <w:highlight w:val="none"/>
        </w:rPr>
      </w:pPr>
    </w:p>
    <w:tbl>
      <w:tblPr>
        <w:tblStyle w:val="2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134"/>
        <w:gridCol w:w="1276"/>
        <w:gridCol w:w="1134"/>
        <w:gridCol w:w="1418"/>
        <w:gridCol w:w="1134"/>
        <w:gridCol w:w="992"/>
        <w:gridCol w:w="1134"/>
      </w:tblGrid>
      <w:tr w14:paraId="748F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673" w:type="dxa"/>
            <w:vAlign w:val="center"/>
          </w:tcPr>
          <w:p w14:paraId="17D47909">
            <w:pPr>
              <w:pStyle w:val="32"/>
              <w:spacing w:before="78" w:line="360" w:lineRule="auto"/>
              <w:jc w:val="center"/>
              <w:rPr>
                <w:color w:val="auto"/>
                <w:sz w:val="21"/>
                <w:szCs w:val="21"/>
                <w:highlight w:val="none"/>
              </w:rPr>
            </w:pPr>
            <w:r>
              <w:rPr>
                <w:rFonts w:hint="eastAsia"/>
                <w:color w:val="auto"/>
                <w:spacing w:val="-5"/>
                <w:sz w:val="21"/>
                <w:szCs w:val="21"/>
                <w:highlight w:val="none"/>
              </w:rPr>
              <w:t>序号</w:t>
            </w:r>
          </w:p>
        </w:tc>
        <w:tc>
          <w:tcPr>
            <w:tcW w:w="1134" w:type="dxa"/>
            <w:vAlign w:val="center"/>
          </w:tcPr>
          <w:p w14:paraId="7DFB4B2E">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完成时间</w:t>
            </w:r>
          </w:p>
        </w:tc>
        <w:tc>
          <w:tcPr>
            <w:tcW w:w="1276" w:type="dxa"/>
            <w:vAlign w:val="center"/>
          </w:tcPr>
          <w:p w14:paraId="30AB9007">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项目名称</w:t>
            </w:r>
          </w:p>
        </w:tc>
        <w:tc>
          <w:tcPr>
            <w:tcW w:w="1134" w:type="dxa"/>
            <w:vAlign w:val="center"/>
          </w:tcPr>
          <w:p w14:paraId="536407D7">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标的内容</w:t>
            </w:r>
          </w:p>
        </w:tc>
        <w:tc>
          <w:tcPr>
            <w:tcW w:w="1418" w:type="dxa"/>
            <w:vAlign w:val="center"/>
          </w:tcPr>
          <w:p w14:paraId="1C28FB04">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采购人名称</w:t>
            </w:r>
          </w:p>
        </w:tc>
        <w:tc>
          <w:tcPr>
            <w:tcW w:w="1134" w:type="dxa"/>
            <w:vAlign w:val="center"/>
          </w:tcPr>
          <w:p w14:paraId="6AE0267C">
            <w:pPr>
              <w:pStyle w:val="32"/>
              <w:spacing w:before="118" w:line="360" w:lineRule="auto"/>
              <w:ind w:right="4"/>
              <w:jc w:val="center"/>
              <w:rPr>
                <w:color w:val="auto"/>
                <w:spacing w:val="-5"/>
                <w:sz w:val="21"/>
                <w:szCs w:val="21"/>
                <w:highlight w:val="none"/>
              </w:rPr>
            </w:pPr>
            <w:r>
              <w:rPr>
                <w:rFonts w:hint="eastAsia"/>
                <w:color w:val="auto"/>
                <w:spacing w:val="-5"/>
                <w:sz w:val="21"/>
                <w:szCs w:val="21"/>
                <w:highlight w:val="none"/>
              </w:rPr>
              <w:t>中标（成交）金额</w:t>
            </w:r>
          </w:p>
        </w:tc>
        <w:tc>
          <w:tcPr>
            <w:tcW w:w="992" w:type="dxa"/>
            <w:vAlign w:val="center"/>
          </w:tcPr>
          <w:p w14:paraId="15E70E0F">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联系人</w:t>
            </w:r>
          </w:p>
        </w:tc>
        <w:tc>
          <w:tcPr>
            <w:tcW w:w="1134" w:type="dxa"/>
            <w:vAlign w:val="center"/>
          </w:tcPr>
          <w:p w14:paraId="66396E87">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联系电话</w:t>
            </w:r>
          </w:p>
        </w:tc>
      </w:tr>
      <w:tr w14:paraId="7F3F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768BB2A0">
            <w:pPr>
              <w:pStyle w:val="32"/>
              <w:spacing w:before="252" w:line="360" w:lineRule="auto"/>
              <w:ind w:left="-2"/>
              <w:jc w:val="center"/>
              <w:rPr>
                <w:color w:val="auto"/>
                <w:sz w:val="21"/>
                <w:szCs w:val="21"/>
                <w:highlight w:val="none"/>
              </w:rPr>
            </w:pPr>
            <w:r>
              <w:rPr>
                <w:rFonts w:hint="eastAsia"/>
                <w:color w:val="auto"/>
                <w:sz w:val="21"/>
                <w:szCs w:val="21"/>
                <w:highlight w:val="none"/>
              </w:rPr>
              <w:t>1</w:t>
            </w:r>
          </w:p>
        </w:tc>
        <w:tc>
          <w:tcPr>
            <w:tcW w:w="1134" w:type="dxa"/>
          </w:tcPr>
          <w:p w14:paraId="10946D58">
            <w:pPr>
              <w:spacing w:line="360" w:lineRule="auto"/>
              <w:rPr>
                <w:rFonts w:ascii="宋体" w:hAnsi="宋体" w:eastAsia="宋体" w:cs="宋体"/>
                <w:color w:val="auto"/>
                <w:highlight w:val="none"/>
              </w:rPr>
            </w:pPr>
          </w:p>
        </w:tc>
        <w:tc>
          <w:tcPr>
            <w:tcW w:w="1276" w:type="dxa"/>
          </w:tcPr>
          <w:p w14:paraId="5186A1C3">
            <w:pPr>
              <w:spacing w:line="360" w:lineRule="auto"/>
              <w:rPr>
                <w:rFonts w:ascii="宋体" w:hAnsi="宋体" w:eastAsia="宋体" w:cs="宋体"/>
                <w:color w:val="auto"/>
                <w:highlight w:val="none"/>
              </w:rPr>
            </w:pPr>
          </w:p>
        </w:tc>
        <w:tc>
          <w:tcPr>
            <w:tcW w:w="1134" w:type="dxa"/>
          </w:tcPr>
          <w:p w14:paraId="3501C460">
            <w:pPr>
              <w:spacing w:line="360" w:lineRule="auto"/>
              <w:rPr>
                <w:rFonts w:ascii="宋体" w:hAnsi="宋体" w:eastAsia="宋体" w:cs="宋体"/>
                <w:color w:val="auto"/>
                <w:highlight w:val="none"/>
              </w:rPr>
            </w:pPr>
          </w:p>
        </w:tc>
        <w:tc>
          <w:tcPr>
            <w:tcW w:w="1418" w:type="dxa"/>
          </w:tcPr>
          <w:p w14:paraId="4948FC7D">
            <w:pPr>
              <w:spacing w:line="360" w:lineRule="auto"/>
              <w:rPr>
                <w:rFonts w:ascii="宋体" w:hAnsi="宋体" w:eastAsia="宋体" w:cs="宋体"/>
                <w:color w:val="auto"/>
                <w:highlight w:val="none"/>
              </w:rPr>
            </w:pPr>
          </w:p>
        </w:tc>
        <w:tc>
          <w:tcPr>
            <w:tcW w:w="1134" w:type="dxa"/>
          </w:tcPr>
          <w:p w14:paraId="2D654179">
            <w:pPr>
              <w:spacing w:line="360" w:lineRule="auto"/>
              <w:rPr>
                <w:rFonts w:ascii="宋体" w:hAnsi="宋体" w:eastAsia="宋体" w:cs="宋体"/>
                <w:color w:val="auto"/>
                <w:highlight w:val="none"/>
              </w:rPr>
            </w:pPr>
          </w:p>
        </w:tc>
        <w:tc>
          <w:tcPr>
            <w:tcW w:w="992" w:type="dxa"/>
          </w:tcPr>
          <w:p w14:paraId="545F9B7C">
            <w:pPr>
              <w:spacing w:line="360" w:lineRule="auto"/>
              <w:rPr>
                <w:rFonts w:ascii="宋体" w:hAnsi="宋体" w:eastAsia="宋体" w:cs="宋体"/>
                <w:color w:val="auto"/>
                <w:highlight w:val="none"/>
              </w:rPr>
            </w:pPr>
          </w:p>
        </w:tc>
        <w:tc>
          <w:tcPr>
            <w:tcW w:w="1134" w:type="dxa"/>
          </w:tcPr>
          <w:p w14:paraId="084455BF">
            <w:pPr>
              <w:spacing w:line="360" w:lineRule="auto"/>
              <w:rPr>
                <w:rFonts w:ascii="宋体" w:hAnsi="宋体" w:eastAsia="宋体" w:cs="宋体"/>
                <w:color w:val="auto"/>
                <w:highlight w:val="none"/>
              </w:rPr>
            </w:pPr>
          </w:p>
        </w:tc>
      </w:tr>
      <w:tr w14:paraId="50354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673" w:type="dxa"/>
          </w:tcPr>
          <w:p w14:paraId="54798B65">
            <w:pPr>
              <w:pStyle w:val="32"/>
              <w:spacing w:before="252" w:line="360" w:lineRule="auto"/>
              <w:ind w:left="-2"/>
              <w:jc w:val="center"/>
              <w:rPr>
                <w:color w:val="auto"/>
                <w:sz w:val="21"/>
                <w:szCs w:val="21"/>
                <w:highlight w:val="none"/>
              </w:rPr>
            </w:pPr>
            <w:r>
              <w:rPr>
                <w:rFonts w:hint="eastAsia"/>
                <w:color w:val="auto"/>
                <w:sz w:val="21"/>
                <w:szCs w:val="21"/>
                <w:highlight w:val="none"/>
              </w:rPr>
              <w:t>2</w:t>
            </w:r>
          </w:p>
        </w:tc>
        <w:tc>
          <w:tcPr>
            <w:tcW w:w="1134" w:type="dxa"/>
          </w:tcPr>
          <w:p w14:paraId="0B21D5F8">
            <w:pPr>
              <w:spacing w:line="360" w:lineRule="auto"/>
              <w:rPr>
                <w:rFonts w:ascii="宋体" w:hAnsi="宋体" w:eastAsia="宋体" w:cs="宋体"/>
                <w:color w:val="auto"/>
                <w:highlight w:val="none"/>
              </w:rPr>
            </w:pPr>
          </w:p>
        </w:tc>
        <w:tc>
          <w:tcPr>
            <w:tcW w:w="1276" w:type="dxa"/>
          </w:tcPr>
          <w:p w14:paraId="0950B978">
            <w:pPr>
              <w:spacing w:line="360" w:lineRule="auto"/>
              <w:rPr>
                <w:rFonts w:ascii="宋体" w:hAnsi="宋体" w:eastAsia="宋体" w:cs="宋体"/>
                <w:color w:val="auto"/>
                <w:highlight w:val="none"/>
              </w:rPr>
            </w:pPr>
          </w:p>
        </w:tc>
        <w:tc>
          <w:tcPr>
            <w:tcW w:w="1134" w:type="dxa"/>
          </w:tcPr>
          <w:p w14:paraId="3BA16DE0">
            <w:pPr>
              <w:spacing w:line="360" w:lineRule="auto"/>
              <w:rPr>
                <w:rFonts w:ascii="宋体" w:hAnsi="宋体" w:eastAsia="宋体" w:cs="宋体"/>
                <w:color w:val="auto"/>
                <w:highlight w:val="none"/>
              </w:rPr>
            </w:pPr>
          </w:p>
        </w:tc>
        <w:tc>
          <w:tcPr>
            <w:tcW w:w="1418" w:type="dxa"/>
          </w:tcPr>
          <w:p w14:paraId="4A27DBE1">
            <w:pPr>
              <w:spacing w:line="360" w:lineRule="auto"/>
              <w:rPr>
                <w:rFonts w:ascii="宋体" w:hAnsi="宋体" w:eastAsia="宋体" w:cs="宋体"/>
                <w:color w:val="auto"/>
                <w:highlight w:val="none"/>
              </w:rPr>
            </w:pPr>
          </w:p>
        </w:tc>
        <w:tc>
          <w:tcPr>
            <w:tcW w:w="1134" w:type="dxa"/>
          </w:tcPr>
          <w:p w14:paraId="20FDDB27">
            <w:pPr>
              <w:spacing w:line="360" w:lineRule="auto"/>
              <w:rPr>
                <w:rFonts w:ascii="宋体" w:hAnsi="宋体" w:eastAsia="宋体" w:cs="宋体"/>
                <w:color w:val="auto"/>
                <w:highlight w:val="none"/>
              </w:rPr>
            </w:pPr>
          </w:p>
        </w:tc>
        <w:tc>
          <w:tcPr>
            <w:tcW w:w="992" w:type="dxa"/>
          </w:tcPr>
          <w:p w14:paraId="565F5BEA">
            <w:pPr>
              <w:spacing w:line="360" w:lineRule="auto"/>
              <w:rPr>
                <w:rFonts w:ascii="宋体" w:hAnsi="宋体" w:eastAsia="宋体" w:cs="宋体"/>
                <w:color w:val="auto"/>
                <w:highlight w:val="none"/>
              </w:rPr>
            </w:pPr>
          </w:p>
        </w:tc>
        <w:tc>
          <w:tcPr>
            <w:tcW w:w="1134" w:type="dxa"/>
          </w:tcPr>
          <w:p w14:paraId="7F8CD54A">
            <w:pPr>
              <w:spacing w:line="360" w:lineRule="auto"/>
              <w:rPr>
                <w:rFonts w:ascii="宋体" w:hAnsi="宋体" w:eastAsia="宋体" w:cs="宋体"/>
                <w:color w:val="auto"/>
                <w:highlight w:val="none"/>
              </w:rPr>
            </w:pPr>
          </w:p>
        </w:tc>
      </w:tr>
      <w:tr w14:paraId="66418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5" w:hRule="atLeast"/>
        </w:trPr>
        <w:tc>
          <w:tcPr>
            <w:tcW w:w="673" w:type="dxa"/>
          </w:tcPr>
          <w:p w14:paraId="1E3551C4">
            <w:pPr>
              <w:pStyle w:val="32"/>
              <w:spacing w:before="252" w:line="360" w:lineRule="auto"/>
              <w:ind w:left="-2"/>
              <w:jc w:val="center"/>
              <w:rPr>
                <w:color w:val="auto"/>
                <w:sz w:val="21"/>
                <w:szCs w:val="21"/>
                <w:highlight w:val="none"/>
              </w:rPr>
            </w:pPr>
            <w:r>
              <w:rPr>
                <w:rFonts w:hint="eastAsia"/>
                <w:color w:val="auto"/>
                <w:sz w:val="21"/>
                <w:szCs w:val="21"/>
                <w:highlight w:val="none"/>
              </w:rPr>
              <w:t>3</w:t>
            </w:r>
          </w:p>
        </w:tc>
        <w:tc>
          <w:tcPr>
            <w:tcW w:w="1134" w:type="dxa"/>
          </w:tcPr>
          <w:p w14:paraId="4913634A">
            <w:pPr>
              <w:spacing w:line="360" w:lineRule="auto"/>
              <w:rPr>
                <w:rFonts w:ascii="宋体" w:hAnsi="宋体" w:eastAsia="宋体" w:cs="宋体"/>
                <w:color w:val="auto"/>
                <w:highlight w:val="none"/>
              </w:rPr>
            </w:pPr>
          </w:p>
        </w:tc>
        <w:tc>
          <w:tcPr>
            <w:tcW w:w="1276" w:type="dxa"/>
          </w:tcPr>
          <w:p w14:paraId="7F851F77">
            <w:pPr>
              <w:spacing w:line="360" w:lineRule="auto"/>
              <w:rPr>
                <w:rFonts w:ascii="宋体" w:hAnsi="宋体" w:eastAsia="宋体" w:cs="宋体"/>
                <w:color w:val="auto"/>
                <w:highlight w:val="none"/>
              </w:rPr>
            </w:pPr>
          </w:p>
        </w:tc>
        <w:tc>
          <w:tcPr>
            <w:tcW w:w="1134" w:type="dxa"/>
          </w:tcPr>
          <w:p w14:paraId="3B078448">
            <w:pPr>
              <w:spacing w:line="360" w:lineRule="auto"/>
              <w:rPr>
                <w:rFonts w:ascii="宋体" w:hAnsi="宋体" w:eastAsia="宋体" w:cs="宋体"/>
                <w:color w:val="auto"/>
                <w:highlight w:val="none"/>
              </w:rPr>
            </w:pPr>
          </w:p>
        </w:tc>
        <w:tc>
          <w:tcPr>
            <w:tcW w:w="1418" w:type="dxa"/>
          </w:tcPr>
          <w:p w14:paraId="417C0989">
            <w:pPr>
              <w:spacing w:line="360" w:lineRule="auto"/>
              <w:rPr>
                <w:rFonts w:ascii="宋体" w:hAnsi="宋体" w:eastAsia="宋体" w:cs="宋体"/>
                <w:color w:val="auto"/>
                <w:highlight w:val="none"/>
              </w:rPr>
            </w:pPr>
          </w:p>
        </w:tc>
        <w:tc>
          <w:tcPr>
            <w:tcW w:w="1134" w:type="dxa"/>
          </w:tcPr>
          <w:p w14:paraId="182A441C">
            <w:pPr>
              <w:spacing w:line="360" w:lineRule="auto"/>
              <w:rPr>
                <w:rFonts w:ascii="宋体" w:hAnsi="宋体" w:eastAsia="宋体" w:cs="宋体"/>
                <w:color w:val="auto"/>
                <w:highlight w:val="none"/>
              </w:rPr>
            </w:pPr>
          </w:p>
        </w:tc>
        <w:tc>
          <w:tcPr>
            <w:tcW w:w="992" w:type="dxa"/>
          </w:tcPr>
          <w:p w14:paraId="5B32235E">
            <w:pPr>
              <w:spacing w:line="360" w:lineRule="auto"/>
              <w:rPr>
                <w:rFonts w:ascii="宋体" w:hAnsi="宋体" w:eastAsia="宋体" w:cs="宋体"/>
                <w:color w:val="auto"/>
                <w:highlight w:val="none"/>
              </w:rPr>
            </w:pPr>
          </w:p>
        </w:tc>
        <w:tc>
          <w:tcPr>
            <w:tcW w:w="1134" w:type="dxa"/>
          </w:tcPr>
          <w:p w14:paraId="68BF5954">
            <w:pPr>
              <w:spacing w:line="360" w:lineRule="auto"/>
              <w:rPr>
                <w:rFonts w:ascii="宋体" w:hAnsi="宋体" w:eastAsia="宋体" w:cs="宋体"/>
                <w:color w:val="auto"/>
                <w:highlight w:val="none"/>
              </w:rPr>
            </w:pPr>
          </w:p>
        </w:tc>
      </w:tr>
      <w:tr w14:paraId="3E4D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5" w:hRule="atLeast"/>
        </w:trPr>
        <w:tc>
          <w:tcPr>
            <w:tcW w:w="673" w:type="dxa"/>
          </w:tcPr>
          <w:p w14:paraId="7D51EF28">
            <w:pPr>
              <w:pStyle w:val="32"/>
              <w:spacing w:before="252" w:line="360" w:lineRule="auto"/>
              <w:ind w:left="-2"/>
              <w:jc w:val="center"/>
              <w:rPr>
                <w:color w:val="auto"/>
                <w:sz w:val="21"/>
                <w:szCs w:val="21"/>
                <w:highlight w:val="none"/>
              </w:rPr>
            </w:pPr>
            <w:r>
              <w:rPr>
                <w:rFonts w:hint="eastAsia"/>
                <w:color w:val="auto"/>
                <w:sz w:val="21"/>
                <w:szCs w:val="21"/>
                <w:highlight w:val="none"/>
              </w:rPr>
              <w:t>4</w:t>
            </w:r>
          </w:p>
        </w:tc>
        <w:tc>
          <w:tcPr>
            <w:tcW w:w="1134" w:type="dxa"/>
          </w:tcPr>
          <w:p w14:paraId="2EF2D626">
            <w:pPr>
              <w:spacing w:line="360" w:lineRule="auto"/>
              <w:rPr>
                <w:rFonts w:ascii="宋体" w:hAnsi="宋体" w:eastAsia="宋体" w:cs="宋体"/>
                <w:color w:val="auto"/>
                <w:highlight w:val="none"/>
              </w:rPr>
            </w:pPr>
          </w:p>
        </w:tc>
        <w:tc>
          <w:tcPr>
            <w:tcW w:w="1276" w:type="dxa"/>
          </w:tcPr>
          <w:p w14:paraId="056C0CBB">
            <w:pPr>
              <w:spacing w:line="360" w:lineRule="auto"/>
              <w:rPr>
                <w:rFonts w:ascii="宋体" w:hAnsi="宋体" w:eastAsia="宋体" w:cs="宋体"/>
                <w:color w:val="auto"/>
                <w:highlight w:val="none"/>
              </w:rPr>
            </w:pPr>
          </w:p>
        </w:tc>
        <w:tc>
          <w:tcPr>
            <w:tcW w:w="1134" w:type="dxa"/>
          </w:tcPr>
          <w:p w14:paraId="2BFB43EF">
            <w:pPr>
              <w:spacing w:line="360" w:lineRule="auto"/>
              <w:rPr>
                <w:rFonts w:ascii="宋体" w:hAnsi="宋体" w:eastAsia="宋体" w:cs="宋体"/>
                <w:color w:val="auto"/>
                <w:highlight w:val="none"/>
              </w:rPr>
            </w:pPr>
          </w:p>
        </w:tc>
        <w:tc>
          <w:tcPr>
            <w:tcW w:w="1418" w:type="dxa"/>
          </w:tcPr>
          <w:p w14:paraId="60EA7C03">
            <w:pPr>
              <w:spacing w:line="360" w:lineRule="auto"/>
              <w:rPr>
                <w:rFonts w:ascii="宋体" w:hAnsi="宋体" w:eastAsia="宋体" w:cs="宋体"/>
                <w:color w:val="auto"/>
                <w:highlight w:val="none"/>
              </w:rPr>
            </w:pPr>
          </w:p>
        </w:tc>
        <w:tc>
          <w:tcPr>
            <w:tcW w:w="1134" w:type="dxa"/>
          </w:tcPr>
          <w:p w14:paraId="67B4BCC9">
            <w:pPr>
              <w:spacing w:line="360" w:lineRule="auto"/>
              <w:rPr>
                <w:rFonts w:ascii="宋体" w:hAnsi="宋体" w:eastAsia="宋体" w:cs="宋体"/>
                <w:color w:val="auto"/>
                <w:highlight w:val="none"/>
              </w:rPr>
            </w:pPr>
          </w:p>
        </w:tc>
        <w:tc>
          <w:tcPr>
            <w:tcW w:w="992" w:type="dxa"/>
          </w:tcPr>
          <w:p w14:paraId="0C6D2A23">
            <w:pPr>
              <w:spacing w:line="360" w:lineRule="auto"/>
              <w:rPr>
                <w:rFonts w:ascii="宋体" w:hAnsi="宋体" w:eastAsia="宋体" w:cs="宋体"/>
                <w:color w:val="auto"/>
                <w:highlight w:val="none"/>
              </w:rPr>
            </w:pPr>
          </w:p>
        </w:tc>
        <w:tc>
          <w:tcPr>
            <w:tcW w:w="1134" w:type="dxa"/>
          </w:tcPr>
          <w:p w14:paraId="411702D3">
            <w:pPr>
              <w:spacing w:line="360" w:lineRule="auto"/>
              <w:rPr>
                <w:rFonts w:ascii="宋体" w:hAnsi="宋体" w:eastAsia="宋体" w:cs="宋体"/>
                <w:color w:val="auto"/>
                <w:highlight w:val="none"/>
              </w:rPr>
            </w:pPr>
          </w:p>
        </w:tc>
      </w:tr>
      <w:tr w14:paraId="36FB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52412676">
            <w:pPr>
              <w:pStyle w:val="32"/>
              <w:spacing w:before="252" w:line="360" w:lineRule="auto"/>
              <w:ind w:left="-2"/>
              <w:jc w:val="center"/>
              <w:rPr>
                <w:color w:val="auto"/>
                <w:sz w:val="21"/>
                <w:szCs w:val="21"/>
                <w:highlight w:val="none"/>
              </w:rPr>
            </w:pPr>
            <w:r>
              <w:rPr>
                <w:rFonts w:hint="eastAsia"/>
                <w:color w:val="auto"/>
                <w:sz w:val="21"/>
                <w:szCs w:val="21"/>
                <w:highlight w:val="none"/>
              </w:rPr>
              <w:t>5</w:t>
            </w:r>
          </w:p>
        </w:tc>
        <w:tc>
          <w:tcPr>
            <w:tcW w:w="1134" w:type="dxa"/>
          </w:tcPr>
          <w:p w14:paraId="4D24899D">
            <w:pPr>
              <w:spacing w:line="360" w:lineRule="auto"/>
              <w:rPr>
                <w:rFonts w:ascii="宋体" w:hAnsi="宋体" w:eastAsia="宋体" w:cs="宋体"/>
                <w:color w:val="auto"/>
                <w:highlight w:val="none"/>
              </w:rPr>
            </w:pPr>
          </w:p>
        </w:tc>
        <w:tc>
          <w:tcPr>
            <w:tcW w:w="1276" w:type="dxa"/>
          </w:tcPr>
          <w:p w14:paraId="7199693B">
            <w:pPr>
              <w:spacing w:line="360" w:lineRule="auto"/>
              <w:rPr>
                <w:rFonts w:ascii="宋体" w:hAnsi="宋体" w:eastAsia="宋体" w:cs="宋体"/>
                <w:color w:val="auto"/>
                <w:highlight w:val="none"/>
              </w:rPr>
            </w:pPr>
          </w:p>
        </w:tc>
        <w:tc>
          <w:tcPr>
            <w:tcW w:w="1134" w:type="dxa"/>
          </w:tcPr>
          <w:p w14:paraId="3B459299">
            <w:pPr>
              <w:spacing w:line="360" w:lineRule="auto"/>
              <w:rPr>
                <w:rFonts w:ascii="宋体" w:hAnsi="宋体" w:eastAsia="宋体" w:cs="宋体"/>
                <w:color w:val="auto"/>
                <w:highlight w:val="none"/>
              </w:rPr>
            </w:pPr>
          </w:p>
        </w:tc>
        <w:tc>
          <w:tcPr>
            <w:tcW w:w="1418" w:type="dxa"/>
          </w:tcPr>
          <w:p w14:paraId="016DE84B">
            <w:pPr>
              <w:spacing w:line="360" w:lineRule="auto"/>
              <w:rPr>
                <w:rFonts w:ascii="宋体" w:hAnsi="宋体" w:eastAsia="宋体" w:cs="宋体"/>
                <w:color w:val="auto"/>
                <w:highlight w:val="none"/>
              </w:rPr>
            </w:pPr>
          </w:p>
        </w:tc>
        <w:tc>
          <w:tcPr>
            <w:tcW w:w="1134" w:type="dxa"/>
          </w:tcPr>
          <w:p w14:paraId="4339B5EF">
            <w:pPr>
              <w:spacing w:line="360" w:lineRule="auto"/>
              <w:rPr>
                <w:rFonts w:ascii="宋体" w:hAnsi="宋体" w:eastAsia="宋体" w:cs="宋体"/>
                <w:color w:val="auto"/>
                <w:highlight w:val="none"/>
              </w:rPr>
            </w:pPr>
          </w:p>
        </w:tc>
        <w:tc>
          <w:tcPr>
            <w:tcW w:w="992" w:type="dxa"/>
          </w:tcPr>
          <w:p w14:paraId="78AAEE87">
            <w:pPr>
              <w:spacing w:line="360" w:lineRule="auto"/>
              <w:rPr>
                <w:rFonts w:ascii="宋体" w:hAnsi="宋体" w:eastAsia="宋体" w:cs="宋体"/>
                <w:color w:val="auto"/>
                <w:highlight w:val="none"/>
              </w:rPr>
            </w:pPr>
          </w:p>
        </w:tc>
        <w:tc>
          <w:tcPr>
            <w:tcW w:w="1134" w:type="dxa"/>
          </w:tcPr>
          <w:p w14:paraId="375F5093">
            <w:pPr>
              <w:spacing w:line="360" w:lineRule="auto"/>
              <w:rPr>
                <w:rFonts w:ascii="宋体" w:hAnsi="宋体" w:eastAsia="宋体" w:cs="宋体"/>
                <w:color w:val="auto"/>
                <w:highlight w:val="none"/>
              </w:rPr>
            </w:pPr>
          </w:p>
        </w:tc>
      </w:tr>
      <w:tr w14:paraId="1F5A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4" w:hRule="atLeast"/>
        </w:trPr>
        <w:tc>
          <w:tcPr>
            <w:tcW w:w="673" w:type="dxa"/>
          </w:tcPr>
          <w:p w14:paraId="7E2A5CC4">
            <w:pPr>
              <w:pStyle w:val="32"/>
              <w:spacing w:before="252" w:line="360" w:lineRule="auto"/>
              <w:ind w:left="-2"/>
              <w:jc w:val="center"/>
              <w:rPr>
                <w:color w:val="auto"/>
                <w:sz w:val="21"/>
                <w:szCs w:val="21"/>
                <w:highlight w:val="none"/>
              </w:rPr>
            </w:pPr>
            <w:r>
              <w:rPr>
                <w:rFonts w:hint="eastAsia"/>
                <w:color w:val="auto"/>
                <w:sz w:val="21"/>
                <w:szCs w:val="21"/>
                <w:highlight w:val="none"/>
              </w:rPr>
              <w:t>…</w:t>
            </w:r>
          </w:p>
        </w:tc>
        <w:tc>
          <w:tcPr>
            <w:tcW w:w="1134" w:type="dxa"/>
          </w:tcPr>
          <w:p w14:paraId="48F40CDE">
            <w:pPr>
              <w:spacing w:line="360" w:lineRule="auto"/>
              <w:rPr>
                <w:rFonts w:ascii="宋体" w:hAnsi="宋体" w:eastAsia="宋体" w:cs="宋体"/>
                <w:color w:val="auto"/>
                <w:highlight w:val="none"/>
              </w:rPr>
            </w:pPr>
          </w:p>
        </w:tc>
        <w:tc>
          <w:tcPr>
            <w:tcW w:w="1276" w:type="dxa"/>
          </w:tcPr>
          <w:p w14:paraId="5A55E7A6">
            <w:pPr>
              <w:spacing w:line="360" w:lineRule="auto"/>
              <w:rPr>
                <w:rFonts w:ascii="宋体" w:hAnsi="宋体" w:eastAsia="宋体" w:cs="宋体"/>
                <w:color w:val="auto"/>
                <w:highlight w:val="none"/>
              </w:rPr>
            </w:pPr>
          </w:p>
        </w:tc>
        <w:tc>
          <w:tcPr>
            <w:tcW w:w="1134" w:type="dxa"/>
          </w:tcPr>
          <w:p w14:paraId="07D88E0B">
            <w:pPr>
              <w:spacing w:line="360" w:lineRule="auto"/>
              <w:rPr>
                <w:rFonts w:ascii="宋体" w:hAnsi="宋体" w:eastAsia="宋体" w:cs="宋体"/>
                <w:color w:val="auto"/>
                <w:highlight w:val="none"/>
              </w:rPr>
            </w:pPr>
          </w:p>
        </w:tc>
        <w:tc>
          <w:tcPr>
            <w:tcW w:w="1418" w:type="dxa"/>
          </w:tcPr>
          <w:p w14:paraId="45ED6828">
            <w:pPr>
              <w:spacing w:line="360" w:lineRule="auto"/>
              <w:rPr>
                <w:rFonts w:ascii="宋体" w:hAnsi="宋体" w:eastAsia="宋体" w:cs="宋体"/>
                <w:color w:val="auto"/>
                <w:highlight w:val="none"/>
              </w:rPr>
            </w:pPr>
          </w:p>
        </w:tc>
        <w:tc>
          <w:tcPr>
            <w:tcW w:w="1134" w:type="dxa"/>
          </w:tcPr>
          <w:p w14:paraId="0132A6B8">
            <w:pPr>
              <w:spacing w:line="360" w:lineRule="auto"/>
              <w:rPr>
                <w:rFonts w:ascii="宋体" w:hAnsi="宋体" w:eastAsia="宋体" w:cs="宋体"/>
                <w:color w:val="auto"/>
                <w:highlight w:val="none"/>
              </w:rPr>
            </w:pPr>
          </w:p>
        </w:tc>
        <w:tc>
          <w:tcPr>
            <w:tcW w:w="992" w:type="dxa"/>
          </w:tcPr>
          <w:p w14:paraId="17A8925D">
            <w:pPr>
              <w:spacing w:line="360" w:lineRule="auto"/>
              <w:rPr>
                <w:rFonts w:ascii="宋体" w:hAnsi="宋体" w:eastAsia="宋体" w:cs="宋体"/>
                <w:color w:val="auto"/>
                <w:highlight w:val="none"/>
              </w:rPr>
            </w:pPr>
          </w:p>
        </w:tc>
        <w:tc>
          <w:tcPr>
            <w:tcW w:w="1134" w:type="dxa"/>
          </w:tcPr>
          <w:p w14:paraId="4E643D39">
            <w:pPr>
              <w:spacing w:line="360" w:lineRule="auto"/>
              <w:rPr>
                <w:rFonts w:ascii="宋体" w:hAnsi="宋体" w:eastAsia="宋体" w:cs="宋体"/>
                <w:color w:val="auto"/>
                <w:highlight w:val="none"/>
              </w:rPr>
            </w:pPr>
          </w:p>
        </w:tc>
      </w:tr>
    </w:tbl>
    <w:p w14:paraId="7EDBE210">
      <w:pPr>
        <w:spacing w:before="116" w:line="360" w:lineRule="auto"/>
        <w:ind w:right="-30"/>
        <w:rPr>
          <w:rFonts w:ascii="宋体" w:hAnsi="宋体" w:eastAsia="宋体" w:cs="宋体"/>
          <w:color w:val="auto"/>
          <w:spacing w:val="-3"/>
          <w:sz w:val="24"/>
          <w:szCs w:val="24"/>
          <w:highlight w:val="none"/>
          <w:lang w:eastAsia="zh-CN"/>
        </w:rPr>
      </w:pPr>
    </w:p>
    <w:p w14:paraId="3B9B712D">
      <w:pPr>
        <w:spacing w:before="116" w:line="360" w:lineRule="auto"/>
        <w:ind w:right="-3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注：</w:t>
      </w:r>
      <w:r>
        <w:rPr>
          <w:rFonts w:hint="eastAsia" w:ascii="宋体" w:hAnsi="宋体" w:eastAsia="宋体" w:cs="宋体"/>
          <w:color w:val="auto"/>
          <w:sz w:val="24"/>
          <w:szCs w:val="24"/>
          <w:highlight w:val="none"/>
          <w:lang w:eastAsia="zh-CN"/>
        </w:rPr>
        <w:t>须提供业绩相关证明材料。</w:t>
      </w:r>
    </w:p>
    <w:p w14:paraId="2D48FB1A">
      <w:pPr>
        <w:spacing w:line="360" w:lineRule="auto"/>
        <w:rPr>
          <w:rFonts w:ascii="宋体" w:hAnsi="宋体" w:eastAsia="宋体" w:cs="宋体"/>
          <w:color w:val="auto"/>
          <w:highlight w:val="none"/>
          <w:lang w:eastAsia="zh-CN"/>
        </w:rPr>
      </w:pPr>
    </w:p>
    <w:p w14:paraId="7943C9C7">
      <w:pPr>
        <w:spacing w:line="360" w:lineRule="auto"/>
        <w:rPr>
          <w:rFonts w:ascii="宋体" w:hAnsi="宋体" w:eastAsia="宋体" w:cs="宋体"/>
          <w:color w:val="auto"/>
          <w:highlight w:val="none"/>
          <w:lang w:eastAsia="zh-CN"/>
        </w:rPr>
      </w:pPr>
    </w:p>
    <w:p w14:paraId="31862364">
      <w:pPr>
        <w:spacing w:line="360" w:lineRule="auto"/>
        <w:rPr>
          <w:rFonts w:ascii="宋体" w:hAnsi="宋体" w:eastAsia="宋体" w:cs="宋体"/>
          <w:color w:val="auto"/>
          <w:highlight w:val="none"/>
          <w:lang w:eastAsia="zh-CN"/>
        </w:rPr>
      </w:pPr>
    </w:p>
    <w:p w14:paraId="6D1CBE51">
      <w:pPr>
        <w:spacing w:line="360" w:lineRule="auto"/>
        <w:rPr>
          <w:rFonts w:ascii="宋体" w:hAnsi="宋体" w:eastAsia="宋体" w:cs="宋体"/>
          <w:color w:val="auto"/>
          <w:highlight w:val="none"/>
          <w:lang w:eastAsia="zh-CN"/>
        </w:rPr>
      </w:pPr>
    </w:p>
    <w:p w14:paraId="672702A2">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75ACC15C">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4FF50659">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lang w:eastAsia="zh-CN"/>
        </w:rPr>
        <w:t>日期：______年____月____日</w:t>
      </w:r>
    </w:p>
    <w:p w14:paraId="57662414">
      <w:pPr>
        <w:pageBreakBefore/>
        <w:spacing w:before="101" w:line="360" w:lineRule="auto"/>
        <w:jc w:val="center"/>
        <w:outlineLvl w:val="1"/>
        <w:rPr>
          <w:rFonts w:ascii="宋体" w:hAnsi="宋体" w:eastAsia="宋体" w:cs="宋体"/>
          <w:b/>
          <w:bCs/>
          <w:color w:val="auto"/>
          <w:spacing w:val="1"/>
          <w:sz w:val="31"/>
          <w:szCs w:val="31"/>
          <w:highlight w:val="none"/>
          <w:lang w:eastAsia="zh-CN"/>
        </w:rPr>
      </w:pPr>
      <w:bookmarkStart w:id="390" w:name="bookmark269"/>
      <w:bookmarkEnd w:id="390"/>
      <w:bookmarkStart w:id="391" w:name="bookmark270"/>
      <w:bookmarkEnd w:id="391"/>
      <w:bookmarkStart w:id="392" w:name="_Toc186477820"/>
      <w:bookmarkStart w:id="393" w:name="_Toc27032"/>
      <w:r>
        <w:rPr>
          <w:rFonts w:hint="eastAsia" w:ascii="宋体" w:hAnsi="宋体" w:eastAsia="宋体" w:cs="宋体"/>
          <w:b/>
          <w:bCs/>
          <w:color w:val="auto"/>
          <w:spacing w:val="1"/>
          <w:sz w:val="31"/>
          <w:szCs w:val="31"/>
          <w:highlight w:val="none"/>
          <w:lang w:val="en-US" w:eastAsia="zh-CN"/>
        </w:rPr>
        <w:t>九</w:t>
      </w:r>
      <w:r>
        <w:rPr>
          <w:rFonts w:hint="eastAsia" w:ascii="宋体" w:hAnsi="宋体" w:eastAsia="宋体" w:cs="宋体"/>
          <w:b/>
          <w:bCs/>
          <w:color w:val="auto"/>
          <w:spacing w:val="1"/>
          <w:sz w:val="31"/>
          <w:szCs w:val="31"/>
          <w:highlight w:val="none"/>
          <w:lang w:eastAsia="zh-CN"/>
        </w:rPr>
        <w:t>、拟派项目团队</w:t>
      </w:r>
      <w:bookmarkEnd w:id="392"/>
      <w:bookmarkEnd w:id="393"/>
    </w:p>
    <w:p w14:paraId="19877AF3">
      <w:pPr>
        <w:spacing w:line="360" w:lineRule="auto"/>
        <w:rPr>
          <w:rFonts w:ascii="宋体" w:hAnsi="宋体" w:eastAsia="宋体" w:cs="宋体"/>
          <w:color w:val="auto"/>
          <w:highlight w:val="none"/>
          <w:lang w:eastAsia="zh-CN"/>
        </w:rPr>
      </w:pPr>
    </w:p>
    <w:tbl>
      <w:tblPr>
        <w:tblStyle w:val="24"/>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8"/>
        <w:gridCol w:w="1266"/>
        <w:gridCol w:w="1295"/>
        <w:gridCol w:w="1772"/>
        <w:gridCol w:w="1887"/>
        <w:gridCol w:w="1438"/>
        <w:gridCol w:w="820"/>
      </w:tblGrid>
      <w:tr w14:paraId="37DF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778" w:type="dxa"/>
            <w:vAlign w:val="center"/>
          </w:tcPr>
          <w:p w14:paraId="2B402E29">
            <w:pPr>
              <w:pStyle w:val="32"/>
              <w:spacing w:before="197" w:line="360" w:lineRule="auto"/>
              <w:ind w:left="-71" w:right="-13"/>
              <w:jc w:val="center"/>
              <w:rPr>
                <w:color w:val="auto"/>
                <w:spacing w:val="-8"/>
                <w:highlight w:val="none"/>
              </w:rPr>
            </w:pPr>
            <w:r>
              <w:rPr>
                <w:rFonts w:hint="eastAsia"/>
                <w:color w:val="auto"/>
                <w:spacing w:val="-8"/>
                <w:highlight w:val="none"/>
              </w:rPr>
              <w:t>序号</w:t>
            </w:r>
          </w:p>
        </w:tc>
        <w:tc>
          <w:tcPr>
            <w:tcW w:w="1266" w:type="dxa"/>
            <w:vAlign w:val="center"/>
          </w:tcPr>
          <w:p w14:paraId="09745DFD">
            <w:pPr>
              <w:pStyle w:val="32"/>
              <w:spacing w:before="197" w:line="360" w:lineRule="auto"/>
              <w:ind w:left="-71" w:right="-13"/>
              <w:jc w:val="center"/>
              <w:rPr>
                <w:color w:val="auto"/>
                <w:spacing w:val="-8"/>
                <w:highlight w:val="none"/>
              </w:rPr>
            </w:pPr>
            <w:r>
              <w:rPr>
                <w:rFonts w:hint="eastAsia"/>
                <w:color w:val="auto"/>
                <w:spacing w:val="-8"/>
                <w:highlight w:val="none"/>
              </w:rPr>
              <w:t>团队成员姓名</w:t>
            </w:r>
          </w:p>
        </w:tc>
        <w:tc>
          <w:tcPr>
            <w:tcW w:w="1295" w:type="dxa"/>
            <w:vAlign w:val="center"/>
          </w:tcPr>
          <w:p w14:paraId="7A5B340D">
            <w:pPr>
              <w:pStyle w:val="32"/>
              <w:spacing w:before="197" w:line="360" w:lineRule="auto"/>
              <w:ind w:left="-71" w:right="-13"/>
              <w:jc w:val="center"/>
              <w:rPr>
                <w:color w:val="auto"/>
                <w:spacing w:val="-8"/>
                <w:highlight w:val="none"/>
              </w:rPr>
            </w:pPr>
            <w:r>
              <w:rPr>
                <w:rFonts w:hint="eastAsia"/>
                <w:color w:val="auto"/>
                <w:spacing w:val="-8"/>
                <w:highlight w:val="none"/>
              </w:rPr>
              <w:t>工作单位</w:t>
            </w:r>
          </w:p>
        </w:tc>
        <w:tc>
          <w:tcPr>
            <w:tcW w:w="1772" w:type="dxa"/>
            <w:vAlign w:val="center"/>
          </w:tcPr>
          <w:p w14:paraId="576A09B9">
            <w:pPr>
              <w:pStyle w:val="32"/>
              <w:spacing w:before="197" w:line="360" w:lineRule="auto"/>
              <w:ind w:left="-71" w:right="-13"/>
              <w:jc w:val="center"/>
              <w:rPr>
                <w:color w:val="auto"/>
                <w:spacing w:val="-8"/>
                <w:highlight w:val="none"/>
              </w:rPr>
            </w:pPr>
            <w:r>
              <w:rPr>
                <w:rFonts w:hint="eastAsia"/>
                <w:color w:val="auto"/>
                <w:spacing w:val="-8"/>
                <w:highlight w:val="none"/>
              </w:rPr>
              <w:t>身份证号</w:t>
            </w:r>
          </w:p>
        </w:tc>
        <w:tc>
          <w:tcPr>
            <w:tcW w:w="1887" w:type="dxa"/>
            <w:vAlign w:val="center"/>
          </w:tcPr>
          <w:p w14:paraId="6C838E61">
            <w:pPr>
              <w:pStyle w:val="32"/>
              <w:spacing w:before="197" w:line="360" w:lineRule="auto"/>
              <w:ind w:left="-71" w:right="-13"/>
              <w:jc w:val="center"/>
              <w:rPr>
                <w:color w:val="auto"/>
                <w:spacing w:val="-8"/>
                <w:highlight w:val="none"/>
                <w:lang w:eastAsia="zh-CN"/>
              </w:rPr>
            </w:pPr>
            <w:r>
              <w:rPr>
                <w:rFonts w:hint="eastAsia"/>
                <w:color w:val="auto"/>
                <w:spacing w:val="-8"/>
                <w:highlight w:val="none"/>
                <w:lang w:eastAsia="zh-CN"/>
              </w:rPr>
              <w:t>证书名称及编号</w:t>
            </w:r>
          </w:p>
        </w:tc>
        <w:tc>
          <w:tcPr>
            <w:tcW w:w="1438" w:type="dxa"/>
            <w:vAlign w:val="center"/>
          </w:tcPr>
          <w:p w14:paraId="40D75227">
            <w:pPr>
              <w:pStyle w:val="32"/>
              <w:spacing w:before="197" w:line="360" w:lineRule="auto"/>
              <w:ind w:left="-71" w:right="-13" w:hanging="2"/>
              <w:jc w:val="center"/>
              <w:rPr>
                <w:color w:val="auto"/>
                <w:spacing w:val="-8"/>
                <w:highlight w:val="none"/>
                <w:lang w:eastAsia="zh-CN"/>
              </w:rPr>
            </w:pPr>
            <w:r>
              <w:rPr>
                <w:rFonts w:hint="eastAsia"/>
                <w:color w:val="auto"/>
                <w:spacing w:val="-8"/>
                <w:highlight w:val="none"/>
                <w:lang w:eastAsia="zh-CN"/>
              </w:rPr>
              <w:t>在团队中职务（岗位）</w:t>
            </w:r>
          </w:p>
        </w:tc>
        <w:tc>
          <w:tcPr>
            <w:tcW w:w="820" w:type="dxa"/>
            <w:vAlign w:val="center"/>
          </w:tcPr>
          <w:p w14:paraId="74E636EB">
            <w:pPr>
              <w:pStyle w:val="32"/>
              <w:spacing w:before="197" w:line="360" w:lineRule="auto"/>
              <w:ind w:left="-71" w:right="-13" w:hanging="25"/>
              <w:jc w:val="center"/>
              <w:rPr>
                <w:color w:val="auto"/>
                <w:spacing w:val="-8"/>
                <w:highlight w:val="none"/>
              </w:rPr>
            </w:pPr>
            <w:r>
              <w:rPr>
                <w:rFonts w:hint="eastAsia"/>
                <w:color w:val="auto"/>
                <w:spacing w:val="-8"/>
                <w:highlight w:val="none"/>
              </w:rPr>
              <w:t>自有/外聘</w:t>
            </w:r>
          </w:p>
        </w:tc>
      </w:tr>
      <w:tr w14:paraId="0648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75C52C9E">
            <w:pPr>
              <w:pStyle w:val="32"/>
              <w:spacing w:before="257" w:line="360" w:lineRule="auto"/>
              <w:ind w:left="-144" w:right="-2" w:rightChars="-1"/>
              <w:jc w:val="center"/>
              <w:rPr>
                <w:color w:val="auto"/>
                <w:highlight w:val="none"/>
              </w:rPr>
            </w:pPr>
            <w:r>
              <w:rPr>
                <w:rFonts w:hint="eastAsia"/>
                <w:color w:val="auto"/>
                <w:highlight w:val="none"/>
              </w:rPr>
              <w:t>1</w:t>
            </w:r>
          </w:p>
        </w:tc>
        <w:tc>
          <w:tcPr>
            <w:tcW w:w="1266" w:type="dxa"/>
            <w:vAlign w:val="center"/>
          </w:tcPr>
          <w:p w14:paraId="3A9D5479">
            <w:pPr>
              <w:spacing w:line="360" w:lineRule="auto"/>
              <w:jc w:val="center"/>
              <w:rPr>
                <w:rFonts w:ascii="宋体" w:hAnsi="宋体" w:eastAsia="宋体" w:cs="宋体"/>
                <w:color w:val="auto"/>
                <w:sz w:val="24"/>
                <w:szCs w:val="24"/>
                <w:highlight w:val="none"/>
              </w:rPr>
            </w:pPr>
          </w:p>
        </w:tc>
        <w:tc>
          <w:tcPr>
            <w:tcW w:w="1295" w:type="dxa"/>
            <w:vAlign w:val="center"/>
          </w:tcPr>
          <w:p w14:paraId="67064BCE">
            <w:pPr>
              <w:spacing w:line="360" w:lineRule="auto"/>
              <w:jc w:val="center"/>
              <w:rPr>
                <w:rFonts w:ascii="宋体" w:hAnsi="宋体" w:eastAsia="宋体" w:cs="宋体"/>
                <w:color w:val="auto"/>
                <w:sz w:val="24"/>
                <w:szCs w:val="24"/>
                <w:highlight w:val="none"/>
              </w:rPr>
            </w:pPr>
          </w:p>
        </w:tc>
        <w:tc>
          <w:tcPr>
            <w:tcW w:w="1772" w:type="dxa"/>
            <w:vAlign w:val="center"/>
          </w:tcPr>
          <w:p w14:paraId="3D21C794">
            <w:pPr>
              <w:spacing w:line="360" w:lineRule="auto"/>
              <w:jc w:val="center"/>
              <w:rPr>
                <w:rFonts w:ascii="宋体" w:hAnsi="宋体" w:eastAsia="宋体" w:cs="宋体"/>
                <w:color w:val="auto"/>
                <w:sz w:val="24"/>
                <w:szCs w:val="24"/>
                <w:highlight w:val="none"/>
              </w:rPr>
            </w:pPr>
          </w:p>
        </w:tc>
        <w:tc>
          <w:tcPr>
            <w:tcW w:w="1887" w:type="dxa"/>
            <w:vAlign w:val="center"/>
          </w:tcPr>
          <w:p w14:paraId="4071B67F">
            <w:pPr>
              <w:spacing w:line="360" w:lineRule="auto"/>
              <w:jc w:val="center"/>
              <w:rPr>
                <w:rFonts w:ascii="宋体" w:hAnsi="宋体" w:eastAsia="宋体" w:cs="宋体"/>
                <w:color w:val="auto"/>
                <w:sz w:val="24"/>
                <w:szCs w:val="24"/>
                <w:highlight w:val="none"/>
              </w:rPr>
            </w:pPr>
          </w:p>
        </w:tc>
        <w:tc>
          <w:tcPr>
            <w:tcW w:w="1438" w:type="dxa"/>
            <w:vAlign w:val="center"/>
          </w:tcPr>
          <w:p w14:paraId="59790011">
            <w:pPr>
              <w:spacing w:line="360" w:lineRule="auto"/>
              <w:jc w:val="center"/>
              <w:rPr>
                <w:rFonts w:ascii="宋体" w:hAnsi="宋体" w:eastAsia="宋体" w:cs="宋体"/>
                <w:color w:val="auto"/>
                <w:sz w:val="24"/>
                <w:szCs w:val="24"/>
                <w:highlight w:val="none"/>
              </w:rPr>
            </w:pPr>
          </w:p>
        </w:tc>
        <w:tc>
          <w:tcPr>
            <w:tcW w:w="820" w:type="dxa"/>
            <w:vAlign w:val="center"/>
          </w:tcPr>
          <w:p w14:paraId="61D98453">
            <w:pPr>
              <w:spacing w:line="360" w:lineRule="auto"/>
              <w:jc w:val="center"/>
              <w:rPr>
                <w:rFonts w:ascii="宋体" w:hAnsi="宋体" w:eastAsia="宋体" w:cs="宋体"/>
                <w:color w:val="auto"/>
                <w:sz w:val="24"/>
                <w:szCs w:val="24"/>
                <w:highlight w:val="none"/>
              </w:rPr>
            </w:pPr>
          </w:p>
        </w:tc>
      </w:tr>
      <w:tr w14:paraId="64B7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047DF1F0">
            <w:pPr>
              <w:pStyle w:val="32"/>
              <w:spacing w:before="257" w:line="360" w:lineRule="auto"/>
              <w:ind w:left="-144" w:right="-2" w:rightChars="-1"/>
              <w:jc w:val="center"/>
              <w:rPr>
                <w:color w:val="auto"/>
                <w:highlight w:val="none"/>
              </w:rPr>
            </w:pPr>
            <w:r>
              <w:rPr>
                <w:rFonts w:hint="eastAsia"/>
                <w:color w:val="auto"/>
                <w:highlight w:val="none"/>
              </w:rPr>
              <w:t>2</w:t>
            </w:r>
          </w:p>
        </w:tc>
        <w:tc>
          <w:tcPr>
            <w:tcW w:w="1266" w:type="dxa"/>
            <w:vAlign w:val="center"/>
          </w:tcPr>
          <w:p w14:paraId="6D0D6003">
            <w:pPr>
              <w:spacing w:line="360" w:lineRule="auto"/>
              <w:jc w:val="center"/>
              <w:rPr>
                <w:rFonts w:ascii="宋体" w:hAnsi="宋体" w:eastAsia="宋体" w:cs="宋体"/>
                <w:color w:val="auto"/>
                <w:sz w:val="24"/>
                <w:szCs w:val="24"/>
                <w:highlight w:val="none"/>
              </w:rPr>
            </w:pPr>
          </w:p>
        </w:tc>
        <w:tc>
          <w:tcPr>
            <w:tcW w:w="1295" w:type="dxa"/>
            <w:vAlign w:val="center"/>
          </w:tcPr>
          <w:p w14:paraId="4B78A1FB">
            <w:pPr>
              <w:spacing w:line="360" w:lineRule="auto"/>
              <w:jc w:val="center"/>
              <w:rPr>
                <w:rFonts w:ascii="宋体" w:hAnsi="宋体" w:eastAsia="宋体" w:cs="宋体"/>
                <w:color w:val="auto"/>
                <w:sz w:val="24"/>
                <w:szCs w:val="24"/>
                <w:highlight w:val="none"/>
              </w:rPr>
            </w:pPr>
          </w:p>
        </w:tc>
        <w:tc>
          <w:tcPr>
            <w:tcW w:w="1772" w:type="dxa"/>
            <w:vAlign w:val="center"/>
          </w:tcPr>
          <w:p w14:paraId="37F0C235">
            <w:pPr>
              <w:spacing w:line="360" w:lineRule="auto"/>
              <w:jc w:val="center"/>
              <w:rPr>
                <w:rFonts w:ascii="宋体" w:hAnsi="宋体" w:eastAsia="宋体" w:cs="宋体"/>
                <w:color w:val="auto"/>
                <w:sz w:val="24"/>
                <w:szCs w:val="24"/>
                <w:highlight w:val="none"/>
              </w:rPr>
            </w:pPr>
          </w:p>
        </w:tc>
        <w:tc>
          <w:tcPr>
            <w:tcW w:w="1887" w:type="dxa"/>
            <w:vAlign w:val="center"/>
          </w:tcPr>
          <w:p w14:paraId="79FC0C49">
            <w:pPr>
              <w:spacing w:line="360" w:lineRule="auto"/>
              <w:jc w:val="center"/>
              <w:rPr>
                <w:rFonts w:ascii="宋体" w:hAnsi="宋体" w:eastAsia="宋体" w:cs="宋体"/>
                <w:color w:val="auto"/>
                <w:sz w:val="24"/>
                <w:szCs w:val="24"/>
                <w:highlight w:val="none"/>
              </w:rPr>
            </w:pPr>
          </w:p>
        </w:tc>
        <w:tc>
          <w:tcPr>
            <w:tcW w:w="1438" w:type="dxa"/>
            <w:vAlign w:val="center"/>
          </w:tcPr>
          <w:p w14:paraId="59588632">
            <w:pPr>
              <w:spacing w:line="360" w:lineRule="auto"/>
              <w:jc w:val="center"/>
              <w:rPr>
                <w:rFonts w:ascii="宋体" w:hAnsi="宋体" w:eastAsia="宋体" w:cs="宋体"/>
                <w:color w:val="auto"/>
                <w:sz w:val="24"/>
                <w:szCs w:val="24"/>
                <w:highlight w:val="none"/>
              </w:rPr>
            </w:pPr>
          </w:p>
        </w:tc>
        <w:tc>
          <w:tcPr>
            <w:tcW w:w="820" w:type="dxa"/>
            <w:vAlign w:val="center"/>
          </w:tcPr>
          <w:p w14:paraId="20F2D959">
            <w:pPr>
              <w:spacing w:line="360" w:lineRule="auto"/>
              <w:jc w:val="center"/>
              <w:rPr>
                <w:rFonts w:ascii="宋体" w:hAnsi="宋体" w:eastAsia="宋体" w:cs="宋体"/>
                <w:color w:val="auto"/>
                <w:sz w:val="24"/>
                <w:szCs w:val="24"/>
                <w:highlight w:val="none"/>
              </w:rPr>
            </w:pPr>
          </w:p>
        </w:tc>
      </w:tr>
      <w:tr w14:paraId="5E7F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D7F89F6">
            <w:pPr>
              <w:pStyle w:val="32"/>
              <w:spacing w:before="257" w:line="360" w:lineRule="auto"/>
              <w:ind w:left="-144" w:right="-2" w:rightChars="-1"/>
              <w:jc w:val="center"/>
              <w:rPr>
                <w:color w:val="auto"/>
                <w:highlight w:val="none"/>
              </w:rPr>
            </w:pPr>
            <w:r>
              <w:rPr>
                <w:rFonts w:hint="eastAsia"/>
                <w:color w:val="auto"/>
                <w:highlight w:val="none"/>
              </w:rPr>
              <w:t>3</w:t>
            </w:r>
          </w:p>
        </w:tc>
        <w:tc>
          <w:tcPr>
            <w:tcW w:w="1266" w:type="dxa"/>
            <w:vAlign w:val="center"/>
          </w:tcPr>
          <w:p w14:paraId="4844C5C2">
            <w:pPr>
              <w:spacing w:line="360" w:lineRule="auto"/>
              <w:jc w:val="center"/>
              <w:rPr>
                <w:rFonts w:ascii="宋体" w:hAnsi="宋体" w:eastAsia="宋体" w:cs="宋体"/>
                <w:color w:val="auto"/>
                <w:sz w:val="24"/>
                <w:szCs w:val="24"/>
                <w:highlight w:val="none"/>
              </w:rPr>
            </w:pPr>
          </w:p>
        </w:tc>
        <w:tc>
          <w:tcPr>
            <w:tcW w:w="1295" w:type="dxa"/>
            <w:vAlign w:val="center"/>
          </w:tcPr>
          <w:p w14:paraId="3DEC0D39">
            <w:pPr>
              <w:spacing w:line="360" w:lineRule="auto"/>
              <w:jc w:val="center"/>
              <w:rPr>
                <w:rFonts w:ascii="宋体" w:hAnsi="宋体" w:eastAsia="宋体" w:cs="宋体"/>
                <w:color w:val="auto"/>
                <w:sz w:val="24"/>
                <w:szCs w:val="24"/>
                <w:highlight w:val="none"/>
              </w:rPr>
            </w:pPr>
          </w:p>
        </w:tc>
        <w:tc>
          <w:tcPr>
            <w:tcW w:w="1772" w:type="dxa"/>
            <w:vAlign w:val="center"/>
          </w:tcPr>
          <w:p w14:paraId="2405F169">
            <w:pPr>
              <w:spacing w:line="360" w:lineRule="auto"/>
              <w:jc w:val="center"/>
              <w:rPr>
                <w:rFonts w:ascii="宋体" w:hAnsi="宋体" w:eastAsia="宋体" w:cs="宋体"/>
                <w:color w:val="auto"/>
                <w:sz w:val="24"/>
                <w:szCs w:val="24"/>
                <w:highlight w:val="none"/>
              </w:rPr>
            </w:pPr>
          </w:p>
        </w:tc>
        <w:tc>
          <w:tcPr>
            <w:tcW w:w="1887" w:type="dxa"/>
            <w:vAlign w:val="center"/>
          </w:tcPr>
          <w:p w14:paraId="74416A85">
            <w:pPr>
              <w:spacing w:line="360" w:lineRule="auto"/>
              <w:jc w:val="center"/>
              <w:rPr>
                <w:rFonts w:ascii="宋体" w:hAnsi="宋体" w:eastAsia="宋体" w:cs="宋体"/>
                <w:color w:val="auto"/>
                <w:sz w:val="24"/>
                <w:szCs w:val="24"/>
                <w:highlight w:val="none"/>
              </w:rPr>
            </w:pPr>
          </w:p>
        </w:tc>
        <w:tc>
          <w:tcPr>
            <w:tcW w:w="1438" w:type="dxa"/>
            <w:vAlign w:val="center"/>
          </w:tcPr>
          <w:p w14:paraId="66F77C22">
            <w:pPr>
              <w:spacing w:line="360" w:lineRule="auto"/>
              <w:jc w:val="center"/>
              <w:rPr>
                <w:rFonts w:ascii="宋体" w:hAnsi="宋体" w:eastAsia="宋体" w:cs="宋体"/>
                <w:color w:val="auto"/>
                <w:sz w:val="24"/>
                <w:szCs w:val="24"/>
                <w:highlight w:val="none"/>
              </w:rPr>
            </w:pPr>
          </w:p>
        </w:tc>
        <w:tc>
          <w:tcPr>
            <w:tcW w:w="820" w:type="dxa"/>
            <w:vAlign w:val="center"/>
          </w:tcPr>
          <w:p w14:paraId="4D3DD9FF">
            <w:pPr>
              <w:spacing w:line="360" w:lineRule="auto"/>
              <w:jc w:val="center"/>
              <w:rPr>
                <w:rFonts w:ascii="宋体" w:hAnsi="宋体" w:eastAsia="宋体" w:cs="宋体"/>
                <w:color w:val="auto"/>
                <w:sz w:val="24"/>
                <w:szCs w:val="24"/>
                <w:highlight w:val="none"/>
              </w:rPr>
            </w:pPr>
          </w:p>
        </w:tc>
      </w:tr>
      <w:tr w14:paraId="6965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17340577">
            <w:pPr>
              <w:pStyle w:val="32"/>
              <w:spacing w:before="257" w:line="360" w:lineRule="auto"/>
              <w:ind w:left="-144" w:right="-2" w:rightChars="-1"/>
              <w:jc w:val="center"/>
              <w:rPr>
                <w:color w:val="auto"/>
                <w:highlight w:val="none"/>
              </w:rPr>
            </w:pPr>
            <w:r>
              <w:rPr>
                <w:rFonts w:hint="eastAsia"/>
                <w:color w:val="auto"/>
                <w:highlight w:val="none"/>
              </w:rPr>
              <w:t>4</w:t>
            </w:r>
          </w:p>
        </w:tc>
        <w:tc>
          <w:tcPr>
            <w:tcW w:w="1266" w:type="dxa"/>
            <w:vAlign w:val="center"/>
          </w:tcPr>
          <w:p w14:paraId="59913143">
            <w:pPr>
              <w:spacing w:line="360" w:lineRule="auto"/>
              <w:jc w:val="center"/>
              <w:rPr>
                <w:rFonts w:ascii="宋体" w:hAnsi="宋体" w:eastAsia="宋体" w:cs="宋体"/>
                <w:color w:val="auto"/>
                <w:sz w:val="24"/>
                <w:szCs w:val="24"/>
                <w:highlight w:val="none"/>
              </w:rPr>
            </w:pPr>
          </w:p>
        </w:tc>
        <w:tc>
          <w:tcPr>
            <w:tcW w:w="1295" w:type="dxa"/>
            <w:vAlign w:val="center"/>
          </w:tcPr>
          <w:p w14:paraId="07C11AC4">
            <w:pPr>
              <w:spacing w:line="360" w:lineRule="auto"/>
              <w:jc w:val="center"/>
              <w:rPr>
                <w:rFonts w:ascii="宋体" w:hAnsi="宋体" w:eastAsia="宋体" w:cs="宋体"/>
                <w:color w:val="auto"/>
                <w:sz w:val="24"/>
                <w:szCs w:val="24"/>
                <w:highlight w:val="none"/>
              </w:rPr>
            </w:pPr>
          </w:p>
        </w:tc>
        <w:tc>
          <w:tcPr>
            <w:tcW w:w="1772" w:type="dxa"/>
            <w:vAlign w:val="center"/>
          </w:tcPr>
          <w:p w14:paraId="07A797DA">
            <w:pPr>
              <w:spacing w:line="360" w:lineRule="auto"/>
              <w:jc w:val="center"/>
              <w:rPr>
                <w:rFonts w:ascii="宋体" w:hAnsi="宋体" w:eastAsia="宋体" w:cs="宋体"/>
                <w:color w:val="auto"/>
                <w:sz w:val="24"/>
                <w:szCs w:val="24"/>
                <w:highlight w:val="none"/>
              </w:rPr>
            </w:pPr>
          </w:p>
        </w:tc>
        <w:tc>
          <w:tcPr>
            <w:tcW w:w="1887" w:type="dxa"/>
            <w:vAlign w:val="center"/>
          </w:tcPr>
          <w:p w14:paraId="59A5DA4C">
            <w:pPr>
              <w:spacing w:line="360" w:lineRule="auto"/>
              <w:jc w:val="center"/>
              <w:rPr>
                <w:rFonts w:ascii="宋体" w:hAnsi="宋体" w:eastAsia="宋体" w:cs="宋体"/>
                <w:color w:val="auto"/>
                <w:sz w:val="24"/>
                <w:szCs w:val="24"/>
                <w:highlight w:val="none"/>
              </w:rPr>
            </w:pPr>
          </w:p>
        </w:tc>
        <w:tc>
          <w:tcPr>
            <w:tcW w:w="1438" w:type="dxa"/>
            <w:vAlign w:val="center"/>
          </w:tcPr>
          <w:p w14:paraId="37859CF9">
            <w:pPr>
              <w:spacing w:line="360" w:lineRule="auto"/>
              <w:jc w:val="center"/>
              <w:rPr>
                <w:rFonts w:ascii="宋体" w:hAnsi="宋体" w:eastAsia="宋体" w:cs="宋体"/>
                <w:color w:val="auto"/>
                <w:sz w:val="24"/>
                <w:szCs w:val="24"/>
                <w:highlight w:val="none"/>
              </w:rPr>
            </w:pPr>
          </w:p>
        </w:tc>
        <w:tc>
          <w:tcPr>
            <w:tcW w:w="820" w:type="dxa"/>
            <w:vAlign w:val="center"/>
          </w:tcPr>
          <w:p w14:paraId="55897323">
            <w:pPr>
              <w:spacing w:line="360" w:lineRule="auto"/>
              <w:jc w:val="center"/>
              <w:rPr>
                <w:rFonts w:ascii="宋体" w:hAnsi="宋体" w:eastAsia="宋体" w:cs="宋体"/>
                <w:color w:val="auto"/>
                <w:sz w:val="24"/>
                <w:szCs w:val="24"/>
                <w:highlight w:val="none"/>
              </w:rPr>
            </w:pPr>
          </w:p>
        </w:tc>
      </w:tr>
      <w:tr w14:paraId="6127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2BCBE21F">
            <w:pPr>
              <w:pStyle w:val="32"/>
              <w:spacing w:before="257" w:line="360" w:lineRule="auto"/>
              <w:ind w:left="-144" w:right="-2" w:rightChars="-1"/>
              <w:jc w:val="center"/>
              <w:rPr>
                <w:color w:val="auto"/>
                <w:highlight w:val="none"/>
              </w:rPr>
            </w:pPr>
            <w:r>
              <w:rPr>
                <w:rFonts w:hint="eastAsia"/>
                <w:color w:val="auto"/>
                <w:highlight w:val="none"/>
              </w:rPr>
              <w:t>5</w:t>
            </w:r>
          </w:p>
        </w:tc>
        <w:tc>
          <w:tcPr>
            <w:tcW w:w="1266" w:type="dxa"/>
            <w:vAlign w:val="center"/>
          </w:tcPr>
          <w:p w14:paraId="17378978">
            <w:pPr>
              <w:spacing w:line="360" w:lineRule="auto"/>
              <w:jc w:val="center"/>
              <w:rPr>
                <w:rFonts w:ascii="宋体" w:hAnsi="宋体" w:eastAsia="宋体" w:cs="宋体"/>
                <w:color w:val="auto"/>
                <w:sz w:val="24"/>
                <w:szCs w:val="24"/>
                <w:highlight w:val="none"/>
              </w:rPr>
            </w:pPr>
          </w:p>
        </w:tc>
        <w:tc>
          <w:tcPr>
            <w:tcW w:w="1295" w:type="dxa"/>
            <w:vAlign w:val="center"/>
          </w:tcPr>
          <w:p w14:paraId="44262555">
            <w:pPr>
              <w:spacing w:line="360" w:lineRule="auto"/>
              <w:jc w:val="center"/>
              <w:rPr>
                <w:rFonts w:ascii="宋体" w:hAnsi="宋体" w:eastAsia="宋体" w:cs="宋体"/>
                <w:color w:val="auto"/>
                <w:sz w:val="24"/>
                <w:szCs w:val="24"/>
                <w:highlight w:val="none"/>
              </w:rPr>
            </w:pPr>
          </w:p>
        </w:tc>
        <w:tc>
          <w:tcPr>
            <w:tcW w:w="1772" w:type="dxa"/>
            <w:vAlign w:val="center"/>
          </w:tcPr>
          <w:p w14:paraId="0E70E8E8">
            <w:pPr>
              <w:spacing w:line="360" w:lineRule="auto"/>
              <w:jc w:val="center"/>
              <w:rPr>
                <w:rFonts w:ascii="宋体" w:hAnsi="宋体" w:eastAsia="宋体" w:cs="宋体"/>
                <w:color w:val="auto"/>
                <w:sz w:val="24"/>
                <w:szCs w:val="24"/>
                <w:highlight w:val="none"/>
              </w:rPr>
            </w:pPr>
          </w:p>
        </w:tc>
        <w:tc>
          <w:tcPr>
            <w:tcW w:w="1887" w:type="dxa"/>
            <w:vAlign w:val="center"/>
          </w:tcPr>
          <w:p w14:paraId="2B204F2E">
            <w:pPr>
              <w:spacing w:line="360" w:lineRule="auto"/>
              <w:jc w:val="center"/>
              <w:rPr>
                <w:rFonts w:ascii="宋体" w:hAnsi="宋体" w:eastAsia="宋体" w:cs="宋体"/>
                <w:color w:val="auto"/>
                <w:sz w:val="24"/>
                <w:szCs w:val="24"/>
                <w:highlight w:val="none"/>
              </w:rPr>
            </w:pPr>
          </w:p>
        </w:tc>
        <w:tc>
          <w:tcPr>
            <w:tcW w:w="1438" w:type="dxa"/>
            <w:vAlign w:val="center"/>
          </w:tcPr>
          <w:p w14:paraId="41173D4A">
            <w:pPr>
              <w:spacing w:line="360" w:lineRule="auto"/>
              <w:jc w:val="center"/>
              <w:rPr>
                <w:rFonts w:ascii="宋体" w:hAnsi="宋体" w:eastAsia="宋体" w:cs="宋体"/>
                <w:color w:val="auto"/>
                <w:sz w:val="24"/>
                <w:szCs w:val="24"/>
                <w:highlight w:val="none"/>
              </w:rPr>
            </w:pPr>
          </w:p>
        </w:tc>
        <w:tc>
          <w:tcPr>
            <w:tcW w:w="820" w:type="dxa"/>
            <w:vAlign w:val="center"/>
          </w:tcPr>
          <w:p w14:paraId="5EB0E21F">
            <w:pPr>
              <w:spacing w:line="360" w:lineRule="auto"/>
              <w:jc w:val="center"/>
              <w:rPr>
                <w:rFonts w:ascii="宋体" w:hAnsi="宋体" w:eastAsia="宋体" w:cs="宋体"/>
                <w:color w:val="auto"/>
                <w:sz w:val="24"/>
                <w:szCs w:val="24"/>
                <w:highlight w:val="none"/>
              </w:rPr>
            </w:pPr>
          </w:p>
        </w:tc>
      </w:tr>
      <w:tr w14:paraId="19C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4DB7B84">
            <w:pPr>
              <w:pStyle w:val="32"/>
              <w:spacing w:before="257" w:line="360" w:lineRule="auto"/>
              <w:ind w:left="-144" w:right="-2" w:rightChars="-1"/>
              <w:jc w:val="center"/>
              <w:rPr>
                <w:color w:val="auto"/>
                <w:highlight w:val="none"/>
                <w:lang w:eastAsia="zh-CN"/>
              </w:rPr>
            </w:pPr>
            <w:r>
              <w:rPr>
                <w:rFonts w:hint="eastAsia"/>
                <w:color w:val="auto"/>
                <w:highlight w:val="none"/>
                <w:lang w:eastAsia="zh-CN"/>
              </w:rPr>
              <w:t>..</w:t>
            </w:r>
          </w:p>
        </w:tc>
        <w:tc>
          <w:tcPr>
            <w:tcW w:w="1266" w:type="dxa"/>
            <w:vAlign w:val="center"/>
          </w:tcPr>
          <w:p w14:paraId="4695B118">
            <w:pPr>
              <w:spacing w:line="360" w:lineRule="auto"/>
              <w:jc w:val="center"/>
              <w:rPr>
                <w:rFonts w:ascii="宋体" w:hAnsi="宋体" w:eastAsia="宋体" w:cs="宋体"/>
                <w:color w:val="auto"/>
                <w:sz w:val="24"/>
                <w:szCs w:val="24"/>
                <w:highlight w:val="none"/>
              </w:rPr>
            </w:pPr>
          </w:p>
        </w:tc>
        <w:tc>
          <w:tcPr>
            <w:tcW w:w="1295" w:type="dxa"/>
            <w:vAlign w:val="center"/>
          </w:tcPr>
          <w:p w14:paraId="479A4F52">
            <w:pPr>
              <w:spacing w:line="360" w:lineRule="auto"/>
              <w:jc w:val="center"/>
              <w:rPr>
                <w:rFonts w:ascii="宋体" w:hAnsi="宋体" w:eastAsia="宋体" w:cs="宋体"/>
                <w:color w:val="auto"/>
                <w:sz w:val="24"/>
                <w:szCs w:val="24"/>
                <w:highlight w:val="none"/>
              </w:rPr>
            </w:pPr>
          </w:p>
        </w:tc>
        <w:tc>
          <w:tcPr>
            <w:tcW w:w="1772" w:type="dxa"/>
            <w:vAlign w:val="center"/>
          </w:tcPr>
          <w:p w14:paraId="5A684013">
            <w:pPr>
              <w:spacing w:line="360" w:lineRule="auto"/>
              <w:jc w:val="center"/>
              <w:rPr>
                <w:rFonts w:ascii="宋体" w:hAnsi="宋体" w:eastAsia="宋体" w:cs="宋体"/>
                <w:color w:val="auto"/>
                <w:sz w:val="24"/>
                <w:szCs w:val="24"/>
                <w:highlight w:val="none"/>
              </w:rPr>
            </w:pPr>
          </w:p>
        </w:tc>
        <w:tc>
          <w:tcPr>
            <w:tcW w:w="1887" w:type="dxa"/>
            <w:vAlign w:val="center"/>
          </w:tcPr>
          <w:p w14:paraId="3BE38E1A">
            <w:pPr>
              <w:spacing w:line="360" w:lineRule="auto"/>
              <w:jc w:val="center"/>
              <w:rPr>
                <w:rFonts w:ascii="宋体" w:hAnsi="宋体" w:eastAsia="宋体" w:cs="宋体"/>
                <w:color w:val="auto"/>
                <w:sz w:val="24"/>
                <w:szCs w:val="24"/>
                <w:highlight w:val="none"/>
              </w:rPr>
            </w:pPr>
          </w:p>
        </w:tc>
        <w:tc>
          <w:tcPr>
            <w:tcW w:w="1438" w:type="dxa"/>
            <w:vAlign w:val="center"/>
          </w:tcPr>
          <w:p w14:paraId="681C3A9E">
            <w:pPr>
              <w:spacing w:line="360" w:lineRule="auto"/>
              <w:jc w:val="center"/>
              <w:rPr>
                <w:rFonts w:ascii="宋体" w:hAnsi="宋体" w:eastAsia="宋体" w:cs="宋体"/>
                <w:color w:val="auto"/>
                <w:sz w:val="24"/>
                <w:szCs w:val="24"/>
                <w:highlight w:val="none"/>
              </w:rPr>
            </w:pPr>
          </w:p>
        </w:tc>
        <w:tc>
          <w:tcPr>
            <w:tcW w:w="820" w:type="dxa"/>
            <w:vAlign w:val="center"/>
          </w:tcPr>
          <w:p w14:paraId="38AE816F">
            <w:pPr>
              <w:spacing w:line="360" w:lineRule="auto"/>
              <w:jc w:val="center"/>
              <w:rPr>
                <w:rFonts w:ascii="宋体" w:hAnsi="宋体" w:eastAsia="宋体" w:cs="宋体"/>
                <w:color w:val="auto"/>
                <w:sz w:val="24"/>
                <w:szCs w:val="24"/>
                <w:highlight w:val="none"/>
              </w:rPr>
            </w:pPr>
          </w:p>
        </w:tc>
      </w:tr>
      <w:tr w14:paraId="6C62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41F5A013">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1FE75CD0">
            <w:pPr>
              <w:spacing w:line="360" w:lineRule="auto"/>
              <w:jc w:val="center"/>
              <w:rPr>
                <w:rFonts w:ascii="宋体" w:hAnsi="宋体" w:eastAsia="宋体" w:cs="宋体"/>
                <w:color w:val="auto"/>
                <w:sz w:val="24"/>
                <w:szCs w:val="24"/>
                <w:highlight w:val="none"/>
              </w:rPr>
            </w:pPr>
          </w:p>
        </w:tc>
        <w:tc>
          <w:tcPr>
            <w:tcW w:w="1295" w:type="dxa"/>
            <w:vAlign w:val="center"/>
          </w:tcPr>
          <w:p w14:paraId="4D57C451">
            <w:pPr>
              <w:spacing w:line="360" w:lineRule="auto"/>
              <w:jc w:val="center"/>
              <w:rPr>
                <w:rFonts w:ascii="宋体" w:hAnsi="宋体" w:eastAsia="宋体" w:cs="宋体"/>
                <w:color w:val="auto"/>
                <w:sz w:val="24"/>
                <w:szCs w:val="24"/>
                <w:highlight w:val="none"/>
              </w:rPr>
            </w:pPr>
          </w:p>
        </w:tc>
        <w:tc>
          <w:tcPr>
            <w:tcW w:w="1772" w:type="dxa"/>
            <w:vAlign w:val="center"/>
          </w:tcPr>
          <w:p w14:paraId="292F2DF9">
            <w:pPr>
              <w:spacing w:line="360" w:lineRule="auto"/>
              <w:jc w:val="center"/>
              <w:rPr>
                <w:rFonts w:ascii="宋体" w:hAnsi="宋体" w:eastAsia="宋体" w:cs="宋体"/>
                <w:color w:val="auto"/>
                <w:sz w:val="24"/>
                <w:szCs w:val="24"/>
                <w:highlight w:val="none"/>
              </w:rPr>
            </w:pPr>
          </w:p>
        </w:tc>
        <w:tc>
          <w:tcPr>
            <w:tcW w:w="1887" w:type="dxa"/>
            <w:vAlign w:val="center"/>
          </w:tcPr>
          <w:p w14:paraId="2323F154">
            <w:pPr>
              <w:spacing w:line="360" w:lineRule="auto"/>
              <w:jc w:val="center"/>
              <w:rPr>
                <w:rFonts w:ascii="宋体" w:hAnsi="宋体" w:eastAsia="宋体" w:cs="宋体"/>
                <w:color w:val="auto"/>
                <w:sz w:val="24"/>
                <w:szCs w:val="24"/>
                <w:highlight w:val="none"/>
              </w:rPr>
            </w:pPr>
          </w:p>
        </w:tc>
        <w:tc>
          <w:tcPr>
            <w:tcW w:w="1438" w:type="dxa"/>
            <w:vAlign w:val="center"/>
          </w:tcPr>
          <w:p w14:paraId="39BD4C4F">
            <w:pPr>
              <w:spacing w:line="360" w:lineRule="auto"/>
              <w:jc w:val="center"/>
              <w:rPr>
                <w:rFonts w:ascii="宋体" w:hAnsi="宋体" w:eastAsia="宋体" w:cs="宋体"/>
                <w:color w:val="auto"/>
                <w:sz w:val="24"/>
                <w:szCs w:val="24"/>
                <w:highlight w:val="none"/>
              </w:rPr>
            </w:pPr>
          </w:p>
        </w:tc>
        <w:tc>
          <w:tcPr>
            <w:tcW w:w="820" w:type="dxa"/>
            <w:vAlign w:val="center"/>
          </w:tcPr>
          <w:p w14:paraId="30CA09B7">
            <w:pPr>
              <w:spacing w:line="360" w:lineRule="auto"/>
              <w:jc w:val="center"/>
              <w:rPr>
                <w:rFonts w:ascii="宋体" w:hAnsi="宋体" w:eastAsia="宋体" w:cs="宋体"/>
                <w:color w:val="auto"/>
                <w:sz w:val="24"/>
                <w:szCs w:val="24"/>
                <w:highlight w:val="none"/>
              </w:rPr>
            </w:pPr>
          </w:p>
        </w:tc>
      </w:tr>
      <w:tr w14:paraId="7E93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507747B6">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47DBA8C9">
            <w:pPr>
              <w:spacing w:line="360" w:lineRule="auto"/>
              <w:jc w:val="center"/>
              <w:rPr>
                <w:rFonts w:ascii="宋体" w:hAnsi="宋体" w:eastAsia="宋体" w:cs="宋体"/>
                <w:color w:val="auto"/>
                <w:sz w:val="24"/>
                <w:szCs w:val="24"/>
                <w:highlight w:val="none"/>
              </w:rPr>
            </w:pPr>
          </w:p>
        </w:tc>
        <w:tc>
          <w:tcPr>
            <w:tcW w:w="1295" w:type="dxa"/>
            <w:vAlign w:val="center"/>
          </w:tcPr>
          <w:p w14:paraId="67FDABFF">
            <w:pPr>
              <w:spacing w:line="360" w:lineRule="auto"/>
              <w:jc w:val="center"/>
              <w:rPr>
                <w:rFonts w:ascii="宋体" w:hAnsi="宋体" w:eastAsia="宋体" w:cs="宋体"/>
                <w:color w:val="auto"/>
                <w:sz w:val="24"/>
                <w:szCs w:val="24"/>
                <w:highlight w:val="none"/>
              </w:rPr>
            </w:pPr>
          </w:p>
        </w:tc>
        <w:tc>
          <w:tcPr>
            <w:tcW w:w="1772" w:type="dxa"/>
            <w:vAlign w:val="center"/>
          </w:tcPr>
          <w:p w14:paraId="294FBE85">
            <w:pPr>
              <w:spacing w:line="360" w:lineRule="auto"/>
              <w:jc w:val="center"/>
              <w:rPr>
                <w:rFonts w:ascii="宋体" w:hAnsi="宋体" w:eastAsia="宋体" w:cs="宋体"/>
                <w:color w:val="auto"/>
                <w:sz w:val="24"/>
                <w:szCs w:val="24"/>
                <w:highlight w:val="none"/>
              </w:rPr>
            </w:pPr>
          </w:p>
        </w:tc>
        <w:tc>
          <w:tcPr>
            <w:tcW w:w="1887" w:type="dxa"/>
            <w:vAlign w:val="center"/>
          </w:tcPr>
          <w:p w14:paraId="5B426D7A">
            <w:pPr>
              <w:spacing w:line="360" w:lineRule="auto"/>
              <w:jc w:val="center"/>
              <w:rPr>
                <w:rFonts w:ascii="宋体" w:hAnsi="宋体" w:eastAsia="宋体" w:cs="宋体"/>
                <w:color w:val="auto"/>
                <w:sz w:val="24"/>
                <w:szCs w:val="24"/>
                <w:highlight w:val="none"/>
              </w:rPr>
            </w:pPr>
          </w:p>
        </w:tc>
        <w:tc>
          <w:tcPr>
            <w:tcW w:w="1438" w:type="dxa"/>
            <w:vAlign w:val="center"/>
          </w:tcPr>
          <w:p w14:paraId="0857ED0D">
            <w:pPr>
              <w:spacing w:line="360" w:lineRule="auto"/>
              <w:jc w:val="center"/>
              <w:rPr>
                <w:rFonts w:ascii="宋体" w:hAnsi="宋体" w:eastAsia="宋体" w:cs="宋体"/>
                <w:color w:val="auto"/>
                <w:sz w:val="24"/>
                <w:szCs w:val="24"/>
                <w:highlight w:val="none"/>
              </w:rPr>
            </w:pPr>
          </w:p>
        </w:tc>
        <w:tc>
          <w:tcPr>
            <w:tcW w:w="820" w:type="dxa"/>
            <w:vAlign w:val="center"/>
          </w:tcPr>
          <w:p w14:paraId="56A9DBC0">
            <w:pPr>
              <w:spacing w:line="360" w:lineRule="auto"/>
              <w:jc w:val="center"/>
              <w:rPr>
                <w:rFonts w:ascii="宋体" w:hAnsi="宋体" w:eastAsia="宋体" w:cs="宋体"/>
                <w:color w:val="auto"/>
                <w:sz w:val="24"/>
                <w:szCs w:val="24"/>
                <w:highlight w:val="none"/>
              </w:rPr>
            </w:pPr>
          </w:p>
        </w:tc>
      </w:tr>
      <w:tr w14:paraId="08493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6507CCE5">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3490C96D">
            <w:pPr>
              <w:spacing w:line="360" w:lineRule="auto"/>
              <w:jc w:val="center"/>
              <w:rPr>
                <w:rFonts w:ascii="宋体" w:hAnsi="宋体" w:eastAsia="宋体" w:cs="宋体"/>
                <w:color w:val="auto"/>
                <w:sz w:val="24"/>
                <w:szCs w:val="24"/>
                <w:highlight w:val="none"/>
              </w:rPr>
            </w:pPr>
          </w:p>
        </w:tc>
        <w:tc>
          <w:tcPr>
            <w:tcW w:w="1295" w:type="dxa"/>
            <w:vAlign w:val="center"/>
          </w:tcPr>
          <w:p w14:paraId="43EBD17F">
            <w:pPr>
              <w:spacing w:line="360" w:lineRule="auto"/>
              <w:jc w:val="center"/>
              <w:rPr>
                <w:rFonts w:ascii="宋体" w:hAnsi="宋体" w:eastAsia="宋体" w:cs="宋体"/>
                <w:color w:val="auto"/>
                <w:sz w:val="24"/>
                <w:szCs w:val="24"/>
                <w:highlight w:val="none"/>
              </w:rPr>
            </w:pPr>
          </w:p>
        </w:tc>
        <w:tc>
          <w:tcPr>
            <w:tcW w:w="1772" w:type="dxa"/>
            <w:vAlign w:val="center"/>
          </w:tcPr>
          <w:p w14:paraId="4BCF737A">
            <w:pPr>
              <w:spacing w:line="360" w:lineRule="auto"/>
              <w:jc w:val="center"/>
              <w:rPr>
                <w:rFonts w:ascii="宋体" w:hAnsi="宋体" w:eastAsia="宋体" w:cs="宋体"/>
                <w:color w:val="auto"/>
                <w:sz w:val="24"/>
                <w:szCs w:val="24"/>
                <w:highlight w:val="none"/>
              </w:rPr>
            </w:pPr>
          </w:p>
        </w:tc>
        <w:tc>
          <w:tcPr>
            <w:tcW w:w="1887" w:type="dxa"/>
            <w:vAlign w:val="center"/>
          </w:tcPr>
          <w:p w14:paraId="56D55C40">
            <w:pPr>
              <w:spacing w:line="360" w:lineRule="auto"/>
              <w:jc w:val="center"/>
              <w:rPr>
                <w:rFonts w:ascii="宋体" w:hAnsi="宋体" w:eastAsia="宋体" w:cs="宋体"/>
                <w:color w:val="auto"/>
                <w:sz w:val="24"/>
                <w:szCs w:val="24"/>
                <w:highlight w:val="none"/>
              </w:rPr>
            </w:pPr>
          </w:p>
        </w:tc>
        <w:tc>
          <w:tcPr>
            <w:tcW w:w="1438" w:type="dxa"/>
            <w:vAlign w:val="center"/>
          </w:tcPr>
          <w:p w14:paraId="1AE02E11">
            <w:pPr>
              <w:spacing w:line="360" w:lineRule="auto"/>
              <w:jc w:val="center"/>
              <w:rPr>
                <w:rFonts w:ascii="宋体" w:hAnsi="宋体" w:eastAsia="宋体" w:cs="宋体"/>
                <w:color w:val="auto"/>
                <w:sz w:val="24"/>
                <w:szCs w:val="24"/>
                <w:highlight w:val="none"/>
              </w:rPr>
            </w:pPr>
          </w:p>
        </w:tc>
        <w:tc>
          <w:tcPr>
            <w:tcW w:w="820" w:type="dxa"/>
            <w:vAlign w:val="center"/>
          </w:tcPr>
          <w:p w14:paraId="47FFFFFF">
            <w:pPr>
              <w:spacing w:line="360" w:lineRule="auto"/>
              <w:jc w:val="center"/>
              <w:rPr>
                <w:rFonts w:ascii="宋体" w:hAnsi="宋体" w:eastAsia="宋体" w:cs="宋体"/>
                <w:color w:val="auto"/>
                <w:sz w:val="24"/>
                <w:szCs w:val="24"/>
                <w:highlight w:val="none"/>
              </w:rPr>
            </w:pPr>
          </w:p>
        </w:tc>
      </w:tr>
      <w:tr w14:paraId="2EF7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8" w:hRule="atLeast"/>
        </w:trPr>
        <w:tc>
          <w:tcPr>
            <w:tcW w:w="778" w:type="dxa"/>
            <w:vAlign w:val="center"/>
          </w:tcPr>
          <w:p w14:paraId="35344297">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1E56E293">
            <w:pPr>
              <w:spacing w:line="360" w:lineRule="auto"/>
              <w:jc w:val="center"/>
              <w:rPr>
                <w:rFonts w:ascii="宋体" w:hAnsi="宋体" w:eastAsia="宋体" w:cs="宋体"/>
                <w:color w:val="auto"/>
                <w:sz w:val="24"/>
                <w:szCs w:val="24"/>
                <w:highlight w:val="none"/>
              </w:rPr>
            </w:pPr>
          </w:p>
        </w:tc>
        <w:tc>
          <w:tcPr>
            <w:tcW w:w="1295" w:type="dxa"/>
            <w:vAlign w:val="center"/>
          </w:tcPr>
          <w:p w14:paraId="371A4092">
            <w:pPr>
              <w:spacing w:line="360" w:lineRule="auto"/>
              <w:jc w:val="center"/>
              <w:rPr>
                <w:rFonts w:ascii="宋体" w:hAnsi="宋体" w:eastAsia="宋体" w:cs="宋体"/>
                <w:color w:val="auto"/>
                <w:sz w:val="24"/>
                <w:szCs w:val="24"/>
                <w:highlight w:val="none"/>
              </w:rPr>
            </w:pPr>
          </w:p>
        </w:tc>
        <w:tc>
          <w:tcPr>
            <w:tcW w:w="1772" w:type="dxa"/>
            <w:vAlign w:val="center"/>
          </w:tcPr>
          <w:p w14:paraId="4B80B2F4">
            <w:pPr>
              <w:spacing w:line="360" w:lineRule="auto"/>
              <w:jc w:val="center"/>
              <w:rPr>
                <w:rFonts w:ascii="宋体" w:hAnsi="宋体" w:eastAsia="宋体" w:cs="宋体"/>
                <w:color w:val="auto"/>
                <w:sz w:val="24"/>
                <w:szCs w:val="24"/>
                <w:highlight w:val="none"/>
              </w:rPr>
            </w:pPr>
          </w:p>
        </w:tc>
        <w:tc>
          <w:tcPr>
            <w:tcW w:w="1887" w:type="dxa"/>
            <w:vAlign w:val="center"/>
          </w:tcPr>
          <w:p w14:paraId="05E3A65C">
            <w:pPr>
              <w:spacing w:line="360" w:lineRule="auto"/>
              <w:jc w:val="center"/>
              <w:rPr>
                <w:rFonts w:ascii="宋体" w:hAnsi="宋体" w:eastAsia="宋体" w:cs="宋体"/>
                <w:color w:val="auto"/>
                <w:sz w:val="24"/>
                <w:szCs w:val="24"/>
                <w:highlight w:val="none"/>
              </w:rPr>
            </w:pPr>
          </w:p>
        </w:tc>
        <w:tc>
          <w:tcPr>
            <w:tcW w:w="1438" w:type="dxa"/>
            <w:vAlign w:val="center"/>
          </w:tcPr>
          <w:p w14:paraId="732D16EF">
            <w:pPr>
              <w:spacing w:line="360" w:lineRule="auto"/>
              <w:jc w:val="center"/>
              <w:rPr>
                <w:rFonts w:ascii="宋体" w:hAnsi="宋体" w:eastAsia="宋体" w:cs="宋体"/>
                <w:color w:val="auto"/>
                <w:sz w:val="24"/>
                <w:szCs w:val="24"/>
                <w:highlight w:val="none"/>
              </w:rPr>
            </w:pPr>
          </w:p>
        </w:tc>
        <w:tc>
          <w:tcPr>
            <w:tcW w:w="820" w:type="dxa"/>
            <w:vAlign w:val="center"/>
          </w:tcPr>
          <w:p w14:paraId="332AB511">
            <w:pPr>
              <w:spacing w:line="360" w:lineRule="auto"/>
              <w:jc w:val="center"/>
              <w:rPr>
                <w:rFonts w:ascii="宋体" w:hAnsi="宋体" w:eastAsia="宋体" w:cs="宋体"/>
                <w:color w:val="auto"/>
                <w:sz w:val="24"/>
                <w:szCs w:val="24"/>
                <w:highlight w:val="none"/>
              </w:rPr>
            </w:pPr>
          </w:p>
        </w:tc>
      </w:tr>
    </w:tbl>
    <w:p w14:paraId="1F557D28">
      <w:pPr>
        <w:spacing w:line="360" w:lineRule="auto"/>
        <w:rPr>
          <w:rFonts w:ascii="宋体" w:hAnsi="宋体" w:eastAsia="宋体" w:cs="宋体"/>
          <w:color w:val="auto"/>
          <w:highlight w:val="none"/>
        </w:rPr>
      </w:pPr>
    </w:p>
    <w:p w14:paraId="65AE891B">
      <w:pPr>
        <w:spacing w:before="116" w:line="360" w:lineRule="auto"/>
        <w:ind w:right="-30"/>
        <w:rPr>
          <w:rFonts w:ascii="宋体" w:hAnsi="宋体" w:eastAsia="宋体" w:cs="宋体"/>
          <w:color w:val="auto"/>
          <w:spacing w:val="-3"/>
          <w:sz w:val="24"/>
          <w:szCs w:val="24"/>
          <w:highlight w:val="none"/>
          <w:lang w:eastAsia="zh-CN"/>
        </w:rPr>
      </w:pPr>
      <w:bookmarkStart w:id="394" w:name="bookmark272"/>
      <w:bookmarkEnd w:id="394"/>
      <w:bookmarkStart w:id="395" w:name="bookmark271"/>
      <w:bookmarkEnd w:id="395"/>
      <w:r>
        <w:rPr>
          <w:rFonts w:hint="eastAsia" w:ascii="宋体" w:hAnsi="宋体" w:eastAsia="宋体" w:cs="宋体"/>
          <w:color w:val="auto"/>
          <w:spacing w:val="-3"/>
          <w:sz w:val="24"/>
          <w:szCs w:val="24"/>
          <w:highlight w:val="none"/>
          <w:lang w:eastAsia="zh-CN"/>
        </w:rPr>
        <w:t>注：</w:t>
      </w:r>
      <w:r>
        <w:rPr>
          <w:rFonts w:hint="eastAsia" w:ascii="宋体" w:hAnsi="宋体" w:eastAsia="宋体" w:cs="宋体"/>
          <w:color w:val="auto"/>
          <w:sz w:val="24"/>
          <w:szCs w:val="24"/>
          <w:highlight w:val="none"/>
          <w:lang w:eastAsia="zh-CN"/>
        </w:rPr>
        <w:t>须提供拟派项目团队相关证明材料。</w:t>
      </w:r>
    </w:p>
    <w:p w14:paraId="1EE88423">
      <w:pPr>
        <w:spacing w:line="360" w:lineRule="auto"/>
        <w:rPr>
          <w:rFonts w:ascii="宋体" w:hAnsi="宋体" w:eastAsia="宋体" w:cs="宋体"/>
          <w:color w:val="auto"/>
          <w:highlight w:val="none"/>
          <w:lang w:eastAsia="zh-CN"/>
        </w:rPr>
      </w:pPr>
    </w:p>
    <w:p w14:paraId="156F241F">
      <w:pPr>
        <w:spacing w:line="360" w:lineRule="auto"/>
        <w:rPr>
          <w:rFonts w:ascii="宋体" w:hAnsi="宋体" w:eastAsia="宋体" w:cs="宋体"/>
          <w:color w:val="auto"/>
          <w:highlight w:val="none"/>
          <w:lang w:eastAsia="zh-CN"/>
        </w:rPr>
      </w:pPr>
    </w:p>
    <w:p w14:paraId="10CF68DD">
      <w:pPr>
        <w:spacing w:line="360" w:lineRule="auto"/>
        <w:rPr>
          <w:rFonts w:ascii="宋体" w:hAnsi="宋体" w:eastAsia="宋体" w:cs="宋体"/>
          <w:color w:val="auto"/>
          <w:highlight w:val="none"/>
          <w:lang w:eastAsia="zh-CN"/>
        </w:rPr>
      </w:pPr>
    </w:p>
    <w:p w14:paraId="33286FDF">
      <w:pPr>
        <w:spacing w:line="360" w:lineRule="auto"/>
        <w:rPr>
          <w:rFonts w:ascii="宋体" w:hAnsi="宋体" w:eastAsia="宋体" w:cs="宋体"/>
          <w:color w:val="auto"/>
          <w:highlight w:val="none"/>
          <w:lang w:eastAsia="zh-CN"/>
        </w:rPr>
      </w:pPr>
    </w:p>
    <w:p w14:paraId="4C41C4C2">
      <w:pPr>
        <w:spacing w:line="360" w:lineRule="auto"/>
        <w:rPr>
          <w:rFonts w:ascii="宋体" w:hAnsi="宋体" w:eastAsia="宋体" w:cs="宋体"/>
          <w:b/>
          <w:bCs/>
          <w:color w:val="auto"/>
          <w:spacing w:val="4"/>
          <w:sz w:val="31"/>
          <w:szCs w:val="31"/>
          <w:highlight w:val="none"/>
          <w:lang w:eastAsia="zh-CN"/>
        </w:rPr>
      </w:pPr>
      <w:bookmarkStart w:id="396" w:name="bookmark273"/>
      <w:bookmarkEnd w:id="396"/>
      <w:bookmarkStart w:id="397" w:name="bookmark274"/>
      <w:bookmarkEnd w:id="397"/>
      <w:bookmarkStart w:id="398" w:name="_Toc186477822"/>
      <w:bookmarkStart w:id="399" w:name="_Toc11103"/>
      <w:r>
        <w:rPr>
          <w:rFonts w:hint="eastAsia" w:ascii="宋体" w:hAnsi="宋体" w:eastAsia="宋体" w:cs="宋体"/>
          <w:b/>
          <w:bCs/>
          <w:color w:val="auto"/>
          <w:spacing w:val="4"/>
          <w:sz w:val="31"/>
          <w:szCs w:val="31"/>
          <w:highlight w:val="none"/>
          <w:lang w:eastAsia="zh-CN"/>
        </w:rPr>
        <w:br w:type="page"/>
      </w:r>
    </w:p>
    <w:p w14:paraId="4ED62327">
      <w:pPr>
        <w:spacing w:before="101" w:line="360" w:lineRule="auto"/>
        <w:ind w:left="3217"/>
        <w:outlineLvl w:val="1"/>
        <w:rPr>
          <w:rFonts w:ascii="宋体" w:hAnsi="宋体" w:eastAsia="宋体" w:cs="宋体"/>
          <w:color w:val="auto"/>
          <w:sz w:val="31"/>
          <w:szCs w:val="31"/>
          <w:highlight w:val="none"/>
          <w:lang w:eastAsia="zh-CN"/>
        </w:rPr>
      </w:pPr>
      <w:r>
        <w:rPr>
          <w:rFonts w:hint="eastAsia" w:ascii="宋体" w:hAnsi="宋体" w:eastAsia="宋体" w:cs="宋体"/>
          <w:b/>
          <w:bCs/>
          <w:color w:val="auto"/>
          <w:spacing w:val="4"/>
          <w:sz w:val="31"/>
          <w:szCs w:val="31"/>
          <w:highlight w:val="none"/>
          <w:lang w:val="en-US" w:eastAsia="zh-CN"/>
        </w:rPr>
        <w:t>十</w:t>
      </w:r>
      <w:r>
        <w:rPr>
          <w:rFonts w:hint="eastAsia" w:ascii="宋体" w:hAnsi="宋体" w:eastAsia="宋体" w:cs="宋体"/>
          <w:b/>
          <w:bCs/>
          <w:color w:val="auto"/>
          <w:spacing w:val="4"/>
          <w:sz w:val="31"/>
          <w:szCs w:val="31"/>
          <w:highlight w:val="none"/>
          <w:lang w:eastAsia="zh-CN"/>
        </w:rPr>
        <w:t>、技术方案</w:t>
      </w:r>
      <w:bookmarkEnd w:id="398"/>
      <w:bookmarkEnd w:id="399"/>
    </w:p>
    <w:p w14:paraId="5181C3B3">
      <w:pPr>
        <w:spacing w:before="308" w:line="360" w:lineRule="auto"/>
        <w:ind w:left="25" w:right="13"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投标人应按照招标文件的要求，提供详细的供货及相关服</w:t>
      </w:r>
      <w:r>
        <w:rPr>
          <w:rFonts w:hint="eastAsia" w:ascii="宋体" w:hAnsi="宋体" w:eastAsia="宋体" w:cs="宋体"/>
          <w:color w:val="auto"/>
          <w:spacing w:val="-4"/>
          <w:sz w:val="24"/>
          <w:szCs w:val="24"/>
          <w:highlight w:val="none"/>
          <w:lang w:eastAsia="zh-CN"/>
        </w:rPr>
        <w:t>务方案，包括文字</w:t>
      </w:r>
      <w:r>
        <w:rPr>
          <w:rFonts w:hint="eastAsia" w:ascii="宋体" w:hAnsi="宋体" w:eastAsia="宋体" w:cs="宋体"/>
          <w:color w:val="auto"/>
          <w:spacing w:val="-1"/>
          <w:sz w:val="24"/>
          <w:szCs w:val="24"/>
          <w:highlight w:val="none"/>
          <w:lang w:eastAsia="zh-CN"/>
        </w:rPr>
        <w:t>描述或图表显示。格式自拟。</w:t>
      </w:r>
    </w:p>
    <w:p w14:paraId="70D0A94F">
      <w:pPr>
        <w:spacing w:line="360" w:lineRule="auto"/>
        <w:rPr>
          <w:rFonts w:ascii="宋体" w:hAnsi="宋体" w:eastAsia="宋体" w:cs="宋体"/>
          <w:color w:val="auto"/>
          <w:highlight w:val="none"/>
          <w:lang w:eastAsia="zh-CN"/>
        </w:rPr>
      </w:pPr>
    </w:p>
    <w:p w14:paraId="3479295E">
      <w:pPr>
        <w:spacing w:before="101" w:line="360" w:lineRule="auto"/>
        <w:ind w:left="3056"/>
        <w:outlineLvl w:val="1"/>
        <w:rPr>
          <w:rFonts w:ascii="宋体" w:hAnsi="宋体" w:eastAsia="宋体" w:cs="宋体"/>
          <w:color w:val="auto"/>
          <w:sz w:val="31"/>
          <w:szCs w:val="31"/>
          <w:highlight w:val="none"/>
          <w:lang w:eastAsia="zh-CN"/>
        </w:rPr>
      </w:pPr>
      <w:bookmarkStart w:id="400" w:name="bookmark276"/>
      <w:bookmarkEnd w:id="400"/>
      <w:bookmarkStart w:id="401" w:name="_Toc29725"/>
      <w:bookmarkStart w:id="402" w:name="_Toc186477823"/>
      <w:r>
        <w:rPr>
          <w:rFonts w:hint="eastAsia" w:ascii="宋体" w:hAnsi="宋体" w:eastAsia="宋体" w:cs="宋体"/>
          <w:b/>
          <w:bCs/>
          <w:color w:val="auto"/>
          <w:spacing w:val="5"/>
          <w:sz w:val="31"/>
          <w:szCs w:val="31"/>
          <w:highlight w:val="none"/>
          <w:lang w:val="en-US" w:eastAsia="zh-CN"/>
        </w:rPr>
        <w:t>十一</w:t>
      </w:r>
      <w:r>
        <w:rPr>
          <w:rFonts w:hint="eastAsia" w:ascii="宋体" w:hAnsi="宋体" w:eastAsia="宋体" w:cs="宋体"/>
          <w:b/>
          <w:bCs/>
          <w:color w:val="auto"/>
          <w:spacing w:val="5"/>
          <w:sz w:val="31"/>
          <w:szCs w:val="31"/>
          <w:highlight w:val="none"/>
          <w:lang w:eastAsia="zh-CN"/>
        </w:rPr>
        <w:t>、其他文件</w:t>
      </w:r>
      <w:bookmarkEnd w:id="401"/>
      <w:bookmarkEnd w:id="402"/>
    </w:p>
    <w:p w14:paraId="7748047F">
      <w:pPr>
        <w:spacing w:line="360" w:lineRule="auto"/>
        <w:rPr>
          <w:rFonts w:ascii="宋体" w:hAnsi="宋体" w:eastAsia="宋体" w:cs="宋体"/>
          <w:color w:val="auto"/>
          <w:highlight w:val="none"/>
          <w:lang w:eastAsia="zh-CN"/>
        </w:rPr>
      </w:pPr>
    </w:p>
    <w:p w14:paraId="135ED14B">
      <w:pPr>
        <w:spacing w:before="91" w:line="360" w:lineRule="auto"/>
        <w:ind w:left="33"/>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（一）招标文件要求提供的其它商务、技术资料和证明材料；</w:t>
      </w:r>
    </w:p>
    <w:p w14:paraId="3939CB52">
      <w:pPr>
        <w:spacing w:line="360" w:lineRule="auto"/>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投标保证金缴纳凭证/保函</w:t>
      </w:r>
    </w:p>
    <w:p w14:paraId="50E90BFD">
      <w:pPr>
        <w:spacing w:line="360" w:lineRule="auto"/>
        <w:rPr>
          <w:rFonts w:ascii="宋体" w:hAnsi="宋体" w:eastAsia="宋体" w:cs="宋体"/>
          <w:color w:val="auto"/>
          <w:highlight w:val="none"/>
          <w:lang w:eastAsia="zh-CN"/>
        </w:rPr>
      </w:pPr>
    </w:p>
    <w:p w14:paraId="257F3D7A">
      <w:pPr>
        <w:spacing w:line="360" w:lineRule="auto"/>
        <w:rPr>
          <w:rFonts w:ascii="宋体" w:hAnsi="宋体" w:eastAsia="宋体" w:cs="宋体"/>
          <w:color w:val="auto"/>
          <w:highlight w:val="none"/>
          <w:lang w:eastAsia="zh-CN"/>
        </w:rPr>
      </w:pPr>
    </w:p>
    <w:p w14:paraId="3E9C6447">
      <w:pPr>
        <w:spacing w:line="360" w:lineRule="auto"/>
        <w:rPr>
          <w:rFonts w:ascii="宋体" w:hAnsi="宋体" w:eastAsia="宋体" w:cs="宋体"/>
          <w:color w:val="auto"/>
          <w:highlight w:val="none"/>
          <w:lang w:eastAsia="zh-CN"/>
        </w:rPr>
      </w:pPr>
    </w:p>
    <w:p w14:paraId="1F445E01">
      <w:pPr>
        <w:spacing w:line="360" w:lineRule="auto"/>
        <w:rPr>
          <w:rFonts w:ascii="宋体" w:hAnsi="宋体" w:eastAsia="宋体" w:cs="宋体"/>
          <w:color w:val="auto"/>
          <w:highlight w:val="none"/>
          <w:lang w:eastAsia="zh-CN"/>
        </w:rPr>
      </w:pPr>
    </w:p>
    <w:p w14:paraId="3315FAC0">
      <w:pPr>
        <w:spacing w:before="91" w:line="360" w:lineRule="auto"/>
        <w:ind w:left="33"/>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（二）投标人认为需要提供的其它商务、技术资料和说明。</w:t>
      </w:r>
    </w:p>
    <w:p w14:paraId="19435F8A">
      <w:pPr>
        <w:spacing w:line="360"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5B062423">
      <w:pPr>
        <w:spacing w:line="360" w:lineRule="auto"/>
        <w:outlineLvl w:val="0"/>
        <w:rPr>
          <w:rFonts w:ascii="宋体" w:hAnsi="宋体" w:eastAsia="宋体" w:cs="宋体"/>
          <w:color w:val="auto"/>
          <w:spacing w:val="-9"/>
          <w:sz w:val="24"/>
          <w:szCs w:val="24"/>
          <w:highlight w:val="none"/>
          <w:lang w:eastAsia="zh-CN"/>
        </w:rPr>
      </w:pPr>
      <w:bookmarkStart w:id="403" w:name="_Toc12965"/>
      <w:r>
        <w:rPr>
          <w:rFonts w:hint="eastAsia" w:ascii="宋体" w:hAnsi="宋体" w:eastAsia="宋体" w:cs="宋体"/>
          <w:color w:val="auto"/>
          <w:spacing w:val="-9"/>
          <w:sz w:val="24"/>
          <w:szCs w:val="24"/>
          <w:highlight w:val="none"/>
          <w:lang w:eastAsia="zh-CN"/>
        </w:rPr>
        <w:t>附件1：政府采购促进中小企业发展管理办法</w:t>
      </w:r>
      <w:bookmarkEnd w:id="403"/>
    </w:p>
    <w:p w14:paraId="4DA2DF9B">
      <w:pPr>
        <w:spacing w:line="360" w:lineRule="auto"/>
        <w:jc w:val="center"/>
        <w:rPr>
          <w:rFonts w:ascii="宋体" w:hAnsi="宋体" w:eastAsia="宋体" w:cs="宋体"/>
          <w:b/>
          <w:bCs/>
          <w:color w:val="auto"/>
          <w:spacing w:val="-9"/>
          <w:sz w:val="24"/>
          <w:szCs w:val="24"/>
          <w:highlight w:val="none"/>
          <w:lang w:eastAsia="zh-CN"/>
        </w:rPr>
      </w:pPr>
      <w:r>
        <w:rPr>
          <w:rFonts w:hint="eastAsia" w:ascii="宋体" w:hAnsi="宋体" w:eastAsia="宋体" w:cs="宋体"/>
          <w:b/>
          <w:bCs/>
          <w:color w:val="auto"/>
          <w:spacing w:val="-9"/>
          <w:sz w:val="24"/>
          <w:szCs w:val="24"/>
          <w:highlight w:val="none"/>
          <w:lang w:eastAsia="zh-CN"/>
        </w:rPr>
        <w:t>政府采购促进中小企业发展管理办法</w:t>
      </w:r>
    </w:p>
    <w:p w14:paraId="366B9C0A">
      <w:pPr>
        <w:spacing w:line="360" w:lineRule="auto"/>
        <w:ind w:firstLine="7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6"/>
          <w:sz w:val="24"/>
          <w:szCs w:val="24"/>
          <w:highlight w:val="none"/>
          <w:lang w:eastAsia="zh-CN"/>
        </w:rPr>
        <w:t>第一条  为了发挥政府采购的政策功能，</w:t>
      </w:r>
      <w:r>
        <w:rPr>
          <w:rFonts w:hint="eastAsia" w:ascii="宋体" w:hAnsi="宋体" w:eastAsia="宋体" w:cs="宋体"/>
          <w:color w:val="auto"/>
          <w:spacing w:val="5"/>
          <w:sz w:val="24"/>
          <w:szCs w:val="24"/>
          <w:highlight w:val="none"/>
          <w:lang w:eastAsia="zh-CN"/>
        </w:rPr>
        <w:t>促进中小企业</w:t>
      </w:r>
      <w:r>
        <w:rPr>
          <w:rFonts w:hint="eastAsia" w:ascii="宋体" w:hAnsi="宋体" w:eastAsia="宋体" w:cs="宋体"/>
          <w:color w:val="auto"/>
          <w:spacing w:val="-3"/>
          <w:sz w:val="24"/>
          <w:szCs w:val="24"/>
          <w:highlight w:val="none"/>
          <w:lang w:eastAsia="zh-CN"/>
        </w:rPr>
        <w:t>健康发展，根据《中华人民共和国政府采购法</w:t>
      </w:r>
      <w:r>
        <w:rPr>
          <w:rFonts w:hint="eastAsia" w:ascii="宋体" w:hAnsi="宋体" w:eastAsia="宋体" w:cs="宋体"/>
          <w:color w:val="auto"/>
          <w:spacing w:val="-4"/>
          <w:sz w:val="24"/>
          <w:szCs w:val="24"/>
          <w:highlight w:val="none"/>
          <w:lang w:eastAsia="zh-CN"/>
        </w:rPr>
        <w:t>》、《中华人民</w:t>
      </w:r>
      <w:r>
        <w:rPr>
          <w:rFonts w:hint="eastAsia" w:ascii="宋体" w:hAnsi="宋体" w:eastAsia="宋体" w:cs="宋体"/>
          <w:color w:val="auto"/>
          <w:spacing w:val="8"/>
          <w:sz w:val="24"/>
          <w:szCs w:val="24"/>
          <w:highlight w:val="none"/>
          <w:lang w:eastAsia="zh-CN"/>
        </w:rPr>
        <w:t>共和国中小企业促进法》等有关法律法规，制定本办法。</w:t>
      </w:r>
    </w:p>
    <w:p w14:paraId="49D394E0">
      <w:pPr>
        <w:spacing w:line="360" w:lineRule="auto"/>
        <w:ind w:firstLine="70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第二条  本办法所称中小企业，是指在中华人民共和国</w:t>
      </w:r>
      <w:r>
        <w:rPr>
          <w:rFonts w:hint="eastAsia" w:ascii="宋体" w:hAnsi="宋体" w:eastAsia="宋体" w:cs="宋体"/>
          <w:color w:val="auto"/>
          <w:spacing w:val="8"/>
          <w:sz w:val="24"/>
          <w:szCs w:val="24"/>
          <w:highlight w:val="none"/>
          <w:lang w:eastAsia="zh-CN"/>
        </w:rPr>
        <w:t>境内依法设立，依据国务院批准的中小企业划分标准确定的中型企业、小型企业和微型企业，但与大企业的负责人为同一人，或者与大企业存在直接控股、管理关系的除外。</w:t>
      </w:r>
    </w:p>
    <w:p w14:paraId="672768BB">
      <w:pPr>
        <w:spacing w:line="360"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8"/>
          <w:position w:val="15"/>
          <w:sz w:val="24"/>
          <w:szCs w:val="24"/>
          <w:highlight w:val="none"/>
          <w:lang w:eastAsia="zh-CN"/>
        </w:rPr>
        <w:t>符合中小企业划分标准的个体工商户，在政府采购活动</w:t>
      </w:r>
    </w:p>
    <w:p w14:paraId="3BD5FE65">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中视同中小企业。</w:t>
      </w:r>
    </w:p>
    <w:p w14:paraId="07D7E168">
      <w:pPr>
        <w:spacing w:line="360" w:lineRule="auto"/>
        <w:ind w:firstLine="69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第三条  采购人在政府采购活动中应当通过</w:t>
      </w:r>
      <w:r>
        <w:rPr>
          <w:rFonts w:hint="eastAsia" w:ascii="宋体" w:hAnsi="宋体" w:eastAsia="宋体" w:cs="宋体"/>
          <w:color w:val="auto"/>
          <w:spacing w:val="18"/>
          <w:sz w:val="24"/>
          <w:szCs w:val="24"/>
          <w:highlight w:val="none"/>
          <w:lang w:eastAsia="zh-CN"/>
        </w:rPr>
        <w:t>加强采购</w:t>
      </w:r>
      <w:r>
        <w:rPr>
          <w:rFonts w:hint="eastAsia" w:ascii="宋体" w:hAnsi="宋体" w:eastAsia="宋体" w:cs="宋体"/>
          <w:color w:val="auto"/>
          <w:spacing w:val="8"/>
          <w:sz w:val="24"/>
          <w:szCs w:val="24"/>
          <w:highlight w:val="none"/>
          <w:lang w:eastAsia="zh-CN"/>
        </w:rPr>
        <w:t>需求管理，落实预留采购份额、价格评审优惠、优先采购等措施，提高中小企业在政府采购中的份额，支持中小企业发</w:t>
      </w:r>
      <w:r>
        <w:rPr>
          <w:rFonts w:hint="eastAsia" w:ascii="宋体" w:hAnsi="宋体" w:eastAsia="宋体" w:cs="宋体"/>
          <w:color w:val="auto"/>
          <w:spacing w:val="-7"/>
          <w:sz w:val="24"/>
          <w:szCs w:val="24"/>
          <w:highlight w:val="none"/>
          <w:lang w:eastAsia="zh-CN"/>
        </w:rPr>
        <w:t>展。</w:t>
      </w:r>
    </w:p>
    <w:p w14:paraId="408057ED">
      <w:pPr>
        <w:spacing w:line="360" w:lineRule="auto"/>
        <w:ind w:firstLine="69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第四条  在政府采购活动中，供应商提供的货物、工程</w:t>
      </w:r>
      <w:r>
        <w:rPr>
          <w:rFonts w:hint="eastAsia" w:ascii="宋体" w:hAnsi="宋体" w:eastAsia="宋体" w:cs="宋体"/>
          <w:color w:val="auto"/>
          <w:spacing w:val="8"/>
          <w:sz w:val="24"/>
          <w:szCs w:val="24"/>
          <w:highlight w:val="none"/>
          <w:lang w:eastAsia="zh-CN"/>
        </w:rPr>
        <w:t>或者服务符合下列情形的，享受本办法规定的中小企业扶持</w:t>
      </w:r>
      <w:r>
        <w:rPr>
          <w:rFonts w:hint="eastAsia" w:ascii="宋体" w:hAnsi="宋体" w:eastAsia="宋体" w:cs="宋体"/>
          <w:color w:val="auto"/>
          <w:spacing w:val="-2"/>
          <w:sz w:val="24"/>
          <w:szCs w:val="24"/>
          <w:highlight w:val="none"/>
          <w:lang w:eastAsia="zh-CN"/>
        </w:rPr>
        <w:t>政策：</w:t>
      </w:r>
    </w:p>
    <w:p w14:paraId="5C422D5E">
      <w:pPr>
        <w:spacing w:line="360" w:lineRule="auto"/>
        <w:ind w:firstLine="500" w:firstLineChars="200"/>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（一）在货物采购项目中，货物由中小企业制造，即货</w:t>
      </w:r>
    </w:p>
    <w:p w14:paraId="13669092">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物由中小企业生产且使用该中小企业商号或者注册商标；</w:t>
      </w:r>
    </w:p>
    <w:p w14:paraId="6DE83018">
      <w:pPr>
        <w:spacing w:line="360" w:lineRule="auto"/>
        <w:ind w:firstLine="500" w:firstLineChars="200"/>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（二）在工程采购项目中，工程由中小企业承建，即工</w:t>
      </w:r>
    </w:p>
    <w:p w14:paraId="2BACB080">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程施工单位为中小企业；</w:t>
      </w:r>
    </w:p>
    <w:p w14:paraId="4D2DBD25">
      <w:pPr>
        <w:spacing w:line="360" w:lineRule="auto"/>
        <w:ind w:firstLine="694"/>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（三）在服务采购项目中，服务由中小企业承接，即提供服务的人员为中小企业依照《中华人民共和国劳动合同法》订立劳动合同的从业人员。</w:t>
      </w:r>
    </w:p>
    <w:p w14:paraId="3D25890C">
      <w:pPr>
        <w:spacing w:line="360" w:lineRule="auto"/>
        <w:ind w:firstLine="694"/>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在货物采购项目中，供应商提供的货物既有中小企业制造货物，也有大型企业制造货物的，不享受本办法规定的中小企业扶持政策。</w:t>
      </w:r>
    </w:p>
    <w:p w14:paraId="0EE84604">
      <w:pPr>
        <w:spacing w:line="360" w:lineRule="auto"/>
        <w:ind w:firstLine="69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以联合体形式参加政府采购活动，联合体各方均为中小企业的，联合体视同中小企业。其中，联合体各方</w:t>
      </w:r>
      <w:r>
        <w:rPr>
          <w:rFonts w:hint="eastAsia" w:ascii="宋体" w:hAnsi="宋体" w:eastAsia="宋体" w:cs="宋体"/>
          <w:color w:val="auto"/>
          <w:spacing w:val="8"/>
          <w:sz w:val="24"/>
          <w:szCs w:val="24"/>
          <w:highlight w:val="none"/>
          <w:lang w:eastAsia="zh-CN"/>
        </w:rPr>
        <w:t>均为小微</w:t>
      </w:r>
      <w:r>
        <w:rPr>
          <w:rFonts w:hint="eastAsia" w:ascii="宋体" w:hAnsi="宋体" w:eastAsia="宋体" w:cs="宋体"/>
          <w:color w:val="auto"/>
          <w:spacing w:val="7"/>
          <w:sz w:val="24"/>
          <w:szCs w:val="24"/>
          <w:highlight w:val="none"/>
          <w:lang w:eastAsia="zh-CN"/>
        </w:rPr>
        <w:t>企业的，联合体视同小微企业。</w:t>
      </w:r>
    </w:p>
    <w:p w14:paraId="05B25926">
      <w:pPr>
        <w:spacing w:line="360" w:lineRule="auto"/>
        <w:ind w:firstLine="69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第五条  采购人在政府采购活动中应当合理</w:t>
      </w:r>
      <w:r>
        <w:rPr>
          <w:rFonts w:hint="eastAsia" w:ascii="宋体" w:hAnsi="宋体" w:eastAsia="宋体" w:cs="宋体"/>
          <w:color w:val="auto"/>
          <w:spacing w:val="18"/>
          <w:sz w:val="24"/>
          <w:szCs w:val="24"/>
          <w:highlight w:val="none"/>
          <w:lang w:eastAsia="zh-CN"/>
        </w:rPr>
        <w:t>确定采购</w:t>
      </w:r>
      <w:r>
        <w:rPr>
          <w:rFonts w:hint="eastAsia" w:ascii="宋体" w:hAnsi="宋体" w:eastAsia="宋体" w:cs="宋体"/>
          <w:color w:val="auto"/>
          <w:spacing w:val="8"/>
          <w:sz w:val="24"/>
          <w:szCs w:val="24"/>
          <w:highlight w:val="none"/>
          <w:lang w:eastAsia="zh-CN"/>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AC2E891">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第六条  主管预算单位应当组织评估本部门</w:t>
      </w:r>
      <w:r>
        <w:rPr>
          <w:rFonts w:hint="eastAsia" w:ascii="宋体" w:hAnsi="宋体" w:eastAsia="宋体" w:cs="宋体"/>
          <w:color w:val="auto"/>
          <w:spacing w:val="18"/>
          <w:sz w:val="24"/>
          <w:szCs w:val="24"/>
          <w:highlight w:val="none"/>
          <w:lang w:eastAsia="zh-CN"/>
        </w:rPr>
        <w:t>及所属单</w:t>
      </w:r>
      <w:r>
        <w:rPr>
          <w:rFonts w:hint="eastAsia" w:ascii="宋体" w:hAnsi="宋体" w:eastAsia="宋体" w:cs="宋体"/>
          <w:color w:val="auto"/>
          <w:spacing w:val="8"/>
          <w:sz w:val="24"/>
          <w:szCs w:val="24"/>
          <w:highlight w:val="none"/>
          <w:lang w:eastAsia="zh-CN"/>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color w:val="auto"/>
          <w:spacing w:val="-4"/>
          <w:sz w:val="24"/>
          <w:szCs w:val="24"/>
          <w:highlight w:val="none"/>
          <w:lang w:eastAsia="zh-CN"/>
        </w:rPr>
        <w:t>列示。</w:t>
      </w:r>
    </w:p>
    <w:p w14:paraId="47F6FD41">
      <w:pPr>
        <w:spacing w:line="360" w:lineRule="auto"/>
        <w:ind w:firstLine="556" w:firstLineChars="200"/>
        <w:rPr>
          <w:rFonts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符合下列情形之一的，可不专门面向中小企业预留采购份额：</w:t>
      </w:r>
    </w:p>
    <w:p w14:paraId="49F4A641">
      <w:pPr>
        <w:spacing w:line="360" w:lineRule="auto"/>
        <w:ind w:firstLine="556" w:firstLineChars="200"/>
        <w:rPr>
          <w:rFonts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（一）法律法规和国家有关政策明确规定优先或者应当面向事业单位、社会组织等非企业主体采购的；</w:t>
      </w:r>
    </w:p>
    <w:p w14:paraId="03B42FCA">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（二）因确需使用不可替代的专利、专有技术，基础设施限制，或者提供特定公共服务等原因，只能从中小企业之外的供应商处采购的；</w:t>
      </w:r>
    </w:p>
    <w:p w14:paraId="391F05D8">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（三）按照本办法规定预留采购份额无法确保充分供应、充分竞争，或者存在可能影响政府采购目标实现的情形；</w:t>
      </w:r>
    </w:p>
    <w:p w14:paraId="517A379D">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（四）框架协议采购项目；</w:t>
      </w:r>
    </w:p>
    <w:p w14:paraId="6F5AC661">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（五）省级以上人民政府财政部门规定的其他情形。</w:t>
      </w:r>
    </w:p>
    <w:p w14:paraId="0EDAD144">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除上述情形外，其他均为适宜由中小企业提供的情形。</w:t>
      </w:r>
    </w:p>
    <w:p w14:paraId="077FFF6B">
      <w:pPr>
        <w:spacing w:line="360" w:lineRule="auto"/>
        <w:ind w:firstLine="690"/>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第七条  采购限额标准以上，200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万元以下的货物和服</w:t>
      </w:r>
      <w:r>
        <w:rPr>
          <w:rFonts w:hint="eastAsia" w:ascii="宋体" w:hAnsi="宋体" w:eastAsia="宋体" w:cs="宋体"/>
          <w:color w:val="auto"/>
          <w:spacing w:val="9"/>
          <w:sz w:val="24"/>
          <w:szCs w:val="24"/>
          <w:highlight w:val="none"/>
          <w:lang w:eastAsia="zh-CN"/>
        </w:rPr>
        <w:t>务采购项目、400</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万元以下的工程采购项目，适宜由中小企</w:t>
      </w:r>
      <w:r>
        <w:rPr>
          <w:rFonts w:hint="eastAsia" w:ascii="宋体" w:hAnsi="宋体" w:eastAsia="宋体" w:cs="宋体"/>
          <w:color w:val="auto"/>
          <w:spacing w:val="8"/>
          <w:sz w:val="24"/>
          <w:szCs w:val="24"/>
          <w:highlight w:val="none"/>
          <w:lang w:eastAsia="zh-CN"/>
        </w:rPr>
        <w:t>业提供的，采购人应当专门面向中小企业采购。</w:t>
      </w:r>
    </w:p>
    <w:p w14:paraId="04F23AED">
      <w:pPr>
        <w:spacing w:line="360" w:lineRule="auto"/>
        <w:ind w:firstLine="710"/>
        <w:rPr>
          <w:rFonts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第八条  超过</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200</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万元的货物和服务采购项目、超过</w:t>
      </w:r>
      <w:r>
        <w:rPr>
          <w:rFonts w:hint="eastAsia" w:ascii="宋体" w:hAnsi="宋体" w:eastAsia="宋体" w:cs="宋体"/>
          <w:color w:val="auto"/>
          <w:spacing w:val="10"/>
          <w:sz w:val="24"/>
          <w:szCs w:val="24"/>
          <w:highlight w:val="none"/>
          <w:lang w:eastAsia="zh-CN"/>
        </w:rPr>
        <w:t>400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万元的工程采购项目中适宜由中小企业提供的，预留该</w:t>
      </w:r>
      <w:r>
        <w:rPr>
          <w:rFonts w:hint="eastAsia" w:ascii="宋体" w:hAnsi="宋体" w:eastAsia="宋体" w:cs="宋体"/>
          <w:color w:val="auto"/>
          <w:spacing w:val="11"/>
          <w:sz w:val="24"/>
          <w:szCs w:val="24"/>
          <w:highlight w:val="none"/>
          <w:lang w:eastAsia="zh-CN"/>
        </w:rPr>
        <w:t>部分采购项目预算总额的</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30%以上专门面向</w:t>
      </w:r>
      <w:r>
        <w:rPr>
          <w:rFonts w:hint="eastAsia" w:ascii="宋体" w:hAnsi="宋体" w:eastAsia="宋体" w:cs="宋体"/>
          <w:color w:val="auto"/>
          <w:spacing w:val="10"/>
          <w:sz w:val="24"/>
          <w:szCs w:val="24"/>
          <w:highlight w:val="none"/>
          <w:lang w:eastAsia="zh-CN"/>
        </w:rPr>
        <w:t>中小企业采购，</w:t>
      </w:r>
      <w:r>
        <w:rPr>
          <w:rFonts w:hint="eastAsia" w:ascii="宋体" w:hAnsi="宋体" w:eastAsia="宋体" w:cs="宋体"/>
          <w:color w:val="auto"/>
          <w:spacing w:val="11"/>
          <w:sz w:val="24"/>
          <w:szCs w:val="24"/>
          <w:highlight w:val="none"/>
          <w:lang w:eastAsia="zh-CN"/>
        </w:rPr>
        <w:t>其中预留给小微企业的比例不低于</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60%。预留份额通</w:t>
      </w:r>
      <w:r>
        <w:rPr>
          <w:rFonts w:hint="eastAsia" w:ascii="宋体" w:hAnsi="宋体" w:eastAsia="宋体" w:cs="宋体"/>
          <w:color w:val="auto"/>
          <w:spacing w:val="10"/>
          <w:sz w:val="24"/>
          <w:szCs w:val="24"/>
          <w:highlight w:val="none"/>
          <w:lang w:eastAsia="zh-CN"/>
        </w:rPr>
        <w:t>过下列</w:t>
      </w:r>
      <w:r>
        <w:rPr>
          <w:rFonts w:hint="eastAsia" w:ascii="宋体" w:hAnsi="宋体" w:eastAsia="宋体" w:cs="宋体"/>
          <w:color w:val="auto"/>
          <w:spacing w:val="3"/>
          <w:sz w:val="24"/>
          <w:szCs w:val="24"/>
          <w:highlight w:val="none"/>
          <w:lang w:eastAsia="zh-CN"/>
        </w:rPr>
        <w:t>措施进行：</w:t>
      </w:r>
    </w:p>
    <w:p w14:paraId="4DE490DB">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（一）将采购项目整体或者设置采购包专门面向中小企业采购；</w:t>
      </w:r>
    </w:p>
    <w:p w14:paraId="11ED3843">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（二）要求供应商以联合体形式参加采购活动，且联合体中中小企业承担的部分达到一定比例；</w:t>
      </w:r>
    </w:p>
    <w:p w14:paraId="7E7E1737">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（三）要求获得采购合同的供应商将采购项目中的一定比例分包给一家或者多家中小企业。组成联合体或者接受分包合同的中小企业与联合体内其他企业、分包企业之间不得存在直接控股、管理关系。</w:t>
      </w:r>
    </w:p>
    <w:p w14:paraId="53617F59">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第九条  对于经主管预算单位统筹后未预留</w:t>
      </w:r>
      <w:r>
        <w:rPr>
          <w:rFonts w:hint="eastAsia" w:ascii="宋体" w:hAnsi="宋体" w:eastAsia="宋体" w:cs="宋体"/>
          <w:color w:val="auto"/>
          <w:spacing w:val="18"/>
          <w:sz w:val="24"/>
          <w:szCs w:val="24"/>
          <w:highlight w:val="none"/>
          <w:lang w:eastAsia="zh-CN"/>
        </w:rPr>
        <w:t>份额专门</w:t>
      </w:r>
      <w:r>
        <w:rPr>
          <w:rFonts w:hint="eastAsia" w:ascii="宋体" w:hAnsi="宋体" w:eastAsia="宋体" w:cs="宋体"/>
          <w:color w:val="auto"/>
          <w:spacing w:val="8"/>
          <w:sz w:val="24"/>
          <w:szCs w:val="24"/>
          <w:highlight w:val="none"/>
          <w:lang w:eastAsia="zh-CN"/>
        </w:rPr>
        <w:t>面向中小企业采购的采购项目，以及预留份额项目中的非预留部分采购包，采购人、采购代理机构应当对符合本办法规</w:t>
      </w:r>
      <w:r>
        <w:rPr>
          <w:rFonts w:hint="eastAsia" w:ascii="宋体" w:hAnsi="宋体" w:eastAsia="宋体" w:cs="宋体"/>
          <w:color w:val="auto"/>
          <w:spacing w:val="5"/>
          <w:sz w:val="24"/>
          <w:szCs w:val="24"/>
          <w:highlight w:val="none"/>
          <w:lang w:eastAsia="zh-CN"/>
        </w:rPr>
        <w:t>定的小微企业报价给予</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6%—</w:t>
      </w:r>
      <w:r>
        <w:rPr>
          <w:rFonts w:hint="eastAsia" w:ascii="宋体" w:hAnsi="宋体" w:eastAsia="宋体" w:cs="宋体"/>
          <w:color w:val="auto"/>
          <w:spacing w:val="-12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10%（工程项</w:t>
      </w:r>
      <w:r>
        <w:rPr>
          <w:rFonts w:hint="eastAsia" w:ascii="宋体" w:hAnsi="宋体" w:eastAsia="宋体" w:cs="宋体"/>
          <w:color w:val="auto"/>
          <w:spacing w:val="4"/>
          <w:sz w:val="24"/>
          <w:szCs w:val="24"/>
          <w:highlight w:val="none"/>
          <w:lang w:eastAsia="zh-CN"/>
        </w:rPr>
        <w:t>目为3%—5%）的扣</w:t>
      </w:r>
      <w:r>
        <w:rPr>
          <w:rFonts w:hint="eastAsia" w:ascii="宋体" w:hAnsi="宋体" w:eastAsia="宋体" w:cs="宋体"/>
          <w:color w:val="auto"/>
          <w:spacing w:val="8"/>
          <w:sz w:val="24"/>
          <w:szCs w:val="24"/>
          <w:highlight w:val="none"/>
          <w:lang w:eastAsia="zh-CN"/>
        </w:rPr>
        <w:t>除，用扣除后的价格参加评审。适用招标投标法的政府采购</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工程建设项目，采用综合评估法但未采用低价优先法计算价格分的，评标时应当在采用原报价进行评分的基础上增加其</w:t>
      </w:r>
      <w:r>
        <w:rPr>
          <w:rFonts w:hint="eastAsia" w:ascii="宋体" w:hAnsi="宋体" w:eastAsia="宋体" w:cs="宋体"/>
          <w:color w:val="auto"/>
          <w:spacing w:val="5"/>
          <w:sz w:val="24"/>
          <w:szCs w:val="24"/>
          <w:highlight w:val="none"/>
          <w:lang w:eastAsia="zh-CN"/>
        </w:rPr>
        <w:t>价格得分的</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3%—5%作为其价格分。</w:t>
      </w:r>
    </w:p>
    <w:p w14:paraId="016478AD">
      <w:pPr>
        <w:spacing w:line="360" w:lineRule="auto"/>
        <w:ind w:firstLine="710"/>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接受大中型企业与小微企业组成联合体或者允许大中</w:t>
      </w:r>
      <w:r>
        <w:rPr>
          <w:rFonts w:hint="eastAsia" w:ascii="宋体" w:hAnsi="宋体" w:eastAsia="宋体" w:cs="宋体"/>
          <w:color w:val="auto"/>
          <w:spacing w:val="8"/>
          <w:sz w:val="24"/>
          <w:szCs w:val="24"/>
          <w:highlight w:val="none"/>
          <w:lang w:eastAsia="zh-CN"/>
        </w:rPr>
        <w:t>型企业向一家或者多家小微企业分包的采购项目，对于联合</w:t>
      </w:r>
      <w:r>
        <w:rPr>
          <w:rFonts w:hint="eastAsia" w:ascii="宋体" w:hAnsi="宋体" w:eastAsia="宋体" w:cs="宋体"/>
          <w:color w:val="auto"/>
          <w:spacing w:val="21"/>
          <w:sz w:val="24"/>
          <w:szCs w:val="24"/>
          <w:highlight w:val="none"/>
          <w:lang w:eastAsia="zh-CN"/>
        </w:rPr>
        <w:t>协议或者分包意向协议约定小微企业的合同份额占到合同</w:t>
      </w:r>
      <w:r>
        <w:rPr>
          <w:rFonts w:hint="eastAsia" w:ascii="宋体" w:hAnsi="宋体" w:eastAsia="宋体" w:cs="宋体"/>
          <w:color w:val="auto"/>
          <w:spacing w:val="10"/>
          <w:sz w:val="24"/>
          <w:szCs w:val="24"/>
          <w:highlight w:val="none"/>
          <w:lang w:eastAsia="zh-CN"/>
        </w:rPr>
        <w:t>总金额</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30%以上的，采购人、采购代理机构应当对联合体或</w:t>
      </w:r>
      <w:r>
        <w:rPr>
          <w:rFonts w:hint="eastAsia" w:ascii="宋体" w:hAnsi="宋体" w:eastAsia="宋体" w:cs="宋体"/>
          <w:color w:val="auto"/>
          <w:spacing w:val="5"/>
          <w:sz w:val="24"/>
          <w:szCs w:val="24"/>
          <w:highlight w:val="none"/>
          <w:lang w:eastAsia="zh-CN"/>
        </w:rPr>
        <w:t>者大中型企业的报价给予</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2%-3%（工程项目为</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1%—2%）的扣</w:t>
      </w:r>
      <w:r>
        <w:rPr>
          <w:rFonts w:hint="eastAsia" w:ascii="宋体" w:hAnsi="宋体" w:eastAsia="宋体" w:cs="宋体"/>
          <w:color w:val="auto"/>
          <w:spacing w:val="8"/>
          <w:sz w:val="24"/>
          <w:szCs w:val="24"/>
          <w:highlight w:val="none"/>
          <w:lang w:eastAsia="zh-CN"/>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color w:val="auto"/>
          <w:spacing w:val="4"/>
          <w:sz w:val="24"/>
          <w:szCs w:val="24"/>
          <w:highlight w:val="none"/>
          <w:lang w:eastAsia="zh-CN"/>
        </w:rPr>
        <w:t>价格得分的</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1%—2%作为其价格分。组成联合</w:t>
      </w:r>
      <w:r>
        <w:rPr>
          <w:rFonts w:hint="eastAsia" w:ascii="宋体" w:hAnsi="宋体" w:eastAsia="宋体" w:cs="宋体"/>
          <w:color w:val="auto"/>
          <w:spacing w:val="3"/>
          <w:sz w:val="24"/>
          <w:szCs w:val="24"/>
          <w:highlight w:val="none"/>
          <w:lang w:eastAsia="zh-CN"/>
        </w:rPr>
        <w:t>体或者接受分包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的小微企业与联合体内其他企业、分包企业之间存在直接控股、管理关系的，不享受价格扣除优惠政策。</w:t>
      </w:r>
    </w:p>
    <w:p w14:paraId="7BB14656">
      <w:pPr>
        <w:spacing w:line="360" w:lineRule="auto"/>
        <w:ind w:firstLine="708"/>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价格扣除比例或者价格分加分比例对小型企业和微型</w:t>
      </w:r>
      <w:r>
        <w:rPr>
          <w:rFonts w:hint="eastAsia" w:ascii="宋体" w:hAnsi="宋体" w:eastAsia="宋体" w:cs="宋体"/>
          <w:color w:val="auto"/>
          <w:spacing w:val="8"/>
          <w:sz w:val="24"/>
          <w:szCs w:val="24"/>
          <w:highlight w:val="none"/>
          <w:lang w:eastAsia="zh-CN"/>
        </w:rPr>
        <w:t>企业同等对待，不作区分。具体采购项目的价格扣除比例或者价格分加分比例，由采购人根据采购标的相关行业平均利润率、市场竞争状况等，在本办法规定的幅度内确定。</w:t>
      </w:r>
    </w:p>
    <w:p w14:paraId="5E60E334">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第十条  采购人应当严格按照本办法规定和</w:t>
      </w:r>
      <w:r>
        <w:rPr>
          <w:rFonts w:hint="eastAsia" w:ascii="宋体" w:hAnsi="宋体" w:eastAsia="宋体" w:cs="宋体"/>
          <w:color w:val="auto"/>
          <w:spacing w:val="18"/>
          <w:sz w:val="24"/>
          <w:szCs w:val="24"/>
          <w:highlight w:val="none"/>
          <w:lang w:eastAsia="zh-CN"/>
        </w:rPr>
        <w:t>主管预算</w:t>
      </w:r>
      <w:r>
        <w:rPr>
          <w:rFonts w:hint="eastAsia" w:ascii="宋体" w:hAnsi="宋体" w:eastAsia="宋体" w:cs="宋体"/>
          <w:color w:val="auto"/>
          <w:spacing w:val="8"/>
          <w:sz w:val="24"/>
          <w:szCs w:val="24"/>
          <w:highlight w:val="none"/>
          <w:lang w:eastAsia="zh-CN"/>
        </w:rPr>
        <w:t>单位制定的预留采购份额具体方案开展采购活动。预留份额的采购项目或者采购包，通过发布公告方式邀请供应商后，</w:t>
      </w:r>
      <w:r>
        <w:rPr>
          <w:rFonts w:hint="eastAsia" w:ascii="宋体" w:hAnsi="宋体" w:eastAsia="宋体" w:cs="宋体"/>
          <w:color w:val="auto"/>
          <w:spacing w:val="6"/>
          <w:sz w:val="24"/>
          <w:szCs w:val="24"/>
          <w:highlight w:val="none"/>
          <w:lang w:eastAsia="zh-CN"/>
        </w:rPr>
        <w:t>符合资格条件的中小企业数量不足</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家的，应当中止采购活</w:t>
      </w:r>
      <w:r>
        <w:rPr>
          <w:rFonts w:hint="eastAsia" w:ascii="宋体" w:hAnsi="宋体" w:eastAsia="宋体" w:cs="宋体"/>
          <w:color w:val="auto"/>
          <w:spacing w:val="8"/>
          <w:sz w:val="24"/>
          <w:szCs w:val="24"/>
          <w:highlight w:val="none"/>
          <w:lang w:eastAsia="zh-CN"/>
        </w:rPr>
        <w:t>动，视同未预留份额的采购项目或者采购包，按照本办法第</w:t>
      </w:r>
      <w:r>
        <w:rPr>
          <w:rFonts w:hint="eastAsia" w:ascii="宋体" w:hAnsi="宋体" w:eastAsia="宋体" w:cs="宋体"/>
          <w:color w:val="auto"/>
          <w:spacing w:val="7"/>
          <w:sz w:val="24"/>
          <w:szCs w:val="24"/>
          <w:highlight w:val="none"/>
          <w:lang w:eastAsia="zh-CN"/>
        </w:rPr>
        <w:t>九条有关规定重新组织采购活动。</w:t>
      </w:r>
    </w:p>
    <w:p w14:paraId="4370B528">
      <w:pPr>
        <w:spacing w:line="360" w:lineRule="auto"/>
        <w:ind w:firstLine="699"/>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第十一条</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中小企业参加政府采购活动，应当出具本办</w:t>
      </w:r>
      <w:r>
        <w:rPr>
          <w:rFonts w:hint="eastAsia" w:ascii="宋体" w:hAnsi="宋体" w:eastAsia="宋体" w:cs="宋体"/>
          <w:color w:val="auto"/>
          <w:spacing w:val="2"/>
          <w:sz w:val="24"/>
          <w:szCs w:val="24"/>
          <w:highlight w:val="none"/>
          <w:lang w:eastAsia="zh-CN"/>
        </w:rPr>
        <w:t>法规定的《中小企业声明函》（附</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w:t>
      </w:r>
      <w:r>
        <w:rPr>
          <w:rFonts w:hint="eastAsia" w:ascii="宋体" w:hAnsi="宋体" w:eastAsia="宋体" w:cs="宋体"/>
          <w:color w:val="auto"/>
          <w:spacing w:val="-50"/>
          <w:sz w:val="24"/>
          <w:szCs w:val="24"/>
          <w:highlight w:val="none"/>
          <w:lang w:eastAsia="zh-CN"/>
        </w:rPr>
        <w:t>），</w:t>
      </w:r>
      <w:r>
        <w:rPr>
          <w:rFonts w:hint="eastAsia" w:ascii="宋体" w:hAnsi="宋体" w:eastAsia="宋体" w:cs="宋体"/>
          <w:color w:val="auto"/>
          <w:spacing w:val="2"/>
          <w:sz w:val="24"/>
          <w:szCs w:val="24"/>
          <w:highlight w:val="none"/>
          <w:lang w:eastAsia="zh-CN"/>
        </w:rPr>
        <w:t>否则不得享受相关中</w:t>
      </w:r>
      <w:r>
        <w:rPr>
          <w:rFonts w:hint="eastAsia" w:ascii="宋体" w:hAnsi="宋体" w:eastAsia="宋体" w:cs="宋体"/>
          <w:color w:val="auto"/>
          <w:spacing w:val="8"/>
          <w:sz w:val="24"/>
          <w:szCs w:val="24"/>
          <w:highlight w:val="none"/>
          <w:lang w:eastAsia="zh-CN"/>
        </w:rPr>
        <w:t>小企业扶持政策。任何单位和个人不得要求供应商提供《中小企业声明函》之外的中小企业身份证明文件。</w:t>
      </w:r>
    </w:p>
    <w:p w14:paraId="0C2E5CE0">
      <w:pPr>
        <w:spacing w:line="360" w:lineRule="auto"/>
        <w:ind w:firstLine="69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3"/>
          <w:sz w:val="24"/>
          <w:szCs w:val="24"/>
          <w:highlight w:val="none"/>
          <w:lang w:eastAsia="zh-CN"/>
        </w:rPr>
        <w:t xml:space="preserve">第十二条  </w:t>
      </w:r>
      <w:r>
        <w:rPr>
          <w:rFonts w:hint="eastAsia" w:ascii="宋体" w:hAnsi="宋体" w:eastAsia="宋体" w:cs="宋体"/>
          <w:color w:val="auto"/>
          <w:spacing w:val="2"/>
          <w:sz w:val="24"/>
          <w:szCs w:val="24"/>
          <w:highlight w:val="none"/>
          <w:lang w:eastAsia="zh-CN"/>
        </w:rPr>
        <w:t>采购项目涉及中小企业采购的，采购文件应当明确以下内容：</w:t>
      </w:r>
    </w:p>
    <w:p w14:paraId="4C9D50B1">
      <w:pPr>
        <w:spacing w:line="360" w:lineRule="auto"/>
        <w:ind w:firstLine="709"/>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（一）预留份额的采购项目或者采购包，明确该项目或</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相关采购包专门面向中小企业采购，以及相关标的及委托合计金额</w:t>
      </w:r>
      <w:r>
        <w:rPr>
          <w:rFonts w:hint="eastAsia" w:ascii="宋体" w:hAnsi="宋体" w:eastAsia="宋体" w:cs="宋体"/>
          <w:color w:val="auto"/>
          <w:spacing w:val="-6"/>
          <w:sz w:val="24"/>
          <w:szCs w:val="24"/>
          <w:highlight w:val="none"/>
          <w:lang w:eastAsia="zh-CN"/>
        </w:rPr>
        <w:t>；</w:t>
      </w:r>
    </w:p>
    <w:p w14:paraId="768B497D">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（二）要求以联合体形式参加或者合同分包的，明确联 合协议或者分包意向协议中中小企业合同金额应当达到的比例，并作为供应商资格条件；</w:t>
      </w:r>
    </w:p>
    <w:p w14:paraId="38E51995">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（三）非预留份额的采购项目或者采购包，明确有关价格扣除比例或者价格分加分比例；</w:t>
      </w:r>
    </w:p>
    <w:p w14:paraId="34EAD370">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（四）规定依据本办法规定享受扶持政策获得政府采购合同的，小微企业不得将合同分包给大中型企业，中型企业不得将合同分包给大型企业；</w:t>
      </w:r>
    </w:p>
    <w:p w14:paraId="2E9DDCE7">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（五）采购人认为具备相关条件的，明确对中小企业在资金支付期限、预付款比例等方面的优惠措施；</w:t>
      </w:r>
    </w:p>
    <w:p w14:paraId="5EAD5531">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（六）明确采购标的对应的中小企业划分标准所属行业；</w:t>
      </w:r>
    </w:p>
    <w:p w14:paraId="450D87F9">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（七）法律法规和省级以上人民政府财政部门规定的其他事项。</w:t>
      </w:r>
    </w:p>
    <w:p w14:paraId="1783041D">
      <w:pPr>
        <w:spacing w:line="360" w:lineRule="auto"/>
        <w:ind w:firstLine="703"/>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第十三条</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中标、成交供应商享受本办法规定的中小企业扶持政策的，采购人、采购代理机构应当随中标、成交结果公开中标、成交供应商的《中小企业声明函》。</w:t>
      </w:r>
    </w:p>
    <w:p w14:paraId="0FE1D885">
      <w:pPr>
        <w:spacing w:line="360" w:lineRule="auto"/>
        <w:ind w:firstLine="703"/>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适用招标投标法的政府采购工程建设项目，应当在公示中标候选人时公开中标候选</w:t>
      </w:r>
      <w:r>
        <w:rPr>
          <w:rFonts w:hint="eastAsia" w:ascii="宋体" w:hAnsi="宋体" w:eastAsia="宋体" w:cs="宋体"/>
          <w:color w:val="auto"/>
          <w:spacing w:val="2"/>
          <w:sz w:val="24"/>
          <w:szCs w:val="24"/>
          <w:highlight w:val="none"/>
          <w:lang w:eastAsia="zh-CN"/>
        </w:rPr>
        <w:t>人的《中小企业声明函》。</w:t>
      </w:r>
    </w:p>
    <w:p w14:paraId="1D71A3DD">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第十四条  对于通过预留采购项目、预留专门采购包、</w:t>
      </w:r>
      <w:r>
        <w:rPr>
          <w:rFonts w:hint="eastAsia" w:ascii="宋体" w:hAnsi="宋体" w:eastAsia="宋体" w:cs="宋体"/>
          <w:color w:val="auto"/>
          <w:spacing w:val="21"/>
          <w:sz w:val="24"/>
          <w:szCs w:val="24"/>
          <w:highlight w:val="none"/>
          <w:lang w:eastAsia="zh-CN"/>
        </w:rPr>
        <w:t>要求以联合体形式参加或者合同分包等措施签订的采购合</w:t>
      </w:r>
      <w:r>
        <w:rPr>
          <w:rFonts w:hint="eastAsia" w:ascii="宋体" w:hAnsi="宋体" w:eastAsia="宋体" w:cs="宋体"/>
          <w:color w:val="auto"/>
          <w:spacing w:val="8"/>
          <w:sz w:val="24"/>
          <w:szCs w:val="24"/>
          <w:highlight w:val="none"/>
          <w:lang w:eastAsia="zh-CN"/>
        </w:rPr>
        <w:t>同，应当明确标注本合同为中小企业预留合同。其中，要求以联合体形式参加采购活动或者合同分包的，应当将联合协议或者分包意向协议作为采购合同的组成部分。</w:t>
      </w:r>
    </w:p>
    <w:p w14:paraId="0BF442BE">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第十五条  鼓励各地区、各部门在采购活动中允许中小</w:t>
      </w:r>
      <w:r>
        <w:rPr>
          <w:rFonts w:hint="eastAsia" w:ascii="宋体" w:hAnsi="宋体" w:eastAsia="宋体" w:cs="宋体"/>
          <w:color w:val="auto"/>
          <w:spacing w:val="8"/>
          <w:sz w:val="24"/>
          <w:szCs w:val="24"/>
          <w:highlight w:val="none"/>
          <w:lang w:eastAsia="zh-CN"/>
        </w:rPr>
        <w:t>企业引入信用担保手段，为中小企业在投标（响应）保证、履约保证等方面提供专业化服务。鼓励中小企业依法合规通</w:t>
      </w:r>
      <w:r>
        <w:rPr>
          <w:rFonts w:hint="eastAsia" w:ascii="宋体" w:hAnsi="宋体" w:eastAsia="宋体" w:cs="宋体"/>
          <w:color w:val="auto"/>
          <w:spacing w:val="6"/>
          <w:sz w:val="24"/>
          <w:szCs w:val="24"/>
          <w:highlight w:val="none"/>
          <w:lang w:eastAsia="zh-CN"/>
        </w:rPr>
        <w:t>过政府采购合同融资。</w:t>
      </w:r>
    </w:p>
    <w:p w14:paraId="5DACDE05">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第十六条  政府采购监督检查、投诉处理及政府采购行</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政处罚中对中小企业的认定，由货物制造商或者工程、服务</w:t>
      </w:r>
      <w:r>
        <w:rPr>
          <w:rFonts w:hint="eastAsia" w:ascii="宋体" w:hAnsi="宋体" w:eastAsia="宋体" w:cs="宋体"/>
          <w:color w:val="auto"/>
          <w:spacing w:val="21"/>
          <w:sz w:val="24"/>
          <w:szCs w:val="24"/>
          <w:highlight w:val="none"/>
          <w:lang w:eastAsia="zh-CN"/>
        </w:rPr>
        <w:t>供应商注册登记所在地的县级以上人民政府中小企业主管</w:t>
      </w:r>
      <w:r>
        <w:rPr>
          <w:rFonts w:hint="eastAsia" w:ascii="宋体" w:hAnsi="宋体" w:eastAsia="宋体" w:cs="宋体"/>
          <w:color w:val="auto"/>
          <w:spacing w:val="3"/>
          <w:sz w:val="24"/>
          <w:szCs w:val="24"/>
          <w:highlight w:val="none"/>
          <w:lang w:eastAsia="zh-CN"/>
        </w:rPr>
        <w:t>部门负责。</w:t>
      </w:r>
    </w:p>
    <w:p w14:paraId="491E5018">
      <w:pPr>
        <w:spacing w:line="360" w:lineRule="auto"/>
        <w:ind w:firstLine="750"/>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17"/>
          <w:sz w:val="24"/>
          <w:szCs w:val="24"/>
          <w:highlight w:val="none"/>
          <w:lang w:eastAsia="zh-CN"/>
        </w:rPr>
        <w:t>中小企业主管部门应当在收到财政部门或者有关招标</w:t>
      </w:r>
      <w:r>
        <w:rPr>
          <w:rFonts w:hint="eastAsia" w:ascii="宋体" w:hAnsi="宋体" w:eastAsia="宋体" w:cs="宋体"/>
          <w:color w:val="auto"/>
          <w:spacing w:val="11"/>
          <w:sz w:val="24"/>
          <w:szCs w:val="24"/>
          <w:highlight w:val="none"/>
          <w:lang w:eastAsia="zh-CN"/>
        </w:rPr>
        <w:t>投标行政监督部门关于协助开展中小企业认定函后10</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个工</w:t>
      </w:r>
      <w:r>
        <w:rPr>
          <w:rFonts w:hint="eastAsia" w:ascii="宋体" w:hAnsi="宋体" w:eastAsia="宋体" w:cs="宋体"/>
          <w:color w:val="auto"/>
          <w:spacing w:val="6"/>
          <w:sz w:val="24"/>
          <w:szCs w:val="24"/>
          <w:highlight w:val="none"/>
          <w:lang w:eastAsia="zh-CN"/>
        </w:rPr>
        <w:t>作日内做出书面答复。</w:t>
      </w:r>
    </w:p>
    <w:p w14:paraId="3B6AE4F5">
      <w:pPr>
        <w:spacing w:line="360" w:lineRule="auto"/>
        <w:ind w:firstLine="75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 xml:space="preserve">第十七条 </w:t>
      </w:r>
      <w:r>
        <w:rPr>
          <w:rFonts w:hint="eastAsia" w:ascii="宋体" w:hAnsi="宋体" w:eastAsia="宋体" w:cs="宋体"/>
          <w:color w:val="auto"/>
          <w:spacing w:val="17"/>
          <w:sz w:val="24"/>
          <w:szCs w:val="24"/>
          <w:highlight w:val="none"/>
          <w:lang w:eastAsia="zh-CN"/>
        </w:rPr>
        <w:t xml:space="preserve"> 各地区、各部门应当对涉及中小企业采购的预算项目实施全过</w:t>
      </w:r>
      <w:r>
        <w:rPr>
          <w:rFonts w:hint="eastAsia" w:ascii="宋体" w:hAnsi="宋体" w:eastAsia="宋体" w:cs="宋体"/>
          <w:color w:val="auto"/>
          <w:spacing w:val="8"/>
          <w:sz w:val="24"/>
          <w:szCs w:val="24"/>
          <w:highlight w:val="none"/>
          <w:lang w:eastAsia="zh-CN"/>
        </w:rPr>
        <w:t>程绩效管理，合理设置绩效目标和指标，落实扶持中小企业有关政策要求，定期开展绩效监控和评价，强化绩效评价结果应用。</w:t>
      </w:r>
    </w:p>
    <w:p w14:paraId="5BC08F91">
      <w:pPr>
        <w:spacing w:line="360" w:lineRule="auto"/>
        <w:ind w:firstLine="512" w:firstLineChars="200"/>
        <w:rPr>
          <w:rFonts w:ascii="宋体" w:hAnsi="宋体" w:eastAsia="宋体" w:cs="宋体"/>
          <w:color w:val="auto"/>
          <w:spacing w:val="8"/>
          <w:position w:val="18"/>
          <w:sz w:val="24"/>
          <w:szCs w:val="24"/>
          <w:highlight w:val="none"/>
          <w:lang w:eastAsia="zh-CN"/>
        </w:rPr>
      </w:pPr>
      <w:r>
        <w:rPr>
          <w:rFonts w:hint="eastAsia" w:ascii="宋体" w:hAnsi="宋体" w:eastAsia="宋体" w:cs="宋体"/>
          <w:color w:val="auto"/>
          <w:spacing w:val="8"/>
          <w:position w:val="18"/>
          <w:sz w:val="24"/>
          <w:szCs w:val="24"/>
          <w:highlight w:val="none"/>
          <w:lang w:eastAsia="zh-CN"/>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555E2345">
      <w:pPr>
        <w:spacing w:line="360" w:lineRule="auto"/>
        <w:ind w:firstLine="55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第十九条  采购人未按本办法规定为中小企</w:t>
      </w:r>
      <w:r>
        <w:rPr>
          <w:rFonts w:hint="eastAsia" w:ascii="宋体" w:hAnsi="宋体" w:eastAsia="宋体" w:cs="宋体"/>
          <w:color w:val="auto"/>
          <w:spacing w:val="18"/>
          <w:sz w:val="24"/>
          <w:szCs w:val="24"/>
          <w:highlight w:val="none"/>
          <w:lang w:eastAsia="zh-CN"/>
        </w:rPr>
        <w:t>业预留采</w:t>
      </w:r>
      <w:r>
        <w:rPr>
          <w:rFonts w:hint="eastAsia" w:ascii="宋体" w:hAnsi="宋体" w:eastAsia="宋体" w:cs="宋体"/>
          <w:color w:val="auto"/>
          <w:spacing w:val="8"/>
          <w:sz w:val="24"/>
          <w:szCs w:val="24"/>
          <w:highlight w:val="none"/>
          <w:lang w:eastAsia="zh-CN"/>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color w:val="auto"/>
          <w:spacing w:val="5"/>
          <w:sz w:val="24"/>
          <w:szCs w:val="24"/>
          <w:highlight w:val="none"/>
          <w:lang w:eastAsia="zh-CN"/>
        </w:rPr>
        <w:t>追究法律责任。</w:t>
      </w:r>
    </w:p>
    <w:p w14:paraId="105EB75E">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第二十条  供应商按照本办法规定提供声明</w:t>
      </w:r>
      <w:r>
        <w:rPr>
          <w:rFonts w:hint="eastAsia" w:ascii="宋体" w:hAnsi="宋体" w:eastAsia="宋体" w:cs="宋体"/>
          <w:color w:val="auto"/>
          <w:spacing w:val="18"/>
          <w:sz w:val="24"/>
          <w:szCs w:val="24"/>
          <w:highlight w:val="none"/>
          <w:lang w:eastAsia="zh-CN"/>
        </w:rPr>
        <w:t>函内容不</w:t>
      </w:r>
      <w:r>
        <w:rPr>
          <w:rFonts w:hint="eastAsia" w:ascii="宋体" w:hAnsi="宋体" w:eastAsia="宋体" w:cs="宋体"/>
          <w:color w:val="auto"/>
          <w:spacing w:val="8"/>
          <w:sz w:val="24"/>
          <w:szCs w:val="24"/>
          <w:highlight w:val="none"/>
          <w:lang w:eastAsia="zh-CN"/>
        </w:rPr>
        <w:t>实的，属于提供虚假材料谋取中标、成交，依照《中华人民共和国政府采购法》等国家有关规定追究相应责任。</w:t>
      </w:r>
    </w:p>
    <w:p w14:paraId="418C6ED8">
      <w:pPr>
        <w:spacing w:line="360" w:lineRule="auto"/>
        <w:ind w:firstLine="638"/>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适用招标投标法的政府采购工程建设项目，投标人按照本办法规定提供声明函内容不实的，属于弄虚作假骗取</w:t>
      </w:r>
      <w:r>
        <w:rPr>
          <w:rFonts w:hint="eastAsia" w:ascii="宋体" w:hAnsi="宋体" w:eastAsia="宋体" w:cs="宋体"/>
          <w:color w:val="auto"/>
          <w:spacing w:val="5"/>
          <w:sz w:val="24"/>
          <w:szCs w:val="24"/>
          <w:highlight w:val="none"/>
          <w:lang w:eastAsia="zh-CN"/>
        </w:rPr>
        <w:t>中标，</w:t>
      </w:r>
      <w:r>
        <w:rPr>
          <w:rFonts w:hint="eastAsia" w:ascii="宋体" w:hAnsi="宋体" w:eastAsia="宋体" w:cs="宋体"/>
          <w:color w:val="auto"/>
          <w:spacing w:val="8"/>
          <w:sz w:val="24"/>
          <w:szCs w:val="24"/>
          <w:highlight w:val="none"/>
          <w:lang w:eastAsia="zh-CN"/>
        </w:rPr>
        <w:t>依照《中华人民共和国招标投标法》等国家有关规定追究相</w:t>
      </w:r>
      <w:r>
        <w:rPr>
          <w:rFonts w:hint="eastAsia" w:ascii="宋体" w:hAnsi="宋体" w:eastAsia="宋体" w:cs="宋体"/>
          <w:color w:val="auto"/>
          <w:spacing w:val="2"/>
          <w:sz w:val="24"/>
          <w:szCs w:val="24"/>
          <w:highlight w:val="none"/>
          <w:lang w:eastAsia="zh-CN"/>
        </w:rPr>
        <w:t>应责任。</w:t>
      </w:r>
    </w:p>
    <w:p w14:paraId="3E723E07">
      <w:pPr>
        <w:spacing w:line="360" w:lineRule="auto"/>
        <w:ind w:firstLine="70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第二十一条  财政部门、中小企业主管部门及其工作人</w:t>
      </w:r>
      <w:r>
        <w:rPr>
          <w:rFonts w:hint="eastAsia" w:ascii="宋体" w:hAnsi="宋体" w:eastAsia="宋体" w:cs="宋体"/>
          <w:color w:val="auto"/>
          <w:spacing w:val="8"/>
          <w:sz w:val="24"/>
          <w:szCs w:val="24"/>
          <w:highlight w:val="none"/>
          <w:lang w:eastAsia="zh-CN"/>
        </w:rPr>
        <w:t>员在履行职责中违反本办法规定及存在其他滥用职权、玩忽职守、徇私舞弊等违法违纪行为的，依照《</w:t>
      </w:r>
      <w:r>
        <w:rPr>
          <w:color w:val="auto"/>
          <w:highlight w:val="none"/>
        </w:rPr>
        <w:fldChar w:fldCharType="begin"/>
      </w:r>
      <w:r>
        <w:rPr>
          <w:color w:val="auto"/>
          <w:highlight w:val="none"/>
        </w:rPr>
        <w:instrText xml:space="preserve"> HYPERLINK "http://10.162.100.18:168/golaw?dbnm=gjfg&amp;flid=1116012014128049" </w:instrText>
      </w:r>
      <w:r>
        <w:rPr>
          <w:color w:val="auto"/>
          <w:highlight w:val="none"/>
        </w:rPr>
        <w:fldChar w:fldCharType="separate"/>
      </w:r>
      <w:r>
        <w:rPr>
          <w:rFonts w:hint="eastAsia" w:ascii="宋体" w:hAnsi="宋体" w:eastAsia="宋体" w:cs="宋体"/>
          <w:color w:val="auto"/>
          <w:spacing w:val="8"/>
          <w:sz w:val="24"/>
          <w:szCs w:val="24"/>
          <w:highlight w:val="none"/>
          <w:lang w:eastAsia="zh-CN"/>
        </w:rPr>
        <w:t>中华人民共和国</w:t>
      </w:r>
      <w:r>
        <w:rPr>
          <w:rFonts w:hint="eastAsia" w:ascii="宋体" w:hAnsi="宋体" w:eastAsia="宋体" w:cs="宋体"/>
          <w:color w:val="auto"/>
          <w:spacing w:val="8"/>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政府采购法》、《</w:t>
      </w:r>
      <w:r>
        <w:rPr>
          <w:color w:val="auto"/>
          <w:highlight w:val="none"/>
        </w:rPr>
        <w:fldChar w:fldCharType="begin"/>
      </w:r>
      <w:r>
        <w:rPr>
          <w:color w:val="auto"/>
          <w:highlight w:val="none"/>
        </w:rPr>
        <w:instrText xml:space="preserve"> HYPERLINK "http://10.162.100.18:168/golaw?dbnm=gjfg&amp;flid=111601200501" </w:instrText>
      </w:r>
      <w:r>
        <w:rPr>
          <w:color w:val="auto"/>
          <w:highlight w:val="none"/>
        </w:rPr>
        <w:fldChar w:fldCharType="separate"/>
      </w:r>
      <w:r>
        <w:rPr>
          <w:rFonts w:hint="eastAsia" w:ascii="宋体" w:hAnsi="宋体" w:eastAsia="宋体" w:cs="宋体"/>
          <w:color w:val="auto"/>
          <w:spacing w:val="-14"/>
          <w:sz w:val="24"/>
          <w:szCs w:val="24"/>
          <w:highlight w:val="none"/>
          <w:lang w:eastAsia="zh-CN"/>
        </w:rPr>
        <w:t>中华人民共和国公务员法</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w:t>
      </w:r>
      <w:r>
        <w:rPr>
          <w:color w:val="auto"/>
          <w:highlight w:val="none"/>
        </w:rPr>
        <w:fldChar w:fldCharType="begin"/>
      </w:r>
      <w:r>
        <w:rPr>
          <w:color w:val="auto"/>
          <w:highlight w:val="none"/>
        </w:rPr>
        <w:instrText xml:space="preserve"> HYPERLINK "http://10.162.100.18:168/golaw?dbnm=gjfg&amp;flid=1117032010100014" </w:instrText>
      </w:r>
      <w:r>
        <w:rPr>
          <w:color w:val="auto"/>
          <w:highlight w:val="none"/>
        </w:rPr>
        <w:fldChar w:fldCharType="separate"/>
      </w:r>
      <w:r>
        <w:rPr>
          <w:rFonts w:hint="eastAsia" w:ascii="宋体" w:hAnsi="宋体" w:eastAsia="宋体" w:cs="宋体"/>
          <w:color w:val="auto"/>
          <w:spacing w:val="-14"/>
          <w:sz w:val="24"/>
          <w:szCs w:val="24"/>
          <w:highlight w:val="none"/>
          <w:lang w:eastAsia="zh-CN"/>
        </w:rPr>
        <w:t>中华人民共和</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国监察法》、《</w:t>
      </w:r>
      <w:r>
        <w:rPr>
          <w:color w:val="auto"/>
          <w:highlight w:val="none"/>
        </w:rPr>
        <w:fldChar w:fldCharType="begin"/>
      </w:r>
      <w:r>
        <w:rPr>
          <w:color w:val="auto"/>
          <w:highlight w:val="none"/>
        </w:rPr>
        <w:instrText xml:space="preserve"> HYPERLINK "http://10.162.100.18:168/golaw?dbnm=gjfg&amp;flid=1129012015130679" </w:instrText>
      </w:r>
      <w:r>
        <w:rPr>
          <w:color w:val="auto"/>
          <w:highlight w:val="none"/>
        </w:rPr>
        <w:fldChar w:fldCharType="separate"/>
      </w:r>
      <w:r>
        <w:rPr>
          <w:rFonts w:hint="eastAsia" w:ascii="宋体" w:hAnsi="宋体" w:eastAsia="宋体" w:cs="宋体"/>
          <w:color w:val="auto"/>
          <w:spacing w:val="-3"/>
          <w:sz w:val="24"/>
          <w:szCs w:val="24"/>
          <w:highlight w:val="none"/>
          <w:lang w:eastAsia="zh-CN"/>
        </w:rPr>
        <w:t>中华人民共和国政府采购法实施条例</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》等</w:t>
      </w:r>
      <w:r>
        <w:rPr>
          <w:rFonts w:hint="eastAsia" w:ascii="宋体" w:hAnsi="宋体" w:eastAsia="宋体" w:cs="宋体"/>
          <w:color w:val="auto"/>
          <w:spacing w:val="-4"/>
          <w:sz w:val="24"/>
          <w:szCs w:val="24"/>
          <w:highlight w:val="none"/>
          <w:lang w:eastAsia="zh-CN"/>
        </w:rPr>
        <w:t>国家</w:t>
      </w:r>
      <w:r>
        <w:rPr>
          <w:rFonts w:hint="eastAsia" w:ascii="宋体" w:hAnsi="宋体" w:eastAsia="宋体" w:cs="宋体"/>
          <w:color w:val="auto"/>
          <w:spacing w:val="9"/>
          <w:sz w:val="24"/>
          <w:szCs w:val="24"/>
          <w:highlight w:val="none"/>
          <w:lang w:eastAsia="zh-CN"/>
        </w:rPr>
        <w:t>有关规定追究相应责任；涉嫌犯罪的，依法</w:t>
      </w:r>
      <w:r>
        <w:rPr>
          <w:rFonts w:hint="eastAsia" w:ascii="宋体" w:hAnsi="宋体" w:eastAsia="宋体" w:cs="宋体"/>
          <w:color w:val="auto"/>
          <w:spacing w:val="8"/>
          <w:sz w:val="24"/>
          <w:szCs w:val="24"/>
          <w:highlight w:val="none"/>
          <w:lang w:eastAsia="zh-CN"/>
        </w:rPr>
        <w:t>移送有关国家机</w:t>
      </w:r>
      <w:r>
        <w:rPr>
          <w:rFonts w:hint="eastAsia" w:ascii="宋体" w:hAnsi="宋体" w:eastAsia="宋体" w:cs="宋体"/>
          <w:color w:val="auto"/>
          <w:spacing w:val="-1"/>
          <w:sz w:val="24"/>
          <w:szCs w:val="24"/>
          <w:highlight w:val="none"/>
          <w:lang w:eastAsia="zh-CN"/>
        </w:rPr>
        <w:t>关处理。</w:t>
      </w:r>
    </w:p>
    <w:p w14:paraId="522B2F2F">
      <w:pPr>
        <w:spacing w:line="360" w:lineRule="auto"/>
        <w:ind w:firstLine="50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第二十二条</w:t>
      </w:r>
      <w:r>
        <w:rPr>
          <w:rFonts w:hint="eastAsia" w:ascii="宋体" w:hAnsi="宋体" w:eastAsia="宋体" w:cs="宋体"/>
          <w:b/>
          <w:bCs/>
          <w:color w:val="auto"/>
          <w:spacing w:val="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对外援助项目、国家相关资格或者资质管理制度另有规定的项目，不适用本办法。</w:t>
      </w:r>
    </w:p>
    <w:p w14:paraId="0AB63E97">
      <w:pPr>
        <w:spacing w:line="360" w:lineRule="auto"/>
        <w:rPr>
          <w:rFonts w:ascii="宋体" w:hAnsi="宋体" w:eastAsia="宋体" w:cs="宋体"/>
          <w:color w:val="auto"/>
          <w:sz w:val="24"/>
          <w:szCs w:val="24"/>
          <w:highlight w:val="none"/>
          <w:lang w:eastAsia="zh-CN"/>
        </w:rPr>
        <w:sectPr>
          <w:footerReference r:id="rId9" w:type="default"/>
          <w:pgSz w:w="11906" w:h="16839"/>
          <w:pgMar w:top="1429" w:right="1553" w:bottom="1378" w:left="1786" w:header="907" w:footer="1134" w:gutter="0"/>
          <w:cols w:space="720" w:num="1"/>
        </w:sectPr>
      </w:pPr>
    </w:p>
    <w:p w14:paraId="1DC2FA01">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第二十三条</w:t>
      </w:r>
      <w:r>
        <w:rPr>
          <w:rFonts w:hint="eastAsia" w:ascii="宋体" w:hAnsi="宋体" w:eastAsia="宋体" w:cs="宋体"/>
          <w:color w:val="auto"/>
          <w:spacing w:val="8"/>
          <w:sz w:val="24"/>
          <w:szCs w:val="24"/>
          <w:highlight w:val="none"/>
          <w:lang w:eastAsia="zh-CN"/>
        </w:rPr>
        <w:t xml:space="preserve">  关于视同中小企业的其他主体的政府采</w:t>
      </w:r>
    </w:p>
    <w:p w14:paraId="27A8B0B7">
      <w:pPr>
        <w:spacing w:line="360" w:lineRule="auto"/>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购扶持政策，由财政部会同有关部门另行规定。</w:t>
      </w:r>
    </w:p>
    <w:p w14:paraId="2F7743C2">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第二十四条</w:t>
      </w:r>
      <w:r>
        <w:rPr>
          <w:rFonts w:hint="eastAsia" w:ascii="宋体" w:hAnsi="宋体" w:eastAsia="宋体" w:cs="宋体"/>
          <w:color w:val="auto"/>
          <w:spacing w:val="8"/>
          <w:sz w:val="24"/>
          <w:szCs w:val="24"/>
          <w:highlight w:val="none"/>
          <w:lang w:eastAsia="zh-CN"/>
        </w:rPr>
        <w:t xml:space="preserve">  省级财政部门可以会同中小企业主管部门根据本办法的规定制定具体实施办法。</w:t>
      </w:r>
    </w:p>
    <w:p w14:paraId="73D24599">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第二十五条</w:t>
      </w:r>
      <w:r>
        <w:rPr>
          <w:rFonts w:hint="eastAsia" w:ascii="宋体" w:hAnsi="宋体" w:eastAsia="宋体" w:cs="宋体"/>
          <w:color w:val="auto"/>
          <w:spacing w:val="8"/>
          <w:sz w:val="24"/>
          <w:szCs w:val="24"/>
          <w:highlight w:val="none"/>
          <w:lang w:eastAsia="zh-CN"/>
        </w:rPr>
        <w:t xml:space="preserve">  本办法自2021年1月1日起施行。《财政部工业和信息化部关于印发〈政府采购促进中小企业发展暂行办法〉的通知》（财库（2011﹞181号）同时废止。</w:t>
      </w:r>
    </w:p>
    <w:p w14:paraId="453119D1">
      <w:pPr>
        <w:spacing w:line="360" w:lineRule="auto"/>
        <w:rPr>
          <w:rFonts w:ascii="宋体" w:hAnsi="宋体" w:eastAsia="宋体" w:cs="宋体"/>
          <w:color w:val="auto"/>
          <w:sz w:val="24"/>
          <w:szCs w:val="24"/>
          <w:highlight w:val="none"/>
          <w:lang w:eastAsia="zh-CN"/>
        </w:rPr>
      </w:pPr>
    </w:p>
    <w:p w14:paraId="3C16BF3E">
      <w:pPr>
        <w:spacing w:line="360" w:lineRule="auto"/>
        <w:rPr>
          <w:rFonts w:ascii="宋体" w:hAnsi="宋体" w:eastAsia="宋体" w:cs="宋体"/>
          <w:color w:val="auto"/>
          <w:sz w:val="24"/>
          <w:szCs w:val="24"/>
          <w:highlight w:val="none"/>
          <w:lang w:eastAsia="zh-CN"/>
        </w:rPr>
      </w:pPr>
    </w:p>
    <w:p w14:paraId="296464D6">
      <w:pPr>
        <w:spacing w:line="360" w:lineRule="auto"/>
        <w:rPr>
          <w:rFonts w:ascii="宋体" w:hAnsi="宋体" w:eastAsia="宋体" w:cs="宋体"/>
          <w:color w:val="auto"/>
          <w:sz w:val="24"/>
          <w:szCs w:val="24"/>
          <w:highlight w:val="none"/>
          <w:lang w:eastAsia="zh-CN"/>
        </w:rPr>
        <w:sectPr>
          <w:pgSz w:w="11906" w:h="16839"/>
          <w:pgMar w:top="1429" w:right="1553" w:bottom="1378" w:left="1786" w:header="907" w:footer="0" w:gutter="0"/>
          <w:cols w:space="720" w:num="1"/>
        </w:sectPr>
      </w:pPr>
    </w:p>
    <w:p w14:paraId="341BC4AC">
      <w:pPr>
        <w:spacing w:line="360" w:lineRule="auto"/>
        <w:outlineLvl w:val="0"/>
        <w:rPr>
          <w:rFonts w:ascii="宋体" w:hAnsi="宋体" w:eastAsia="宋体" w:cs="宋体"/>
          <w:color w:val="auto"/>
          <w:spacing w:val="-9"/>
          <w:sz w:val="24"/>
          <w:szCs w:val="24"/>
          <w:highlight w:val="none"/>
          <w:lang w:eastAsia="zh-CN"/>
        </w:rPr>
      </w:pPr>
      <w:bookmarkStart w:id="404" w:name="_Toc30184"/>
      <w:bookmarkStart w:id="405" w:name="_Toc6728"/>
      <w:bookmarkStart w:id="406" w:name="_Toc25114"/>
      <w:r>
        <w:rPr>
          <w:rFonts w:hint="eastAsia" w:ascii="宋体" w:hAnsi="宋体" w:eastAsia="宋体" w:cs="宋体"/>
          <w:color w:val="auto"/>
          <w:spacing w:val="-9"/>
          <w:sz w:val="24"/>
          <w:szCs w:val="24"/>
          <w:highlight w:val="none"/>
          <w:lang w:eastAsia="zh-CN"/>
        </w:rPr>
        <w:t>附件2：关于进一步加大政府采购支持中小企业力度的通知</w:t>
      </w:r>
      <w:bookmarkEnd w:id="404"/>
      <w:bookmarkEnd w:id="405"/>
      <w:bookmarkEnd w:id="406"/>
    </w:p>
    <w:p w14:paraId="6EBAAD60">
      <w:pPr>
        <w:shd w:val="clear" w:color="auto" w:fill="FFFFFF"/>
        <w:spacing w:beforeAutospacing="1" w:afterAutospacing="1" w:line="360" w:lineRule="auto"/>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关于进一步加大政府采购支持中小企业力度的通知</w:t>
      </w:r>
    </w:p>
    <w:p w14:paraId="6670858E">
      <w:pPr>
        <w:shd w:val="clear" w:color="auto" w:fill="FFFFFF"/>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财库〔2022〕19号</w:t>
      </w:r>
    </w:p>
    <w:p w14:paraId="6D5C3A3A">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各中央预算单位，各省、自治区、直辖市、计划单列市财政厅（局），新疆生产建设兵团财政局：</w:t>
      </w:r>
    </w:p>
    <w:p w14:paraId="66060E9F">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E74F427">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一、严格落实支持中小企业政府采购政策。</w:t>
      </w:r>
      <w:r>
        <w:rPr>
          <w:rFonts w:hint="eastAsia" w:eastAsia="宋体" w:cs="宋体"/>
          <w:color w:val="auto"/>
          <w:highlight w:val="none"/>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B8CD66A">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二、调整对小微企业的价格评审优惠幅度。</w:t>
      </w:r>
      <w:r>
        <w:rPr>
          <w:rFonts w:hint="eastAsia" w:eastAsia="宋体" w:cs="宋体"/>
          <w:color w:val="auto"/>
          <w:highlight w:val="none"/>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E822BAC">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三、提高政府采购工程面向中小企业预留份额。</w:t>
      </w:r>
      <w:r>
        <w:rPr>
          <w:rFonts w:hint="eastAsia" w:eastAsia="宋体" w:cs="宋体"/>
          <w:color w:val="auto"/>
          <w:highlight w:val="none"/>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1253848E">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四、认真做好组织实施。</w:t>
      </w:r>
      <w:r>
        <w:rPr>
          <w:rFonts w:hint="eastAsia" w:eastAsia="宋体" w:cs="宋体"/>
          <w:color w:val="auto"/>
          <w:highlight w:val="none"/>
          <w:shd w:val="clear" w:color="auto" w:fill="FFFFFF"/>
        </w:rPr>
        <w:t>各地区、各部门应当加强组织领导，明确工作责任，细化执行要求，强化监督检查，确保国务院部署落实到位，对通知执行中出现的问题要及时向财政部报告。</w:t>
      </w:r>
    </w:p>
    <w:p w14:paraId="47CC881F">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本通知自2022年7月1日起执行。</w:t>
      </w:r>
    </w:p>
    <w:p w14:paraId="6FCBC221">
      <w:pPr>
        <w:pStyle w:val="22"/>
        <w:spacing w:beforeAutospacing="0" w:after="210" w:afterAutospacing="0" w:line="360" w:lineRule="auto"/>
        <w:jc w:val="right"/>
        <w:rPr>
          <w:rFonts w:eastAsia="宋体" w:cs="宋体"/>
          <w:color w:val="auto"/>
          <w:highlight w:val="none"/>
        </w:rPr>
      </w:pPr>
      <w:r>
        <w:rPr>
          <w:rFonts w:hint="eastAsia" w:eastAsia="宋体" w:cs="宋体"/>
          <w:color w:val="auto"/>
          <w:highlight w:val="none"/>
          <w:shd w:val="clear" w:color="auto" w:fill="FFFFFF"/>
        </w:rPr>
        <w:t>　　财 政 部</w:t>
      </w:r>
    </w:p>
    <w:p w14:paraId="164B8517">
      <w:pPr>
        <w:pStyle w:val="22"/>
        <w:spacing w:beforeAutospacing="0" w:after="21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　　2022年5月30日</w:t>
      </w:r>
    </w:p>
    <w:p w14:paraId="514531A1">
      <w:pPr>
        <w:spacing w:line="360" w:lineRule="auto"/>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br w:type="page"/>
      </w:r>
    </w:p>
    <w:p w14:paraId="1105DD12">
      <w:pPr>
        <w:spacing w:line="360" w:lineRule="auto"/>
        <w:outlineLvl w:val="0"/>
        <w:rPr>
          <w:rFonts w:ascii="宋体" w:hAnsi="宋体" w:eastAsia="宋体" w:cs="宋体"/>
          <w:color w:val="auto"/>
          <w:spacing w:val="-9"/>
          <w:sz w:val="24"/>
          <w:szCs w:val="24"/>
          <w:highlight w:val="none"/>
          <w:lang w:eastAsia="zh-CN"/>
        </w:rPr>
      </w:pPr>
      <w:bookmarkStart w:id="407" w:name="_Toc11667"/>
      <w:bookmarkStart w:id="408" w:name="_Toc21105"/>
      <w:bookmarkStart w:id="409" w:name="_Toc21087"/>
      <w:r>
        <w:rPr>
          <w:rFonts w:hint="eastAsia" w:ascii="宋体" w:hAnsi="宋体" w:eastAsia="宋体" w:cs="宋体"/>
          <w:color w:val="auto"/>
          <w:spacing w:val="-9"/>
          <w:sz w:val="24"/>
          <w:szCs w:val="24"/>
          <w:highlight w:val="none"/>
          <w:lang w:eastAsia="zh-CN"/>
        </w:rPr>
        <w:t>附件3：关于印发中小企业划型标准规定的通知</w:t>
      </w:r>
      <w:bookmarkEnd w:id="407"/>
      <w:bookmarkEnd w:id="408"/>
      <w:bookmarkEnd w:id="409"/>
    </w:p>
    <w:p w14:paraId="39A792FD">
      <w:pPr>
        <w:shd w:val="clear" w:color="auto" w:fill="FFFFFF"/>
        <w:spacing w:beforeAutospacing="1" w:afterAutospacing="1" w:line="360" w:lineRule="auto"/>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关于印发中小企业划型标准规定的通知</w:t>
      </w:r>
    </w:p>
    <w:p w14:paraId="75E6A4B1">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工信部联企业〔2011〕300号</w:t>
      </w:r>
    </w:p>
    <w:p w14:paraId="3C051753">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各省、自治区、直辖市人民政府，国务院各部委、各直属机构及有关单位：</w:t>
      </w:r>
    </w:p>
    <w:p w14:paraId="3E679BF9">
      <w:pPr>
        <w:pStyle w:val="22"/>
        <w:spacing w:beforeAutospacing="0" w:afterAutospacing="0" w:line="360" w:lineRule="auto"/>
        <w:rPr>
          <w:rFonts w:eastAsia="宋体" w:cs="宋体"/>
          <w:color w:val="auto"/>
          <w:highlight w:val="none"/>
        </w:rPr>
      </w:pPr>
      <w:r>
        <w:rPr>
          <w:rFonts w:hint="eastAsia" w:eastAsia="宋体" w:cs="宋体"/>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25EB3C9">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工业和信息化部</w:t>
      </w:r>
    </w:p>
    <w:p w14:paraId="2ECC33A6">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国家统计局</w:t>
      </w:r>
    </w:p>
    <w:p w14:paraId="6C7DFA1F">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国家发展和改革委员会</w:t>
      </w:r>
    </w:p>
    <w:p w14:paraId="71D639E3">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财政部</w:t>
      </w:r>
    </w:p>
    <w:p w14:paraId="50FF6C65">
      <w:pPr>
        <w:pStyle w:val="22"/>
        <w:spacing w:beforeAutospacing="0" w:afterAutospacing="0" w:line="360" w:lineRule="auto"/>
        <w:jc w:val="right"/>
        <w:rPr>
          <w:rFonts w:eastAsia="宋体" w:cs="宋体"/>
          <w:color w:val="auto"/>
          <w:highlight w:val="none"/>
        </w:rPr>
      </w:pPr>
      <w:r>
        <w:rPr>
          <w:rFonts w:hint="eastAsia" w:eastAsia="宋体" w:cs="宋体"/>
          <w:color w:val="auto"/>
          <w:highlight w:val="none"/>
          <w:shd w:val="clear" w:color="auto" w:fill="FFFFFF"/>
        </w:rPr>
        <w:t>二○一一年六月十八日</w:t>
      </w:r>
    </w:p>
    <w:p w14:paraId="77A58EB1">
      <w:pPr>
        <w:pStyle w:val="22"/>
        <w:spacing w:beforeAutospacing="0" w:afterAutospacing="0" w:line="360" w:lineRule="auto"/>
        <w:jc w:val="center"/>
        <w:rPr>
          <w:rFonts w:eastAsia="宋体" w:cs="宋体"/>
          <w:color w:val="auto"/>
          <w:highlight w:val="none"/>
        </w:rPr>
      </w:pPr>
      <w:r>
        <w:rPr>
          <w:rStyle w:val="27"/>
          <w:rFonts w:hint="eastAsia" w:eastAsia="宋体" w:cs="宋体"/>
          <w:color w:val="auto"/>
          <w:highlight w:val="none"/>
          <w:shd w:val="clear" w:color="auto" w:fill="FFFFFF"/>
        </w:rPr>
        <w:t>中小企业划型标准规定</w:t>
      </w:r>
    </w:p>
    <w:p w14:paraId="49936E9E">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一、根据《中华人民共和国中小企业促进法》和《国务院关于进一步促进中小企业发展的若干意见》(国发〔2009〕36号)，制定本规定。</w:t>
      </w:r>
    </w:p>
    <w:p w14:paraId="23747F4F">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二、中小企业划分为中型、小型、微型三种类型，具体标准根据企业从业人员、营业收入、资产总额等指标，结合行业特点制定。</w:t>
      </w:r>
    </w:p>
    <w:p w14:paraId="44B028F1">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4B8BD8F">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四、各行业划型标准为：</w:t>
      </w:r>
    </w:p>
    <w:p w14:paraId="4C679ECA">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34140843">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9101AE">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6FA90C">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15E7272">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8F369A">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B312CB">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70548B">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3B946F9">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0E06BB">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02BA25">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C973E5">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8A282A">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D1B718">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BAC5C1">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53A8CC">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CE96F76">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五、企业类型的划分以统计部门的统计数据为依据。</w:t>
      </w:r>
    </w:p>
    <w:p w14:paraId="297EAD43">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六、本规定适用于在中华人民共和国境内依法设立的各类所有制和各种组织形式的企业。个体工商户和本规定以外的行业，参照本规定进行划型。</w:t>
      </w:r>
    </w:p>
    <w:p w14:paraId="0A653687">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57A123F">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八、本规定由工业和信息化部、国家统计局会同有关部门根据《国民经济行业分类》修订情况和企业发展变化情况适时修订。</w:t>
      </w:r>
    </w:p>
    <w:p w14:paraId="6A015BF2">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九、本规定由工业和信息化部、国家统计局会同有关部门负责解释。</w:t>
      </w:r>
    </w:p>
    <w:p w14:paraId="1826E993">
      <w:pPr>
        <w:pStyle w:val="22"/>
        <w:spacing w:beforeAutospacing="0" w:afterAutospacing="0" w:line="360" w:lineRule="auto"/>
        <w:rPr>
          <w:rFonts w:eastAsia="宋体" w:cs="宋体"/>
          <w:color w:val="auto"/>
          <w:highlight w:val="none"/>
        </w:rPr>
      </w:pPr>
      <w:r>
        <w:rPr>
          <w:rFonts w:hint="eastAsia" w:eastAsia="宋体" w:cs="宋体"/>
          <w:color w:val="auto"/>
          <w:highlight w:val="none"/>
          <w:shd w:val="clear" w:color="auto" w:fill="FFFFFF"/>
        </w:rPr>
        <w:t>　　十、本规定自发布之日起执行，原国家经贸委、原国家计委、财政部和国家统计局2003年颁布的《中小企业标准暂行规定》同时废止。</w:t>
      </w:r>
    </w:p>
    <w:p w14:paraId="47E8081A">
      <w:pPr>
        <w:spacing w:line="360" w:lineRule="auto"/>
        <w:rPr>
          <w:rFonts w:ascii="宋体" w:hAnsi="宋体" w:eastAsia="宋体" w:cs="宋体"/>
          <w:color w:val="auto"/>
          <w:sz w:val="24"/>
          <w:szCs w:val="24"/>
          <w:highlight w:val="none"/>
          <w:lang w:eastAsia="zh-CN"/>
        </w:rPr>
      </w:pPr>
    </w:p>
    <w:p w14:paraId="688A42F0">
      <w:pPr>
        <w:spacing w:before="91" w:line="360" w:lineRule="auto"/>
        <w:ind w:left="33"/>
        <w:rPr>
          <w:rFonts w:ascii="宋体" w:hAnsi="宋体" w:eastAsia="宋体" w:cs="宋体"/>
          <w:color w:val="auto"/>
          <w:sz w:val="24"/>
          <w:szCs w:val="24"/>
          <w:highlight w:val="none"/>
          <w:lang w:eastAsia="zh-CN"/>
        </w:rPr>
      </w:pPr>
    </w:p>
    <w:sectPr>
      <w:footerReference r:id="rId10" w:type="default"/>
      <w:pgSz w:w="11906" w:h="16839"/>
      <w:pgMar w:top="1219" w:right="1416" w:bottom="1389" w:left="1786" w:header="868" w:footer="118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楷体">
    <w:panose1 w:val="02010600040101010101"/>
    <w:charset w:val="86"/>
    <w:family w:val="auto"/>
    <w:pitch w:val="default"/>
    <w:sig w:usb0="00000287" w:usb1="080F0000" w:usb2="00000000" w:usb3="00000000" w:csb0="0004009F" w:csb1="DFD70000"/>
  </w:font>
  <w:font w:name="Times New Roman Regular">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1B08">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FC7C">
    <w:pPr>
      <w:pStyle w:val="15"/>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3DF3">
    <w:pPr>
      <w:pStyle w:val="15"/>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09DC">
                          <w:pPr>
                            <w:pStyle w:val="1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12709DC">
                    <w:pPr>
                      <w:pStyle w:val="15"/>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1820">
    <w:pPr>
      <w:spacing w:line="171" w:lineRule="auto"/>
      <w:ind w:left="4559"/>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061A6">
                          <w:pPr>
                            <w:pStyle w:val="15"/>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D2061A6">
                    <w:pPr>
                      <w:pStyle w:val="15"/>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1B62">
    <w:pPr>
      <w:pStyle w:val="15"/>
      <w:jc w:val="cente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B9973">
                          <w:pPr>
                            <w:pStyle w:val="15"/>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89B9973">
                    <w:pPr>
                      <w:pStyle w:val="1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426A">
    <w:pPr>
      <w:spacing w:line="14" w:lineRule="auto"/>
      <w:rPr>
        <w:rFonts w:ascii="仿宋" w:hAnsi="仿宋" w:eastAsia="仿宋"/>
        <w:b/>
        <w:bCs/>
      </w:rPr>
    </w:pPr>
  </w:p>
  <w:p w14:paraId="2914375C">
    <w:pPr>
      <w:spacing w:line="14" w:lineRule="auto"/>
      <w:rPr>
        <w:rFonts w:ascii="仿宋" w:hAnsi="仿宋" w:eastAsia="仿宋"/>
        <w:b/>
        <w:bCs/>
      </w:rPr>
    </w:pPr>
  </w:p>
  <w:p w14:paraId="26D27FEC">
    <w:pPr>
      <w:spacing w:line="14" w:lineRule="auto"/>
      <w:rPr>
        <w:rFonts w:ascii="仿宋" w:hAnsi="仿宋" w:eastAsia="仿宋"/>
        <w:b/>
        <w:bCs/>
      </w:rPr>
    </w:pPr>
  </w:p>
  <w:p w14:paraId="7F823555">
    <w:pPr>
      <w:spacing w:line="14" w:lineRule="auto"/>
      <w:rPr>
        <w:rFonts w:ascii="仿宋" w:hAnsi="仿宋" w:eastAsia="仿宋"/>
        <w:b/>
        <w:bCs/>
      </w:rPr>
    </w:pPr>
  </w:p>
  <w:p w14:paraId="67A163AD">
    <w:pPr>
      <w:spacing w:line="14" w:lineRule="auto"/>
      <w:rPr>
        <w:rFonts w:ascii="仿宋" w:hAnsi="仿宋" w:eastAsia="仿宋"/>
        <w:b/>
        <w:bCs/>
      </w:rPr>
    </w:pPr>
  </w:p>
  <w:p w14:paraId="1AB5BE83">
    <w:pPr>
      <w:spacing w:line="14" w:lineRule="auto"/>
      <w:ind w:firstLine="632" w:firstLineChars="300"/>
      <w:rPr>
        <w:rFonts w:ascii="仿宋" w:hAnsi="仿宋" w:eastAsia="仿宋"/>
        <w:b/>
        <w:bCs/>
      </w:rPr>
    </w:pPr>
  </w:p>
  <w:p w14:paraId="65BE864E">
    <w:pPr>
      <w:spacing w:line="14" w:lineRule="auto"/>
      <w:ind w:firstLine="632" w:firstLineChars="300"/>
      <w:rPr>
        <w:rFonts w:ascii="仿宋" w:hAnsi="仿宋" w:eastAsia="仿宋"/>
        <w:b/>
        <w:bCs/>
      </w:rPr>
    </w:pPr>
  </w:p>
  <w:p w14:paraId="585753C4">
    <w:pPr>
      <w:spacing w:line="14" w:lineRule="auto"/>
      <w:ind w:firstLine="632" w:firstLineChars="300"/>
      <w:rPr>
        <w:rFonts w:ascii="仿宋" w:hAnsi="仿宋" w:eastAsia="仿宋"/>
        <w:b/>
        <w:bCs/>
      </w:rPr>
    </w:pPr>
  </w:p>
  <w:p w14:paraId="395968A3">
    <w:pPr>
      <w:pBdr>
        <w:bottom w:val="single" w:color="auto" w:sz="4" w:space="0"/>
      </w:pBdr>
      <w:ind w:firstLine="220" w:firstLineChars="200"/>
      <w:rPr>
        <w:sz w:val="2"/>
        <w:lang w:eastAsia="zh-CN"/>
      </w:rPr>
    </w:pPr>
    <w:r>
      <w:rPr>
        <w:rFonts w:ascii="Times New Roman" w:hAnsi="Times New Roman"/>
        <w:sz w:val="11"/>
        <w:szCs w:val="11"/>
        <w:lang w:eastAsia="zh-CN"/>
      </w:rPr>
      <w:drawing>
        <wp:inline distT="0" distB="0" distL="114300" distR="114300">
          <wp:extent cx="351790" cy="213360"/>
          <wp:effectExtent l="1905" t="3175" r="8255" b="12065"/>
          <wp:docPr id="7"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hint="eastAsia" w:ascii="仿宋" w:hAnsi="仿宋" w:eastAsia="仿宋"/>
        <w:b/>
        <w:bCs/>
        <w:lang w:eastAsia="zh-CN"/>
      </w:rPr>
      <w:t xml:space="preserve">新疆金正建设工程管理有限公司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636C">
    <w:pPr>
      <w:pStyle w:val="16"/>
      <w:ind w:firstLine="632" w:firstLineChars="300"/>
      <w:jc w:val="both"/>
      <w:rPr>
        <w:rFonts w:ascii="仿宋" w:hAnsi="仿宋" w:eastAsia="仿宋"/>
        <w:b/>
        <w:bCs/>
        <w:sz w:val="21"/>
        <w:szCs w:val="21"/>
        <w:lang w:eastAsia="zh-CN"/>
      </w:rPr>
    </w:pPr>
  </w:p>
  <w:p w14:paraId="5C28F024">
    <w:pPr>
      <w:pStyle w:val="16"/>
      <w:ind w:firstLine="330" w:firstLineChars="300"/>
      <w:jc w:val="both"/>
      <w:rPr>
        <w:lang w:eastAsia="zh-CN"/>
      </w:rPr>
    </w:pPr>
    <w:r>
      <w:rPr>
        <w:rFonts w:ascii="Times New Roman" w:hAnsi="Times New Roman"/>
        <w:sz w:val="11"/>
        <w:szCs w:val="11"/>
        <w:lang w:eastAsia="zh-CN"/>
      </w:rPr>
      <w:drawing>
        <wp:inline distT="0" distB="0" distL="114300" distR="114300">
          <wp:extent cx="351790" cy="213360"/>
          <wp:effectExtent l="1905" t="3175" r="8255" b="12065"/>
          <wp:docPr id="8"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hint="eastAsia" w:ascii="仿宋" w:hAnsi="仿宋" w:eastAsia="仿宋"/>
        <w:b/>
        <w:bCs/>
        <w:sz w:val="21"/>
        <w:szCs w:val="21"/>
        <w:lang w:eastAsia="zh-CN"/>
      </w:rPr>
      <w:t xml:space="preserve">新疆金正建设工程管理有限公司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2E16">
    <w:pPr>
      <w:pStyle w:val="16"/>
      <w:rPr>
        <w:lang w:eastAsia="zh-CN"/>
      </w:rPr>
    </w:pPr>
    <w:r>
      <w:rPr>
        <w:sz w:val="21"/>
        <w:szCs w:val="21"/>
        <w:lang w:eastAsia="zh-CN"/>
      </w:rPr>
      <w:drawing>
        <wp:anchor distT="0" distB="0" distL="114300" distR="114300" simplePos="0" relativeHeight="251662336" behindDoc="0" locked="0" layoutInCell="1" allowOverlap="1">
          <wp:simplePos x="0" y="0"/>
          <wp:positionH relativeFrom="column">
            <wp:posOffset>60960</wp:posOffset>
          </wp:positionH>
          <wp:positionV relativeFrom="paragraph">
            <wp:posOffset>-170180</wp:posOffset>
          </wp:positionV>
          <wp:extent cx="405130" cy="360045"/>
          <wp:effectExtent l="0" t="0" r="13970" b="190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405130" cy="360045"/>
                  </a:xfrm>
                  <a:prstGeom prst="rect">
                    <a:avLst/>
                  </a:prstGeom>
                  <a:noFill/>
                  <a:ln>
                    <a:noFill/>
                  </a:ln>
                </pic:spPr>
              </pic:pic>
            </a:graphicData>
          </a:graphic>
        </wp:anchor>
      </w:drawing>
    </w:r>
    <w:r>
      <w:rPr>
        <w:rFonts w:hint="eastAsia"/>
        <w:sz w:val="21"/>
        <w:szCs w:val="21"/>
        <w:lang w:eastAsia="zh-CN"/>
      </w:rPr>
      <w:t xml:space="preserve">                                                  新疆金正建设工程管理有限公司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29EAC"/>
    <w:multiLevelType w:val="singleLevel"/>
    <w:tmpl w:val="FB729EAC"/>
    <w:lvl w:ilvl="0" w:tentative="0">
      <w:start w:val="2"/>
      <w:numFmt w:val="decimal"/>
      <w:lvlText w:val="%1."/>
      <w:lvlJc w:val="left"/>
      <w:pPr>
        <w:tabs>
          <w:tab w:val="left" w:pos="312"/>
        </w:tabs>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E5CB9B"/>
    <w:multiLevelType w:val="singleLevel"/>
    <w:tmpl w:val="00E5CB9B"/>
    <w:lvl w:ilvl="0" w:tentative="0">
      <w:start w:val="2"/>
      <w:numFmt w:val="decimal"/>
      <w:suff w:val="space"/>
      <w:lvlText w:val="%1."/>
      <w:lvlJc w:val="left"/>
    </w:lvl>
  </w:abstractNum>
  <w:abstractNum w:abstractNumId="3">
    <w:nsid w:val="0EC97AB4"/>
    <w:multiLevelType w:val="singleLevel"/>
    <w:tmpl w:val="0EC97AB4"/>
    <w:lvl w:ilvl="0" w:tentative="0">
      <w:start w:val="1"/>
      <w:numFmt w:val="decimal"/>
      <w:suff w:val="nothing"/>
      <w:lvlText w:val="（%1）"/>
      <w:lvlJc w:val="left"/>
    </w:lvl>
  </w:abstractNum>
  <w:abstractNum w:abstractNumId="4">
    <w:nsid w:val="31634186"/>
    <w:multiLevelType w:val="singleLevel"/>
    <w:tmpl w:val="31634186"/>
    <w:lvl w:ilvl="0" w:tentative="0">
      <w:start w:val="2"/>
      <w:numFmt w:val="chineseCounting"/>
      <w:suff w:val="nothing"/>
      <w:lvlText w:val="%1、"/>
      <w:lvlJc w:val="left"/>
      <w:rPr>
        <w:rFonts w:hint="eastAsia"/>
      </w:rPr>
    </w:lvl>
  </w:abstractNum>
  <w:abstractNum w:abstractNumId="5">
    <w:nsid w:val="4390D8CA"/>
    <w:multiLevelType w:val="singleLevel"/>
    <w:tmpl w:val="4390D8CA"/>
    <w:lvl w:ilvl="0" w:tentative="0">
      <w:start w:val="2"/>
      <w:numFmt w:val="chineseCounting"/>
      <w:suff w:val="nothing"/>
      <w:lvlText w:val="（%1）"/>
      <w:lvlJc w:val="left"/>
      <w:rPr>
        <w:rFonts w:hint="eastAsia"/>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ZDA2ZTkwMTMxY2Y4NDMxMjY5ZmIyOTY5ZWY5OGQifQ=="/>
  </w:docVars>
  <w:rsids>
    <w:rsidRoot w:val="00FB501B"/>
    <w:rsid w:val="00020EF7"/>
    <w:rsid w:val="00024CAA"/>
    <w:rsid w:val="00035C43"/>
    <w:rsid w:val="0003706D"/>
    <w:rsid w:val="00045658"/>
    <w:rsid w:val="000767B8"/>
    <w:rsid w:val="000B3EF2"/>
    <w:rsid w:val="000B719F"/>
    <w:rsid w:val="000E469B"/>
    <w:rsid w:val="000E7403"/>
    <w:rsid w:val="000F499F"/>
    <w:rsid w:val="00106D58"/>
    <w:rsid w:val="00122430"/>
    <w:rsid w:val="001338C0"/>
    <w:rsid w:val="001348CE"/>
    <w:rsid w:val="00154359"/>
    <w:rsid w:val="00172780"/>
    <w:rsid w:val="00174815"/>
    <w:rsid w:val="00174989"/>
    <w:rsid w:val="00193965"/>
    <w:rsid w:val="001B4B2E"/>
    <w:rsid w:val="001E47DB"/>
    <w:rsid w:val="001E6B17"/>
    <w:rsid w:val="00214313"/>
    <w:rsid w:val="00215AA4"/>
    <w:rsid w:val="0022181C"/>
    <w:rsid w:val="00223327"/>
    <w:rsid w:val="002706DE"/>
    <w:rsid w:val="002A363D"/>
    <w:rsid w:val="002B11E4"/>
    <w:rsid w:val="002E142C"/>
    <w:rsid w:val="002E37F4"/>
    <w:rsid w:val="002F4CF9"/>
    <w:rsid w:val="002F7D00"/>
    <w:rsid w:val="003055F5"/>
    <w:rsid w:val="00305FA3"/>
    <w:rsid w:val="00347CB4"/>
    <w:rsid w:val="00350E5B"/>
    <w:rsid w:val="00370602"/>
    <w:rsid w:val="003773AA"/>
    <w:rsid w:val="003A2BB4"/>
    <w:rsid w:val="003E33B1"/>
    <w:rsid w:val="00405B1C"/>
    <w:rsid w:val="00425DD9"/>
    <w:rsid w:val="00436B8D"/>
    <w:rsid w:val="0044224D"/>
    <w:rsid w:val="00466466"/>
    <w:rsid w:val="004A465D"/>
    <w:rsid w:val="004A6297"/>
    <w:rsid w:val="004E349B"/>
    <w:rsid w:val="004E5F79"/>
    <w:rsid w:val="004F37D3"/>
    <w:rsid w:val="005073F4"/>
    <w:rsid w:val="00512AB7"/>
    <w:rsid w:val="00526408"/>
    <w:rsid w:val="00527DC4"/>
    <w:rsid w:val="00547ED5"/>
    <w:rsid w:val="00582081"/>
    <w:rsid w:val="005B4704"/>
    <w:rsid w:val="005C154A"/>
    <w:rsid w:val="005D4349"/>
    <w:rsid w:val="005F3464"/>
    <w:rsid w:val="006038F8"/>
    <w:rsid w:val="006513F7"/>
    <w:rsid w:val="006A1289"/>
    <w:rsid w:val="006A3C44"/>
    <w:rsid w:val="006D18D4"/>
    <w:rsid w:val="00702FA7"/>
    <w:rsid w:val="007116D9"/>
    <w:rsid w:val="00730C8A"/>
    <w:rsid w:val="0074427B"/>
    <w:rsid w:val="00761110"/>
    <w:rsid w:val="00766701"/>
    <w:rsid w:val="007702AB"/>
    <w:rsid w:val="00775A24"/>
    <w:rsid w:val="00781B06"/>
    <w:rsid w:val="00783F99"/>
    <w:rsid w:val="007903F5"/>
    <w:rsid w:val="00794046"/>
    <w:rsid w:val="007D3357"/>
    <w:rsid w:val="007D6545"/>
    <w:rsid w:val="00806A58"/>
    <w:rsid w:val="00812E1B"/>
    <w:rsid w:val="00813464"/>
    <w:rsid w:val="00815DF1"/>
    <w:rsid w:val="008576B0"/>
    <w:rsid w:val="008A43B7"/>
    <w:rsid w:val="008C2349"/>
    <w:rsid w:val="008F5E35"/>
    <w:rsid w:val="00925314"/>
    <w:rsid w:val="00942585"/>
    <w:rsid w:val="0094292E"/>
    <w:rsid w:val="00970C99"/>
    <w:rsid w:val="00991AC7"/>
    <w:rsid w:val="00996850"/>
    <w:rsid w:val="00A136F4"/>
    <w:rsid w:val="00A36A39"/>
    <w:rsid w:val="00A8470E"/>
    <w:rsid w:val="00AA5972"/>
    <w:rsid w:val="00AE7961"/>
    <w:rsid w:val="00B02EB8"/>
    <w:rsid w:val="00B164D7"/>
    <w:rsid w:val="00B207ED"/>
    <w:rsid w:val="00B56612"/>
    <w:rsid w:val="00B86503"/>
    <w:rsid w:val="00B96AB4"/>
    <w:rsid w:val="00BB7FC8"/>
    <w:rsid w:val="00BC50D9"/>
    <w:rsid w:val="00BD35F7"/>
    <w:rsid w:val="00C06CCD"/>
    <w:rsid w:val="00C33BC2"/>
    <w:rsid w:val="00C549EC"/>
    <w:rsid w:val="00C85D56"/>
    <w:rsid w:val="00CA68F2"/>
    <w:rsid w:val="00CB4532"/>
    <w:rsid w:val="00CC2729"/>
    <w:rsid w:val="00CC3DE0"/>
    <w:rsid w:val="00CC733F"/>
    <w:rsid w:val="00CE4BFA"/>
    <w:rsid w:val="00CE7E48"/>
    <w:rsid w:val="00D23C43"/>
    <w:rsid w:val="00D240E0"/>
    <w:rsid w:val="00D265BF"/>
    <w:rsid w:val="00D57338"/>
    <w:rsid w:val="00D61957"/>
    <w:rsid w:val="00D67001"/>
    <w:rsid w:val="00DD0D24"/>
    <w:rsid w:val="00DE290E"/>
    <w:rsid w:val="00DE4DF1"/>
    <w:rsid w:val="00E23DD0"/>
    <w:rsid w:val="00E23E90"/>
    <w:rsid w:val="00E3510A"/>
    <w:rsid w:val="00EB6B73"/>
    <w:rsid w:val="00EE2DE0"/>
    <w:rsid w:val="00F101A7"/>
    <w:rsid w:val="00F5485E"/>
    <w:rsid w:val="00FA2678"/>
    <w:rsid w:val="00FB501B"/>
    <w:rsid w:val="00FC5A69"/>
    <w:rsid w:val="01040F3A"/>
    <w:rsid w:val="01115B19"/>
    <w:rsid w:val="012313A8"/>
    <w:rsid w:val="012A5292"/>
    <w:rsid w:val="01317F69"/>
    <w:rsid w:val="01374E54"/>
    <w:rsid w:val="014A2DD9"/>
    <w:rsid w:val="01763BCE"/>
    <w:rsid w:val="0179546C"/>
    <w:rsid w:val="018E24D9"/>
    <w:rsid w:val="01A87AFF"/>
    <w:rsid w:val="01D04FBC"/>
    <w:rsid w:val="01FB2325"/>
    <w:rsid w:val="01FF3BC3"/>
    <w:rsid w:val="02070CCA"/>
    <w:rsid w:val="02104374"/>
    <w:rsid w:val="022B0E5C"/>
    <w:rsid w:val="025832D3"/>
    <w:rsid w:val="02886A47"/>
    <w:rsid w:val="029A1B3E"/>
    <w:rsid w:val="02AD7AC3"/>
    <w:rsid w:val="02AD7C71"/>
    <w:rsid w:val="02C1356F"/>
    <w:rsid w:val="02FA438B"/>
    <w:rsid w:val="03031491"/>
    <w:rsid w:val="03097855"/>
    <w:rsid w:val="03247659"/>
    <w:rsid w:val="03351867"/>
    <w:rsid w:val="03802AE2"/>
    <w:rsid w:val="038C76D9"/>
    <w:rsid w:val="039C2D6D"/>
    <w:rsid w:val="039F4141"/>
    <w:rsid w:val="03EA43FF"/>
    <w:rsid w:val="03F359AA"/>
    <w:rsid w:val="040060BC"/>
    <w:rsid w:val="0402799B"/>
    <w:rsid w:val="0438160E"/>
    <w:rsid w:val="045103D7"/>
    <w:rsid w:val="04657F2A"/>
    <w:rsid w:val="04714B20"/>
    <w:rsid w:val="047D34C5"/>
    <w:rsid w:val="047F2D99"/>
    <w:rsid w:val="04800E71"/>
    <w:rsid w:val="04931FE3"/>
    <w:rsid w:val="049352D6"/>
    <w:rsid w:val="04AC292F"/>
    <w:rsid w:val="04ED23F9"/>
    <w:rsid w:val="04F05A45"/>
    <w:rsid w:val="04FC3176"/>
    <w:rsid w:val="050832F6"/>
    <w:rsid w:val="051060E7"/>
    <w:rsid w:val="05191440"/>
    <w:rsid w:val="052D6C99"/>
    <w:rsid w:val="056B56F5"/>
    <w:rsid w:val="05832D5D"/>
    <w:rsid w:val="059960DD"/>
    <w:rsid w:val="05B13426"/>
    <w:rsid w:val="05E01F5E"/>
    <w:rsid w:val="06004014"/>
    <w:rsid w:val="06021ED4"/>
    <w:rsid w:val="06222576"/>
    <w:rsid w:val="0626226F"/>
    <w:rsid w:val="06470AB2"/>
    <w:rsid w:val="06500E91"/>
    <w:rsid w:val="068723D9"/>
    <w:rsid w:val="06982838"/>
    <w:rsid w:val="06B01930"/>
    <w:rsid w:val="06BE19DF"/>
    <w:rsid w:val="06C947A0"/>
    <w:rsid w:val="06F86E33"/>
    <w:rsid w:val="071023CF"/>
    <w:rsid w:val="07287ACA"/>
    <w:rsid w:val="0743133A"/>
    <w:rsid w:val="077961C6"/>
    <w:rsid w:val="07A76C22"/>
    <w:rsid w:val="07BB058C"/>
    <w:rsid w:val="07E4402F"/>
    <w:rsid w:val="07E55609"/>
    <w:rsid w:val="07F341CA"/>
    <w:rsid w:val="083640B7"/>
    <w:rsid w:val="086E1AA3"/>
    <w:rsid w:val="087D7F38"/>
    <w:rsid w:val="089B03BE"/>
    <w:rsid w:val="08AA23AF"/>
    <w:rsid w:val="08AB5A48"/>
    <w:rsid w:val="08E04023"/>
    <w:rsid w:val="08F57ACE"/>
    <w:rsid w:val="08FF094D"/>
    <w:rsid w:val="092010E4"/>
    <w:rsid w:val="094620D8"/>
    <w:rsid w:val="095962AF"/>
    <w:rsid w:val="096C3CFF"/>
    <w:rsid w:val="09AB4631"/>
    <w:rsid w:val="09D75426"/>
    <w:rsid w:val="0A1E4E03"/>
    <w:rsid w:val="0A6071C9"/>
    <w:rsid w:val="0A782765"/>
    <w:rsid w:val="0AC0410C"/>
    <w:rsid w:val="0AD6392F"/>
    <w:rsid w:val="0B04223B"/>
    <w:rsid w:val="0B6149B5"/>
    <w:rsid w:val="0B705B32"/>
    <w:rsid w:val="0B826D78"/>
    <w:rsid w:val="0B9A2BAF"/>
    <w:rsid w:val="0B9F1F73"/>
    <w:rsid w:val="0BA04D77"/>
    <w:rsid w:val="0BE45BD8"/>
    <w:rsid w:val="0BF202F5"/>
    <w:rsid w:val="0BF26547"/>
    <w:rsid w:val="0BFF4851"/>
    <w:rsid w:val="0C032502"/>
    <w:rsid w:val="0C396F1E"/>
    <w:rsid w:val="0C421E8C"/>
    <w:rsid w:val="0C6E02C3"/>
    <w:rsid w:val="0C954EBE"/>
    <w:rsid w:val="0CC90F7D"/>
    <w:rsid w:val="0CF32576"/>
    <w:rsid w:val="0D307327"/>
    <w:rsid w:val="0D474670"/>
    <w:rsid w:val="0DA87805"/>
    <w:rsid w:val="0E1A3B33"/>
    <w:rsid w:val="0E5B4877"/>
    <w:rsid w:val="0E8A0E3F"/>
    <w:rsid w:val="0E8D096C"/>
    <w:rsid w:val="0ED10127"/>
    <w:rsid w:val="0ED10695"/>
    <w:rsid w:val="0F0547E3"/>
    <w:rsid w:val="0F29227F"/>
    <w:rsid w:val="0F4C73F7"/>
    <w:rsid w:val="0F543075"/>
    <w:rsid w:val="0F6A6B8F"/>
    <w:rsid w:val="0F7219CD"/>
    <w:rsid w:val="0F7709E5"/>
    <w:rsid w:val="0F933B9D"/>
    <w:rsid w:val="0F9811B3"/>
    <w:rsid w:val="0FA7589A"/>
    <w:rsid w:val="0FFA1E6E"/>
    <w:rsid w:val="100D71D3"/>
    <w:rsid w:val="10190546"/>
    <w:rsid w:val="10233173"/>
    <w:rsid w:val="10A122E9"/>
    <w:rsid w:val="10A55F67"/>
    <w:rsid w:val="10A67900"/>
    <w:rsid w:val="10AD2CB9"/>
    <w:rsid w:val="10B44742"/>
    <w:rsid w:val="10C04E65"/>
    <w:rsid w:val="10D0497D"/>
    <w:rsid w:val="110805BA"/>
    <w:rsid w:val="111B5623"/>
    <w:rsid w:val="111F7DDE"/>
    <w:rsid w:val="11230F50"/>
    <w:rsid w:val="115B2DE0"/>
    <w:rsid w:val="1173012A"/>
    <w:rsid w:val="11733C86"/>
    <w:rsid w:val="117A3266"/>
    <w:rsid w:val="118B5473"/>
    <w:rsid w:val="11A55E09"/>
    <w:rsid w:val="11AC0F46"/>
    <w:rsid w:val="11B04EDA"/>
    <w:rsid w:val="11BA40BE"/>
    <w:rsid w:val="11C15A98"/>
    <w:rsid w:val="11E20E0C"/>
    <w:rsid w:val="120B0362"/>
    <w:rsid w:val="12204AD2"/>
    <w:rsid w:val="12307DC9"/>
    <w:rsid w:val="126C06FF"/>
    <w:rsid w:val="12714AC1"/>
    <w:rsid w:val="12940450"/>
    <w:rsid w:val="12971BF6"/>
    <w:rsid w:val="12BB7786"/>
    <w:rsid w:val="12BE7183"/>
    <w:rsid w:val="12CB10A8"/>
    <w:rsid w:val="12DE7825"/>
    <w:rsid w:val="13053004"/>
    <w:rsid w:val="130A7C63"/>
    <w:rsid w:val="130F54F2"/>
    <w:rsid w:val="131C545C"/>
    <w:rsid w:val="13255454"/>
    <w:rsid w:val="134E1CE9"/>
    <w:rsid w:val="135D2E40"/>
    <w:rsid w:val="13910349"/>
    <w:rsid w:val="13AD3054"/>
    <w:rsid w:val="13BB7B66"/>
    <w:rsid w:val="13D1646B"/>
    <w:rsid w:val="142B4CEC"/>
    <w:rsid w:val="142B6A9A"/>
    <w:rsid w:val="142C6D81"/>
    <w:rsid w:val="143F0797"/>
    <w:rsid w:val="14B73B0A"/>
    <w:rsid w:val="14ED79F6"/>
    <w:rsid w:val="14F9476E"/>
    <w:rsid w:val="14FD2C7E"/>
    <w:rsid w:val="150572EB"/>
    <w:rsid w:val="151C19D4"/>
    <w:rsid w:val="15485429"/>
    <w:rsid w:val="154D0C92"/>
    <w:rsid w:val="157C1B01"/>
    <w:rsid w:val="15813D7F"/>
    <w:rsid w:val="15897F1C"/>
    <w:rsid w:val="158C17BA"/>
    <w:rsid w:val="15A44D56"/>
    <w:rsid w:val="15A959CF"/>
    <w:rsid w:val="15AC7766"/>
    <w:rsid w:val="15BB3A4F"/>
    <w:rsid w:val="15D13671"/>
    <w:rsid w:val="15F852DA"/>
    <w:rsid w:val="160C46A9"/>
    <w:rsid w:val="164C0FC5"/>
    <w:rsid w:val="16777D74"/>
    <w:rsid w:val="167F4E7B"/>
    <w:rsid w:val="169326D4"/>
    <w:rsid w:val="1694677A"/>
    <w:rsid w:val="1695644C"/>
    <w:rsid w:val="16EA17B8"/>
    <w:rsid w:val="16F2389F"/>
    <w:rsid w:val="16FC64EB"/>
    <w:rsid w:val="1701289B"/>
    <w:rsid w:val="170B4E7F"/>
    <w:rsid w:val="171E4694"/>
    <w:rsid w:val="1740285C"/>
    <w:rsid w:val="1743234C"/>
    <w:rsid w:val="17514A69"/>
    <w:rsid w:val="17536A81"/>
    <w:rsid w:val="176F6C9D"/>
    <w:rsid w:val="17832749"/>
    <w:rsid w:val="17925102"/>
    <w:rsid w:val="17F43DDB"/>
    <w:rsid w:val="18090783"/>
    <w:rsid w:val="185C36C6"/>
    <w:rsid w:val="185D743E"/>
    <w:rsid w:val="18760F08"/>
    <w:rsid w:val="18A84B5D"/>
    <w:rsid w:val="18BF10D5"/>
    <w:rsid w:val="18C66D91"/>
    <w:rsid w:val="18FA6A3B"/>
    <w:rsid w:val="19362169"/>
    <w:rsid w:val="193F08F1"/>
    <w:rsid w:val="19424AEC"/>
    <w:rsid w:val="195645B9"/>
    <w:rsid w:val="198A1A9F"/>
    <w:rsid w:val="198F1879"/>
    <w:rsid w:val="19993CBF"/>
    <w:rsid w:val="19B7492C"/>
    <w:rsid w:val="19CF7EC7"/>
    <w:rsid w:val="19D93D8A"/>
    <w:rsid w:val="1A051B3B"/>
    <w:rsid w:val="1A3362D7"/>
    <w:rsid w:val="1A7F5449"/>
    <w:rsid w:val="1AD11A1D"/>
    <w:rsid w:val="1AD8348E"/>
    <w:rsid w:val="1AE23C2A"/>
    <w:rsid w:val="1AF42297"/>
    <w:rsid w:val="1B0E2C71"/>
    <w:rsid w:val="1B1E5236"/>
    <w:rsid w:val="1B60171F"/>
    <w:rsid w:val="1B9B6E56"/>
    <w:rsid w:val="1BA55A43"/>
    <w:rsid w:val="1BC03F6C"/>
    <w:rsid w:val="1BDB6FF7"/>
    <w:rsid w:val="1C166281"/>
    <w:rsid w:val="1C1D7443"/>
    <w:rsid w:val="1C2002B7"/>
    <w:rsid w:val="1C204A0A"/>
    <w:rsid w:val="1C3D1600"/>
    <w:rsid w:val="1C3D2F00"/>
    <w:rsid w:val="1C5F3784"/>
    <w:rsid w:val="1C97240B"/>
    <w:rsid w:val="1CA473E9"/>
    <w:rsid w:val="1CCC299E"/>
    <w:rsid w:val="1CD1322E"/>
    <w:rsid w:val="1CF2284B"/>
    <w:rsid w:val="1CFF523B"/>
    <w:rsid w:val="1D195EFE"/>
    <w:rsid w:val="1D2E3157"/>
    <w:rsid w:val="1D2F75FB"/>
    <w:rsid w:val="1D430810"/>
    <w:rsid w:val="1D631052"/>
    <w:rsid w:val="1D835251"/>
    <w:rsid w:val="1D9E02DC"/>
    <w:rsid w:val="1DA43419"/>
    <w:rsid w:val="1DB01DBE"/>
    <w:rsid w:val="1E334EC9"/>
    <w:rsid w:val="1E674B72"/>
    <w:rsid w:val="1E9514DA"/>
    <w:rsid w:val="1EA23DFC"/>
    <w:rsid w:val="1EA25BAA"/>
    <w:rsid w:val="1EAD5ABE"/>
    <w:rsid w:val="1EFA3C38"/>
    <w:rsid w:val="1F372797"/>
    <w:rsid w:val="1F6F618F"/>
    <w:rsid w:val="1FA60048"/>
    <w:rsid w:val="1FC551B5"/>
    <w:rsid w:val="1FF52D69"/>
    <w:rsid w:val="20326142"/>
    <w:rsid w:val="205C7FDB"/>
    <w:rsid w:val="208D444C"/>
    <w:rsid w:val="20AE5931"/>
    <w:rsid w:val="20C55B80"/>
    <w:rsid w:val="20CC33B3"/>
    <w:rsid w:val="20DB53A4"/>
    <w:rsid w:val="20EA3839"/>
    <w:rsid w:val="20F87D04"/>
    <w:rsid w:val="210668C5"/>
    <w:rsid w:val="21141F85"/>
    <w:rsid w:val="21315582"/>
    <w:rsid w:val="214967B1"/>
    <w:rsid w:val="216605EF"/>
    <w:rsid w:val="216E6218"/>
    <w:rsid w:val="21C5052E"/>
    <w:rsid w:val="21D152A3"/>
    <w:rsid w:val="21F11323"/>
    <w:rsid w:val="21FA5CFD"/>
    <w:rsid w:val="221D66E6"/>
    <w:rsid w:val="222A4975"/>
    <w:rsid w:val="224B0651"/>
    <w:rsid w:val="224B1156"/>
    <w:rsid w:val="22603DB2"/>
    <w:rsid w:val="226C6BFB"/>
    <w:rsid w:val="227B6E3E"/>
    <w:rsid w:val="228757E3"/>
    <w:rsid w:val="22AA7723"/>
    <w:rsid w:val="22C46F6F"/>
    <w:rsid w:val="22C97BAA"/>
    <w:rsid w:val="22EE5862"/>
    <w:rsid w:val="23362D65"/>
    <w:rsid w:val="23435CCC"/>
    <w:rsid w:val="236E0751"/>
    <w:rsid w:val="23700025"/>
    <w:rsid w:val="23733FB9"/>
    <w:rsid w:val="23977CA8"/>
    <w:rsid w:val="23A60CCD"/>
    <w:rsid w:val="23B14FE2"/>
    <w:rsid w:val="23BF0FAD"/>
    <w:rsid w:val="23DF51AB"/>
    <w:rsid w:val="23EC5627"/>
    <w:rsid w:val="246B6A3F"/>
    <w:rsid w:val="248144B4"/>
    <w:rsid w:val="248C70E1"/>
    <w:rsid w:val="24A81A41"/>
    <w:rsid w:val="24B91EA0"/>
    <w:rsid w:val="24F627AC"/>
    <w:rsid w:val="25186BC6"/>
    <w:rsid w:val="25270278"/>
    <w:rsid w:val="25331C52"/>
    <w:rsid w:val="25453733"/>
    <w:rsid w:val="25541278"/>
    <w:rsid w:val="25787665"/>
    <w:rsid w:val="258E22A9"/>
    <w:rsid w:val="2593624D"/>
    <w:rsid w:val="25A22934"/>
    <w:rsid w:val="25C74149"/>
    <w:rsid w:val="25D60697"/>
    <w:rsid w:val="2601765A"/>
    <w:rsid w:val="2602138D"/>
    <w:rsid w:val="26115324"/>
    <w:rsid w:val="2628778F"/>
    <w:rsid w:val="266100F9"/>
    <w:rsid w:val="266320C3"/>
    <w:rsid w:val="2666570F"/>
    <w:rsid w:val="26720558"/>
    <w:rsid w:val="26775B6F"/>
    <w:rsid w:val="269C55D5"/>
    <w:rsid w:val="26C16DEA"/>
    <w:rsid w:val="26C64400"/>
    <w:rsid w:val="26E054C2"/>
    <w:rsid w:val="26E72CF4"/>
    <w:rsid w:val="27225ADA"/>
    <w:rsid w:val="27516D91"/>
    <w:rsid w:val="27716A62"/>
    <w:rsid w:val="279E5923"/>
    <w:rsid w:val="27B801ED"/>
    <w:rsid w:val="27D310A5"/>
    <w:rsid w:val="27D81566"/>
    <w:rsid w:val="27EB2370"/>
    <w:rsid w:val="27EE3C0E"/>
    <w:rsid w:val="27F12FBB"/>
    <w:rsid w:val="27FC13A7"/>
    <w:rsid w:val="284321AC"/>
    <w:rsid w:val="28485A15"/>
    <w:rsid w:val="285056DB"/>
    <w:rsid w:val="28595F19"/>
    <w:rsid w:val="28BA1D43"/>
    <w:rsid w:val="29074326"/>
    <w:rsid w:val="290A2CCA"/>
    <w:rsid w:val="29325D7D"/>
    <w:rsid w:val="293B652A"/>
    <w:rsid w:val="297D1637"/>
    <w:rsid w:val="298E56A9"/>
    <w:rsid w:val="299A22A0"/>
    <w:rsid w:val="29F82489"/>
    <w:rsid w:val="2A0616E3"/>
    <w:rsid w:val="2A187669"/>
    <w:rsid w:val="2A5F426C"/>
    <w:rsid w:val="2A8D5961"/>
    <w:rsid w:val="2A9C5BA4"/>
    <w:rsid w:val="2AA6645E"/>
    <w:rsid w:val="2ABA427C"/>
    <w:rsid w:val="2AC31382"/>
    <w:rsid w:val="2AD52E64"/>
    <w:rsid w:val="2AE53A13"/>
    <w:rsid w:val="2B0521C7"/>
    <w:rsid w:val="2B1C6CE5"/>
    <w:rsid w:val="2B66533D"/>
    <w:rsid w:val="2B675BC2"/>
    <w:rsid w:val="2B6936E0"/>
    <w:rsid w:val="2B8A6344"/>
    <w:rsid w:val="2B8F1C0B"/>
    <w:rsid w:val="2BAE2033"/>
    <w:rsid w:val="2BCB6ACF"/>
    <w:rsid w:val="2C4209CD"/>
    <w:rsid w:val="2C8E776E"/>
    <w:rsid w:val="2C9A39C7"/>
    <w:rsid w:val="2CB216AE"/>
    <w:rsid w:val="2CB63865"/>
    <w:rsid w:val="2CC97F3A"/>
    <w:rsid w:val="2CD535EF"/>
    <w:rsid w:val="2CFA3055"/>
    <w:rsid w:val="2D0D4B37"/>
    <w:rsid w:val="2D2D6F87"/>
    <w:rsid w:val="2D3E2F42"/>
    <w:rsid w:val="2D60735C"/>
    <w:rsid w:val="2D940467"/>
    <w:rsid w:val="2D97007F"/>
    <w:rsid w:val="2DC63E07"/>
    <w:rsid w:val="2DDD09AD"/>
    <w:rsid w:val="2E0E734F"/>
    <w:rsid w:val="2E426A62"/>
    <w:rsid w:val="2E4D14FF"/>
    <w:rsid w:val="2E5549E7"/>
    <w:rsid w:val="2E642E7C"/>
    <w:rsid w:val="2EA4771D"/>
    <w:rsid w:val="2EF064BE"/>
    <w:rsid w:val="2F3C1703"/>
    <w:rsid w:val="2F5E5B1E"/>
    <w:rsid w:val="2F7962AC"/>
    <w:rsid w:val="2F7964B4"/>
    <w:rsid w:val="2F7F3B93"/>
    <w:rsid w:val="2F9B1F07"/>
    <w:rsid w:val="2FBA62B6"/>
    <w:rsid w:val="2FBD053D"/>
    <w:rsid w:val="2FBE480E"/>
    <w:rsid w:val="2FBE7E66"/>
    <w:rsid w:val="2FEC3129"/>
    <w:rsid w:val="302420E6"/>
    <w:rsid w:val="30395C43"/>
    <w:rsid w:val="303F1C14"/>
    <w:rsid w:val="305667F5"/>
    <w:rsid w:val="30823A8E"/>
    <w:rsid w:val="30A74A71"/>
    <w:rsid w:val="30B005FB"/>
    <w:rsid w:val="30CF5FA3"/>
    <w:rsid w:val="31067002"/>
    <w:rsid w:val="311C15F2"/>
    <w:rsid w:val="3147015C"/>
    <w:rsid w:val="316E40BB"/>
    <w:rsid w:val="3195334D"/>
    <w:rsid w:val="31C61758"/>
    <w:rsid w:val="31F462C5"/>
    <w:rsid w:val="32373832"/>
    <w:rsid w:val="32951A44"/>
    <w:rsid w:val="32BD7F19"/>
    <w:rsid w:val="32CB5278"/>
    <w:rsid w:val="32DC173E"/>
    <w:rsid w:val="32E91BA2"/>
    <w:rsid w:val="330864CC"/>
    <w:rsid w:val="3314328C"/>
    <w:rsid w:val="33185FE3"/>
    <w:rsid w:val="337E678E"/>
    <w:rsid w:val="33993051"/>
    <w:rsid w:val="33CF2B0E"/>
    <w:rsid w:val="34125129"/>
    <w:rsid w:val="344F1ED9"/>
    <w:rsid w:val="34534933"/>
    <w:rsid w:val="34D4418C"/>
    <w:rsid w:val="34F211E2"/>
    <w:rsid w:val="35246EC1"/>
    <w:rsid w:val="35335357"/>
    <w:rsid w:val="357A65E8"/>
    <w:rsid w:val="35804B0D"/>
    <w:rsid w:val="359A53D6"/>
    <w:rsid w:val="35C80D67"/>
    <w:rsid w:val="35E120F0"/>
    <w:rsid w:val="360B4679"/>
    <w:rsid w:val="360F36CE"/>
    <w:rsid w:val="367B5207"/>
    <w:rsid w:val="36941E25"/>
    <w:rsid w:val="369B7657"/>
    <w:rsid w:val="36A42D20"/>
    <w:rsid w:val="36E124D9"/>
    <w:rsid w:val="36FC446D"/>
    <w:rsid w:val="37054967"/>
    <w:rsid w:val="37425D25"/>
    <w:rsid w:val="378974B0"/>
    <w:rsid w:val="37A56D79"/>
    <w:rsid w:val="37CB7AC8"/>
    <w:rsid w:val="37F36613"/>
    <w:rsid w:val="37F708BD"/>
    <w:rsid w:val="38211DDE"/>
    <w:rsid w:val="3846091E"/>
    <w:rsid w:val="384F24A7"/>
    <w:rsid w:val="385555E4"/>
    <w:rsid w:val="38832151"/>
    <w:rsid w:val="3934169D"/>
    <w:rsid w:val="393F251C"/>
    <w:rsid w:val="39477C25"/>
    <w:rsid w:val="396F64EF"/>
    <w:rsid w:val="39903935"/>
    <w:rsid w:val="39BA5059"/>
    <w:rsid w:val="39E059C7"/>
    <w:rsid w:val="39E6508D"/>
    <w:rsid w:val="39F50E2C"/>
    <w:rsid w:val="3A4516F9"/>
    <w:rsid w:val="3A5E2E76"/>
    <w:rsid w:val="3A614714"/>
    <w:rsid w:val="3A6A7A6C"/>
    <w:rsid w:val="3A8E1550"/>
    <w:rsid w:val="3AC54CA3"/>
    <w:rsid w:val="3AD02694"/>
    <w:rsid w:val="3AD14E21"/>
    <w:rsid w:val="3AE710BD"/>
    <w:rsid w:val="3AFD61EB"/>
    <w:rsid w:val="3B691AD2"/>
    <w:rsid w:val="3B8A07A5"/>
    <w:rsid w:val="3B9A7EDD"/>
    <w:rsid w:val="3B9D4305"/>
    <w:rsid w:val="3BA26D92"/>
    <w:rsid w:val="3BBF5B96"/>
    <w:rsid w:val="3BD31641"/>
    <w:rsid w:val="3C1E0B0E"/>
    <w:rsid w:val="3C625D83"/>
    <w:rsid w:val="3C6B3628"/>
    <w:rsid w:val="3C8D6DE4"/>
    <w:rsid w:val="3C917532"/>
    <w:rsid w:val="3CA134EE"/>
    <w:rsid w:val="3CC942C2"/>
    <w:rsid w:val="3CD15B81"/>
    <w:rsid w:val="3CDB0F08"/>
    <w:rsid w:val="3CFB49AC"/>
    <w:rsid w:val="3D057D27"/>
    <w:rsid w:val="3D0C6BB9"/>
    <w:rsid w:val="3D1C3D19"/>
    <w:rsid w:val="3D4A4FA9"/>
    <w:rsid w:val="3D9F17DB"/>
    <w:rsid w:val="3DAC3EF8"/>
    <w:rsid w:val="3DAF10A4"/>
    <w:rsid w:val="3E0C52B0"/>
    <w:rsid w:val="3E1A70B4"/>
    <w:rsid w:val="3E295549"/>
    <w:rsid w:val="3E4547E4"/>
    <w:rsid w:val="3E754715"/>
    <w:rsid w:val="3E7646B3"/>
    <w:rsid w:val="3EE62FF1"/>
    <w:rsid w:val="3EEC4EF4"/>
    <w:rsid w:val="3EF86EFC"/>
    <w:rsid w:val="3EFE0095"/>
    <w:rsid w:val="3F087ECF"/>
    <w:rsid w:val="3F253F62"/>
    <w:rsid w:val="3F2645AD"/>
    <w:rsid w:val="3F281CA4"/>
    <w:rsid w:val="3F310B59"/>
    <w:rsid w:val="3F6C1B91"/>
    <w:rsid w:val="3F7B6278"/>
    <w:rsid w:val="3F885650"/>
    <w:rsid w:val="3F9115F7"/>
    <w:rsid w:val="3FA330D9"/>
    <w:rsid w:val="3FDA11F0"/>
    <w:rsid w:val="3FDB3125"/>
    <w:rsid w:val="3FEA0D08"/>
    <w:rsid w:val="3FEB51AC"/>
    <w:rsid w:val="3FEC4A80"/>
    <w:rsid w:val="3FF82D11"/>
    <w:rsid w:val="4009291E"/>
    <w:rsid w:val="403B5AAB"/>
    <w:rsid w:val="404B5C4A"/>
    <w:rsid w:val="404E74E8"/>
    <w:rsid w:val="4090117B"/>
    <w:rsid w:val="40AA0BC3"/>
    <w:rsid w:val="40CB6D8B"/>
    <w:rsid w:val="40F847A5"/>
    <w:rsid w:val="41055DF9"/>
    <w:rsid w:val="410C3D0B"/>
    <w:rsid w:val="41171FD0"/>
    <w:rsid w:val="41287D39"/>
    <w:rsid w:val="412F2E76"/>
    <w:rsid w:val="4153125A"/>
    <w:rsid w:val="418A4675"/>
    <w:rsid w:val="418D4040"/>
    <w:rsid w:val="41B02161"/>
    <w:rsid w:val="41C23EC7"/>
    <w:rsid w:val="41CA7043"/>
    <w:rsid w:val="41EE4ADF"/>
    <w:rsid w:val="42293D69"/>
    <w:rsid w:val="422F0AE0"/>
    <w:rsid w:val="42497F67"/>
    <w:rsid w:val="425D17D7"/>
    <w:rsid w:val="42815953"/>
    <w:rsid w:val="428216CB"/>
    <w:rsid w:val="42825877"/>
    <w:rsid w:val="42892A5A"/>
    <w:rsid w:val="42C57F36"/>
    <w:rsid w:val="42EA799C"/>
    <w:rsid w:val="43030A5E"/>
    <w:rsid w:val="43104F29"/>
    <w:rsid w:val="43432C09"/>
    <w:rsid w:val="434B4745"/>
    <w:rsid w:val="43876705"/>
    <w:rsid w:val="4391606A"/>
    <w:rsid w:val="43D61CCF"/>
    <w:rsid w:val="43D85A47"/>
    <w:rsid w:val="44046EB0"/>
    <w:rsid w:val="44210F17"/>
    <w:rsid w:val="44290050"/>
    <w:rsid w:val="44357175"/>
    <w:rsid w:val="443C4228"/>
    <w:rsid w:val="44444E8A"/>
    <w:rsid w:val="444C01E3"/>
    <w:rsid w:val="445826E4"/>
    <w:rsid w:val="44627A06"/>
    <w:rsid w:val="44B9748E"/>
    <w:rsid w:val="44DA134B"/>
    <w:rsid w:val="44E16B7D"/>
    <w:rsid w:val="44ED0D0F"/>
    <w:rsid w:val="44EE4DF6"/>
    <w:rsid w:val="45012D7B"/>
    <w:rsid w:val="45062140"/>
    <w:rsid w:val="453411E9"/>
    <w:rsid w:val="45405AEC"/>
    <w:rsid w:val="454B2248"/>
    <w:rsid w:val="455E3D2A"/>
    <w:rsid w:val="45774DEB"/>
    <w:rsid w:val="459267E2"/>
    <w:rsid w:val="4599256C"/>
    <w:rsid w:val="45C81AEB"/>
    <w:rsid w:val="45CA5863"/>
    <w:rsid w:val="45F75F2C"/>
    <w:rsid w:val="45FE72BB"/>
    <w:rsid w:val="45FF4E0C"/>
    <w:rsid w:val="460074D7"/>
    <w:rsid w:val="46815DB0"/>
    <w:rsid w:val="468C2B19"/>
    <w:rsid w:val="469D5B26"/>
    <w:rsid w:val="46A165C4"/>
    <w:rsid w:val="46B27509"/>
    <w:rsid w:val="46BF588E"/>
    <w:rsid w:val="46C64C53"/>
    <w:rsid w:val="46E26BDC"/>
    <w:rsid w:val="47280A93"/>
    <w:rsid w:val="474A17D9"/>
    <w:rsid w:val="47B02837"/>
    <w:rsid w:val="47B2035D"/>
    <w:rsid w:val="48111527"/>
    <w:rsid w:val="481608EC"/>
    <w:rsid w:val="48574FE6"/>
    <w:rsid w:val="487A557D"/>
    <w:rsid w:val="48A24875"/>
    <w:rsid w:val="48D439E2"/>
    <w:rsid w:val="48DE3CFA"/>
    <w:rsid w:val="48E00EFA"/>
    <w:rsid w:val="490D5E06"/>
    <w:rsid w:val="493354CD"/>
    <w:rsid w:val="4970227E"/>
    <w:rsid w:val="49964961"/>
    <w:rsid w:val="49A10689"/>
    <w:rsid w:val="49A44CD1"/>
    <w:rsid w:val="49A60395"/>
    <w:rsid w:val="49D03506"/>
    <w:rsid w:val="49DB6666"/>
    <w:rsid w:val="49FC4E05"/>
    <w:rsid w:val="4A0550BC"/>
    <w:rsid w:val="4A08695A"/>
    <w:rsid w:val="4A0D3F70"/>
    <w:rsid w:val="4A1E7F2C"/>
    <w:rsid w:val="4A7D4C52"/>
    <w:rsid w:val="4A8833F2"/>
    <w:rsid w:val="4AAC3789"/>
    <w:rsid w:val="4ABB1C1E"/>
    <w:rsid w:val="4ABB577A"/>
    <w:rsid w:val="4AC85330"/>
    <w:rsid w:val="4AC946DB"/>
    <w:rsid w:val="4AD472AA"/>
    <w:rsid w:val="4AFA62A3"/>
    <w:rsid w:val="4B177B37"/>
    <w:rsid w:val="4B296B88"/>
    <w:rsid w:val="4B35552D"/>
    <w:rsid w:val="4B382583"/>
    <w:rsid w:val="4B487E57"/>
    <w:rsid w:val="4B6422B6"/>
    <w:rsid w:val="4B94349C"/>
    <w:rsid w:val="4BDB773A"/>
    <w:rsid w:val="4BEC43EA"/>
    <w:rsid w:val="4C161DA9"/>
    <w:rsid w:val="4C303F46"/>
    <w:rsid w:val="4C360DAD"/>
    <w:rsid w:val="4C4A06B7"/>
    <w:rsid w:val="4C4B3E81"/>
    <w:rsid w:val="4C5256D4"/>
    <w:rsid w:val="4C667968"/>
    <w:rsid w:val="4C762EFF"/>
    <w:rsid w:val="4C87625C"/>
    <w:rsid w:val="4CA02E7A"/>
    <w:rsid w:val="4CAC650D"/>
    <w:rsid w:val="4CAD6530"/>
    <w:rsid w:val="4CBE77A4"/>
    <w:rsid w:val="4CDD7C2A"/>
    <w:rsid w:val="4CE30FB8"/>
    <w:rsid w:val="4CF95C45"/>
    <w:rsid w:val="4D13189E"/>
    <w:rsid w:val="4D372DCE"/>
    <w:rsid w:val="4D3F6B37"/>
    <w:rsid w:val="4D4E6D7A"/>
    <w:rsid w:val="4D510618"/>
    <w:rsid w:val="4D666E75"/>
    <w:rsid w:val="4D751D1C"/>
    <w:rsid w:val="4D982356"/>
    <w:rsid w:val="4DD3168B"/>
    <w:rsid w:val="4DD54DA5"/>
    <w:rsid w:val="4DD94895"/>
    <w:rsid w:val="4DE374C2"/>
    <w:rsid w:val="4DEB6377"/>
    <w:rsid w:val="4DF46B39"/>
    <w:rsid w:val="4E10402F"/>
    <w:rsid w:val="4E263853"/>
    <w:rsid w:val="4E573A0C"/>
    <w:rsid w:val="4E5B57EC"/>
    <w:rsid w:val="4E797E26"/>
    <w:rsid w:val="4E9E5ADF"/>
    <w:rsid w:val="4EA36C51"/>
    <w:rsid w:val="4ECD1F20"/>
    <w:rsid w:val="4EDE515E"/>
    <w:rsid w:val="4F093B8B"/>
    <w:rsid w:val="4F215CDA"/>
    <w:rsid w:val="4F3D2C02"/>
    <w:rsid w:val="4F6B6FE2"/>
    <w:rsid w:val="4FAE58AE"/>
    <w:rsid w:val="4FD42BF3"/>
    <w:rsid w:val="4FE1404C"/>
    <w:rsid w:val="50016A72"/>
    <w:rsid w:val="50836D3A"/>
    <w:rsid w:val="50905620"/>
    <w:rsid w:val="50BC224C"/>
    <w:rsid w:val="50C11611"/>
    <w:rsid w:val="50EC48E0"/>
    <w:rsid w:val="51452242"/>
    <w:rsid w:val="51621E36"/>
    <w:rsid w:val="51F24178"/>
    <w:rsid w:val="51F7167C"/>
    <w:rsid w:val="520B348B"/>
    <w:rsid w:val="520B6FE7"/>
    <w:rsid w:val="523E560F"/>
    <w:rsid w:val="529F25B4"/>
    <w:rsid w:val="52B11EEF"/>
    <w:rsid w:val="52C0340D"/>
    <w:rsid w:val="52E57838"/>
    <w:rsid w:val="52F35FA9"/>
    <w:rsid w:val="531B63B0"/>
    <w:rsid w:val="533273FB"/>
    <w:rsid w:val="538D5997"/>
    <w:rsid w:val="53933738"/>
    <w:rsid w:val="53AF0590"/>
    <w:rsid w:val="53B8319F"/>
    <w:rsid w:val="53F1045F"/>
    <w:rsid w:val="5402797A"/>
    <w:rsid w:val="54205F91"/>
    <w:rsid w:val="54530B87"/>
    <w:rsid w:val="546155E5"/>
    <w:rsid w:val="54651938"/>
    <w:rsid w:val="5472334E"/>
    <w:rsid w:val="5479292E"/>
    <w:rsid w:val="547C5F7A"/>
    <w:rsid w:val="54B35714"/>
    <w:rsid w:val="54B716A8"/>
    <w:rsid w:val="54B73456"/>
    <w:rsid w:val="54BC0A6D"/>
    <w:rsid w:val="54F226E1"/>
    <w:rsid w:val="54FC70BB"/>
    <w:rsid w:val="551E34D6"/>
    <w:rsid w:val="55361756"/>
    <w:rsid w:val="554E11A9"/>
    <w:rsid w:val="557C1FAA"/>
    <w:rsid w:val="55990DAE"/>
    <w:rsid w:val="55A51501"/>
    <w:rsid w:val="55C951EF"/>
    <w:rsid w:val="55E069DD"/>
    <w:rsid w:val="55E822A0"/>
    <w:rsid w:val="560B3A5A"/>
    <w:rsid w:val="562C1C22"/>
    <w:rsid w:val="564B20A8"/>
    <w:rsid w:val="56576C9F"/>
    <w:rsid w:val="565D3B8A"/>
    <w:rsid w:val="56637327"/>
    <w:rsid w:val="56EF512A"/>
    <w:rsid w:val="56F522BD"/>
    <w:rsid w:val="56F769CB"/>
    <w:rsid w:val="572D17AE"/>
    <w:rsid w:val="5738280F"/>
    <w:rsid w:val="57686C8A"/>
    <w:rsid w:val="578507C0"/>
    <w:rsid w:val="5813486A"/>
    <w:rsid w:val="581A61D6"/>
    <w:rsid w:val="58241860"/>
    <w:rsid w:val="582C415B"/>
    <w:rsid w:val="583F3E8F"/>
    <w:rsid w:val="58561E1E"/>
    <w:rsid w:val="58772591"/>
    <w:rsid w:val="58825B29"/>
    <w:rsid w:val="58874605"/>
    <w:rsid w:val="5889335C"/>
    <w:rsid w:val="588B2C30"/>
    <w:rsid w:val="58BD6B62"/>
    <w:rsid w:val="58C51CE6"/>
    <w:rsid w:val="59012EF2"/>
    <w:rsid w:val="595B0BEF"/>
    <w:rsid w:val="596F4300"/>
    <w:rsid w:val="597E2795"/>
    <w:rsid w:val="598B6C60"/>
    <w:rsid w:val="598E28EC"/>
    <w:rsid w:val="59A541C5"/>
    <w:rsid w:val="59A948AF"/>
    <w:rsid w:val="59AD4E28"/>
    <w:rsid w:val="59CC3500"/>
    <w:rsid w:val="59D16D68"/>
    <w:rsid w:val="59FD5DAF"/>
    <w:rsid w:val="5A076E80"/>
    <w:rsid w:val="5A0E1D6B"/>
    <w:rsid w:val="5A2562F0"/>
    <w:rsid w:val="5A2E7D17"/>
    <w:rsid w:val="5A807228"/>
    <w:rsid w:val="5A837DE0"/>
    <w:rsid w:val="5A851901"/>
    <w:rsid w:val="5A92474A"/>
    <w:rsid w:val="5A9A35FE"/>
    <w:rsid w:val="5A9F0C15"/>
    <w:rsid w:val="5B2F01EA"/>
    <w:rsid w:val="5B394BC5"/>
    <w:rsid w:val="5B5C08B4"/>
    <w:rsid w:val="5BCC1A9C"/>
    <w:rsid w:val="5C245875"/>
    <w:rsid w:val="5C352F72"/>
    <w:rsid w:val="5C593045"/>
    <w:rsid w:val="5C5A50CF"/>
    <w:rsid w:val="5C900FC3"/>
    <w:rsid w:val="5CEC5C67"/>
    <w:rsid w:val="5D0549F9"/>
    <w:rsid w:val="5D2146A2"/>
    <w:rsid w:val="5D30024A"/>
    <w:rsid w:val="5D491C06"/>
    <w:rsid w:val="5D496874"/>
    <w:rsid w:val="5D635A94"/>
    <w:rsid w:val="5D6D4FFA"/>
    <w:rsid w:val="5D83481E"/>
    <w:rsid w:val="5D8B5480"/>
    <w:rsid w:val="5D936AA7"/>
    <w:rsid w:val="5DC85BAC"/>
    <w:rsid w:val="5DF03B3B"/>
    <w:rsid w:val="5DFE7485"/>
    <w:rsid w:val="5E373037"/>
    <w:rsid w:val="5E435D5B"/>
    <w:rsid w:val="5E443FAD"/>
    <w:rsid w:val="5E7A68A3"/>
    <w:rsid w:val="5E7F023D"/>
    <w:rsid w:val="5EA97545"/>
    <w:rsid w:val="5EDC3E56"/>
    <w:rsid w:val="5EEB4428"/>
    <w:rsid w:val="5EF77271"/>
    <w:rsid w:val="5F1F0576"/>
    <w:rsid w:val="5F262992"/>
    <w:rsid w:val="5F5C0E82"/>
    <w:rsid w:val="5F5F6F16"/>
    <w:rsid w:val="5F7A1C50"/>
    <w:rsid w:val="5F7F2DC3"/>
    <w:rsid w:val="5F9E76ED"/>
    <w:rsid w:val="5FE33352"/>
    <w:rsid w:val="5FF82CFA"/>
    <w:rsid w:val="5FFB4B3F"/>
    <w:rsid w:val="60082DB8"/>
    <w:rsid w:val="60932FCA"/>
    <w:rsid w:val="60BB607C"/>
    <w:rsid w:val="60CF1B28"/>
    <w:rsid w:val="60EE1E17"/>
    <w:rsid w:val="61167757"/>
    <w:rsid w:val="611A0EA3"/>
    <w:rsid w:val="611C2FBF"/>
    <w:rsid w:val="61356E89"/>
    <w:rsid w:val="614E6EF1"/>
    <w:rsid w:val="61616C24"/>
    <w:rsid w:val="618B1EF3"/>
    <w:rsid w:val="618D5292"/>
    <w:rsid w:val="61AA6B84"/>
    <w:rsid w:val="61C84EF5"/>
    <w:rsid w:val="61CE59E7"/>
    <w:rsid w:val="61DF3FED"/>
    <w:rsid w:val="61FA0620"/>
    <w:rsid w:val="62145A44"/>
    <w:rsid w:val="623E4F5C"/>
    <w:rsid w:val="624F1172"/>
    <w:rsid w:val="626A367D"/>
    <w:rsid w:val="626F35C2"/>
    <w:rsid w:val="62791D4B"/>
    <w:rsid w:val="62A52B40"/>
    <w:rsid w:val="62B70A1E"/>
    <w:rsid w:val="62E55179"/>
    <w:rsid w:val="62EA2C49"/>
    <w:rsid w:val="62F31AFE"/>
    <w:rsid w:val="62F6339C"/>
    <w:rsid w:val="634C2AB2"/>
    <w:rsid w:val="6390672E"/>
    <w:rsid w:val="63C210E6"/>
    <w:rsid w:val="63C27B3E"/>
    <w:rsid w:val="63C416EC"/>
    <w:rsid w:val="63CE27B7"/>
    <w:rsid w:val="63D365A2"/>
    <w:rsid w:val="63F633B2"/>
    <w:rsid w:val="63FC0E86"/>
    <w:rsid w:val="643B11EF"/>
    <w:rsid w:val="64591E34"/>
    <w:rsid w:val="64AC6408"/>
    <w:rsid w:val="64F15E25"/>
    <w:rsid w:val="650D2572"/>
    <w:rsid w:val="65167D25"/>
    <w:rsid w:val="651F307E"/>
    <w:rsid w:val="652F5971"/>
    <w:rsid w:val="656C2CB8"/>
    <w:rsid w:val="65775B08"/>
    <w:rsid w:val="66157FDD"/>
    <w:rsid w:val="662E0342"/>
    <w:rsid w:val="66432D9C"/>
    <w:rsid w:val="664B6375"/>
    <w:rsid w:val="665C34BE"/>
    <w:rsid w:val="66AB0F78"/>
    <w:rsid w:val="66C832A1"/>
    <w:rsid w:val="66D71736"/>
    <w:rsid w:val="670C13E0"/>
    <w:rsid w:val="671B1623"/>
    <w:rsid w:val="674541D3"/>
    <w:rsid w:val="6759214B"/>
    <w:rsid w:val="678E0047"/>
    <w:rsid w:val="679A4C3E"/>
    <w:rsid w:val="67A05FCC"/>
    <w:rsid w:val="67B11F87"/>
    <w:rsid w:val="67B3068B"/>
    <w:rsid w:val="67C8492D"/>
    <w:rsid w:val="67D349D8"/>
    <w:rsid w:val="67F56318"/>
    <w:rsid w:val="68214A21"/>
    <w:rsid w:val="683A3D2B"/>
    <w:rsid w:val="684D3A5E"/>
    <w:rsid w:val="68703BF0"/>
    <w:rsid w:val="68725BBA"/>
    <w:rsid w:val="68817BAC"/>
    <w:rsid w:val="69083E29"/>
    <w:rsid w:val="690A194F"/>
    <w:rsid w:val="69201173"/>
    <w:rsid w:val="69A973BA"/>
    <w:rsid w:val="69AD1ECC"/>
    <w:rsid w:val="69D81A4D"/>
    <w:rsid w:val="6A070584"/>
    <w:rsid w:val="6A1A662B"/>
    <w:rsid w:val="6A1F58CE"/>
    <w:rsid w:val="6A42336B"/>
    <w:rsid w:val="6A4946F9"/>
    <w:rsid w:val="6A7A6FA8"/>
    <w:rsid w:val="6A7F45BF"/>
    <w:rsid w:val="6A846E9A"/>
    <w:rsid w:val="6AAE4DFC"/>
    <w:rsid w:val="6B014FD4"/>
    <w:rsid w:val="6B0845B4"/>
    <w:rsid w:val="6B105217"/>
    <w:rsid w:val="6B221EFB"/>
    <w:rsid w:val="6B27494B"/>
    <w:rsid w:val="6B27617D"/>
    <w:rsid w:val="6B54608E"/>
    <w:rsid w:val="6BAE6F0A"/>
    <w:rsid w:val="6BB87240"/>
    <w:rsid w:val="6C1121B0"/>
    <w:rsid w:val="6C2471CC"/>
    <w:rsid w:val="6C2B2CE1"/>
    <w:rsid w:val="6C382C77"/>
    <w:rsid w:val="6C53360D"/>
    <w:rsid w:val="6C7672FB"/>
    <w:rsid w:val="6C89702F"/>
    <w:rsid w:val="6CB71DEE"/>
    <w:rsid w:val="6CB85165"/>
    <w:rsid w:val="6CDC1854"/>
    <w:rsid w:val="6CF22E26"/>
    <w:rsid w:val="6D042274"/>
    <w:rsid w:val="6D237483"/>
    <w:rsid w:val="6D350F65"/>
    <w:rsid w:val="6D372F2F"/>
    <w:rsid w:val="6D3F3B91"/>
    <w:rsid w:val="6D415A66"/>
    <w:rsid w:val="6D505D9E"/>
    <w:rsid w:val="6D77157D"/>
    <w:rsid w:val="6D7952F5"/>
    <w:rsid w:val="6D8A305E"/>
    <w:rsid w:val="6DAF6452"/>
    <w:rsid w:val="6DD469CF"/>
    <w:rsid w:val="6DEC3D19"/>
    <w:rsid w:val="6E4C2A0A"/>
    <w:rsid w:val="6E851A78"/>
    <w:rsid w:val="6EA42846"/>
    <w:rsid w:val="6EF015E7"/>
    <w:rsid w:val="6F03131A"/>
    <w:rsid w:val="6F196D90"/>
    <w:rsid w:val="6F1F3C7A"/>
    <w:rsid w:val="6F23376B"/>
    <w:rsid w:val="6F394D3C"/>
    <w:rsid w:val="6F4162E7"/>
    <w:rsid w:val="6F4E0597"/>
    <w:rsid w:val="6F4E6796"/>
    <w:rsid w:val="6F806E0F"/>
    <w:rsid w:val="6F810491"/>
    <w:rsid w:val="6F83245B"/>
    <w:rsid w:val="6F8C7562"/>
    <w:rsid w:val="6FA52C55"/>
    <w:rsid w:val="6FCA008A"/>
    <w:rsid w:val="6FCD41FA"/>
    <w:rsid w:val="6FDE0E4B"/>
    <w:rsid w:val="6FE10C9C"/>
    <w:rsid w:val="700417EE"/>
    <w:rsid w:val="70075191"/>
    <w:rsid w:val="70187047"/>
    <w:rsid w:val="701F3543"/>
    <w:rsid w:val="70314865"/>
    <w:rsid w:val="704F058F"/>
    <w:rsid w:val="706B04AD"/>
    <w:rsid w:val="707115E3"/>
    <w:rsid w:val="70933EE7"/>
    <w:rsid w:val="709F3565"/>
    <w:rsid w:val="70C4183D"/>
    <w:rsid w:val="70C85CEF"/>
    <w:rsid w:val="70CE7706"/>
    <w:rsid w:val="70CF7E8C"/>
    <w:rsid w:val="70D25448"/>
    <w:rsid w:val="70DE203F"/>
    <w:rsid w:val="70E832F7"/>
    <w:rsid w:val="71033854"/>
    <w:rsid w:val="711A7816"/>
    <w:rsid w:val="711F61B4"/>
    <w:rsid w:val="714459EF"/>
    <w:rsid w:val="714D0F73"/>
    <w:rsid w:val="716D6F1F"/>
    <w:rsid w:val="717C6991"/>
    <w:rsid w:val="71865B23"/>
    <w:rsid w:val="71970440"/>
    <w:rsid w:val="71A16BC9"/>
    <w:rsid w:val="71A8389B"/>
    <w:rsid w:val="71B35DB0"/>
    <w:rsid w:val="71BD3349"/>
    <w:rsid w:val="71D77426"/>
    <w:rsid w:val="723878BA"/>
    <w:rsid w:val="727128B9"/>
    <w:rsid w:val="72923BB4"/>
    <w:rsid w:val="72C4013C"/>
    <w:rsid w:val="72CA214F"/>
    <w:rsid w:val="72E7250F"/>
    <w:rsid w:val="72FA6BAC"/>
    <w:rsid w:val="73027B3B"/>
    <w:rsid w:val="730613D9"/>
    <w:rsid w:val="73261A7B"/>
    <w:rsid w:val="73337E12"/>
    <w:rsid w:val="733C4DFB"/>
    <w:rsid w:val="73530396"/>
    <w:rsid w:val="736E51D0"/>
    <w:rsid w:val="73821FEE"/>
    <w:rsid w:val="73C61ADF"/>
    <w:rsid w:val="73C80D84"/>
    <w:rsid w:val="73DB0AB8"/>
    <w:rsid w:val="74136828"/>
    <w:rsid w:val="74367A9C"/>
    <w:rsid w:val="74463A57"/>
    <w:rsid w:val="745148D6"/>
    <w:rsid w:val="748A603A"/>
    <w:rsid w:val="749B1FF5"/>
    <w:rsid w:val="749D7B1B"/>
    <w:rsid w:val="74B51309"/>
    <w:rsid w:val="74CE5F27"/>
    <w:rsid w:val="74E90FB2"/>
    <w:rsid w:val="750E27C7"/>
    <w:rsid w:val="75382F67"/>
    <w:rsid w:val="753B2C9C"/>
    <w:rsid w:val="75577A04"/>
    <w:rsid w:val="755F1275"/>
    <w:rsid w:val="758E66CD"/>
    <w:rsid w:val="759A04FF"/>
    <w:rsid w:val="75FB0F9D"/>
    <w:rsid w:val="75FE6CDF"/>
    <w:rsid w:val="76404C02"/>
    <w:rsid w:val="76823DA4"/>
    <w:rsid w:val="768415DF"/>
    <w:rsid w:val="76A258BD"/>
    <w:rsid w:val="76AC04E9"/>
    <w:rsid w:val="76DD4B47"/>
    <w:rsid w:val="76DF5654"/>
    <w:rsid w:val="76EC4D8A"/>
    <w:rsid w:val="774909CD"/>
    <w:rsid w:val="775D17E4"/>
    <w:rsid w:val="77644920"/>
    <w:rsid w:val="776B2153"/>
    <w:rsid w:val="778D7747"/>
    <w:rsid w:val="77BD0768"/>
    <w:rsid w:val="77DC2962"/>
    <w:rsid w:val="77F8480C"/>
    <w:rsid w:val="77FE4D75"/>
    <w:rsid w:val="781251C3"/>
    <w:rsid w:val="782D7408"/>
    <w:rsid w:val="783562BD"/>
    <w:rsid w:val="789E0306"/>
    <w:rsid w:val="78B51FBC"/>
    <w:rsid w:val="78C87131"/>
    <w:rsid w:val="78CF04BF"/>
    <w:rsid w:val="78FA1C9A"/>
    <w:rsid w:val="790548C3"/>
    <w:rsid w:val="796147EE"/>
    <w:rsid w:val="79AE27CB"/>
    <w:rsid w:val="79B55907"/>
    <w:rsid w:val="79CE76AA"/>
    <w:rsid w:val="79F42C7E"/>
    <w:rsid w:val="7A016D9E"/>
    <w:rsid w:val="7A046F65"/>
    <w:rsid w:val="7A1268B5"/>
    <w:rsid w:val="7A3507F6"/>
    <w:rsid w:val="7A3B5A16"/>
    <w:rsid w:val="7A5E5838"/>
    <w:rsid w:val="7A652E89"/>
    <w:rsid w:val="7A76687A"/>
    <w:rsid w:val="7A8552D9"/>
    <w:rsid w:val="7AAF05A8"/>
    <w:rsid w:val="7AB211E9"/>
    <w:rsid w:val="7AB636E5"/>
    <w:rsid w:val="7AB67B89"/>
    <w:rsid w:val="7AB94F83"/>
    <w:rsid w:val="7ABA3C6D"/>
    <w:rsid w:val="7AFD1314"/>
    <w:rsid w:val="7B060931"/>
    <w:rsid w:val="7B1570FD"/>
    <w:rsid w:val="7B1C27B8"/>
    <w:rsid w:val="7B362A78"/>
    <w:rsid w:val="7B3D5BB4"/>
    <w:rsid w:val="7B446F42"/>
    <w:rsid w:val="7B547823"/>
    <w:rsid w:val="7B580C40"/>
    <w:rsid w:val="7BB35E76"/>
    <w:rsid w:val="7BBF045F"/>
    <w:rsid w:val="7BC627D9"/>
    <w:rsid w:val="7BCC0CE6"/>
    <w:rsid w:val="7BD9715F"/>
    <w:rsid w:val="7BFC15CB"/>
    <w:rsid w:val="7C124E77"/>
    <w:rsid w:val="7C136915"/>
    <w:rsid w:val="7C46246B"/>
    <w:rsid w:val="7C66738C"/>
    <w:rsid w:val="7C945CA8"/>
    <w:rsid w:val="7C977546"/>
    <w:rsid w:val="7CE3278B"/>
    <w:rsid w:val="7CE65DD7"/>
    <w:rsid w:val="7D3D4905"/>
    <w:rsid w:val="7D413E44"/>
    <w:rsid w:val="7D641B1E"/>
    <w:rsid w:val="7D6E0038"/>
    <w:rsid w:val="7DAC7021"/>
    <w:rsid w:val="7DE92023"/>
    <w:rsid w:val="7E180E5C"/>
    <w:rsid w:val="7E1F3C97"/>
    <w:rsid w:val="7E2B263C"/>
    <w:rsid w:val="7E2F2A5A"/>
    <w:rsid w:val="7E36525F"/>
    <w:rsid w:val="7ED56104"/>
    <w:rsid w:val="7EDB7BBE"/>
    <w:rsid w:val="7EE34CC4"/>
    <w:rsid w:val="7F083F6B"/>
    <w:rsid w:val="7F172C5F"/>
    <w:rsid w:val="7F41298C"/>
    <w:rsid w:val="7F6776A3"/>
    <w:rsid w:val="7F706A17"/>
    <w:rsid w:val="7F7B314F"/>
    <w:rsid w:val="7FB6274E"/>
    <w:rsid w:val="7FE06415"/>
    <w:rsid w:val="7FEB5F33"/>
    <w:rsid w:val="7FFA0518"/>
    <w:rsid w:val="7FFB603E"/>
    <w:rsid w:val="7FFC5B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120" w:line="300" w:lineRule="auto"/>
      <w:jc w:val="center"/>
      <w:outlineLvl w:val="1"/>
    </w:pPr>
    <w:rPr>
      <w:rFonts w:eastAsia="黑体"/>
      <w:b/>
      <w:sz w:val="30"/>
      <w:szCs w:val="20"/>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6">
    <w:name w:val="table of authorities"/>
    <w:basedOn w:val="1"/>
    <w:next w:val="1"/>
    <w:qFormat/>
    <w:uiPriority w:val="0"/>
    <w:pPr>
      <w:ind w:left="420" w:leftChars="200"/>
    </w:pPr>
  </w:style>
  <w:style w:type="paragraph" w:styleId="7">
    <w:name w:val="Document Map"/>
    <w:basedOn w:val="1"/>
    <w:link w:val="37"/>
    <w:semiHidden/>
    <w:unhideWhenUsed/>
    <w:qFormat/>
    <w:uiPriority w:val="99"/>
    <w:rPr>
      <w:rFonts w:ascii="宋体" w:eastAsia="宋体"/>
      <w:sz w:val="18"/>
      <w:szCs w:val="18"/>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semiHidden/>
    <w:unhideWhenUsed/>
    <w:qFormat/>
    <w:uiPriority w:val="99"/>
    <w:pPr>
      <w:widowControl w:val="0"/>
    </w:pPr>
    <w:rPr>
      <w:rFonts w:ascii="Times New Roman" w:hAnsi="Times New Roman" w:cs="Times New Roman"/>
      <w:kern w:val="2"/>
      <w:lang w:eastAsia="zh-CN"/>
    </w:rPr>
  </w:style>
  <w:style w:type="paragraph" w:styleId="10">
    <w:name w:val="Body Text"/>
    <w:basedOn w:val="1"/>
    <w:semiHidden/>
    <w:qFormat/>
    <w:uiPriority w:val="0"/>
    <w:rPr>
      <w:rFonts w:ascii="黑体" w:hAnsi="黑体" w:eastAsia="黑体" w:cs="黑体"/>
      <w:sz w:val="31"/>
      <w:szCs w:val="31"/>
    </w:rPr>
  </w:style>
  <w:style w:type="paragraph" w:styleId="11">
    <w:name w:val="Body Text Indent"/>
    <w:basedOn w:val="1"/>
    <w:qFormat/>
    <w:uiPriority w:val="0"/>
    <w:pPr>
      <w:spacing w:line="360" w:lineRule="auto"/>
      <w:ind w:firstLine="570"/>
    </w:pPr>
    <w:rPr>
      <w:rFonts w:ascii="Times New Roman" w:hAnsi="Times New Roman" w:eastAsia="宋体" w:cs="Times New Roman"/>
      <w:sz w:val="24"/>
    </w:rPr>
  </w:style>
  <w:style w:type="paragraph" w:styleId="12">
    <w:name w:val="toc 3"/>
    <w:basedOn w:val="1"/>
    <w:next w:val="1"/>
    <w:autoRedefine/>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Balloon Text"/>
    <w:basedOn w:val="1"/>
    <w:link w:val="35"/>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List Number 5"/>
    <w:basedOn w:val="1"/>
    <w:semiHidden/>
    <w:unhideWhenUsed/>
    <w:qFormat/>
    <w:uiPriority w:val="99"/>
    <w:pPr>
      <w:widowControl w:val="0"/>
      <w:tabs>
        <w:tab w:val="left" w:pos="2040"/>
      </w:tabs>
      <w:ind w:left="2040" w:hanging="360"/>
      <w:jc w:val="both"/>
    </w:pPr>
    <w:rPr>
      <w:rFonts w:ascii="Times New Roman" w:hAnsi="Times New Roman" w:cs="Times New Roman"/>
      <w:kern w:val="2"/>
      <w:lang w:eastAsia="zh-CN"/>
    </w:rPr>
  </w:style>
  <w:style w:type="paragraph" w:styleId="20">
    <w:name w:val="toc 2"/>
    <w:basedOn w:val="1"/>
    <w:next w:val="1"/>
    <w:autoRedefine/>
    <w:unhideWhenUsed/>
    <w:qFormat/>
    <w:uiPriority w:val="39"/>
    <w:pPr>
      <w:ind w:left="420" w:leftChars="200"/>
    </w:pPr>
  </w:style>
  <w:style w:type="paragraph" w:styleId="21">
    <w:name w:val="Body Text 2"/>
    <w:basedOn w:val="1"/>
    <w:qFormat/>
    <w:uiPriority w:val="0"/>
    <w:pPr>
      <w:spacing w:line="360" w:lineRule="atLeast"/>
      <w:jc w:val="center"/>
    </w:pPr>
    <w:rPr>
      <w:rFonts w:ascii="仿宋_GB2312" w:hAnsi="Dotum" w:eastAsia="仿宋_GB2312" w:cs="Times New Roman"/>
      <w:sz w:val="28"/>
    </w:rPr>
  </w:style>
  <w:style w:type="paragraph" w:styleId="22">
    <w:name w:val="Normal (Web)"/>
    <w:basedOn w:val="1"/>
    <w:semiHidden/>
    <w:unhideWhenUsed/>
    <w:qFormat/>
    <w:uiPriority w:val="99"/>
    <w:pPr>
      <w:spacing w:beforeAutospacing="1" w:afterAutospacing="1"/>
    </w:pPr>
    <w:rPr>
      <w:rFonts w:ascii="宋体" w:hAnsi="宋体" w:cs="Times New Roman"/>
      <w:sz w:val="24"/>
      <w:szCs w:val="24"/>
      <w:lang w:eastAsia="zh-CN"/>
    </w:rPr>
  </w:style>
  <w:style w:type="paragraph" w:styleId="23">
    <w:name w:val="Body Text First Indent 2"/>
    <w:next w:val="1"/>
    <w:qFormat/>
    <w:uiPriority w:val="0"/>
    <w:pPr>
      <w:widowControl w:val="0"/>
      <w:ind w:firstLine="420"/>
      <w:jc w:val="both"/>
    </w:pPr>
    <w:rPr>
      <w:rFonts w:ascii="Calibri" w:hAnsi="Calibri" w:eastAsia="宋体" w:cs="Times New Roman"/>
      <w:kern w:val="2"/>
      <w:sz w:val="32"/>
      <w:szCs w:val="32"/>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paragraph" w:customStyle="1" w:styleId="29">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30">
    <w:name w:val="标题 1 Char"/>
    <w:basedOn w:val="26"/>
    <w:link w:val="2"/>
    <w:qFormat/>
    <w:uiPriority w:val="9"/>
    <w:rPr>
      <w:b/>
      <w:bCs/>
      <w:kern w:val="44"/>
      <w:sz w:val="44"/>
      <w:szCs w:val="44"/>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rPr>
  </w:style>
  <w:style w:type="character" w:customStyle="1" w:styleId="33">
    <w:name w:val="页眉 Char"/>
    <w:basedOn w:val="26"/>
    <w:link w:val="16"/>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批注框文本 Char"/>
    <w:basedOn w:val="26"/>
    <w:link w:val="14"/>
    <w:semiHidden/>
    <w:qFormat/>
    <w:uiPriority w:val="99"/>
    <w:rPr>
      <w:sz w:val="18"/>
      <w:szCs w:val="18"/>
    </w:rPr>
  </w:style>
  <w:style w:type="paragraph" w:customStyle="1" w:styleId="36">
    <w:name w:val="TOC 标题1"/>
    <w:basedOn w:val="2"/>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character" w:customStyle="1" w:styleId="37">
    <w:name w:val="文档结构图 Char"/>
    <w:basedOn w:val="26"/>
    <w:link w:val="7"/>
    <w:semiHidden/>
    <w:qFormat/>
    <w:uiPriority w:val="99"/>
    <w:rPr>
      <w:rFonts w:ascii="宋体" w:eastAsia="宋体"/>
      <w:sz w:val="18"/>
      <w:szCs w:val="18"/>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列出段落1"/>
    <w:basedOn w:val="1"/>
    <w:qFormat/>
    <w:uiPriority w:val="0"/>
    <w:pPr>
      <w:ind w:firstLine="420" w:firstLineChars="200"/>
    </w:pPr>
    <w:rPr>
      <w:rFonts w:ascii="Calibri" w:hAnsi="Calibri" w:eastAsia="宋体" w:cs="Times New Roman"/>
      <w:sz w:val="24"/>
    </w:rPr>
  </w:style>
  <w:style w:type="paragraph" w:customStyle="1" w:styleId="41">
    <w:name w:val="Table Paragraph"/>
    <w:basedOn w:val="1"/>
    <w:qFormat/>
    <w:uiPriority w:val="1"/>
    <w:rPr>
      <w:rFonts w:ascii="宋体" w:hAnsi="宋体" w:eastAsia="宋体" w:cs="宋体"/>
      <w:lang w:eastAsia="zh-CN"/>
    </w:rPr>
  </w:style>
  <w:style w:type="paragraph" w:customStyle="1" w:styleId="42">
    <w:name w:val="Default"/>
    <w:basedOn w:val="1"/>
    <w:qFormat/>
    <w:uiPriority w:val="0"/>
    <w:pPr>
      <w:widowControl w:val="0"/>
    </w:pPr>
    <w:rPr>
      <w:rFonts w:hint="eastAsia" w:ascii="宋体" w:hAnsi="宋体" w:eastAsia="宋体" w:cs="Times New Roman"/>
      <w:sz w:val="24"/>
      <w:szCs w:val="24"/>
      <w:lang w:eastAsia="zh-CN"/>
    </w:rPr>
  </w:style>
  <w:style w:type="paragraph" w:customStyle="1" w:styleId="43">
    <w:name w:val="正文_1"/>
    <w:basedOn w:val="1"/>
    <w:qFormat/>
    <w:uiPriority w:val="0"/>
    <w:pPr>
      <w:widowControl w:val="0"/>
      <w:jc w:val="both"/>
    </w:pPr>
    <w:rPr>
      <w:rFonts w:ascii="Times New Roman" w:hAnsi="Times New Roman" w:cs="Times New Roman"/>
      <w:kern w:val="2"/>
      <w:lang w:eastAsia="zh-CN"/>
    </w:rPr>
  </w:style>
  <w:style w:type="character" w:customStyle="1" w:styleId="44">
    <w:name w:val="font11"/>
    <w:basedOn w:val="26"/>
    <w:qFormat/>
    <w:uiPriority w:val="0"/>
    <w:rPr>
      <w:rFonts w:hint="eastAsia" w:ascii="仿宋" w:hAnsi="仿宋" w:eastAsia="仿宋" w:cs="仿宋"/>
      <w:color w:val="000000"/>
      <w:sz w:val="22"/>
      <w:szCs w:val="22"/>
      <w:u w:val="none"/>
    </w:rPr>
  </w:style>
  <w:style w:type="character" w:customStyle="1" w:styleId="45">
    <w:name w:val="font51"/>
    <w:basedOn w:val="26"/>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46">
    <w:name w:val="font21"/>
    <w:basedOn w:val="26"/>
    <w:qFormat/>
    <w:uiPriority w:val="0"/>
    <w:rPr>
      <w:rFonts w:hint="eastAsia" w:ascii="仿宋" w:hAnsi="仿宋" w:eastAsia="仿宋" w:cs="仿宋"/>
      <w:color w:val="000000"/>
      <w:sz w:val="22"/>
      <w:szCs w:val="22"/>
      <w:u w:val="none"/>
    </w:rPr>
  </w:style>
  <w:style w:type="character" w:customStyle="1" w:styleId="47">
    <w:name w:val="font31"/>
    <w:basedOn w:val="26"/>
    <w:qFormat/>
    <w:uiPriority w:val="0"/>
    <w:rPr>
      <w:rFonts w:hint="default" w:ascii="Times New Roman Regular" w:hAnsi="Times New Roman Regular" w:eastAsia="Times New Roman Regular" w:cs="Times New Roman Regular"/>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Company>
  <Pages>98</Pages>
  <Words>5514</Words>
  <Characters>6286</Characters>
  <Lines>535</Lines>
  <Paragraphs>150</Paragraphs>
  <TotalTime>17</TotalTime>
  <ScaleCrop>false</ScaleCrop>
  <LinksUpToDate>false</LinksUpToDate>
  <CharactersWithSpaces>6526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2026-03-09T10:00:00Z</dcterms:created>
  <dc:creator>admin</dc:creator>
  <cp:lastModifiedBy>Ting</cp:lastModifiedBy>
  <cp:lastPrinted>2025-02-21T07:47:00Z</cp:lastPrinted>
  <dcterms:modified xsi:type="dcterms:W3CDTF">2026-05-15T04:05:29Z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2024-12-30T17:37:19Z</vt:filetime>
  </property>
  <property fmtid="{D5CDD505-2E9C-101B-9397-08002B2CF9AE}" pid="4" name="KSOTemplateDocerSaveRecord">
    <vt:lpwstr>eyJoZGlkIjoiNWM4NzQ2MTFlN2YzMzc0MTYwODBhYTg4ZmJmMWVmNDEiLCJ1c2VySWQiOiI1NjMzNzIyOTUifQ==</vt:lpwstr>
  </property>
  <property fmtid="{D5CDD505-2E9C-101B-9397-08002B2CF9AE}" pid="5" name="KSOProductBuildVer">
    <vt:lpwstr>2052-12.1.0.25865</vt:lpwstr>
  </property>
  <property fmtid="{D5CDD505-2E9C-101B-9397-08002B2CF9AE}" pid="6" name="ICV">
    <vt:lpwstr>0D9E503806374888B1A876F2FC344FDF_13</vt:lpwstr>
  </property>
</Properties>
</file>