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版本号：N510301202600012120260428001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多功能冷冻治疗仪（经支气管镜冷冻活检）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N5103012026000121</w:t>
      </w:r>
    </w:p>
    <w:p>
      <w:pPr>
        <w:pStyle w:val="null3"/>
        <w:jc w:val="center"/>
        <w:outlineLvl w:val="2"/>
      </w:pPr>
      <w:r>
        <w:rPr>
          <w:rFonts w:ascii="仿宋_GB2312" w:hAnsi="仿宋_GB2312" w:cs="仿宋_GB2312" w:eastAsia="仿宋_GB2312"/>
          <w:sz w:val="28"/>
          <w:b/>
        </w:rPr>
        <w:t>自贡市传染病医院</w:t>
      </w:r>
    </w:p>
    <w:p>
      <w:pPr>
        <w:pStyle w:val="null3"/>
        <w:jc w:val="center"/>
        <w:outlineLvl w:val="2"/>
      </w:pPr>
      <w:r>
        <w:rPr>
          <w:rFonts w:ascii="仿宋_GB2312" w:hAnsi="仿宋_GB2312" w:cs="仿宋_GB2312" w:eastAsia="仿宋_GB2312"/>
          <w:sz w:val="28"/>
          <w:b/>
        </w:rPr>
        <w:t>四川久润招投标代理有限公司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四川久润招投标代理有限公司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自贡市传染病医院</w:t>
      </w:r>
      <w:r>
        <w:rPr>
          <w:rFonts w:ascii="仿宋_GB2312" w:hAnsi="仿宋_GB2312" w:cs="仿宋_GB2312" w:eastAsia="仿宋_GB2312"/>
        </w:rPr>
        <w:t xml:space="preserve"> 委托，拟对 </w:t>
      </w:r>
      <w:r>
        <w:rPr>
          <w:rFonts w:ascii="仿宋_GB2312" w:hAnsi="仿宋_GB2312" w:cs="仿宋_GB2312" w:eastAsia="仿宋_GB2312"/>
        </w:rPr>
        <w:t>多功能冷冻治疗仪（经支气管镜冷冻活检）</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N5103012026000121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多功能冷冻治疗仪（经支气管镜冷冻活检）</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自贡市传染病医院拟采购多功能冷冻治疗仪（经支气管镜冷冻活检）1套，此次采购项目包括货物的装卸、运输、安装、调试、培训及售后服务等。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1、响应产品为医疗器械时，供应商须符合《医疗器械监督管理条例》的要求。（描述：响应产品为医疗器械时： ①供应商为非响应产品制造商时，三类医疗器械提供供应商的《医疗器械经营许可证》复印件；二类医疗器械提供供应商的医疗器械经营备案凭证复印件；一类医疗器械可不提供。②供应商为响应产品制造商时无需提供。 （注：根据国办发〔2017〕41号政策要求“多证合一”的营业执照除外。））</w:t>
      </w:r>
    </w:p>
    <w:p>
      <w:pPr>
        <w:pStyle w:val="null3"/>
        <w:jc w:val="left"/>
      </w:pPr>
      <w:r>
        <w:rPr>
          <w:rFonts w:ascii="仿宋_GB2312" w:hAnsi="仿宋_GB2312" w:cs="仿宋_GB2312" w:eastAsia="仿宋_GB2312"/>
        </w:rPr>
        <w:t>2、响应产品为医疗器械时，响应产品须符合《医疗器械注册与备案管理办法》的要求。（描述：响应产品若为医疗器械时： ①二类、三类医疗器械提供响应产品的《医疗器械注册证》和《注册登记表》复印件或国家新颁发的《医疗器械注册证》复印件；一类医疗器械提供响应产品的医疗器械注册备案复印件。 ②二类、三类医疗器械提供响应产品制造厂商的《医疗器械生产许可证》复印件；一类医疗器械提供响应产品制造厂商的医疗器械生产备案凭证复印件。）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自贡市传染病医院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自贡市高新区板仓工业园区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0813-2100023</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四川久润招投标代理有限公司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自贡市自流井区汇东丹桂大街蓝鹰海岸综合楼二楼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0813-8657179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采购包1：517,000.00元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代理服务费收费标准：向成交供应商以现金或转账方式定额收取人民币：5209.60元（大写：伍仟贰佰零玖元陆角）。 代理服务费收款账户： 户 名：四川久润招投标代理有限公司； 账 号：102012000001139849； 开 户 行：自贡银行股份有限公司营业部； 联系电话：0813-2220079。</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自贡市传染病医院</w:t>
      </w:r>
      <w:r>
        <w:rPr>
          <w:rFonts w:ascii="仿宋_GB2312" w:hAnsi="仿宋_GB2312" w:cs="仿宋_GB2312" w:eastAsia="仿宋_GB2312"/>
        </w:rPr>
        <w:t xml:space="preserve"> 和 </w:t>
      </w:r>
      <w:r>
        <w:rPr>
          <w:rFonts w:ascii="仿宋_GB2312" w:hAnsi="仿宋_GB2312" w:cs="仿宋_GB2312" w:eastAsia="仿宋_GB2312"/>
        </w:rPr>
        <w:t>四川久润招投标代理有限公司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自贡市传染病医院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四川久润招投标代理有限公司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采购人应当自收到成交供应商提出的履约验收申请之日起5个工作日内审核是否达到采购合同约定的履约验收条件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履约验收程序： ①货物安装、调试完毕后，成交供应商应书面通知采购人进行验收。 ②成交供应商应提供详细操作手册、维修保养手册、安装手册、装箱单和合格证等，并派遣专业技术人员进行现验收讲解。验收合格条件如下： A.货物技术参数与采购合同一致，性能指标达到规定的标准。 B.货物技术资料、装箱单、合格证等资料齐全。 C.在规定时间内完成交货安装并验收，并经采购人确认。 ③采购人需要对成交供应商交付的产品（包括质量、技术参数等）进行确认的，成交供应商应予以配合，并出具书面意见。 ④货物包装材料归采购人所有。 ⑤货物验收完成后，成交供应商须清理产品外包装，保持安装环境干净整洁。 ⑥成交供应商须在验收时对该批次的所供货物贴上服务溯源标签（厂家，安装日期，售后服务电话）。</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按行业相关法律规定、采购文件技术要求和成交供应商的响应文件等进行验收。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按行业相关法律规定、采购文件商务要求和成交供应商的响应文件等进行验收。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财政部关于印发&lt;政府采购需求管理办法&gt;的通知》（财库〔2021〕22号）、《自贡市政府采购履约验收管理办法》的规定、采购文件规定的要求、成交供应商的响应文件的内容和项目采购合同的条款进行验收，同时提供相关证明文件及操作手册，否则视为验收不合格，采购人有权单方面解除合同外，成交供应商立即返回支付的合同金额并按支付合同金额的20%支付违约金。</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自贡市传染病医院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四川久润招投标代理有限公司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四川久润招投标代理有限公司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联系人：吴女士</w:t>
      </w:r>
    </w:p>
    <w:p>
      <w:pPr>
        <w:pStyle w:val="null3"/>
        <w:jc w:val="left"/>
      </w:pPr>
      <w:r>
        <w:rPr>
          <w:rFonts w:ascii="仿宋_GB2312" w:hAnsi="仿宋_GB2312" w:cs="仿宋_GB2312" w:eastAsia="仿宋_GB2312"/>
        </w:rPr>
        <w:t>联系电话：0813-8108222</w:t>
      </w:r>
    </w:p>
    <w:p>
      <w:pPr>
        <w:pStyle w:val="null3"/>
        <w:jc w:val="left"/>
      </w:pPr>
      <w:r>
        <w:rPr>
          <w:rFonts w:ascii="仿宋_GB2312" w:hAnsi="仿宋_GB2312" w:cs="仿宋_GB2312" w:eastAsia="仿宋_GB2312"/>
        </w:rPr>
        <w:t>地址：四川省自贡市自流井区丹桂大街蓝鹰海岸综合楼二楼</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517,000.00</w:t>
      </w:r>
    </w:p>
    <w:p>
      <w:pPr>
        <w:pStyle w:val="null3"/>
        <w:jc w:val="left"/>
      </w:pPr>
      <w:r>
        <w:rPr>
          <w:rFonts w:ascii="仿宋_GB2312" w:hAnsi="仿宋_GB2312" w:cs="仿宋_GB2312" w:eastAsia="仿宋_GB2312"/>
        </w:rPr>
        <w:t>采购包最高限价（元）: 517,000.00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多功能冷冻治疗仪（经支气管镜冷冻活检）</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517,000.00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多功能冷冻治疗仪（经支气管镜冷冻活检）</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517,000.00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A02320800 物理治疗、康复及体育治疗仪器设备</w:t>
            </w:r>
          </w:p>
        </w:tc>
        <w:tc>
          <w:tcPr>
            <w:tcW w:type="dxa" w:w="2492"/>
          </w:tcPr>
          <w:p>
            <w:pPr>
              <w:pStyle w:val="null3"/>
              <w:jc w:val="left"/>
            </w:pPr>
            <w:r>
              <w:rPr>
                <w:rFonts w:ascii="仿宋_GB2312" w:hAnsi="仿宋_GB2312" w:cs="仿宋_GB2312" w:eastAsia="仿宋_GB2312"/>
              </w:rPr>
              <w:t>多功能冷冻治疗仪（经支气管镜冷冻活检）</w:t>
            </w:r>
          </w:p>
        </w:tc>
        <w:tc>
          <w:tcPr>
            <w:tcW w:type="dxa" w:w="2492"/>
          </w:tcPr>
          <w:p>
            <w:pPr>
              <w:pStyle w:val="null3"/>
              <w:jc w:val="left"/>
            </w:pPr>
            <w:r>
              <w:rPr>
                <w:rFonts w:ascii="仿宋_GB2312" w:hAnsi="仿宋_GB2312" w:cs="仿宋_GB2312" w:eastAsia="仿宋_GB2312"/>
              </w:rPr>
              <w:t>多功能冷冻治疗仪（经支气管镜冷冻活检）</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标的名称：多功能冷冻治疗仪（经支气管镜冷冻活检）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一</w:t>
            </w:r>
            <w:r>
              <w:rPr>
                <w:rFonts w:ascii="仿宋_GB2312" w:hAnsi="仿宋_GB2312" w:cs="仿宋_GB2312" w:eastAsia="仿宋_GB2312"/>
              </w:rPr>
              <w:t>、技术参数</w:t>
            </w:r>
          </w:p>
          <w:p>
            <w:pPr>
              <w:pStyle w:val="null3"/>
              <w:jc w:val="left"/>
            </w:pP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气路连接器与探针分体式设计，即插即用；</w:t>
            </w:r>
          </w:p>
          <w:p>
            <w:pPr>
              <w:pStyle w:val="null3"/>
              <w:jc w:val="left"/>
            </w:pP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根据不同探针自动匹配参数，探针可高温高压或低温等离子灭菌后重复使用；</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中文界面，</w:t>
            </w:r>
            <w:r>
              <w:rPr>
                <w:rFonts w:ascii="仿宋_GB2312" w:hAnsi="仿宋_GB2312" w:cs="仿宋_GB2312" w:eastAsia="仿宋_GB2312"/>
              </w:rPr>
              <w:t>≥</w:t>
            </w:r>
            <w:r>
              <w:rPr>
                <w:rFonts w:ascii="仿宋_GB2312" w:hAnsi="仿宋_GB2312" w:cs="仿宋_GB2312" w:eastAsia="仿宋_GB2312"/>
              </w:rPr>
              <w:t>7寸电容触摸显示屏；</w:t>
            </w:r>
            <w:r>
              <w:rPr>
                <w:rFonts w:ascii="仿宋_GB2312" w:hAnsi="仿宋_GB2312" w:cs="仿宋_GB2312" w:eastAsia="仿宋_GB2312"/>
              </w:rPr>
              <w:t>（提供产品说明书影印件或国家认可的第三方检测机构出具的检测报告影印件以佐证）</w:t>
            </w:r>
          </w:p>
          <w:p>
            <w:pPr>
              <w:pStyle w:val="null3"/>
              <w:jc w:val="left"/>
            </w:pPr>
            <w:r>
              <w:rPr>
                <w:rFonts w:ascii="仿宋_GB2312" w:hAnsi="仿宋_GB2312" w:cs="仿宋_GB2312" w:eastAsia="仿宋_GB2312"/>
              </w:rPr>
              <w:t>1</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计时功能</w:t>
            </w:r>
            <w:r>
              <w:rPr>
                <w:rFonts w:ascii="仿宋_GB2312" w:hAnsi="仿宋_GB2312" w:cs="仿宋_GB2312" w:eastAsia="仿宋_GB2312"/>
              </w:rPr>
              <w:t>至少包含</w:t>
            </w:r>
            <w:r>
              <w:rPr>
                <w:rFonts w:ascii="仿宋_GB2312" w:hAnsi="仿宋_GB2312" w:cs="仿宋_GB2312" w:eastAsia="仿宋_GB2312"/>
              </w:rPr>
              <w:t>视觉和听觉两种方式，有正计时和倒计时功能；</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.具备程序设置功能</w:t>
            </w:r>
            <w:r>
              <w:rPr>
                <w:rFonts w:ascii="仿宋_GB2312" w:hAnsi="仿宋_GB2312" w:cs="仿宋_GB2312" w:eastAsia="仿宋_GB2312"/>
              </w:rPr>
              <w:t>，可以存储</w:t>
            </w:r>
            <w:r>
              <w:rPr>
                <w:rFonts w:ascii="仿宋_GB2312" w:hAnsi="仿宋_GB2312" w:cs="仿宋_GB2312" w:eastAsia="仿宋_GB2312"/>
              </w:rPr>
              <w:t>≥</w:t>
            </w:r>
            <w:r>
              <w:rPr>
                <w:rFonts w:ascii="仿宋_GB2312" w:hAnsi="仿宋_GB2312" w:cs="仿宋_GB2312" w:eastAsia="仿宋_GB2312"/>
              </w:rPr>
              <w:t>20组程序；</w:t>
            </w:r>
            <w:r>
              <w:rPr>
                <w:rFonts w:ascii="仿宋_GB2312" w:hAnsi="仿宋_GB2312" w:cs="仿宋_GB2312" w:eastAsia="仿宋_GB2312"/>
              </w:rPr>
              <w:t>（提供产品说明书影印件或国家认可的第三方检测机构出具的检测报告影印件以佐证）</w:t>
            </w:r>
          </w:p>
          <w:p>
            <w:pPr>
              <w:pStyle w:val="null3"/>
              <w:jc w:val="left"/>
            </w:pPr>
            <w:r>
              <w:rPr>
                <w:rFonts w:ascii="仿宋_GB2312" w:hAnsi="仿宋_GB2312" w:cs="仿宋_GB2312" w:eastAsia="仿宋_GB2312"/>
              </w:rPr>
              <w:t>1</w:t>
            </w: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显示连接附件信息</w:t>
            </w:r>
            <w:r>
              <w:rPr>
                <w:rFonts w:ascii="仿宋_GB2312" w:hAnsi="仿宋_GB2312" w:cs="仿宋_GB2312" w:eastAsia="仿宋_GB2312"/>
              </w:rPr>
              <w:t>至少包含</w:t>
            </w:r>
            <w:r>
              <w:rPr>
                <w:rFonts w:ascii="仿宋_GB2312" w:hAnsi="仿宋_GB2312" w:cs="仿宋_GB2312" w:eastAsia="仿宋_GB2312"/>
              </w:rPr>
              <w:t>型号规格、使用次数、使用时间；</w:t>
            </w:r>
          </w:p>
          <w:p>
            <w:pPr>
              <w:pStyle w:val="null3"/>
              <w:jc w:val="left"/>
            </w:pPr>
            <w:r>
              <w:rPr>
                <w:rFonts w:ascii="仿宋_GB2312" w:hAnsi="仿宋_GB2312" w:cs="仿宋_GB2312" w:eastAsia="仿宋_GB2312"/>
              </w:rPr>
              <w:t>1</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脚踏启动；</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最低制冷温度</w:t>
            </w:r>
            <w:r>
              <w:rPr>
                <w:rFonts w:ascii="仿宋_GB2312" w:hAnsi="仿宋_GB2312" w:cs="仿宋_GB2312" w:eastAsia="仿宋_GB2312"/>
              </w:rPr>
              <w:t>低于</w:t>
            </w:r>
            <w:r>
              <w:rPr>
                <w:rFonts w:ascii="仿宋_GB2312" w:hAnsi="仿宋_GB2312" w:cs="仿宋_GB2312" w:eastAsia="仿宋_GB2312"/>
              </w:rPr>
              <w:t>-60℃</w:t>
            </w:r>
            <w:r>
              <w:rPr>
                <w:rFonts w:ascii="仿宋_GB2312" w:hAnsi="仿宋_GB2312" w:cs="仿宋_GB2312" w:eastAsia="仿宋_GB2312"/>
              </w:rPr>
              <w:t>；</w:t>
            </w:r>
            <w:r>
              <w:rPr>
                <w:rFonts w:ascii="仿宋_GB2312" w:hAnsi="仿宋_GB2312" w:cs="仿宋_GB2312" w:eastAsia="仿宋_GB2312"/>
              </w:rPr>
              <w:t>（提供产品说明书影印件或国家认可的第三方检测机构出具的检测报告影印件以佐证）</w:t>
            </w:r>
          </w:p>
          <w:p>
            <w:pPr>
              <w:pStyle w:val="null3"/>
              <w:jc w:val="left"/>
            </w:pPr>
            <w:r>
              <w:rPr>
                <w:rFonts w:ascii="仿宋_GB2312" w:hAnsi="仿宋_GB2312" w:cs="仿宋_GB2312" w:eastAsia="仿宋_GB2312"/>
              </w:rPr>
              <w:t>1</w:t>
            </w:r>
            <w:r>
              <w:rPr>
                <w:rFonts w:ascii="仿宋_GB2312" w:hAnsi="仿宋_GB2312" w:cs="仿宋_GB2312" w:eastAsia="仿宋_GB2312"/>
              </w:rPr>
              <w:t>.9</w:t>
            </w:r>
            <w:r>
              <w:rPr>
                <w:rFonts w:ascii="仿宋_GB2312" w:hAnsi="仿宋_GB2312" w:cs="仿宋_GB2312" w:eastAsia="仿宋_GB2312"/>
              </w:rPr>
              <w:t>.具备自动启动解冻程序功能</w:t>
            </w:r>
            <w:r>
              <w:rPr>
                <w:rFonts w:ascii="仿宋_GB2312" w:hAnsi="仿宋_GB2312" w:cs="仿宋_GB2312" w:eastAsia="仿宋_GB2312"/>
              </w:rPr>
              <w:t>，冷冻探头</w:t>
            </w:r>
            <w:r>
              <w:rPr>
                <w:rFonts w:ascii="仿宋_GB2312" w:hAnsi="仿宋_GB2312" w:cs="仿宋_GB2312" w:eastAsia="仿宋_GB2312"/>
              </w:rPr>
              <w:t>自动解冻时间≤5秒</w:t>
            </w:r>
            <w:r>
              <w:rPr>
                <w:rFonts w:ascii="仿宋_GB2312" w:hAnsi="仿宋_GB2312" w:cs="仿宋_GB2312" w:eastAsia="仿宋_GB2312"/>
              </w:rPr>
              <w:t>；</w:t>
            </w:r>
          </w:p>
          <w:p>
            <w:pPr>
              <w:pStyle w:val="null3"/>
              <w:jc w:val="left"/>
            </w:pP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0.倒计时模式下具备数字语音播报功能；</w:t>
            </w:r>
          </w:p>
          <w:p>
            <w:pPr>
              <w:pStyle w:val="null3"/>
              <w:jc w:val="left"/>
            </w:pP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1.设备压力单位设置≥3种，至少包含bar、kPa、psi；其中以bar为单位时，工作压力调节范围为45～65bar</w:t>
            </w:r>
            <w:r>
              <w:rPr>
                <w:rFonts w:ascii="仿宋_GB2312" w:hAnsi="仿宋_GB2312" w:cs="仿宋_GB2312" w:eastAsia="仿宋_GB2312"/>
              </w:rPr>
              <w:t>；</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12.操作模式至少具备自动模式和效果调节模式</w:t>
            </w:r>
            <w:r>
              <w:rPr>
                <w:rFonts w:ascii="仿宋_GB2312" w:hAnsi="仿宋_GB2312" w:cs="仿宋_GB2312" w:eastAsia="仿宋_GB2312"/>
              </w:rPr>
              <w:t>；</w:t>
            </w:r>
            <w:r>
              <w:rPr>
                <w:rFonts w:ascii="仿宋_GB2312" w:hAnsi="仿宋_GB2312" w:cs="仿宋_GB2312" w:eastAsia="仿宋_GB2312"/>
              </w:rPr>
              <w:t>（提供产品说明书影印件或国家认可的第三方检测机构出具的检测报告影印件以佐证）</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13.</w:t>
            </w:r>
            <w:r>
              <w:rPr>
                <w:rFonts w:ascii="仿宋_GB2312" w:hAnsi="仿宋_GB2312" w:cs="仿宋_GB2312" w:eastAsia="仿宋_GB2312"/>
              </w:rPr>
              <w:t>具备</w:t>
            </w:r>
            <w:r>
              <w:rPr>
                <w:rFonts w:ascii="仿宋_GB2312" w:hAnsi="仿宋_GB2312" w:cs="仿宋_GB2312" w:eastAsia="仿宋_GB2312"/>
              </w:rPr>
              <w:t>一键余气卸载功能；</w:t>
            </w:r>
            <w:r>
              <w:rPr>
                <w:rFonts w:ascii="仿宋_GB2312" w:hAnsi="仿宋_GB2312" w:cs="仿宋_GB2312" w:eastAsia="仿宋_GB2312"/>
              </w:rPr>
              <w:t>（提供产品说明书影印件或国家认可的第三方检测机构出具的检测报告影印件以佐证）</w:t>
            </w:r>
          </w:p>
          <w:p>
            <w:pPr>
              <w:pStyle w:val="null3"/>
              <w:jc w:val="left"/>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14.</w:t>
            </w:r>
            <w:r>
              <w:rPr>
                <w:rFonts w:ascii="仿宋_GB2312" w:hAnsi="仿宋_GB2312" w:cs="仿宋_GB2312" w:eastAsia="仿宋_GB2312"/>
              </w:rPr>
              <w:t>可兼容冷冻探针直径≥4种。</w:t>
            </w:r>
          </w:p>
          <w:p>
            <w:pPr>
              <w:pStyle w:val="null3"/>
              <w:jc w:val="left"/>
            </w:pPr>
            <w:r>
              <w:rPr>
                <w:rFonts w:ascii="仿宋_GB2312" w:hAnsi="仿宋_GB2312" w:cs="仿宋_GB2312" w:eastAsia="仿宋_GB2312"/>
              </w:rPr>
              <w:t>▲1.15.屏幕可显示≥7种不同类型的设备常见异常提示信息，可显示≥27种不同类型的设备故障提示信息；</w:t>
            </w:r>
            <w:r>
              <w:rPr>
                <w:rFonts w:ascii="仿宋_GB2312" w:hAnsi="仿宋_GB2312" w:cs="仿宋_GB2312" w:eastAsia="仿宋_GB2312"/>
              </w:rPr>
              <w:t>（提供产品说明书影印件或国家认可的第三方检测机构出具的检测报告影印件以佐证）</w:t>
            </w:r>
          </w:p>
          <w:p>
            <w:pPr>
              <w:pStyle w:val="null3"/>
              <w:jc w:val="left"/>
            </w:pPr>
            <w:r>
              <w:rPr>
                <w:rFonts w:ascii="仿宋_GB2312" w:hAnsi="仿宋_GB2312" w:cs="仿宋_GB2312" w:eastAsia="仿宋_GB2312"/>
              </w:rPr>
              <w:t>1.16.符合CF型防除颤。</w:t>
            </w:r>
          </w:p>
          <w:p>
            <w:pPr>
              <w:pStyle w:val="null3"/>
              <w:jc w:val="left"/>
            </w:pPr>
            <w:r>
              <w:rPr>
                <w:rFonts w:ascii="仿宋_GB2312" w:hAnsi="仿宋_GB2312" w:cs="仿宋_GB2312" w:eastAsia="仿宋_GB2312"/>
              </w:rPr>
              <w:t>★二、设备配套使用耗材</w:t>
            </w:r>
          </w:p>
          <w:tbl>
            <w:tblPr>
              <w:tblInd w:type="dxa" w:w="120"/>
              <w:tblBorders>
                <w:top w:val="none" w:color="000000" w:sz="4"/>
                <w:left w:val="none" w:color="000000" w:sz="4"/>
                <w:bottom w:val="none" w:color="000000" w:sz="4"/>
                <w:right w:val="none" w:color="000000" w:sz="4"/>
                <w:insideH w:val="none"/>
                <w:insideV w:val="none"/>
              </w:tblBorders>
            </w:tblPr>
            <w:tblGrid>
              <w:gridCol w:w="846"/>
              <w:gridCol w:w="1536"/>
              <w:gridCol w:w="1002"/>
              <w:gridCol w:w="2213"/>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p>
                  <w:pPr>
                    <w:pStyle w:val="null3"/>
                    <w:jc w:val="center"/>
                  </w:pPr>
                  <w:r>
                    <w:rPr>
                      <w:rFonts w:ascii="仿宋_GB2312" w:hAnsi="仿宋_GB2312" w:cs="仿宋_GB2312" w:eastAsia="仿宋_GB2312"/>
                      <w:sz w:val="21"/>
                    </w:rPr>
                    <w:t>（单位）</w:t>
                  </w:r>
                </w:p>
              </w:tc>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软性冷冻针头（直径1.1mm±0.1mm）</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3根</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一次性使用，由探针头、外鞘管和探针插头组成，工作长度1150mm</w:t>
                  </w:r>
                  <w:r>
                    <w:rPr>
                      <w:rFonts w:ascii="仿宋_GB2312" w:hAnsi="仿宋_GB2312" w:cs="仿宋_GB2312" w:eastAsia="仿宋_GB2312"/>
                      <w:sz w:val="21"/>
                    </w:rPr>
                    <w:t>±</w:t>
                  </w:r>
                  <w:r>
                    <w:rPr>
                      <w:rFonts w:ascii="仿宋_GB2312" w:hAnsi="仿宋_GB2312" w:cs="仿宋_GB2312" w:eastAsia="仿宋_GB2312"/>
                      <w:sz w:val="21"/>
                    </w:rPr>
                    <w:t>50mm</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软性冷冻针头（直径1.7mm±0.1mm）</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3根</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一次性使用，由探针头、外鞘管和探针插头组成，工作长度1150mm</w:t>
                  </w:r>
                  <w:r>
                    <w:rPr>
                      <w:rFonts w:ascii="仿宋_GB2312" w:hAnsi="仿宋_GB2312" w:cs="仿宋_GB2312" w:eastAsia="仿宋_GB2312"/>
                      <w:sz w:val="21"/>
                    </w:rPr>
                    <w:t>±</w:t>
                  </w:r>
                  <w:r>
                    <w:rPr>
                      <w:rFonts w:ascii="仿宋_GB2312" w:hAnsi="仿宋_GB2312" w:cs="仿宋_GB2312" w:eastAsia="仿宋_GB2312"/>
                      <w:sz w:val="21"/>
                    </w:rPr>
                    <w:t>50mm</w:t>
                  </w:r>
                </w:p>
              </w:tc>
            </w:tr>
          </w:tbl>
          <w:p>
            <w:pPr>
              <w:pStyle w:val="null3"/>
              <w:jc w:val="left"/>
            </w:pPr>
            <w:r>
              <w:rPr>
                <w:rFonts w:ascii="仿宋_GB2312" w:hAnsi="仿宋_GB2312" w:cs="仿宋_GB2312" w:eastAsia="仿宋_GB2312"/>
              </w:rPr>
              <w:t>★三.配置清单</w:t>
            </w:r>
          </w:p>
          <w:tbl>
            <w:tblPr>
              <w:tblInd w:type="dxa" w:w="120"/>
              <w:tblBorders>
                <w:top w:val="none" w:color="000000" w:sz="4"/>
                <w:left w:val="none" w:color="000000" w:sz="4"/>
                <w:bottom w:val="none" w:color="000000" w:sz="4"/>
                <w:right w:val="none" w:color="000000" w:sz="4"/>
                <w:insideH w:val="none"/>
                <w:insideV w:val="none"/>
              </w:tblBorders>
            </w:tblPr>
            <w:tblGrid>
              <w:gridCol w:w="846"/>
              <w:gridCol w:w="1536"/>
              <w:gridCol w:w="1002"/>
              <w:gridCol w:w="2213"/>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p>
                  <w:pPr>
                    <w:pStyle w:val="null3"/>
                    <w:jc w:val="center"/>
                  </w:pPr>
                  <w:r>
                    <w:rPr>
                      <w:rFonts w:ascii="仿宋_GB2312" w:hAnsi="仿宋_GB2312" w:cs="仿宋_GB2312" w:eastAsia="仿宋_GB2312"/>
                      <w:sz w:val="21"/>
                    </w:rPr>
                    <w:t>（单位）</w:t>
                  </w:r>
                </w:p>
              </w:tc>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冷冻治疗仪</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软性冷冻针头（直径1.9mm±0.1mm）</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3根</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使用次数≥100次蒸汽灭菌或使用次数≥200次低温等离子灭菌</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软性冷冻针头（直径2.4mm±0.1mm）</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3根</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使用次数≥100次蒸汽灭菌或使用次数≥200次低温等离子灭菌</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气路连接器</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高压气管</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1根</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气瓶减压阀</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脚踏开关</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台车</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气瓶</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≥10升</w:t>
                  </w:r>
                </w:p>
              </w:tc>
            </w:tr>
          </w:tbl>
          <w:p>
            <w:pPr>
              <w:pStyle w:val="null3"/>
              <w:jc w:val="both"/>
            </w:pPr>
            <w:r>
              <w:rPr>
                <w:rFonts w:ascii="仿宋_GB2312" w:hAnsi="仿宋_GB2312" w:cs="仿宋_GB2312" w:eastAsia="仿宋_GB2312"/>
                <w:b/>
              </w:rPr>
              <w:t>注：参数中带“★”标注为实质性要求参数，带“▲”标注为重要要求参数，未标注特殊符号的为一般技术参数。</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★1、采购要求：无论是否成交，供应商均应自行承担在采购活动产生的一切费用。</w:t>
            </w:r>
          </w:p>
          <w:p>
            <w:pPr>
              <w:pStyle w:val="null3"/>
              <w:jc w:val="left"/>
            </w:pPr>
            <w:r>
              <w:rPr>
                <w:rFonts w:ascii="仿宋_GB2312" w:hAnsi="仿宋_GB2312" w:cs="仿宋_GB2312" w:eastAsia="仿宋_GB2312"/>
              </w:rPr>
              <w:t>★2、报价要求：①本项目采用固定总价定价方式。供应商报价应包含项目全部工作内容的体现。②本项目所有运输、保险、装卸、安装（包含辅材、设施设备、安装等相关辅助工作）、接口费、培训、税费等一切相关费用均包含在响应报价中，采购人不再承担除成交金额外的任何费用。③供应商在响应文件中对配置清单进行报价，并且列明生产厂家、品牌、规格型号、价格等。④供应商在响应文件中对设备配套使用耗材进行下浮率报价，并且列明生产厂家、品牌、规格型号等。</w:t>
            </w:r>
          </w:p>
          <w:p>
            <w:pPr>
              <w:pStyle w:val="null3"/>
              <w:jc w:val="left"/>
            </w:pPr>
            <w:r>
              <w:rPr>
                <w:rFonts w:ascii="仿宋_GB2312" w:hAnsi="仿宋_GB2312" w:cs="仿宋_GB2312" w:eastAsia="仿宋_GB2312"/>
              </w:rPr>
              <w:t>★3、安全要求：本项目履行期限及质保期内安全保障和责任全部由成交供应商自行承担。</w:t>
            </w:r>
          </w:p>
          <w:p>
            <w:pPr>
              <w:pStyle w:val="null3"/>
              <w:jc w:val="left"/>
            </w:pPr>
            <w:r>
              <w:rPr>
                <w:rFonts w:ascii="仿宋_GB2312" w:hAnsi="仿宋_GB2312" w:cs="仿宋_GB2312" w:eastAsia="仿宋_GB2312"/>
              </w:rPr>
              <w:t>★4、供应商提供生产日期为6个月内（以到货日期为准，到货日期指本项目响应产品生产日期至送到供货地点的时间）的货物。</w:t>
            </w:r>
          </w:p>
          <w:p>
            <w:pPr>
              <w:pStyle w:val="null3"/>
              <w:jc w:val="left"/>
            </w:pPr>
            <w:r>
              <w:rPr>
                <w:rFonts w:ascii="仿宋_GB2312" w:hAnsi="仿宋_GB2312" w:cs="仿宋_GB2312" w:eastAsia="仿宋_GB2312"/>
              </w:rPr>
              <w:t>★5、供应商承诺若设备损坏5个日历日内无法修复，所有货物均7个日历日内提供备用机。（单独提供承诺函，格式自拟）</w:t>
            </w:r>
          </w:p>
          <w:p>
            <w:pPr>
              <w:pStyle w:val="null3"/>
              <w:jc w:val="left"/>
            </w:pPr>
            <w:r>
              <w:rPr>
                <w:rFonts w:ascii="仿宋_GB2312" w:hAnsi="仿宋_GB2312" w:cs="仿宋_GB2312" w:eastAsia="仿宋_GB2312"/>
              </w:rPr>
              <w:t>★6、因安装调试等原因导致采购人的设施设备损坏或故障的，成交供应商须原价赔偿并承担相应的责任。</w:t>
            </w:r>
          </w:p>
          <w:p>
            <w:pPr>
              <w:pStyle w:val="null3"/>
              <w:jc w:val="left"/>
            </w:pPr>
            <w:r>
              <w:rPr>
                <w:rFonts w:ascii="仿宋_GB2312" w:hAnsi="仿宋_GB2312" w:cs="仿宋_GB2312" w:eastAsia="仿宋_GB2312"/>
              </w:rPr>
              <w:t>★7、采购文件、响应文件、承诺约定、合同的附件与合同具有同等法律效力，如以上各文件相互有冲突或不一致的地方，应以有利于采购人解释为准。采购文件、响应文件、承诺约定、合同的附件及合同，如有中、英文两种版本的，应以有利于采购人解释为准。未尽事宜,双方另行协商解决。</w:t>
            </w:r>
          </w:p>
          <w:p>
            <w:pPr>
              <w:pStyle w:val="null3"/>
              <w:jc w:val="left"/>
            </w:pPr>
            <w:r>
              <w:rPr>
                <w:rFonts w:ascii="仿宋_GB2312" w:hAnsi="仿宋_GB2312" w:cs="仿宋_GB2312" w:eastAsia="仿宋_GB2312"/>
              </w:rPr>
              <w:t>★8、项目标的设备配套使用且在标的设备有效使用期内的专机专用耗材，须纳入四川省医疗保障信息大数据一体化平台药品和医用耗材招采管理子系统（以下简称“招采子系统”）进行采购。成交供应商应在成交结果公示期满后10个工作日内以书面形式告知采购人，并与采购人签订医用耗材购销协议，按照《四川省医药机构医用耗材集中采购实施方案》的要求完成挂网采购。</w:t>
            </w:r>
          </w:p>
          <w:p>
            <w:pPr>
              <w:pStyle w:val="null3"/>
              <w:jc w:val="left"/>
            </w:pPr>
            <w:r>
              <w:rPr>
                <w:rFonts w:ascii="仿宋_GB2312" w:hAnsi="仿宋_GB2312" w:cs="仿宋_GB2312" w:eastAsia="仿宋_GB2312"/>
              </w:rPr>
              <w:t>（1）专机专用耗材在招采子系统中挂网采购，其采购价格应遵循以下规则：</w:t>
            </w:r>
          </w:p>
          <w:p>
            <w:pPr>
              <w:pStyle w:val="null3"/>
              <w:jc w:val="left"/>
            </w:pPr>
            <w:r>
              <w:rPr>
                <w:rFonts w:ascii="仿宋_GB2312" w:hAnsi="仿宋_GB2312" w:cs="仿宋_GB2312" w:eastAsia="仿宋_GB2312"/>
              </w:rPr>
              <w:t>①价格基准：以签订医用耗材购销协议当月招采子系统中该同型号耗材的最低价为基准价。</w:t>
            </w:r>
          </w:p>
          <w:p>
            <w:pPr>
              <w:pStyle w:val="null3"/>
              <w:jc w:val="left"/>
            </w:pPr>
            <w:r>
              <w:rPr>
                <w:rFonts w:ascii="仿宋_GB2312" w:hAnsi="仿宋_GB2312" w:cs="仿宋_GB2312" w:eastAsia="仿宋_GB2312"/>
              </w:rPr>
              <w:t>②价格计算公式：挂网采购价格=最低价×（1-成交供应商的设备配套使用耗材成交下浮率），成交供应商与耗材制造厂商在标的设备有效使用期内必须以计算后的价格在招采子系统中进行挂网销售。</w:t>
            </w:r>
          </w:p>
          <w:p>
            <w:pPr>
              <w:pStyle w:val="null3"/>
              <w:jc w:val="left"/>
            </w:pPr>
            <w:r>
              <w:rPr>
                <w:rFonts w:ascii="仿宋_GB2312" w:hAnsi="仿宋_GB2312" w:cs="仿宋_GB2312" w:eastAsia="仿宋_GB2312"/>
              </w:rPr>
              <w:t>③耗材在本采购项目的后续采购价格不得高于首次确定的挂网采购价格，并应根据四川省医用耗材集中采购政策及招采子系统中该耗材最低价的变动实时调整。</w:t>
            </w:r>
          </w:p>
          <w:p>
            <w:pPr>
              <w:pStyle w:val="null3"/>
              <w:jc w:val="left"/>
            </w:pPr>
            <w:r>
              <w:rPr>
                <w:rFonts w:ascii="仿宋_GB2312" w:hAnsi="仿宋_GB2312" w:cs="仿宋_GB2312" w:eastAsia="仿宋_GB2312"/>
              </w:rPr>
              <w:t>（2）专机专用耗材按采购人实际需求在招采子系统实时采购、按实结算。</w:t>
            </w:r>
          </w:p>
          <w:p>
            <w:pPr>
              <w:pStyle w:val="null3"/>
              <w:jc w:val="left"/>
            </w:pPr>
            <w:r>
              <w:rPr>
                <w:rFonts w:ascii="仿宋_GB2312" w:hAnsi="仿宋_GB2312" w:cs="仿宋_GB2312" w:eastAsia="仿宋_GB2312"/>
              </w:rPr>
              <w:t>（3）如遇国家或省级医用耗材集中采购政策调整，医用耗材购销协议按调整后的政策要求执行。协议履行期间，采购人有权在下列情形下单方解除本协议：</w:t>
            </w:r>
          </w:p>
          <w:p>
            <w:pPr>
              <w:pStyle w:val="null3"/>
              <w:jc w:val="left"/>
            </w:pPr>
            <w:r>
              <w:rPr>
                <w:rFonts w:ascii="仿宋_GB2312" w:hAnsi="仿宋_GB2312" w:cs="仿宋_GB2312" w:eastAsia="仿宋_GB2312"/>
              </w:rPr>
              <w:t>①成交供应商或耗材制造厂商不再具备相应产品的挂网资格；</w:t>
            </w:r>
          </w:p>
          <w:p>
            <w:pPr>
              <w:pStyle w:val="null3"/>
              <w:jc w:val="left"/>
            </w:pPr>
            <w:r>
              <w:rPr>
                <w:rFonts w:ascii="仿宋_GB2312" w:hAnsi="仿宋_GB2312" w:cs="仿宋_GB2312" w:eastAsia="仿宋_GB2312"/>
              </w:rPr>
              <w:t>②成交供应商或耗材制造厂商严重违反协议约定且经书面催告后仍未改正；</w:t>
            </w:r>
          </w:p>
          <w:p>
            <w:pPr>
              <w:pStyle w:val="null3"/>
              <w:jc w:val="left"/>
            </w:pPr>
            <w:r>
              <w:rPr>
                <w:rFonts w:ascii="仿宋_GB2312" w:hAnsi="仿宋_GB2312" w:cs="仿宋_GB2312" w:eastAsia="仿宋_GB2312"/>
              </w:rPr>
              <w:t>③其他法律、法规或政策规定的终止情形。</w:t>
            </w:r>
          </w:p>
          <w:p>
            <w:pPr>
              <w:pStyle w:val="null3"/>
              <w:jc w:val="left"/>
            </w:pPr>
            <w:r>
              <w:rPr>
                <w:rFonts w:ascii="仿宋_GB2312" w:hAnsi="仿宋_GB2312" w:cs="仿宋_GB2312" w:eastAsia="仿宋_GB2312"/>
              </w:rPr>
              <w:t>（4）若因成交供应商或耗材制造厂商原因无法按上述要求执行的，采购人有权不再采购相应产品，且不承担任何违约责任，成交供应商还须按本项目合同总价的30%向采购人支付违约金，并赔偿因设备效期内闲置而造成的国有资产损失。</w:t>
            </w:r>
          </w:p>
          <w:p>
            <w:pPr>
              <w:pStyle w:val="null3"/>
              <w:jc w:val="left"/>
            </w:pPr>
            <w:r>
              <w:rPr>
                <w:rFonts w:ascii="仿宋_GB2312" w:hAnsi="仿宋_GB2312" w:cs="仿宋_GB2312" w:eastAsia="仿宋_GB2312"/>
              </w:rPr>
              <w:t>成交后签订合同前，成交供应商须针对上述（1）-（3）项向采购人提供响应产品制造厂商出具的《耗材销售承诺书》（体现项目编号，医院名称及设备名称），并加盖制造厂商公章。（供应商在响应文件中须提供承诺函，格式自拟，如成交后成交供应商无法提供《耗材销售承诺书》的，则属于虚假响应，采购人有权拒绝签订合同，并上报同级财政部门。）</w:t>
            </w:r>
          </w:p>
          <w:p>
            <w:pPr>
              <w:pStyle w:val="null3"/>
              <w:jc w:val="left"/>
            </w:pPr>
            <w:r>
              <w:rPr>
                <w:rFonts w:ascii="仿宋_GB2312" w:hAnsi="仿宋_GB2312" w:cs="仿宋_GB2312" w:eastAsia="仿宋_GB2312"/>
              </w:rPr>
              <w:t>9、其他服务要求：</w:t>
            </w:r>
          </w:p>
          <w:p>
            <w:pPr>
              <w:pStyle w:val="null3"/>
              <w:jc w:val="left"/>
            </w:pPr>
            <w:r>
              <w:rPr>
                <w:rFonts w:ascii="仿宋_GB2312" w:hAnsi="仿宋_GB2312" w:cs="仿宋_GB2312" w:eastAsia="仿宋_GB2312"/>
              </w:rPr>
              <w:t>（1）质量保障计划服务要求：供应商需具有针对本项目的产品质量保障措施。需明确产品货源渠道，保证为正规货源，并说明货源质量管控措施。具有产品质量问题处理计划，包括问题反馈响应时限、维修或更换流程。同时，要分析可能出现的质量应急情况，并提出具体解决措施，确保及时处置以保障项目推进。</w:t>
            </w:r>
          </w:p>
          <w:p>
            <w:pPr>
              <w:pStyle w:val="null3"/>
              <w:jc w:val="left"/>
            </w:pPr>
            <w:r>
              <w:rPr>
                <w:rFonts w:ascii="仿宋_GB2312" w:hAnsi="仿宋_GB2312" w:cs="仿宋_GB2312" w:eastAsia="仿宋_GB2312"/>
              </w:rPr>
              <w:t>（2）供货计划服务要求：供应商具有详细供货计划。明确具体供货流程，包括订单确认、物流运输等环节的时间节点及责任分工。制定安装调试计划，涵盖设备进场、安装步骤、系统调试等内容，明确人员配置及进度要求；进行安装风险识别，罗列可能存在的问题并制定预案。明确安装完成后的产品调试方案，验证设备性能是否达标，包括性能参数测试、安全性测试、稳定性测试。同时，分析供货及安装应急情况，并给出应对措施，确保按期完成供货安装。</w:t>
            </w:r>
          </w:p>
          <w:p>
            <w:pPr>
              <w:pStyle w:val="null3"/>
              <w:jc w:val="left"/>
            </w:pPr>
            <w:r>
              <w:rPr>
                <w:rFonts w:ascii="仿宋_GB2312" w:hAnsi="仿宋_GB2312" w:cs="仿宋_GB2312" w:eastAsia="仿宋_GB2312"/>
              </w:rPr>
              <w:t>（3）履约验收计划要求：供应商需制定履约验收计划，明确验收依据、验收内容、验收标准与验收流程。同时，需说明验收不合格时的整改措施与复验机制，保障履约成果符合要求。</w:t>
            </w:r>
          </w:p>
          <w:p>
            <w:pPr>
              <w:pStyle w:val="null3"/>
              <w:jc w:val="left"/>
            </w:pPr>
            <w:r>
              <w:rPr>
                <w:rFonts w:ascii="仿宋_GB2312" w:hAnsi="仿宋_GB2312" w:cs="仿宋_GB2312" w:eastAsia="仿宋_GB2312"/>
              </w:rPr>
              <w:t>（4）售后服务计划服务要求：供应商需具有完善的售后服务。具有售后服务体系，包括服务团队配置、联系方式及响应机制。制定故障问题处理计划，明确不同故障类型的响应及解决时限。具有培训计划，说明对采购人操作及维护人员的培训内容、时长及方式。同时，分析售后服务应急情况（如设备突发故障影响使用），并提出应急处理方案，保障服务连续性。</w:t>
            </w:r>
          </w:p>
          <w:p>
            <w:pPr>
              <w:pStyle w:val="null3"/>
              <w:jc w:val="left"/>
            </w:pPr>
            <w:r>
              <w:rPr>
                <w:rFonts w:ascii="仿宋_GB2312" w:hAnsi="仿宋_GB2312" w:cs="仿宋_GB2312" w:eastAsia="仿宋_GB2312"/>
                <w:b/>
              </w:rPr>
              <w:t>注：服务要求中带“★”标注为实质性要求项。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签订合同后接到采购人通知之日起5个日历日内交货并完成安装调试。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自贡市传染病医院。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1、合同签订之日起，达到付款条件起14日内，支付合同总金额的40.00%</w:t>
            </w:r>
          </w:p>
          <w:p>
            <w:pPr>
              <w:pStyle w:val="null3"/>
              <w:jc w:val="left"/>
            </w:pPr>
            <w:r>
              <w:rPr>
                <w:rFonts w:ascii="仿宋_GB2312" w:hAnsi="仿宋_GB2312" w:cs="仿宋_GB2312" w:eastAsia="仿宋_GB2312"/>
              </w:rPr>
              <w:t>2、货到验收合格后，采购人自收到成交供应商开具的合格发票之日起，达到付款条件起60日内，支付合同总金额的60.00%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（1）验收组织方式：由采购人组织协调验收事宜，包括准备验收资料、邀请验收小组、邀请验收参会人员、组织验收会，最终形成验收小组签署的验收报告。 （2）是否邀请本项目的其他供应商：否。 （3）是否邀请专家：否。 （4）是否邀请服务对象：否。 （5）是否邀请第三方检测机构：否 （6）履约验收程序： ①货物安装、调试完毕后，成交供应商应书面通知采购人进行验收。 ②成交供应商应提供详细操作手册、维修保养手册、安装手册、装箱单和合格证等，并派遣专业技术人员进行现验收讲解。验收合格条件如下： A.货物技术参数与采购合同一致，性能指标达到规定的标准。 B.货物技术资料、装箱单、合格证等资料齐全。 C.在规定时间内完成交货安装并验收，并经采购人确认。 ③采购人需要对成交供应商交付的产品（包括质量、技术参数等）进行确认的，成交供应商应予以配合，并出具书面意见。 ④货物包装材料归采购人所有。 ⑤货物验收完成后，成交供应商须清理产品外包装，保持安装环境干净整洁。 ⑥成交供应商须在验收时对该批次的所供货物贴上服务溯源标签（厂家，安装日期，售后服务电话）。 （7）履约验收时间：采购人应当自收到成交供应商提出的履约验收申请之日起5个工作日内审核是否达到采购合同约定的履约验收条件，达到验收条件起10日内，验收合同总金额的100%。 （8）技术履约验收内容：按行业相关法律规定、采购文件技术要求和成交供应商的响应文件等进行验收。 （9）商务履约验收内容：按行业相关法律规定、采购文件商务要求和成交供应商的响应文件等进行验收。 （10）履约验收标准：按照政府采购相关法律法规以及《财政部关于进一步加强政府采购需求和履约验收管理的指导意见》财库〔2016〕205号、《财政部关于印发&lt;政府采购需求管理办法&gt;的通知》（财库〔2021〕22号）、《自贡市政府采购履约验收管理办法》的规定、采购文件规定的要求、成交供应商的响应文件的内容和项目采购合同的条款进行验收，同时提供相关证明文件及操作手册，否则视为验收不合格，采购人有权单方面解除合同外，成交供应商立即返回支付的合同金额并按支付合同金额的20%支付违约金。</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产品质保期：≥5年，全保（耗材和易损件除外）。供应商提供与本次响应产品同品牌的全保维保服务，质保期内提供包含但不限于所需货物的原厂零配件进行维修、更换、维护服务。成交后签订合同前，成交供应商须针对此项目向采购人提供响应产品（耗材和易损件除外）制造厂商出具的《维保服务全保协议书》（体现项目编号，医院名称及设备名称），并加盖制造厂商公章，质保期限符合采购文件的要求。（响应文件中须提供承诺函，格式自拟，如成交后成交供应商无法提供《维保服务全保协议书》，则属于虚假响应，采购人有权拒绝签订合同，并上报同级财政部门。）在质保期内，成交供应商若未按要求履行或未履行维保服务全保，视为不履行合同义务或者履行合同义务不符合合同约定，采购人有权单方面解除合同，并要求成交供应商按合同总价的5%支付违约金，造成采购人损失的还应赔偿损失。 （2）供应商有完善的售后服务体系，有在线应用服务中心，有专职服务人员对已安装的机器进行应用培训服务，实时解决软件的问题；设有维护服务网点，有专业的维护工程师团队，提供相关证明文件并列举姓名和电话。当产品出现故障时，成交供应商须在2小时内响应，并通知产品制造商作出响应，24小时内到达现场维修并提供报修电话。保障设备完好率≥95%（按365天计算），耽误一天则质保期顺延5个工作日。 （3）产品运输、装卸、安装、调试由供应商负责；供应商提供设备的安装技术要求和场地要求。 （4）成交供应商须向采购人提供操作手册，并提供产品的运行、安装、使用环境要求。 （5）为保证产品正常运行，供应商应承诺在中国大陆地区设有专门的设备零备件库，零备件供应100%保障，日常维修维护更换的备件必须是合格的零备件，能满足设备运行要求，不会给设备带来危害。进口零备件需提供报关手续，保证来源正规合法及10年以上的供应期。 （6）在产品到达使用单位后，成交供应商应在7天内派工程技术人员到达现场，在采购人技术人员在场的情况下开箱清点货物，组织安装、调试，对至少4名采购人医护人员和至少2名采购人工程师人员的培训时间不少于一周（教会正确的使用为止），并承担由此发生的一切费用。 （7）保修期内，成交供应商的工程人员每年（以12个月计）应提供不少于2次的维护保养服务，并于10个工作日内提供维保报告1份，所需费用均由成交供应商承担。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①成交供应商与成交供应商必须遵守合同中的各项规定，保证合同的正常履行。如因成交供应商工作人员在履行职务过程中给采购人造成损失或侵害，包括但不限于采购人本身的财产损失、由此而导致的采购人对任何第三方的法律责任等，成交供应商对此均应承担全部的赔偿责任。②合同履行期间,若双方发生争议，可协商或由有关部门调解解决，协商或调解不成的，由当事人依法维护其合法权益，并在采购人所在地提起诉讼。③合同双方如有一方不履行合同义务或者履行合同义务不符合合同约定的,除另有注明者外，均按合同总价的5%支付对方违约金，造成对方损失的还应赔偿损失。④成交供应商如违反本合同售后服务协议条款的内容，除应继续按照售后服务要求提供售后服务外还应按合同总金额的5%承担违约责任。⑤若成交供应商在质保期内超过4个日历日不能按售后服务要求提供产品和备件，采购人有权自行采购，因此产生的费用由成交供应商承担。 （2）解决争议的办法：采购人与成交供应商双方根据本合同原则，友好协商解决；协商无效的，可向自贡仲裁委员会申请仲裁。</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以下要求为项目其他要求，可不在响应文件的应答表中进行应答）★（1）除采购文件另有规定外，若出现有关法律、法规和规章有强制性规定但采购文件未列明的情形，则评审委员会和供应商应按照有关法律、法规和规章强制性规定执行。★（2）供应商须在响应文件中逐一对本章3.2.技术要求和3.3.服务要求进行应答，若供应商未对带“★”标识的参数或要求作出有效应答的，作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磋商小组可以根据磋商文件和磋商情况实质性变动第三章</w:t>
      </w:r>
      <w:r>
        <w:rPr>
          <w:rFonts w:ascii="仿宋_GB2312" w:hAnsi="仿宋_GB2312" w:cs="仿宋_GB2312" w:eastAsia="仿宋_GB2312"/>
          <w:sz w:val="21"/>
        </w:rPr>
        <w:t>“3.2.技术要求”、“3.3.服务要求”，但不得变动磋商文件中的其他内容。实质性变动的内容，须经采购人代表确认。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磋商小组可以根据磋商文件和磋商情况实质性变动第七章</w:t>
      </w:r>
      <w:r>
        <w:rPr>
          <w:rFonts w:ascii="仿宋_GB2312" w:hAnsi="仿宋_GB2312" w:cs="仿宋_GB2312" w:eastAsia="仿宋_GB2312"/>
          <w:sz w:val="21"/>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供应商需在使用投标(响应)客户端编制响应文件时，按要求填写《投标（响应）函》完成承诺、提供营业执照等证明材料影印件并进行电子签章。</w:t>
            </w:r>
          </w:p>
        </w:tc>
        <w:tc>
          <w:tcPr>
            <w:tcW w:type="dxa" w:w="1661"/>
          </w:tcPr>
          <w:p>
            <w:pPr>
              <w:pStyle w:val="null3"/>
              <w:jc w:val="left"/>
            </w:pPr>
            <w:r>
              <w:rPr>
                <w:rFonts w:ascii="仿宋_GB2312" w:hAnsi="仿宋_GB2312" w:cs="仿宋_GB2312" w:eastAsia="仿宋_GB2312"/>
              </w:rPr>
              <w:t>响应文件封面,供应商应提交的相关资格证明材料,投标（响应）函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响应产品为医疗器械时，供应商须符合《医疗器械监督管理条例》的要求。</w:t>
            </w:r>
          </w:p>
        </w:tc>
        <w:tc>
          <w:tcPr>
            <w:tcW w:type="dxa" w:w="3322"/>
          </w:tcPr>
          <w:p>
            <w:pPr>
              <w:pStyle w:val="null3"/>
              <w:jc w:val="left"/>
            </w:pPr>
            <w:r>
              <w:rPr>
                <w:rFonts w:ascii="仿宋_GB2312" w:hAnsi="仿宋_GB2312" w:cs="仿宋_GB2312" w:eastAsia="仿宋_GB2312"/>
              </w:rPr>
              <w:t>响应产品为医疗器械时： ①供应商为非响应产品制造商时，三类医疗器械提供供应商的《医疗器械经营许可证》复印件；二类医疗器械提供供应商的医疗器械经营备案凭证复印件；一类医疗器械可不提供。②供应商为响应产品制造商时无需提供。 （注：根据国办发〔2017〕41号政策要求“多证合一”的营业执照除外。）</w:t>
            </w:r>
          </w:p>
        </w:tc>
        <w:tc>
          <w:tcPr>
            <w:tcW w:type="dxa" w:w="1661"/>
          </w:tcPr>
          <w:p>
            <w:pPr>
              <w:pStyle w:val="null3"/>
              <w:jc w:val="left"/>
            </w:pPr>
            <w:r>
              <w:rPr>
                <w:rFonts w:ascii="仿宋_GB2312" w:hAnsi="仿宋_GB2312" w:cs="仿宋_GB2312" w:eastAsia="仿宋_GB2312"/>
              </w:rPr>
              <w:t>供应商应提交的相关资格证明材料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响应产品为医疗器械时，响应产品须符合《医疗器械注册与备案管理办法》的要求。</w:t>
            </w:r>
          </w:p>
        </w:tc>
        <w:tc>
          <w:tcPr>
            <w:tcW w:type="dxa" w:w="3322"/>
          </w:tcPr>
          <w:p>
            <w:pPr>
              <w:pStyle w:val="null3"/>
              <w:jc w:val="left"/>
            </w:pPr>
            <w:r>
              <w:rPr>
                <w:rFonts w:ascii="仿宋_GB2312" w:hAnsi="仿宋_GB2312" w:cs="仿宋_GB2312" w:eastAsia="仿宋_GB2312"/>
              </w:rPr>
              <w:t>响应产品若为医疗器械时： ①二类、三类医疗器械提供响应产品的《医疗器械注册证》和《注册登记表》复印件或国家新颁发的《医疗器械注册证》复印件；一类医疗器械提供响应产品的医疗器械注册备案复印件。 ②二类、三类医疗器械提供响应产品制造厂商的《医疗器械生产许可证》复印件；一类医疗器械提供响应产品制造厂商的医疗器械生产备案凭证复印件。</w:t>
            </w:r>
          </w:p>
        </w:tc>
        <w:tc>
          <w:tcPr>
            <w:tcW w:type="dxa" w:w="1661"/>
          </w:tcPr>
          <w:p>
            <w:pPr>
              <w:pStyle w:val="null3"/>
              <w:jc w:val="left"/>
            </w:pPr>
            <w:r>
              <w:rPr>
                <w:rFonts w:ascii="仿宋_GB2312" w:hAnsi="仿宋_GB2312" w:cs="仿宋_GB2312" w:eastAsia="仿宋_GB2312"/>
              </w:rPr>
              <w:t>供应商应提交的相关资格证明材料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采购文件带★号的技术要求、带★号的服务要求、带★号的其他要求（实质性要求）</w:t>
            </w:r>
          </w:p>
        </w:tc>
        <w:tc>
          <w:tcPr>
            <w:tcW w:type="dxa" w:w="3322"/>
          </w:tcPr>
          <w:p>
            <w:pPr>
              <w:pStyle w:val="null3"/>
              <w:jc w:val="left"/>
            </w:pPr>
            <w:r>
              <w:rPr>
                <w:rFonts w:ascii="仿宋_GB2312" w:hAnsi="仿宋_GB2312" w:cs="仿宋_GB2312" w:eastAsia="仿宋_GB2312"/>
              </w:rPr>
              <w:t>除特殊批注可不响应的条款之外，响应文件均实质性响应采购文件中带★号的技术要求、带★号的服务要求、带★号的其他要求。</w:t>
            </w:r>
          </w:p>
        </w:tc>
        <w:tc>
          <w:tcPr>
            <w:tcW w:type="dxa" w:w="1661"/>
          </w:tcPr>
          <w:p>
            <w:pPr>
              <w:pStyle w:val="null3"/>
              <w:jc w:val="left"/>
            </w:pPr>
            <w:r>
              <w:rPr>
                <w:rFonts w:ascii="仿宋_GB2312" w:hAnsi="仿宋_GB2312" w:cs="仿宋_GB2312" w:eastAsia="仿宋_GB2312"/>
              </w:rPr>
              <w:t>技术要求应答表,配置清单响应表,服务要求应答表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技术参数与性能指标</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设备配套使用耗材报价</w:t>
            </w:r>
          </w:p>
        </w:tc>
        <w:tc>
          <w:tcPr>
            <w:tcW w:type="dxa" w:w="2575"/>
          </w:tcPr>
          <w:p>
            <w:pPr>
              <w:pStyle w:val="null3"/>
              <w:jc w:val="left"/>
            </w:pPr>
            <w:r>
              <w:rPr>
                <w:rFonts w:ascii="仿宋_GB2312" w:hAnsi="仿宋_GB2312" w:cs="仿宋_GB2312" w:eastAsia="仿宋_GB2312"/>
              </w:rPr>
              <w:t>供应商针对采购标的的设备配套使用耗材进行下浮率报价。满足采购文件要求且设备配套使用耗材报价下浮率最高的报价为设备配套使用耗材报价基准价，其设备配套使用耗材报价得分为满分。其他设备配套使用耗材报价得分统一按照下列公式计算： 设备配套使用耗材报价得分=(1-设备配套使用耗材基准价)÷(1-设备配套使用耗材报价下浮率)×4分。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设备配套使用耗材报价表(1).docx</w:t>
            </w:r>
          </w:p>
        </w:tc>
      </w:tr>
      <w:tr>
        <w:tc>
          <w:tcPr>
            <w:tcW w:type="dxa" w:w="831"/>
            <w:vMerge/>
          </w:tcPr>
          <w:p/>
        </w:tc>
        <w:tc>
          <w:tcPr>
            <w:tcW w:type="dxa" w:w="1661"/>
          </w:tcPr>
          <w:p>
            <w:pPr>
              <w:pStyle w:val="null3"/>
              <w:jc w:val="left"/>
            </w:pPr>
            <w:r>
              <w:rPr>
                <w:rFonts w:ascii="仿宋_GB2312" w:hAnsi="仿宋_GB2312" w:cs="仿宋_GB2312" w:eastAsia="仿宋_GB2312"/>
              </w:rPr>
              <w:t>技术参数与性能指标</w:t>
            </w:r>
          </w:p>
        </w:tc>
        <w:tc>
          <w:tcPr>
            <w:tcW w:type="dxa" w:w="2575"/>
          </w:tcPr>
          <w:p>
            <w:pPr>
              <w:pStyle w:val="null3"/>
              <w:jc w:val="left"/>
            </w:pPr>
            <w:r>
              <w:rPr>
                <w:rFonts w:ascii="仿宋_GB2312" w:hAnsi="仿宋_GB2312" w:cs="仿宋_GB2312" w:eastAsia="仿宋_GB2312"/>
              </w:rPr>
              <w:t>响应产品的技术参数与性能指标按以下方式计算得分： 1、重要技术参数=（响应产品满足的重要技术参数条数÷重要技术参数总数）×30分，重要技术参数总计5条； 2、一般技术参数得分=（响应产品满足的一般技术参数条数÷一般技术参数总数）×15分，一般技术指标总计10条。 注：①带“▲”标识的为重要参数，按需求提供证明材料，若未提供佐证材料或参数负偏离的皆视为不满足。 ②未带“▲”或“★”标识的为一般参数，一般参数中技术参数中有明确要求的按要求提供相关材料，若未提供佐证材料或参数负偏离的皆视为不满足；未要求提供的以供应商应答为准。 ③无子项的要求，按该项扣分；有子项要求的，按照最末尾子项进行计算。</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w:t>
            </w:r>
          </w:p>
        </w:tc>
      </w:tr>
      <w:tr>
        <w:tc>
          <w:tcPr>
            <w:tcW w:type="dxa" w:w="831"/>
            <w:vMerge/>
          </w:tcPr>
          <w:p/>
        </w:tc>
        <w:tc>
          <w:tcPr>
            <w:tcW w:type="dxa" w:w="1661"/>
          </w:tcPr>
          <w:p>
            <w:pPr>
              <w:pStyle w:val="null3"/>
              <w:jc w:val="left"/>
            </w:pPr>
            <w:r>
              <w:rPr>
                <w:rFonts w:ascii="仿宋_GB2312" w:hAnsi="仿宋_GB2312" w:cs="仿宋_GB2312" w:eastAsia="仿宋_GB2312"/>
              </w:rPr>
              <w:t>服务计划</w:t>
            </w:r>
          </w:p>
        </w:tc>
        <w:tc>
          <w:tcPr>
            <w:tcW w:type="dxa" w:w="2575"/>
          </w:tcPr>
          <w:p>
            <w:pPr>
              <w:pStyle w:val="null3"/>
              <w:jc w:val="left"/>
            </w:pPr>
            <w:r>
              <w:rPr>
                <w:rFonts w:ascii="仿宋_GB2312" w:hAnsi="仿宋_GB2312" w:cs="仿宋_GB2312" w:eastAsia="仿宋_GB2312"/>
              </w:rPr>
              <w:t>供应商针对本项目提供的服务计划应包含： ①质量保障计划； ②供货计划； ③履约验收计划； ④售后服务计划。 以上内容每提供一项得2分，最多得8分。以上单项内容完全符合本次采购项目的采购需求、且计划内容不存在不足的，每有一项内容符合加3分，最多加12分。 注：存在下列情形之一属于“存在不足”①计划内容仅有评审因素提纲(或题干)的摘引内容而无具体阐述内容的。②计划内容与技术、服务、商务要求矛盾（技术、服务、商务表应答正确，但在计划中出现矛盾的描述）。③计划字面表达上明显存在与本项目采购需求(或履约质量)无关，或者明显存在套用(或复制)其他项目内容，或明显存在字错误，或计划未与采购需求对应等客观问题。④计划内容中客观存在引用的法律、法规和技术规范、标准等存在过期失效或明显不符合采购项目所属的法律法规和技术规范、技术标准等；⑤计划非专门针对本项目编制。</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评分标准-服务计划</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供应商自2023年1月1日以来每有一项类似履约案例的得0.5分，最多得1分。 注：提供履约案例合同（协议）影印件加盖供应商公章以佐证。</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评分标准-履约能力</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标的设备报价</w:t>
            </w:r>
          </w:p>
        </w:tc>
        <w:tc>
          <w:tcPr>
            <w:tcW w:type="dxa" w:w="2575"/>
          </w:tcPr>
          <w:p>
            <w:pPr>
              <w:pStyle w:val="null3"/>
              <w:jc w:val="left"/>
            </w:pPr>
            <w:r>
              <w:rPr>
                <w:rFonts w:ascii="仿宋_GB2312" w:hAnsi="仿宋_GB2312" w:cs="仿宋_GB2312" w:eastAsia="仿宋_GB2312"/>
              </w:rPr>
              <w:t>供应商针对采购标的设备进行报价。满足采购文件标的设备要求且标的设备最后报价最低的为标的设备报价基准价，其标的设备价格分为满分。其他供应商的标的设备价格分统一按照下列公式计算： 标的设备报价得分=(标的设备基准价÷标的设备最后报价)×30分。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详见附件：供应商应提交的相关资格证明材料</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详见附件：配置清单响应表</w:t>
      </w:r>
    </w:p>
    <w:p>
      <w:pPr>
        <w:pStyle w:val="null3"/>
        <w:ind w:firstLine="960"/>
        <w:jc w:val="left"/>
      </w:pPr>
      <w:r>
        <w:rPr>
          <w:rFonts w:ascii="仿宋_GB2312" w:hAnsi="仿宋_GB2312" w:cs="仿宋_GB2312" w:eastAsia="仿宋_GB2312"/>
        </w:rPr>
        <w:t>详见附件：评分标准-服务计划</w:t>
      </w:r>
    </w:p>
    <w:p>
      <w:pPr>
        <w:pStyle w:val="null3"/>
        <w:ind w:firstLine="960"/>
        <w:jc w:val="left"/>
      </w:pPr>
      <w:r>
        <w:rPr>
          <w:rFonts w:ascii="仿宋_GB2312" w:hAnsi="仿宋_GB2312" w:cs="仿宋_GB2312" w:eastAsia="仿宋_GB2312"/>
        </w:rPr>
        <w:t>详见附件：评分标准-履约能力</w:t>
      </w:r>
    </w:p>
    <w:p>
      <w:pPr>
        <w:pStyle w:val="null3"/>
        <w:ind w:firstLine="960"/>
        <w:jc w:val="left"/>
      </w:pPr>
      <w:r>
        <w:rPr>
          <w:rFonts w:ascii="仿宋_GB2312" w:hAnsi="仿宋_GB2312" w:cs="仿宋_GB2312" w:eastAsia="仿宋_GB2312"/>
        </w:rPr>
        <w:t>详见附件：设备配套使用耗材报价表(1).docx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