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版本号：N510101202600027420260413001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卫星导航实训室建设项目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N5101012026000274</w:t>
      </w:r>
    </w:p>
    <w:p>
      <w:pPr>
        <w:pStyle w:val="null3"/>
        <w:jc w:val="left"/>
        <w:outlineLvl w:val="2"/>
      </w:pPr>
      <w:r>
        <w:rPr>
          <w:rFonts w:ascii="仿宋_GB2312" w:hAnsi="仿宋_GB2312" w:cs="仿宋_GB2312" w:eastAsia="仿宋_GB2312"/>
          <w:sz w:val="28"/>
          <w:b/>
        </w:rPr>
        <w:t>成都工业职业技术学院</w:t>
      </w:r>
    </w:p>
    <w:p>
      <w:pPr>
        <w:pStyle w:val="null3"/>
        <w:jc w:val="center"/>
        <w:outlineLvl w:val="2"/>
      </w:pPr>
      <w:r>
        <w:rPr>
          <w:rFonts w:ascii="仿宋_GB2312" w:hAnsi="仿宋_GB2312" w:cs="仿宋_GB2312" w:eastAsia="仿宋_GB2312"/>
          <w:sz w:val="28"/>
          <w:b/>
        </w:rPr>
        <w:t>四川中志招标代理有限公司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四川中志招标代理有限公司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成都工业职业技术学院</w:t>
      </w:r>
      <w:r>
        <w:rPr>
          <w:rFonts w:ascii="仿宋_GB2312" w:hAnsi="仿宋_GB2312" w:cs="仿宋_GB2312" w:eastAsia="仿宋_GB2312"/>
        </w:rPr>
        <w:t xml:space="preserve"> 委托，拟对 </w:t>
      </w:r>
      <w:r>
        <w:rPr>
          <w:rFonts w:ascii="仿宋_GB2312" w:hAnsi="仿宋_GB2312" w:cs="仿宋_GB2312" w:eastAsia="仿宋_GB2312"/>
        </w:rPr>
        <w:t>卫星导航实训室建设项目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N5101012026000274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卫星导航实训室建设项目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本项目为卫星导航实训室建设采购。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成都工业职业技术学院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成都市天府新区（成都片区）正兴街道大安路818号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610128</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028-64458127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四川中志招标代理有限公司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成都市高新区吉泰五路88号3栋7层1号（花样年·香年广场）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谢孝寒、佟巍、陈艳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028-83381881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代理服务费收费标准：1.招标代理服务费以中标金额作为收费的计算基数，按照中标金额*1.5%*75%计算。2.收款单位：四川中志招标代理有限公司；开户银行：中国建设银行成都市高新支行；账 号： 5100 1406 1370 5152 6738。3.开取发票专用邮件：fapiao@sczz84510079.com。</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成都工业职业技术学院</w:t>
      </w:r>
      <w:r>
        <w:rPr>
          <w:rFonts w:ascii="仿宋_GB2312" w:hAnsi="仿宋_GB2312" w:cs="仿宋_GB2312" w:eastAsia="仿宋_GB2312"/>
        </w:rPr>
        <w:t xml:space="preserve"> 和 </w:t>
      </w:r>
      <w:r>
        <w:rPr>
          <w:rFonts w:ascii="仿宋_GB2312" w:hAnsi="仿宋_GB2312" w:cs="仿宋_GB2312" w:eastAsia="仿宋_GB2312"/>
        </w:rPr>
        <w:t>四川中志招标代理有限公司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成都工业职业技术学院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四川中志招标代理有限公司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中标人提出验收申请之日起15日内组织验收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采购人按照招标文件的要求、中标人的投标文件、合同相关约定进行验收。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采购人按照招标文件的要求、中标人的投标文件、合同相关约定进行验收。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 号）、《政府采购需求管理办法》（财库〔2021〕22 号）、成都市财政局关于印发《成都市市级采购项目履约验收实施细则（试行）》的通知（成财规〔2026〕1 号）的要求、采购文件的要求、中标人的投标文件及承诺以及合同约定标准进行验收。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成都工业职业技术学院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联系人：彭老师</w:t>
      </w:r>
    </w:p>
    <w:p>
      <w:pPr>
        <w:pStyle w:val="null3"/>
        <w:jc w:val="left"/>
      </w:pPr>
      <w:r>
        <w:rPr>
          <w:rFonts w:ascii="仿宋_GB2312" w:hAnsi="仿宋_GB2312" w:cs="仿宋_GB2312" w:eastAsia="仿宋_GB2312"/>
        </w:rPr>
        <w:t>联系电话：18782961118</w:t>
      </w:r>
    </w:p>
    <w:p>
      <w:pPr>
        <w:pStyle w:val="null3"/>
        <w:jc w:val="left"/>
      </w:pPr>
      <w:r>
        <w:rPr>
          <w:rFonts w:ascii="仿宋_GB2312" w:hAnsi="仿宋_GB2312" w:cs="仿宋_GB2312" w:eastAsia="仿宋_GB2312"/>
        </w:rPr>
        <w:t>地址：成都市天府新区（成都片区）正兴街道大安路818号</w:t>
      </w:r>
    </w:p>
    <w:p>
      <w:pPr>
        <w:pStyle w:val="null3"/>
        <w:jc w:val="left"/>
      </w:pPr>
      <w:r>
        <w:rPr>
          <w:rFonts w:ascii="仿宋_GB2312" w:hAnsi="仿宋_GB2312" w:cs="仿宋_GB2312" w:eastAsia="仿宋_GB2312"/>
        </w:rPr>
        <w:t>邮编：610128</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联系电话：028-84510079转613</w:t>
      </w:r>
    </w:p>
    <w:p>
      <w:pPr>
        <w:pStyle w:val="null3"/>
        <w:jc w:val="left"/>
      </w:pPr>
      <w:r>
        <w:rPr>
          <w:rFonts w:ascii="仿宋_GB2312" w:hAnsi="仿宋_GB2312" w:cs="仿宋_GB2312" w:eastAsia="仿宋_GB2312"/>
        </w:rPr>
        <w:t>地址：成都市高新区吉泰五路88号3栋7层1号（花样年·香年广场）</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卫星导航原理实训设备</w:t>
            </w:r>
          </w:p>
        </w:tc>
        <w:tc>
          <w:tcPr>
            <w:tcW w:type="dxa" w:w="821"/>
          </w:tcPr>
          <w:p>
            <w:pPr>
              <w:pStyle w:val="null3"/>
              <w:jc w:val="right"/>
            </w:pPr>
            <w:r>
              <w:rPr>
                <w:rFonts w:ascii="仿宋_GB2312" w:hAnsi="仿宋_GB2312" w:cs="仿宋_GB2312" w:eastAsia="仿宋_GB2312"/>
              </w:rPr>
              <w:t>6.00（套）</w:t>
            </w:r>
          </w:p>
        </w:tc>
        <w:tc>
          <w:tcPr>
            <w:tcW w:type="dxa" w:w="821"/>
          </w:tcPr>
          <w:p>
            <w:pPr>
              <w:pStyle w:val="null3"/>
              <w:jc w:val="right"/>
            </w:pPr>
            <w:r>
              <w:rPr>
                <w:rFonts w:ascii="仿宋_GB2312" w:hAnsi="仿宋_GB2312" w:cs="仿宋_GB2312" w:eastAsia="仿宋_GB2312"/>
              </w:rPr>
              <w:t>120,000.00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卫星产品生产装配实训设备</w:t>
            </w:r>
          </w:p>
        </w:tc>
        <w:tc>
          <w:tcPr>
            <w:tcW w:type="dxa" w:w="821"/>
          </w:tcPr>
          <w:p>
            <w:pPr>
              <w:pStyle w:val="null3"/>
              <w:jc w:val="right"/>
            </w:pPr>
            <w:r>
              <w:rPr>
                <w:rFonts w:ascii="仿宋_GB2312" w:hAnsi="仿宋_GB2312" w:cs="仿宋_GB2312" w:eastAsia="仿宋_GB2312"/>
              </w:rPr>
              <w:t>6.00（套）</w:t>
            </w:r>
          </w:p>
        </w:tc>
        <w:tc>
          <w:tcPr>
            <w:tcW w:type="dxa" w:w="821"/>
          </w:tcPr>
          <w:p>
            <w:pPr>
              <w:pStyle w:val="null3"/>
              <w:jc w:val="right"/>
            </w:pPr>
            <w:r>
              <w:rPr>
                <w:rFonts w:ascii="仿宋_GB2312" w:hAnsi="仿宋_GB2312" w:cs="仿宋_GB2312" w:eastAsia="仿宋_GB2312"/>
              </w:rPr>
              <w:t>65,050.00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卫星导航监控实训终端</w:t>
            </w:r>
          </w:p>
        </w:tc>
        <w:tc>
          <w:tcPr>
            <w:tcW w:type="dxa" w:w="821"/>
          </w:tcPr>
          <w:p>
            <w:pPr>
              <w:pStyle w:val="null3"/>
              <w:jc w:val="right"/>
            </w:pPr>
            <w:r>
              <w:rPr>
                <w:rFonts w:ascii="仿宋_GB2312" w:hAnsi="仿宋_GB2312" w:cs="仿宋_GB2312" w:eastAsia="仿宋_GB2312"/>
              </w:rPr>
              <w:t>12.00（套）</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卫星通信实训设备</w:t>
            </w:r>
          </w:p>
        </w:tc>
        <w:tc>
          <w:tcPr>
            <w:tcW w:type="dxa" w:w="821"/>
          </w:tcPr>
          <w:p>
            <w:pPr>
              <w:pStyle w:val="null3"/>
              <w:jc w:val="right"/>
            </w:pPr>
            <w:r>
              <w:rPr>
                <w:rFonts w:ascii="仿宋_GB2312" w:hAnsi="仿宋_GB2312" w:cs="仿宋_GB2312" w:eastAsia="仿宋_GB2312"/>
              </w:rPr>
              <w:t>6.00（套）</w:t>
            </w:r>
          </w:p>
        </w:tc>
        <w:tc>
          <w:tcPr>
            <w:tcW w:type="dxa" w:w="821"/>
          </w:tcPr>
          <w:p>
            <w:pPr>
              <w:pStyle w:val="null3"/>
              <w:jc w:val="right"/>
            </w:pPr>
            <w:r>
              <w:rPr>
                <w:rFonts w:ascii="仿宋_GB2312" w:hAnsi="仿宋_GB2312" w:cs="仿宋_GB2312" w:eastAsia="仿宋_GB2312"/>
              </w:rPr>
              <w:t>120,000.00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卫星授时应用实训设备</w:t>
            </w:r>
          </w:p>
        </w:tc>
        <w:tc>
          <w:tcPr>
            <w:tcW w:type="dxa" w:w="821"/>
          </w:tcPr>
          <w:p>
            <w:pPr>
              <w:pStyle w:val="null3"/>
              <w:jc w:val="right"/>
            </w:pPr>
            <w:r>
              <w:rPr>
                <w:rFonts w:ascii="仿宋_GB2312" w:hAnsi="仿宋_GB2312" w:cs="仿宋_GB2312" w:eastAsia="仿宋_GB2312"/>
              </w:rPr>
              <w:t>6.00（套）</w:t>
            </w:r>
          </w:p>
        </w:tc>
        <w:tc>
          <w:tcPr>
            <w:tcW w:type="dxa" w:w="821"/>
          </w:tcPr>
          <w:p>
            <w:pPr>
              <w:pStyle w:val="null3"/>
              <w:jc w:val="right"/>
            </w:pPr>
            <w:r>
              <w:rPr>
                <w:rFonts w:ascii="仿宋_GB2312" w:hAnsi="仿宋_GB2312" w:cs="仿宋_GB2312" w:eastAsia="仿宋_GB2312"/>
              </w:rPr>
              <w:t>64,950.00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卫星导航原理实训设备</w:t>
            </w:r>
          </w:p>
        </w:tc>
        <w:tc>
          <w:tcPr>
            <w:tcW w:type="dxa" w:w="1138"/>
          </w:tcPr>
          <w:p>
            <w:pPr>
              <w:pStyle w:val="null3"/>
              <w:jc w:val="center"/>
            </w:pPr>
            <w:r>
              <w:rPr>
                <w:rFonts w:ascii="仿宋_GB2312" w:hAnsi="仿宋_GB2312" w:cs="仿宋_GB2312" w:eastAsia="仿宋_GB2312"/>
              </w:rPr>
              <w:t>6.00（套）</w:t>
            </w:r>
          </w:p>
        </w:tc>
        <w:tc>
          <w:tcPr>
            <w:tcW w:type="dxa" w:w="1365"/>
          </w:tcPr>
          <w:p>
            <w:pPr>
              <w:pStyle w:val="null3"/>
              <w:jc w:val="center"/>
            </w:pPr>
            <w:r>
              <w:rPr>
                <w:rFonts w:ascii="仿宋_GB2312" w:hAnsi="仿宋_GB2312" w:cs="仿宋_GB2312" w:eastAsia="仿宋_GB2312"/>
              </w:rPr>
              <w:t>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卫星产品生产装配实训设备</w:t>
            </w:r>
          </w:p>
        </w:tc>
        <w:tc>
          <w:tcPr>
            <w:tcW w:type="dxa" w:w="1138"/>
          </w:tcPr>
          <w:p>
            <w:pPr>
              <w:pStyle w:val="null3"/>
              <w:jc w:val="center"/>
            </w:pPr>
            <w:r>
              <w:rPr>
                <w:rFonts w:ascii="仿宋_GB2312" w:hAnsi="仿宋_GB2312" w:cs="仿宋_GB2312" w:eastAsia="仿宋_GB2312"/>
              </w:rPr>
              <w:t>6.00（套）</w:t>
            </w:r>
          </w:p>
        </w:tc>
        <w:tc>
          <w:tcPr>
            <w:tcW w:type="dxa" w:w="1365"/>
          </w:tcPr>
          <w:p>
            <w:pPr>
              <w:pStyle w:val="null3"/>
              <w:jc w:val="center"/>
            </w:pPr>
            <w:r>
              <w:rPr>
                <w:rFonts w:ascii="仿宋_GB2312" w:hAnsi="仿宋_GB2312" w:cs="仿宋_GB2312" w:eastAsia="仿宋_GB2312"/>
              </w:rPr>
              <w:t>65,050.00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卫星导航监控实训终端</w:t>
            </w:r>
          </w:p>
        </w:tc>
        <w:tc>
          <w:tcPr>
            <w:tcW w:type="dxa" w:w="1138"/>
          </w:tcPr>
          <w:p>
            <w:pPr>
              <w:pStyle w:val="null3"/>
              <w:jc w:val="center"/>
            </w:pPr>
            <w:r>
              <w:rPr>
                <w:rFonts w:ascii="仿宋_GB2312" w:hAnsi="仿宋_GB2312" w:cs="仿宋_GB2312" w:eastAsia="仿宋_GB2312"/>
              </w:rPr>
              <w:t>12.00（套）</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卫星通信实训设备</w:t>
            </w:r>
          </w:p>
        </w:tc>
        <w:tc>
          <w:tcPr>
            <w:tcW w:type="dxa" w:w="1138"/>
          </w:tcPr>
          <w:p>
            <w:pPr>
              <w:pStyle w:val="null3"/>
              <w:jc w:val="center"/>
            </w:pPr>
            <w:r>
              <w:rPr>
                <w:rFonts w:ascii="仿宋_GB2312" w:hAnsi="仿宋_GB2312" w:cs="仿宋_GB2312" w:eastAsia="仿宋_GB2312"/>
              </w:rPr>
              <w:t>6.00（套）</w:t>
            </w:r>
          </w:p>
        </w:tc>
        <w:tc>
          <w:tcPr>
            <w:tcW w:type="dxa" w:w="1365"/>
          </w:tcPr>
          <w:p>
            <w:pPr>
              <w:pStyle w:val="null3"/>
              <w:jc w:val="center"/>
            </w:pPr>
            <w:r>
              <w:rPr>
                <w:rFonts w:ascii="仿宋_GB2312" w:hAnsi="仿宋_GB2312" w:cs="仿宋_GB2312" w:eastAsia="仿宋_GB2312"/>
              </w:rPr>
              <w:t>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卫星授时应用实训设备</w:t>
            </w:r>
          </w:p>
        </w:tc>
        <w:tc>
          <w:tcPr>
            <w:tcW w:type="dxa" w:w="1138"/>
          </w:tcPr>
          <w:p>
            <w:pPr>
              <w:pStyle w:val="null3"/>
              <w:jc w:val="center"/>
            </w:pPr>
            <w:r>
              <w:rPr>
                <w:rFonts w:ascii="仿宋_GB2312" w:hAnsi="仿宋_GB2312" w:cs="仿宋_GB2312" w:eastAsia="仿宋_GB2312"/>
              </w:rPr>
              <w:t>6.00（套）</w:t>
            </w:r>
          </w:p>
        </w:tc>
        <w:tc>
          <w:tcPr>
            <w:tcW w:type="dxa" w:w="1365"/>
          </w:tcPr>
          <w:p>
            <w:pPr>
              <w:pStyle w:val="null3"/>
              <w:jc w:val="center"/>
            </w:pPr>
            <w:r>
              <w:rPr>
                <w:rFonts w:ascii="仿宋_GB2312" w:hAnsi="仿宋_GB2312" w:cs="仿宋_GB2312" w:eastAsia="仿宋_GB2312"/>
              </w:rPr>
              <w:t>64,950.00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卫星导航原理实训设备</w:t>
            </w:r>
          </w:p>
        </w:tc>
        <w:tc>
          <w:tcPr>
            <w:tcW w:type="dxa" w:w="2492"/>
          </w:tcPr>
          <w:p>
            <w:pPr>
              <w:pStyle w:val="null3"/>
              <w:jc w:val="left"/>
            </w:pPr>
            <w:r>
              <w:rPr>
                <w:rFonts w:ascii="仿宋_GB2312" w:hAnsi="仿宋_GB2312" w:cs="仿宋_GB2312" w:eastAsia="仿宋_GB2312"/>
              </w:rPr>
              <w:t>卫星导航原理实训设备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标的名称：卫星导航原理实训设备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rPr>
              <w:t>1.包含可以接收原始数据的高精度定位接收机，适合用于卫星信号相关专业实训。</w:t>
            </w:r>
          </w:p>
          <w:p>
            <w:pPr>
              <w:pStyle w:val="null3"/>
              <w:jc w:val="left"/>
            </w:pPr>
            <w:r>
              <w:rPr>
                <w:rFonts w:ascii="仿宋_GB2312" w:hAnsi="仿宋_GB2312" w:cs="仿宋_GB2312" w:eastAsia="仿宋_GB2312"/>
              </w:rPr>
              <w:t>2.设备工作频段：BDS：B1I，B1C，B2a，B2I；GPS：L1CA，L1PY，L2C，L2PY，L5；GLONASS：L1CA，L2CA，L2P，L3；Galileo：L1BC，E5a，E5b，E5，E6BC；QZSS：L1CA，L1CB，L2C，L5；SBAS：L1，L5。</w:t>
            </w:r>
          </w:p>
          <w:p>
            <w:pPr>
              <w:pStyle w:val="null3"/>
              <w:jc w:val="left"/>
            </w:pPr>
            <w:r>
              <w:rPr>
                <w:rFonts w:ascii="仿宋_GB2312" w:hAnsi="仿宋_GB2312" w:cs="仿宋_GB2312" w:eastAsia="仿宋_GB2312"/>
              </w:rPr>
              <w:t>3.RTK定位精度：水平定位精度：≤0.6cm+0.5ppm。</w:t>
            </w:r>
          </w:p>
          <w:p>
            <w:pPr>
              <w:pStyle w:val="null3"/>
              <w:jc w:val="left"/>
            </w:pPr>
            <w:r>
              <w:rPr>
                <w:rFonts w:ascii="仿宋_GB2312" w:hAnsi="仿宋_GB2312" w:cs="仿宋_GB2312" w:eastAsia="仿宋_GB2312"/>
              </w:rPr>
              <w:t>▲4.定位刷新频率：最大定位刷新频率支持100Hz。（提供演示视频截图</w:t>
            </w:r>
            <w:r>
              <w:rPr>
                <w:rFonts w:ascii="仿宋_GB2312" w:hAnsi="仿宋_GB2312" w:cs="仿宋_GB2312" w:eastAsia="仿宋_GB2312"/>
              </w:rPr>
              <w:t>佐证</w:t>
            </w:r>
            <w:r>
              <w:rPr>
                <w:rFonts w:ascii="仿宋_GB2312" w:hAnsi="仿宋_GB2312" w:cs="仿宋_GB2312" w:eastAsia="仿宋_GB2312"/>
              </w:rPr>
              <w:t>）</w:t>
            </w:r>
          </w:p>
          <w:p>
            <w:pPr>
              <w:pStyle w:val="null3"/>
              <w:jc w:val="left"/>
            </w:pPr>
            <w:r>
              <w:rPr>
                <w:rFonts w:ascii="仿宋_GB2312" w:hAnsi="仿宋_GB2312" w:cs="仿宋_GB2312" w:eastAsia="仿宋_GB2312"/>
              </w:rPr>
              <w:t>5.授时精度：≤5ns。</w:t>
            </w:r>
          </w:p>
          <w:p>
            <w:pPr>
              <w:pStyle w:val="null3"/>
              <w:jc w:val="left"/>
            </w:pPr>
            <w:r>
              <w:rPr>
                <w:rFonts w:ascii="仿宋_GB2312" w:hAnsi="仿宋_GB2312" w:cs="仿宋_GB2312" w:eastAsia="仿宋_GB2312"/>
              </w:rPr>
              <w:t>6.支持通道数：≥400个</w:t>
            </w:r>
          </w:p>
          <w:p>
            <w:pPr>
              <w:pStyle w:val="null3"/>
              <w:jc w:val="left"/>
            </w:pPr>
            <w:r>
              <w:rPr>
                <w:rFonts w:ascii="仿宋_GB2312" w:hAnsi="仿宋_GB2312" w:cs="仿宋_GB2312" w:eastAsia="仿宋_GB2312"/>
              </w:rPr>
              <w:t>7.设备尺寸：</w:t>
            </w:r>
            <w:r>
              <w:rPr>
                <w:rFonts w:ascii="仿宋_GB2312" w:hAnsi="仿宋_GB2312" w:cs="仿宋_GB2312" w:eastAsia="仿宋_GB2312"/>
              </w:rPr>
              <w:t>长</w:t>
            </w:r>
            <w:r>
              <w:rPr>
                <w:rFonts w:ascii="仿宋_GB2312" w:hAnsi="仿宋_GB2312" w:cs="仿宋_GB2312" w:eastAsia="仿宋_GB2312"/>
              </w:rPr>
              <w:t>*宽*高</w:t>
            </w:r>
            <w:r>
              <w:rPr>
                <w:rFonts w:ascii="仿宋_GB2312" w:hAnsi="仿宋_GB2312" w:cs="仿宋_GB2312" w:eastAsia="仿宋_GB2312"/>
              </w:rPr>
              <w:t>35cm</w:t>
            </w:r>
            <w:r>
              <w:rPr>
                <w:rFonts w:ascii="仿宋_GB2312" w:hAnsi="仿宋_GB2312" w:cs="仿宋_GB2312" w:eastAsia="仿宋_GB2312"/>
              </w:rPr>
              <w:t>(±20mm)</w:t>
            </w:r>
            <w:r>
              <w:rPr>
                <w:rFonts w:ascii="仿宋_GB2312" w:hAnsi="仿宋_GB2312" w:cs="仿宋_GB2312" w:eastAsia="仿宋_GB2312"/>
              </w:rPr>
              <w:t>×25cm</w:t>
            </w:r>
            <w:r>
              <w:rPr>
                <w:rFonts w:ascii="仿宋_GB2312" w:hAnsi="仿宋_GB2312" w:cs="仿宋_GB2312" w:eastAsia="仿宋_GB2312"/>
              </w:rPr>
              <w:t>(±20mm)</w:t>
            </w:r>
            <w:r>
              <w:rPr>
                <w:rFonts w:ascii="仿宋_GB2312" w:hAnsi="仿宋_GB2312" w:cs="仿宋_GB2312" w:eastAsia="仿宋_GB2312"/>
              </w:rPr>
              <w:t>×10cm(±20mm)。</w:t>
            </w:r>
          </w:p>
          <w:p>
            <w:pPr>
              <w:pStyle w:val="null3"/>
              <w:jc w:val="left"/>
            </w:pPr>
            <w:r>
              <w:rPr>
                <w:rFonts w:ascii="仿宋_GB2312" w:hAnsi="仿宋_GB2312" w:cs="仿宋_GB2312" w:eastAsia="仿宋_GB2312"/>
              </w:rPr>
              <w:t>8.可通过web界面查看内置接收机的定位状态并进行参数配置，可实时查看接收信号频谱图。</w:t>
            </w:r>
          </w:p>
          <w:p>
            <w:pPr>
              <w:pStyle w:val="null3"/>
              <w:jc w:val="left"/>
            </w:pPr>
            <w:r>
              <w:rPr>
                <w:rFonts w:ascii="仿宋_GB2312" w:hAnsi="仿宋_GB2312" w:cs="仿宋_GB2312" w:eastAsia="仿宋_GB2312"/>
              </w:rPr>
              <w:t>9.输出格式：NMEA 0183（v3.03，v4.0），RINEX（v2.x，v3.x），RTCM（v2.x，v3.x）,Binary Format（SBF）。</w:t>
            </w:r>
          </w:p>
          <w:p>
            <w:pPr>
              <w:pStyle w:val="null3"/>
              <w:jc w:val="left"/>
            </w:pPr>
            <w:r>
              <w:rPr>
                <w:rFonts w:ascii="仿宋_GB2312" w:hAnsi="仿宋_GB2312" w:cs="仿宋_GB2312" w:eastAsia="仿宋_GB2312"/>
              </w:rPr>
              <w:t>10.可支持完成卫星仰角方位角认知、几何精度因子分析、卫星星历历书接收与认知、NMEA数据解析、坐标系转换、单点定位精度统计与误差分析实训内容。（注：提供实训指导书截图佐证）</w:t>
            </w:r>
          </w:p>
          <w:p>
            <w:pPr>
              <w:pStyle w:val="null3"/>
              <w:jc w:val="left"/>
            </w:pPr>
            <w:r>
              <w:rPr>
                <w:rFonts w:ascii="仿宋_GB2312" w:hAnsi="仿宋_GB2312" w:cs="仿宋_GB2312" w:eastAsia="仿宋_GB2312"/>
              </w:rPr>
              <w:t>▲ 11.实训软件支持本地化部署，具有可移植性。</w:t>
            </w:r>
          </w:p>
          <w:p>
            <w:pPr>
              <w:pStyle w:val="null3"/>
              <w:jc w:val="left"/>
            </w:pPr>
            <w:r>
              <w:rPr>
                <w:rFonts w:ascii="仿宋_GB2312" w:hAnsi="仿宋_GB2312" w:cs="仿宋_GB2312" w:eastAsia="仿宋_GB2312"/>
              </w:rPr>
              <w:t>12.实训软件可显示卫星定位结果信息、星座图、各系统可视/可用卫星列表、卫星相关数据表格、各卫星载噪比/电离层延迟/对流层延迟/伪距曲线内容，可选择显示/隐藏各卫星的曲线。</w:t>
            </w:r>
          </w:p>
          <w:p>
            <w:pPr>
              <w:pStyle w:val="null3"/>
              <w:jc w:val="left"/>
            </w:pPr>
            <w:r>
              <w:rPr>
                <w:rFonts w:ascii="仿宋_GB2312" w:hAnsi="仿宋_GB2312" w:cs="仿宋_GB2312" w:eastAsia="仿宋_GB2312"/>
                <w:sz w:val="21"/>
              </w:rPr>
              <w:t>▲ 13.实训软件内置相应的实验指导书内容，可在实验中随时切换查看，包括实验程序界面及实训指导书内容。（提供软件截图</w:t>
            </w:r>
            <w:r>
              <w:rPr>
                <w:rFonts w:ascii="仿宋_GB2312" w:hAnsi="仿宋_GB2312" w:cs="仿宋_GB2312" w:eastAsia="仿宋_GB2312"/>
                <w:sz w:val="21"/>
              </w:rPr>
              <w:t>佐证</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标的名称：卫星产品生产装配实训设备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rPr>
              <w:t>1.包含独立的北斗模块、核心处理器、大尺寸彩色点阵屏、红外测距传感器、声音传感器电子模块。</w:t>
            </w:r>
          </w:p>
          <w:p>
            <w:pPr>
              <w:pStyle w:val="null3"/>
              <w:jc w:val="left"/>
            </w:pPr>
            <w:r>
              <w:rPr>
                <w:rFonts w:ascii="仿宋_GB2312" w:hAnsi="仿宋_GB2312" w:cs="仿宋_GB2312" w:eastAsia="仿宋_GB2312"/>
              </w:rPr>
              <w:t>2.包含结构部件，可以实现北斗授时时钟组装。</w:t>
            </w:r>
          </w:p>
          <w:p>
            <w:pPr>
              <w:pStyle w:val="null3"/>
              <w:jc w:val="left"/>
            </w:pPr>
            <w:r>
              <w:rPr>
                <w:rFonts w:ascii="仿宋_GB2312" w:hAnsi="仿宋_GB2312" w:cs="仿宋_GB2312" w:eastAsia="仿宋_GB2312"/>
              </w:rPr>
              <w:t>3.支持通过北斗定位模块获取精确时间，实时显示在彩色点阵屏上。</w:t>
            </w:r>
          </w:p>
          <w:p>
            <w:pPr>
              <w:pStyle w:val="null3"/>
              <w:jc w:val="left"/>
            </w:pPr>
            <w:r>
              <w:rPr>
                <w:rFonts w:ascii="仿宋_GB2312" w:hAnsi="仿宋_GB2312" w:cs="仿宋_GB2312" w:eastAsia="仿宋_GB2312"/>
              </w:rPr>
              <w:t>4.支持声音传感器和手势识别红外传感器进行时间显示控制，可以实现显示时间、日期切换、显示色彩变换效果。</w:t>
            </w:r>
          </w:p>
          <w:p>
            <w:pPr>
              <w:pStyle w:val="null3"/>
              <w:jc w:val="left"/>
            </w:pPr>
            <w:r>
              <w:rPr>
                <w:rFonts w:ascii="仿宋_GB2312" w:hAnsi="仿宋_GB2312" w:cs="仿宋_GB2312" w:eastAsia="仿宋_GB2312"/>
              </w:rPr>
              <w:t>5.北斗定位模块指标：空旷场地条件下，北斗定位模块精度：≤5m；定位时间：≤35s；北斗测速精度：≤0.2m/s；频段：L1，1575.42MHz，B1，1561.098MHz；通道数目：≥24；定位更新率：1Hz。</w:t>
            </w:r>
          </w:p>
          <w:p>
            <w:pPr>
              <w:pStyle w:val="null3"/>
              <w:jc w:val="left"/>
            </w:pPr>
            <w:r>
              <w:rPr>
                <w:rFonts w:ascii="仿宋_GB2312" w:hAnsi="仿宋_GB2312" w:cs="仿宋_GB2312" w:eastAsia="仿宋_GB2312"/>
              </w:rPr>
              <w:t>6.大尺寸点阵屏，尺寸≥32cm×8cm，屏幕分辨率≥32×8，支持多色显示。</w:t>
            </w:r>
          </w:p>
          <w:p>
            <w:pPr>
              <w:pStyle w:val="null3"/>
              <w:jc w:val="left"/>
            </w:pPr>
            <w:r>
              <w:rPr>
                <w:rFonts w:ascii="仿宋_GB2312" w:hAnsi="仿宋_GB2312" w:cs="仿宋_GB2312" w:eastAsia="仿宋_GB2312"/>
              </w:rPr>
              <w:t>▲7.电路接口采用防反插设计。（注：提供接口照片作证）</w:t>
            </w:r>
          </w:p>
          <w:p>
            <w:pPr>
              <w:pStyle w:val="null3"/>
              <w:jc w:val="left"/>
            </w:pPr>
            <w:r>
              <w:rPr>
                <w:rFonts w:ascii="仿宋_GB2312" w:hAnsi="仿宋_GB2312" w:cs="仿宋_GB2312" w:eastAsia="仿宋_GB2312"/>
                <w:sz w:val="21"/>
              </w:rPr>
              <w:t>8.设备尺寸：</w:t>
            </w:r>
            <w:r>
              <w:rPr>
                <w:rFonts w:ascii="仿宋_GB2312" w:hAnsi="仿宋_GB2312" w:cs="仿宋_GB2312" w:eastAsia="仿宋_GB2312"/>
                <w:sz w:val="21"/>
              </w:rPr>
              <w:t>长</w:t>
            </w:r>
            <w:r>
              <w:rPr>
                <w:rFonts w:ascii="仿宋_GB2312" w:hAnsi="仿宋_GB2312" w:cs="仿宋_GB2312" w:eastAsia="仿宋_GB2312"/>
                <w:sz w:val="21"/>
              </w:rPr>
              <w:t>*宽*高</w:t>
            </w:r>
            <w:r>
              <w:rPr>
                <w:rFonts w:ascii="仿宋_GB2312" w:hAnsi="仿宋_GB2312" w:cs="仿宋_GB2312" w:eastAsia="仿宋_GB2312"/>
                <w:sz w:val="21"/>
              </w:rPr>
              <w:t>35cm(±20mm)×25cm(±20mm)×10cm(±20mm)。</w:t>
            </w:r>
          </w:p>
        </w:tc>
      </w:tr>
    </w:tbl>
    <w:p>
      <w:pPr>
        <w:pStyle w:val="null3"/>
        <w:jc w:val="left"/>
      </w:pPr>
      <w:r>
        <w:rPr>
          <w:rFonts w:ascii="仿宋_GB2312" w:hAnsi="仿宋_GB2312" w:cs="仿宋_GB2312" w:eastAsia="仿宋_GB2312"/>
        </w:rPr>
        <w:t>标的名称：卫星导航监控实训终端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rPr>
              <w:t>1.支持频率：北斗三号B1、GPS L1。</w:t>
            </w:r>
          </w:p>
          <w:p>
            <w:pPr>
              <w:pStyle w:val="null3"/>
              <w:jc w:val="left"/>
            </w:pPr>
            <w:r>
              <w:rPr>
                <w:rFonts w:ascii="仿宋_GB2312" w:hAnsi="仿宋_GB2312" w:cs="仿宋_GB2312" w:eastAsia="仿宋_GB2312"/>
              </w:rPr>
              <w:t>2.支持4G移动通信方式。</w:t>
            </w:r>
          </w:p>
          <w:p>
            <w:pPr>
              <w:pStyle w:val="null3"/>
              <w:jc w:val="left"/>
            </w:pPr>
            <w:r>
              <w:rPr>
                <w:rFonts w:ascii="仿宋_GB2312" w:hAnsi="仿宋_GB2312" w:cs="仿宋_GB2312" w:eastAsia="仿宋_GB2312"/>
              </w:rPr>
              <w:t>3.支持公网回传定位数据，数据内容包括：当前时间、位置、速度、报警信息、设备ID号。</w:t>
            </w:r>
          </w:p>
          <w:p>
            <w:pPr>
              <w:pStyle w:val="null3"/>
              <w:jc w:val="left"/>
            </w:pPr>
            <w:r>
              <w:rPr>
                <w:rFonts w:ascii="仿宋_GB2312" w:hAnsi="仿宋_GB2312" w:cs="仿宋_GB2312" w:eastAsia="仿宋_GB2312"/>
              </w:rPr>
              <w:t>4.采用磁吸式固定方式。</w:t>
            </w:r>
          </w:p>
          <w:p>
            <w:pPr>
              <w:pStyle w:val="null3"/>
              <w:jc w:val="left"/>
            </w:pPr>
            <w:r>
              <w:rPr>
                <w:rFonts w:ascii="仿宋_GB2312" w:hAnsi="仿宋_GB2312" w:cs="仿宋_GB2312" w:eastAsia="仿宋_GB2312"/>
              </w:rPr>
              <w:t>5.电池容量≥400mA。</w:t>
            </w:r>
          </w:p>
          <w:p>
            <w:pPr>
              <w:pStyle w:val="null3"/>
              <w:jc w:val="left"/>
            </w:pPr>
            <w:r>
              <w:rPr>
                <w:rFonts w:ascii="仿宋_GB2312" w:hAnsi="仿宋_GB2312" w:cs="仿宋_GB2312" w:eastAsia="仿宋_GB2312"/>
              </w:rPr>
              <w:t>6.支持通过短信来设置终端的各项参数，包括：上报频次、修改设备号、上报IP地址、端口号。</w:t>
            </w:r>
          </w:p>
          <w:p>
            <w:pPr>
              <w:pStyle w:val="null3"/>
              <w:jc w:val="left"/>
            </w:pPr>
            <w:r>
              <w:rPr>
                <w:rFonts w:ascii="仿宋_GB2312" w:hAnsi="仿宋_GB2312" w:cs="仿宋_GB2312" w:eastAsia="仿宋_GB2312"/>
              </w:rPr>
              <w:t>7.尺寸：</w:t>
            </w:r>
            <w:r>
              <w:rPr>
                <w:rFonts w:ascii="仿宋_GB2312" w:hAnsi="仿宋_GB2312" w:cs="仿宋_GB2312" w:eastAsia="仿宋_GB2312"/>
              </w:rPr>
              <w:t>长</w:t>
            </w:r>
            <w:r>
              <w:rPr>
                <w:rFonts w:ascii="仿宋_GB2312" w:hAnsi="仿宋_GB2312" w:cs="仿宋_GB2312" w:eastAsia="仿宋_GB2312"/>
              </w:rPr>
              <w:t>*</w:t>
            </w:r>
            <w:r>
              <w:rPr>
                <w:rFonts w:ascii="仿宋_GB2312" w:hAnsi="仿宋_GB2312" w:cs="仿宋_GB2312" w:eastAsia="仿宋_GB2312"/>
              </w:rPr>
              <w:t>宽</w:t>
            </w:r>
            <w:r>
              <w:rPr>
                <w:rFonts w:ascii="仿宋_GB2312" w:hAnsi="仿宋_GB2312" w:cs="仿宋_GB2312" w:eastAsia="仿宋_GB2312"/>
              </w:rPr>
              <w:t>*</w:t>
            </w:r>
            <w:r>
              <w:rPr>
                <w:rFonts w:ascii="仿宋_GB2312" w:hAnsi="仿宋_GB2312" w:cs="仿宋_GB2312" w:eastAsia="仿宋_GB2312"/>
              </w:rPr>
              <w:t>高</w:t>
            </w:r>
            <w:r>
              <w:rPr>
                <w:rFonts w:ascii="仿宋_GB2312" w:hAnsi="仿宋_GB2312" w:cs="仿宋_GB2312" w:eastAsia="仿宋_GB2312"/>
              </w:rPr>
              <w:t>78mm</w:t>
            </w:r>
            <w:r>
              <w:rPr>
                <w:rFonts w:ascii="仿宋_GB2312" w:hAnsi="仿宋_GB2312" w:cs="仿宋_GB2312" w:eastAsia="仿宋_GB2312"/>
              </w:rPr>
              <w:t>(±2mm)</w:t>
            </w:r>
            <w:r>
              <w:rPr>
                <w:rFonts w:ascii="仿宋_GB2312" w:hAnsi="仿宋_GB2312" w:cs="仿宋_GB2312" w:eastAsia="仿宋_GB2312"/>
              </w:rPr>
              <w:t>*50mm</w:t>
            </w:r>
            <w:r>
              <w:rPr>
                <w:rFonts w:ascii="仿宋_GB2312" w:hAnsi="仿宋_GB2312" w:cs="仿宋_GB2312" w:eastAsia="仿宋_GB2312"/>
              </w:rPr>
              <w:t>(±2mm)</w:t>
            </w:r>
            <w:r>
              <w:rPr>
                <w:rFonts w:ascii="仿宋_GB2312" w:hAnsi="仿宋_GB2312" w:cs="仿宋_GB2312" w:eastAsia="仿宋_GB2312"/>
              </w:rPr>
              <w:t xml:space="preserve"> </w:t>
            </w:r>
            <w:r>
              <w:rPr>
                <w:rFonts w:ascii="仿宋_GB2312" w:hAnsi="仿宋_GB2312" w:cs="仿宋_GB2312" w:eastAsia="仿宋_GB2312"/>
              </w:rPr>
              <w:t>*20mm</w:t>
            </w:r>
            <w:r>
              <w:rPr>
                <w:rFonts w:ascii="仿宋_GB2312" w:hAnsi="仿宋_GB2312" w:cs="仿宋_GB2312" w:eastAsia="仿宋_GB2312"/>
              </w:rPr>
              <w:t>(±2mm)</w:t>
            </w:r>
            <w:r>
              <w:rPr>
                <w:rFonts w:ascii="仿宋_GB2312" w:hAnsi="仿宋_GB2312" w:cs="仿宋_GB2312" w:eastAsia="仿宋_GB2312"/>
              </w:rPr>
              <w:t>。</w:t>
            </w:r>
          </w:p>
          <w:p>
            <w:pPr>
              <w:pStyle w:val="null3"/>
              <w:jc w:val="left"/>
            </w:pPr>
            <w:r>
              <w:rPr>
                <w:rFonts w:ascii="仿宋_GB2312" w:hAnsi="仿宋_GB2312" w:cs="仿宋_GB2312" w:eastAsia="仿宋_GB2312"/>
              </w:rPr>
              <w:t>8.支持结合北斗导航位置服务监控系统实现北斗智慧交通监控场景的实训教学。</w:t>
            </w:r>
          </w:p>
        </w:tc>
      </w:tr>
    </w:tbl>
    <w:p>
      <w:pPr>
        <w:pStyle w:val="null3"/>
        <w:jc w:val="left"/>
      </w:pPr>
      <w:r>
        <w:rPr>
          <w:rFonts w:ascii="仿宋_GB2312" w:hAnsi="仿宋_GB2312" w:cs="仿宋_GB2312" w:eastAsia="仿宋_GB2312"/>
        </w:rPr>
        <w:t>标的名称：卫星通信实训设备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rPr>
              <w:t>▲ 1. 套件包含多种模组和线缆：卫星通信主机、卫星通信天线、GNSS天线、DB9（RS485）转USB转接线、DB9转杜邦线转接器、TypeC转USB数据线、专用开发板、移动电源、12V3A适配器。（注：提供产品彩页或实物照片</w:t>
            </w:r>
            <w:r>
              <w:rPr>
                <w:rFonts w:ascii="仿宋_GB2312" w:hAnsi="仿宋_GB2312" w:cs="仿宋_GB2312" w:eastAsia="仿宋_GB2312"/>
              </w:rPr>
              <w:t>佐证</w:t>
            </w:r>
            <w:r>
              <w:rPr>
                <w:rFonts w:ascii="仿宋_GB2312" w:hAnsi="仿宋_GB2312" w:cs="仿宋_GB2312" w:eastAsia="仿宋_GB2312"/>
              </w:rPr>
              <w:t>）</w:t>
            </w:r>
          </w:p>
          <w:p>
            <w:pPr>
              <w:pStyle w:val="null3"/>
              <w:jc w:val="left"/>
            </w:pPr>
            <w:r>
              <w:rPr>
                <w:rFonts w:ascii="仿宋_GB2312" w:hAnsi="仿宋_GB2312" w:cs="仿宋_GB2312" w:eastAsia="仿宋_GB2312"/>
              </w:rPr>
              <w:t>2. 卫星通信主机报文长度：单帧最大128Byte。</w:t>
            </w:r>
          </w:p>
          <w:p>
            <w:pPr>
              <w:pStyle w:val="null3"/>
              <w:jc w:val="left"/>
            </w:pPr>
            <w:r>
              <w:rPr>
                <w:rFonts w:ascii="仿宋_GB2312" w:hAnsi="仿宋_GB2312" w:cs="仿宋_GB2312" w:eastAsia="仿宋_GB2312"/>
              </w:rPr>
              <w:t>3. 卫星通信主机上行发射功率：≥30dBm。</w:t>
            </w:r>
          </w:p>
          <w:p>
            <w:pPr>
              <w:pStyle w:val="null3"/>
              <w:jc w:val="left"/>
            </w:pPr>
            <w:r>
              <w:rPr>
                <w:rFonts w:ascii="仿宋_GB2312" w:hAnsi="仿宋_GB2312" w:cs="仿宋_GB2312" w:eastAsia="仿宋_GB2312"/>
              </w:rPr>
              <w:t>4. 卫星通信主机信息速率：1400bps。</w:t>
            </w:r>
          </w:p>
          <w:p>
            <w:pPr>
              <w:pStyle w:val="null3"/>
              <w:jc w:val="left"/>
            </w:pPr>
            <w:r>
              <w:rPr>
                <w:rFonts w:ascii="仿宋_GB2312" w:hAnsi="仿宋_GB2312" w:cs="仿宋_GB2312" w:eastAsia="仿宋_GB2312"/>
              </w:rPr>
              <w:t>5. 卫星通信主机GNSS特性：接收频段：L1,1575.42 MHz B1,1561.098 MHz；水平定位精度：自主定位:≤2.5 CEP；灵敏度：捕获:-147dBm; 跟踪:-162dBm; 重捕获:-158dBm。</w:t>
            </w:r>
          </w:p>
          <w:p>
            <w:pPr>
              <w:pStyle w:val="null3"/>
              <w:jc w:val="left"/>
            </w:pPr>
            <w:r>
              <w:rPr>
                <w:rFonts w:ascii="仿宋_GB2312" w:hAnsi="仿宋_GB2312" w:cs="仿宋_GB2312" w:eastAsia="仿宋_GB2312"/>
              </w:rPr>
              <w:t>6. 移动电源特性：输出接口DC5.5×2.1，输出电压≥12V，最大输出电流3A，提供配套的数据连接线。</w:t>
            </w:r>
          </w:p>
          <w:p>
            <w:pPr>
              <w:pStyle w:val="null3"/>
              <w:jc w:val="left"/>
            </w:pPr>
            <w:r>
              <w:rPr>
                <w:rFonts w:ascii="仿宋_GB2312" w:hAnsi="仿宋_GB2312" w:cs="仿宋_GB2312" w:eastAsia="仿宋_GB2312"/>
              </w:rPr>
              <w:t>7. 包含高性能单片机模组，技术指标：32位双核处理器，时钟频率最高240MHz，支持多路GPIO输入输出，支持串口、I2C、SPI等常用通信协议。</w:t>
            </w:r>
          </w:p>
          <w:p>
            <w:pPr>
              <w:pStyle w:val="null3"/>
              <w:jc w:val="left"/>
            </w:pPr>
            <w:r>
              <w:rPr>
                <w:rFonts w:ascii="仿宋_GB2312" w:hAnsi="仿宋_GB2312" w:cs="仿宋_GB2312" w:eastAsia="仿宋_GB2312"/>
              </w:rPr>
              <w:t>8. 提供平台账号，与设备绑定后，具有查询设备发送卫星通信消息的功能。</w:t>
            </w:r>
          </w:p>
          <w:p>
            <w:pPr>
              <w:pStyle w:val="null3"/>
              <w:jc w:val="left"/>
            </w:pPr>
            <w:r>
              <w:rPr>
                <w:rFonts w:ascii="仿宋_GB2312" w:hAnsi="仿宋_GB2312" w:cs="仿宋_GB2312" w:eastAsia="仿宋_GB2312"/>
                <w:sz w:val="21"/>
              </w:rPr>
              <w:t>9. 提供配套开发环境、驱动程序和调试工具软件。</w:t>
            </w:r>
          </w:p>
        </w:tc>
      </w:tr>
    </w:tbl>
    <w:p>
      <w:pPr>
        <w:pStyle w:val="null3"/>
        <w:jc w:val="left"/>
      </w:pPr>
      <w:r>
        <w:rPr>
          <w:rFonts w:ascii="仿宋_GB2312" w:hAnsi="仿宋_GB2312" w:cs="仿宋_GB2312" w:eastAsia="仿宋_GB2312"/>
        </w:rPr>
        <w:t>标的名称：卫星授时应用实训设备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ind w:firstLine="480"/>
              <w:jc w:val="both"/>
            </w:pPr>
            <w:r>
              <w:rPr>
                <w:rFonts w:ascii="仿宋_GB2312" w:hAnsi="仿宋_GB2312" w:cs="仿宋_GB2312" w:eastAsia="仿宋_GB2312"/>
                <w:sz w:val="24"/>
                <w:shd w:fill="FFFFFF" w:val="clear"/>
              </w:rPr>
              <w:t>1.搭载高清全彩触控移动终端</w:t>
            </w:r>
            <w:r>
              <w:rPr>
                <w:rFonts w:ascii="仿宋_GB2312" w:hAnsi="仿宋_GB2312" w:cs="仿宋_GB2312" w:eastAsia="仿宋_GB2312"/>
                <w:sz w:val="24"/>
                <w:shd w:fill="FFFFFF" w:val="clear"/>
              </w:rPr>
              <w:t>，屏幕分辨率</w:t>
            </w:r>
            <w:r>
              <w:rPr>
                <w:rFonts w:ascii="仿宋_GB2312" w:hAnsi="仿宋_GB2312" w:cs="仿宋_GB2312" w:eastAsia="仿宋_GB2312"/>
                <w:sz w:val="24"/>
                <w:shd w:fill="FFFFFF" w:val="clear"/>
              </w:rPr>
              <w:t>≥800×480</w:t>
            </w:r>
          </w:p>
          <w:p>
            <w:pPr>
              <w:pStyle w:val="null3"/>
              <w:ind w:firstLine="480"/>
              <w:jc w:val="both"/>
            </w:pPr>
            <w:r>
              <w:rPr>
                <w:rFonts w:ascii="仿宋_GB2312" w:hAnsi="仿宋_GB2312" w:cs="仿宋_GB2312" w:eastAsia="仿宋_GB2312"/>
                <w:sz w:val="24"/>
                <w:shd w:fill="FFFFFF" w:val="clear"/>
              </w:rPr>
              <w:t>2. 包含专用的测试端子，方便进行授时输出信号测试</w:t>
            </w:r>
          </w:p>
          <w:p>
            <w:pPr>
              <w:pStyle w:val="null3"/>
              <w:ind w:firstLine="480"/>
              <w:jc w:val="both"/>
            </w:pPr>
            <w:r>
              <w:rPr>
                <w:rFonts w:ascii="仿宋_GB2312" w:hAnsi="仿宋_GB2312" w:cs="仿宋_GB2312" w:eastAsia="仿宋_GB2312"/>
                <w:sz w:val="24"/>
                <w:shd w:fill="FFFFFF" w:val="clear"/>
              </w:rPr>
              <w:t>3. 包含专用</w:t>
            </w:r>
            <w:r>
              <w:rPr>
                <w:rFonts w:ascii="仿宋_GB2312" w:hAnsi="仿宋_GB2312" w:cs="仿宋_GB2312" w:eastAsia="仿宋_GB2312"/>
                <w:sz w:val="24"/>
              </w:rPr>
              <w:t>北斗</w:t>
            </w:r>
            <w:r>
              <w:rPr>
                <w:rFonts w:ascii="仿宋_GB2312" w:hAnsi="仿宋_GB2312" w:cs="仿宋_GB2312" w:eastAsia="仿宋_GB2312"/>
                <w:sz w:val="24"/>
                <w:shd w:fill="FFFFFF" w:val="clear"/>
              </w:rPr>
              <w:t>定位模块，结合专用天线，支持稳定输出</w:t>
            </w:r>
            <w:r>
              <w:rPr>
                <w:rFonts w:ascii="仿宋_GB2312" w:hAnsi="仿宋_GB2312" w:cs="仿宋_GB2312" w:eastAsia="仿宋_GB2312"/>
                <w:sz w:val="24"/>
                <w:shd w:fill="FFFFFF" w:val="clear"/>
              </w:rPr>
              <w:t>1PPS信号和NMEA-0183信号</w:t>
            </w:r>
          </w:p>
          <w:p>
            <w:pPr>
              <w:pStyle w:val="null3"/>
              <w:ind w:firstLine="480"/>
              <w:jc w:val="both"/>
            </w:pPr>
            <w:r>
              <w:rPr>
                <w:rFonts w:ascii="仿宋_GB2312" w:hAnsi="仿宋_GB2312" w:cs="仿宋_GB2312" w:eastAsia="仿宋_GB2312"/>
                <w:sz w:val="24"/>
                <w:shd w:fill="FFFFFF" w:val="clear"/>
              </w:rPr>
              <w:t>4. 包含WiFi模组，通过触摸屏实现“扫描SSID”，“连接WiFi”，“显示IP等网络信息”功能</w:t>
            </w:r>
          </w:p>
          <w:p>
            <w:pPr>
              <w:pStyle w:val="null3"/>
              <w:ind w:firstLine="480"/>
              <w:jc w:val="both"/>
            </w:pPr>
            <w:r>
              <w:rPr>
                <w:rFonts w:ascii="仿宋_GB2312" w:hAnsi="仿宋_GB2312" w:cs="仿宋_GB2312" w:eastAsia="仿宋_GB2312"/>
                <w:sz w:val="24"/>
                <w:shd w:fill="FFFFFF" w:val="clear"/>
              </w:rPr>
              <w:t>5. 具备实时显示授时时间的功能，并且支持通过触摸屏选择时区，查看不同时区的时间</w:t>
            </w:r>
          </w:p>
          <w:p>
            <w:pPr>
              <w:pStyle w:val="null3"/>
              <w:ind w:firstLine="480"/>
              <w:jc w:val="both"/>
            </w:pPr>
            <w:r>
              <w:rPr>
                <w:rFonts w:ascii="仿宋_GB2312" w:hAnsi="仿宋_GB2312" w:cs="仿宋_GB2312" w:eastAsia="仿宋_GB2312"/>
                <w:sz w:val="24"/>
                <w:shd w:fill="FFFFFF" w:val="clear"/>
              </w:rPr>
              <w:t>▲ 6.具备NMEA-0183协议显示功能，支持通过触摸屏实时显示NMEA-0183协议，并且将授时相关语句和时间信息突出显示。</w:t>
            </w:r>
            <w:r>
              <w:rPr>
                <w:rFonts w:ascii="仿宋_GB2312" w:hAnsi="仿宋_GB2312" w:cs="仿宋_GB2312" w:eastAsia="仿宋_GB2312"/>
                <w:sz w:val="24"/>
                <w:b/>
                <w:shd w:fill="FFFFFF" w:val="clear"/>
              </w:rPr>
              <w:t>（注：提供软件照片佐证）</w:t>
            </w:r>
          </w:p>
          <w:p>
            <w:pPr>
              <w:pStyle w:val="null3"/>
              <w:ind w:firstLine="480"/>
              <w:jc w:val="both"/>
            </w:pPr>
            <w:r>
              <w:rPr>
                <w:rFonts w:ascii="仿宋_GB2312" w:hAnsi="仿宋_GB2312" w:cs="仿宋_GB2312" w:eastAsia="仿宋_GB2312"/>
                <w:sz w:val="24"/>
                <w:shd w:fill="FFFFFF" w:val="clear"/>
              </w:rPr>
              <w:t>7. 可以通过触摸屏配置接收机只输出授时相关的语句。</w:t>
            </w:r>
          </w:p>
          <w:p>
            <w:pPr>
              <w:pStyle w:val="null3"/>
              <w:ind w:firstLine="480"/>
              <w:jc w:val="both"/>
            </w:pPr>
            <w:r>
              <w:rPr>
                <w:rFonts w:ascii="仿宋_GB2312" w:hAnsi="仿宋_GB2312" w:cs="仿宋_GB2312" w:eastAsia="仿宋_GB2312"/>
                <w:sz w:val="24"/>
                <w:shd w:fill="FFFFFF" w:val="clear"/>
              </w:rPr>
              <w:t>8. 可以显示1PPS和RMC、GGA、GLL、ZDA语句的时间间隔。</w:t>
            </w:r>
          </w:p>
          <w:p>
            <w:pPr>
              <w:pStyle w:val="null3"/>
              <w:ind w:firstLine="480"/>
              <w:jc w:val="both"/>
            </w:pPr>
            <w:r>
              <w:rPr>
                <w:rFonts w:ascii="仿宋_GB2312" w:hAnsi="仿宋_GB2312" w:cs="仿宋_GB2312" w:eastAsia="仿宋_GB2312"/>
                <w:sz w:val="24"/>
                <w:shd w:fill="FFFFFF" w:val="clear"/>
              </w:rPr>
              <w:t>9. 可以在连接好WiFi网络的状态下，启动NTP网络授时服务，为互联网中的设备提供授时服务。</w:t>
            </w:r>
          </w:p>
          <w:p>
            <w:pPr>
              <w:pStyle w:val="null3"/>
              <w:ind w:firstLine="480"/>
              <w:jc w:val="both"/>
            </w:pPr>
            <w:r>
              <w:rPr>
                <w:rFonts w:ascii="仿宋_GB2312" w:hAnsi="仿宋_GB2312" w:cs="仿宋_GB2312" w:eastAsia="仿宋_GB2312"/>
                <w:sz w:val="24"/>
                <w:shd w:fill="FFFFFF" w:val="clear"/>
              </w:rPr>
              <w:t>10. NTP服务的授时源可以来自</w:t>
            </w:r>
            <w:r>
              <w:rPr>
                <w:rFonts w:ascii="仿宋_GB2312" w:hAnsi="仿宋_GB2312" w:cs="仿宋_GB2312" w:eastAsia="仿宋_GB2312"/>
                <w:sz w:val="24"/>
              </w:rPr>
              <w:t>北斗</w:t>
            </w:r>
            <w:r>
              <w:rPr>
                <w:rFonts w:ascii="仿宋_GB2312" w:hAnsi="仿宋_GB2312" w:cs="仿宋_GB2312" w:eastAsia="仿宋_GB2312"/>
                <w:sz w:val="24"/>
                <w:shd w:fill="FFFFFF" w:val="clear"/>
              </w:rPr>
              <w:t>卫星授时，还可以设置成错误的授时时间源，方便开展教学实训</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与评审标准相对应的内容</w:t>
            </w:r>
          </w:p>
        </w:tc>
        <w:tc>
          <w:tcPr>
            <w:tcW w:type="dxa" w:w="5814"/>
          </w:tcPr>
          <w:p>
            <w:pPr>
              <w:pStyle w:val="null3"/>
              <w:jc w:val="left"/>
            </w:pPr>
            <w:r>
              <w:rPr>
                <w:rFonts w:ascii="仿宋_GB2312" w:hAnsi="仿宋_GB2312" w:cs="仿宋_GB2312" w:eastAsia="仿宋_GB2312"/>
              </w:rPr>
              <w:t>1.履约能力：提供投标人2023年1月1日(含)至投标截止日类似业绩的证明材料。</w:t>
            </w:r>
            <w:r>
              <w:br/>
            </w:r>
            <w:r>
              <w:rPr>
                <w:rFonts w:ascii="仿宋_GB2312" w:hAnsi="仿宋_GB2312" w:cs="仿宋_GB2312" w:eastAsia="仿宋_GB2312"/>
              </w:rPr>
              <w:t xml:space="preserve"> 2.投标人针对本项目实际情况提供项目售后服务方案，内容包括：①售后服务流程方案，②培训计划方案（包括:培训内容、培训课时与培训人员），③服务能力保障方案，④售后服务承诺方案，⑤备件支持服务及保证及时措施方案。具体要求详见综合评分明细表。</w:t>
            </w:r>
            <w:r>
              <w:br/>
            </w:r>
            <w:r>
              <w:rPr>
                <w:rFonts w:ascii="仿宋_GB2312" w:hAnsi="仿宋_GB2312" w:cs="仿宋_GB2312" w:eastAsia="仿宋_GB2312"/>
              </w:rPr>
              <w:t xml:space="preserve"> 3.投标人针对本项目实际情况提供项目售后服务方案，内容包括：①产品整体设计理念，②性能描述方案，③安全耐用性描述方案。具体要求详见综合评分明细表。</w:t>
            </w:r>
            <w:r>
              <w:br/>
            </w:r>
            <w:r>
              <w:rPr>
                <w:rFonts w:ascii="仿宋_GB2312" w:hAnsi="仿宋_GB2312" w:cs="仿宋_GB2312" w:eastAsia="仿宋_GB2312"/>
              </w:rPr>
              <w:t xml:space="preserve"> 4.投标人需为本项目配备项目组成员。</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投标人所投产品若涉及国家强制认证的（CCC）或前置许可、认证的，须符合国家强制认证（CCC）或前置许可、认证，在供货时一并提供相关许可、认证材料。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自合同签订之日起90日内完成交货及安装调试。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成都工业职业技术学院空天产业学院，具体以采购人指定为准。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1、预付款，采购合同签订生效后，采购人收到中标人通知与有效票据凭证资料后，达到付款条件起10日内，支付合同总金额的70.00%</w:t>
            </w:r>
          </w:p>
          <w:p>
            <w:pPr>
              <w:pStyle w:val="null3"/>
              <w:jc w:val="left"/>
            </w:pPr>
            <w:r>
              <w:rPr>
                <w:rFonts w:ascii="仿宋_GB2312" w:hAnsi="仿宋_GB2312" w:cs="仿宋_GB2312" w:eastAsia="仿宋_GB2312"/>
              </w:rPr>
              <w:t>2、尾款，全部货物安装调试完毕并经采购人验收合格后，中标人开具有效票据凭证后，达到付款条件起10日内，支付合同总金额的30.00%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1.验收费用全部由投标人承担。2.履约验收标准：按照《财政部关于进一步加强政府采购需求和履约验收管理的指导意见》（财库〔2016〕205 号）、《政府采购需求管理办法》（财库〔2021〕22 号）、成都市财政局关于印发《成都市市级采购项目履约验收实施细则（试行）》的通知（成财规〔2026〕1 号）的要求、采购文件的要求、中标人的投标文件及承诺以及合同约定标准进行验收。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及要求：本项目整体质保期为验收合格之日起1年，核心通信与导航实训设备质保期为2年。产品验收合格后，在质保期内中标人无条件保修，并提供维保和技术服务，采购人不再额外支付费用；在质保期内，中标人须提供每季度不少于1次的设备巡检及维护。设备超出质保期后，中标人仍需在五年内对设备提供维修服务，但因此产生的上门服务费及配件更换费用，均按市场价另行收取。 ★2.质量保证与安装调试要求：（1）中标人须提供全新的货物，表面无划伤、无碰撞痕迹，且权属清楚，不得侵害他人的知识产权。（2）货物必须符合或优于国家（行业）标准以及本项目采购文件的技术要求。（3）货物制造质量出现问题，中标人应负责三包（包修、包换、包退），费用由中标人自行承担，采购人有权到中标人生产场地检查货物质量和生产进度。安装调试：由中标人负责所提供的全部货物的调试（不含工程安装），经采购人验收合格后交付使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按招标文件及合同具体条款约定。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说明：1.本采购文件所引用的国家标准、地方或行业标准，在项目招投标阶段或项目执行阶段，若有新标准发布时，按发布的有效最新标准实施，本采购文件或签订的政府采购合同不再就此进行调整。（本点无需投标人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①若为企业法人：提供“营业执照”扫描件；未换证的提供“营业执照、税务登记证、组织机构代码证”扫描件；②若为事业法人：提供“统一社会信用代码法人登记证书”扫描件；未换证的提交“事业法人登记证书、组织机构代码证”扫描件；③若为其他组织：提供“对应主管部门颁发的准许执业证明文件或营业执照”扫描件；④若为自然人：提供“身份证明材料”。 注：1.以上证明材料应满足此条要求①在有效期内；②扫描件加盖投标人电子签章； 2.企业若已更换为三证合一的则提供营业执照扫描件，事业单位提供事业单位法人证书扫描件，其他组织提供执业许可证或营业执照等证明文件扫描件，自然人提供身份证明均具备此条同等效力； 3.根据国务院办公厅关于加快推进“多证合一”改革的指导意见(国办发〔2017〕41号)等政策要求，若资格要求涉及的登记、备案等有关事项和各类证照已实行多证合一的，提供多证合一证照扫描件。</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根据自身情况选择提供其中任意一项：（1）可提供（2024年度或2025年度）任一年度经审计的财务报告（包含审计报告和审计报告中所涉及的财务报表和报表附注）。（2）可提供（2024年度或2025年度）任一年度投标人财务报表（至少包括资产负债表、利润表、现金流量表）。（3）可提供截至投标文件提交截止日一年内银行出具的资信证明。（4）投标人注册时间截至投标文件提交截止日不足一年的，也可提供在工商管理部门备案的公司章程。（5）投标人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需要投标人进行承诺的实质性要求。（以此为准）</w:t>
            </w:r>
          </w:p>
        </w:tc>
        <w:tc>
          <w:tcPr>
            <w:tcW w:type="dxa" w:w="3322"/>
          </w:tcPr>
          <w:p>
            <w:pPr>
              <w:pStyle w:val="null3"/>
              <w:jc w:val="left"/>
            </w:pPr>
            <w:r>
              <w:rPr>
                <w:rFonts w:ascii="仿宋_GB2312" w:hAnsi="仿宋_GB2312" w:cs="仿宋_GB2312" w:eastAsia="仿宋_GB2312"/>
              </w:rPr>
              <w:t>因系统固化原因，“需要投标人进行承诺的实质性要求”的审查具体标准和要求以此为准： 招标文件中明确要求单独提供承诺函的，投标人按照招标文件要求上传承诺函；无明确要求的，只需投标人按照投标（响应）函中承诺严格遵守并执行的相关实质性要求。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投标人应提交的相关证明材料,技术、服务应答表.docx,商务应答表.docx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投标人按照招标文件要求上传相应材料 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报价明细表,报价表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投标人自2023年1月1日（含）至递交投标文件截止之日，投标人具有一个与本项目类似业绩的得2分，本项最多得10分。 注：1.投标人提供合同扫描（复印）件并加盖投标人公章；以合同签订时间为准。2.类似业绩是指：包含卫星通信与导航类相关教学产品的项目业绩。</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针对本项目提供售后服务方案，内容包含：①售后服务流程方案，②培训计划方案（包括:培训内容、培训课时与培训人员），③服务能力保障方案，④售后服务承诺方案，⑤备件支持服务及保证及时措施方案。上述五项无缺失且无缺陷的得10分，每有一项缺失的扣2分，每有一处内容存在缺陷的扣1分，单项分值扣完为止。注：“存在缺陷”是指存在项目名称错误、地点区域错误、内容与本项目需求无关、仅有框架或标题、适用的标准（方法）错误、明显复制其他项目内容中的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团队配置</w:t>
            </w:r>
          </w:p>
        </w:tc>
        <w:tc>
          <w:tcPr>
            <w:tcW w:type="dxa" w:w="2575"/>
          </w:tcPr>
          <w:p>
            <w:pPr>
              <w:pStyle w:val="null3"/>
              <w:jc w:val="left"/>
            </w:pPr>
            <w:r>
              <w:rPr>
                <w:rFonts w:ascii="仿宋_GB2312" w:hAnsi="仿宋_GB2312" w:cs="仿宋_GB2312" w:eastAsia="仿宋_GB2312"/>
              </w:rPr>
              <w:t>投标人为本项目配备不少于3人的项目组成员并且提供对应人员清单及人员分工明细表的得5分，未提供或不完全满足的不得分。注：提供团队人员清单及项目人员分工明细表并加盖投标人公章。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团队配置.docx</w:t>
            </w:r>
          </w:p>
        </w:tc>
      </w:tr>
      <w:tr>
        <w:tc>
          <w:tcPr>
            <w:tcW w:type="dxa" w:w="831"/>
            <w:vMerge/>
          </w:tcPr>
          <w:p/>
        </w:tc>
        <w:tc>
          <w:tcPr>
            <w:tcW w:type="dxa" w:w="1661"/>
          </w:tcPr>
          <w:p>
            <w:pPr>
              <w:pStyle w:val="null3"/>
              <w:jc w:val="left"/>
            </w:pPr>
            <w:r>
              <w:rPr>
                <w:rFonts w:ascii="仿宋_GB2312" w:hAnsi="仿宋_GB2312" w:cs="仿宋_GB2312" w:eastAsia="仿宋_GB2312"/>
              </w:rPr>
              <w:t>售后服务承诺</w:t>
            </w:r>
          </w:p>
        </w:tc>
        <w:tc>
          <w:tcPr>
            <w:tcW w:type="dxa" w:w="2575"/>
          </w:tcPr>
          <w:p>
            <w:pPr>
              <w:pStyle w:val="null3"/>
              <w:jc w:val="left"/>
            </w:pPr>
            <w:r>
              <w:rPr>
                <w:rFonts w:ascii="仿宋_GB2312" w:hAnsi="仿宋_GB2312" w:cs="仿宋_GB2312" w:eastAsia="仿宋_GB2312"/>
              </w:rPr>
              <w:t>投标人完全响应招标文件“3.3.2.商务要求 质量保修范围和保修期”中“1.质保期及要求” 的得1分； 在此基础上，每承诺增加1年(不足1年的不加分)质保期的加1分，最多加5分；本点最多得6分。注：提供承诺函并加盖投标人公章，格式自拟；“★”项除外。</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售后服务承诺.docx</w:t>
            </w:r>
          </w:p>
        </w:tc>
      </w:tr>
      <w:tr>
        <w:tc>
          <w:tcPr>
            <w:tcW w:type="dxa" w:w="831"/>
            <w:vMerge/>
          </w:tcPr>
          <w:p/>
        </w:tc>
        <w:tc>
          <w:tcPr>
            <w:tcW w:type="dxa" w:w="1661"/>
          </w:tcPr>
          <w:p>
            <w:pPr>
              <w:pStyle w:val="null3"/>
              <w:jc w:val="left"/>
            </w:pPr>
            <w:r>
              <w:rPr>
                <w:rFonts w:ascii="仿宋_GB2312" w:hAnsi="仿宋_GB2312" w:cs="仿宋_GB2312" w:eastAsia="仿宋_GB2312"/>
              </w:rPr>
              <w:t>产品配置及技术参数方案</w:t>
            </w:r>
          </w:p>
        </w:tc>
        <w:tc>
          <w:tcPr>
            <w:tcW w:type="dxa" w:w="2575"/>
          </w:tcPr>
          <w:p>
            <w:pPr>
              <w:pStyle w:val="null3"/>
              <w:jc w:val="left"/>
            </w:pPr>
            <w:r>
              <w:rPr>
                <w:rFonts w:ascii="仿宋_GB2312" w:hAnsi="仿宋_GB2312" w:cs="仿宋_GB2312" w:eastAsia="仿宋_GB2312"/>
              </w:rPr>
              <w:t>完全满足或优于招标文件“第三章 技术、服务及其他要求 3.2.技术要求”（“★”项除外）的得33分，其中: （1）“▲”项得分=（投标人满足“▲”项条款的数量÷“▲”项总数量）×21分； （2）非“▲”项和=（投标人满足非“▲”项÷非“▲”项）×12分。注：1.本招标文件以一级序号数字（如“1.”、“2.”、“3.”…）为一条（标题除外）；数字序号下有多级序号的，以最小级数字序号为一条。评分的取值按四舍五入法，保留小数点后两位； 2.“▲”项若招标文件技术参数有明确证明材料要求的按照招标文件要求提供作证材料；未作要求的以技术、服务应答表的响应情况为准。 3.“★”项为实质性要求，若招标文件有要求则按招标文件的要求提供相关材料，未作要求的以技术、服务应答表的响应情况为准； 4、非“▲”项条款若招标文件有要求则按招标文件的要求提供相关材料，未作要求的以技术、服务应答表的响应情况为准。</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技术、服务应答表.docx</w:t>
            </w:r>
          </w:p>
        </w:tc>
      </w:tr>
      <w:tr>
        <w:tc>
          <w:tcPr>
            <w:tcW w:type="dxa" w:w="831"/>
            <w:vMerge/>
          </w:tcPr>
          <w:p/>
        </w:tc>
        <w:tc>
          <w:tcPr>
            <w:tcW w:type="dxa" w:w="1661"/>
          </w:tcPr>
          <w:p>
            <w:pPr>
              <w:pStyle w:val="null3"/>
              <w:jc w:val="left"/>
            </w:pPr>
            <w:r>
              <w:rPr>
                <w:rFonts w:ascii="仿宋_GB2312" w:hAnsi="仿宋_GB2312" w:cs="仿宋_GB2312" w:eastAsia="仿宋_GB2312"/>
              </w:rPr>
              <w:t>产品整体性能评价方案</w:t>
            </w:r>
          </w:p>
        </w:tc>
        <w:tc>
          <w:tcPr>
            <w:tcW w:type="dxa" w:w="2575"/>
          </w:tcPr>
          <w:p>
            <w:pPr>
              <w:pStyle w:val="null3"/>
              <w:jc w:val="left"/>
            </w:pPr>
            <w:r>
              <w:rPr>
                <w:rFonts w:ascii="仿宋_GB2312" w:hAnsi="仿宋_GB2312" w:cs="仿宋_GB2312" w:eastAsia="仿宋_GB2312"/>
              </w:rPr>
              <w:t>投标人针对本项目提供产品整体性能评价方案，内容包含：①产品整体设计理念，②性能描述方案，③安全耐用性描述方案。上述三项无缺失且无缺陷的得6分，每有一项缺失的扣2分，每有一处内容存在缺陷的扣1分，单项分值扣完为止。注：“存在缺陷”是指存在项目名称错误、地点区域错误、内容与本项目需求无关、仅有框架或标题、适用的标准（方法）错误、明显复制其他项目内容中的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产品整体性能评价方案.docx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关于符合本国产品标准的声明函.docx,本国产品成本比例的声明函.docx</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详见附件：团队配置.docx</w:t>
      </w:r>
    </w:p>
    <w:p>
      <w:pPr>
        <w:pStyle w:val="null3"/>
        <w:ind w:firstLine="960"/>
        <w:jc w:val="left"/>
      </w:pPr>
      <w:r>
        <w:rPr>
          <w:rFonts w:ascii="仿宋_GB2312" w:hAnsi="仿宋_GB2312" w:cs="仿宋_GB2312" w:eastAsia="仿宋_GB2312"/>
        </w:rPr>
        <w:t>详见附件：售后服务承诺.docx</w:t>
      </w:r>
    </w:p>
    <w:p>
      <w:pPr>
        <w:pStyle w:val="null3"/>
        <w:ind w:firstLine="960"/>
        <w:jc w:val="left"/>
      </w:pPr>
      <w:r>
        <w:rPr>
          <w:rFonts w:ascii="仿宋_GB2312" w:hAnsi="仿宋_GB2312" w:cs="仿宋_GB2312" w:eastAsia="仿宋_GB2312"/>
        </w:rPr>
        <w:t>详见附件：产品整体性能评价方案.docx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详见附件：关于符合本国产品标准的声明函.docx</w:t>
      </w:r>
    </w:p>
    <w:p>
      <w:pPr>
        <w:pStyle w:val="null3"/>
        <w:ind w:firstLine="960"/>
        <w:jc w:val="left"/>
      </w:pPr>
      <w:r>
        <w:rPr>
          <w:rFonts w:ascii="仿宋_GB2312" w:hAnsi="仿宋_GB2312" w:cs="仿宋_GB2312" w:eastAsia="仿宋_GB2312"/>
        </w:rPr>
        <w:t>详见附件：本国产品成本比例的声明函.docx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