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版本号：N513211202600010320260417001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四川阿坝经济开发区总体规划编制项目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N5132112026000103</w:t>
      </w:r>
    </w:p>
    <w:p>
      <w:pPr>
        <w:pStyle w:val="null3"/>
        <w:jc w:val="center"/>
        <w:outlineLvl w:val="2"/>
      </w:pPr>
      <w:r>
        <w:rPr>
          <w:rFonts w:ascii="仿宋_GB2312" w:hAnsi="仿宋_GB2312" w:cs="仿宋_GB2312" w:eastAsia="仿宋_GB2312"/>
          <w:sz w:val="28"/>
          <w:b/>
        </w:rPr>
        <w:t>四川阿坝工业园区管理委员会</w:t>
      </w:r>
    </w:p>
    <w:p>
      <w:pPr>
        <w:pStyle w:val="null3"/>
        <w:jc w:val="center"/>
        <w:outlineLvl w:val="2"/>
      </w:pPr>
      <w:r>
        <w:rPr>
          <w:rFonts w:ascii="仿宋_GB2312" w:hAnsi="仿宋_GB2312" w:cs="仿宋_GB2312" w:eastAsia="仿宋_GB2312"/>
          <w:sz w:val="28"/>
          <w:b/>
        </w:rPr>
        <w:t>四川亚新招标代理有限公司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四川亚新招标代理有限公司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四川阿坝工业园区管理委员会</w:t>
      </w:r>
      <w:r>
        <w:rPr>
          <w:rFonts w:ascii="仿宋_GB2312" w:hAnsi="仿宋_GB2312" w:cs="仿宋_GB2312" w:eastAsia="仿宋_GB2312"/>
        </w:rPr>
        <w:t xml:space="preserve"> 委托，拟对 </w:t>
      </w:r>
      <w:r>
        <w:rPr>
          <w:rFonts w:ascii="仿宋_GB2312" w:hAnsi="仿宋_GB2312" w:cs="仿宋_GB2312" w:eastAsia="仿宋_GB2312"/>
        </w:rPr>
        <w:t>四川阿坝经济开发区总体规划编制项目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N5132112026000103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四川阿坝经济开发区总体规划编制项目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主要内容是根据新一轮国家开发区审核公告目录工作要求，四川阿坝工业园区（省发改委统一规范命名为四川阿坝经济开发区）对规划面积进行整合优化，因此需采购园区发展总体规划编制一项，本项目共计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 供应商具有国家行政主管部门颁发的在有效期内的城乡规划编制或城乡规划(国土空间规划)编制乙级及以上资质。（描述： 供应商具提供国家行政主管部门颁发的在有效期内的城乡规划编制或城乡规划(国土空间规划)编制乙级及以上资质扫描件。）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四川阿坝工业园区管理委员会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四川省阿坝州汶川县威州镇东街11号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0837-6256776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四川亚新招标代理有限公司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四川省成都市金牛区北三环路一段221号1栋1单元10层1002号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聂女士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028-60789838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代理服务费收费标准：以预算金额作为计算基数，按差额定率累进法进行计算，并按以下费率标准（服务采购项目）下浮20%收取：金额100万元以下，费率1.5%；</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四川阿坝工业园区管理委员会</w:t>
      </w:r>
      <w:r>
        <w:rPr>
          <w:rFonts w:ascii="仿宋_GB2312" w:hAnsi="仿宋_GB2312" w:cs="仿宋_GB2312" w:eastAsia="仿宋_GB2312"/>
        </w:rPr>
        <w:t xml:space="preserve"> 和 </w:t>
      </w:r>
      <w:r>
        <w:rPr>
          <w:rFonts w:ascii="仿宋_GB2312" w:hAnsi="仿宋_GB2312" w:cs="仿宋_GB2312" w:eastAsia="仿宋_GB2312"/>
        </w:rPr>
        <w:t>四川亚新招标代理有限公司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四川阿坝工业园区管理委员会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四川亚新招标代理有限公司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根据采购文件、响应文件和政府采购合同，对每一项技术要求的履约情况进行验收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根据采购文件、响应文件和政府采购合同，对每一项商务要求的履约情况进行验收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以及《政府采购需求管理办法》（财库〔2021〕22号）的要求，结合采购文件、响应文件、政府采购合同进行验收。成交供应商完成本合同项下服务后，应向采购人提交完整的成果文件，包括但不限于：《四川阿坝经济开发区总体规划》最终文本6份、图件6套、说明书6份、电子光盘3份，以及采购人合理要求的其他阶段性或最终成果文件。成果文件应符合以下验收标准： （1）符合国家、四川省及阿坝州有关城市规划、经济开发区规划的法律法规、技术规范和标准； （2）满足本项目《竞争性磋商文件》及成交供应商《投标（响应）文件》中明确的所有技术要求和功能要求； （3）通过采购人组织的专家评审或论证，并根据评审意见修改完善直至获得采购人书面确认； （4）获得相关政府主管部门的批复（如适用）。 成交供应商应积极配合，并根据验收意见在10日内完成修改。验收合格后，采购人向成交供应商出具书面验收合格证明。</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未尽事宜按照《财政部关于进一步加强政府采购需求和履约验收管理的指导意见》（财库〔2016〕205号）执行。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四川阿坝工业园区管理委员会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四川亚新招标代理有限公司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四川亚新招标代理有限公司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联系人：马老师</w:t>
      </w:r>
    </w:p>
    <w:p>
      <w:pPr>
        <w:pStyle w:val="null3"/>
        <w:jc w:val="left"/>
      </w:pPr>
      <w:r>
        <w:rPr>
          <w:rFonts w:ascii="仿宋_GB2312" w:hAnsi="仿宋_GB2312" w:cs="仿宋_GB2312" w:eastAsia="仿宋_GB2312"/>
        </w:rPr>
        <w:t>联系电话：0837-6256776</w:t>
      </w:r>
    </w:p>
    <w:p>
      <w:pPr>
        <w:pStyle w:val="null3"/>
        <w:jc w:val="left"/>
      </w:pPr>
      <w:r>
        <w:rPr>
          <w:rFonts w:ascii="仿宋_GB2312" w:hAnsi="仿宋_GB2312" w:cs="仿宋_GB2312" w:eastAsia="仿宋_GB2312"/>
        </w:rPr>
        <w:t>地址：四川省阿坝州汶川县威州镇东街11号</w:t>
      </w:r>
    </w:p>
    <w:p>
      <w:pPr>
        <w:pStyle w:val="null3"/>
        <w:jc w:val="left"/>
      </w:pPr>
      <w:r>
        <w:rPr>
          <w:rFonts w:ascii="仿宋_GB2312" w:hAnsi="仿宋_GB2312" w:cs="仿宋_GB2312" w:eastAsia="仿宋_GB2312"/>
        </w:rPr>
        <w:t>邮编：623000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联系人：聂女士</w:t>
      </w:r>
    </w:p>
    <w:p>
      <w:pPr>
        <w:pStyle w:val="null3"/>
        <w:jc w:val="left"/>
      </w:pPr>
      <w:r>
        <w:rPr>
          <w:rFonts w:ascii="仿宋_GB2312" w:hAnsi="仿宋_GB2312" w:cs="仿宋_GB2312" w:eastAsia="仿宋_GB2312"/>
        </w:rPr>
        <w:t>联系电话：028-60789838</w:t>
      </w:r>
    </w:p>
    <w:p>
      <w:pPr>
        <w:pStyle w:val="null3"/>
        <w:jc w:val="left"/>
      </w:pPr>
      <w:r>
        <w:rPr>
          <w:rFonts w:ascii="仿宋_GB2312" w:hAnsi="仿宋_GB2312" w:cs="仿宋_GB2312" w:eastAsia="仿宋_GB2312"/>
        </w:rPr>
        <w:t>地址：成都市金牛区北三环路一段221号华侨城创想中心A座10层1002号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四川阿坝经济开发区总体规划编制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四川阿坝经济开发区总体规划编制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标的名称：四川阿坝经济开发区总体规划编制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560"/>
              <w:jc w:val="left"/>
            </w:pPr>
            <w:r>
              <w:rPr>
                <w:rFonts w:ascii="仿宋_GB2312" w:hAnsi="仿宋_GB2312" w:cs="仿宋_GB2312" w:eastAsia="仿宋_GB2312"/>
                <w:sz w:val="28"/>
                <w:color w:val="000000"/>
              </w:rPr>
              <w:t>1、规划依据</w:t>
            </w:r>
          </w:p>
          <w:p>
            <w:pPr>
              <w:pStyle w:val="null3"/>
              <w:ind w:firstLine="560"/>
              <w:jc w:val="left"/>
            </w:pPr>
            <w:r>
              <w:rPr>
                <w:rFonts w:ascii="仿宋_GB2312" w:hAnsi="仿宋_GB2312" w:cs="仿宋_GB2312" w:eastAsia="仿宋_GB2312"/>
                <w:sz w:val="28"/>
                <w:color w:val="000000"/>
              </w:rPr>
              <w:t>以四川省国土空间总体规划、阿坝州国民经济与社会发展规划、生态环境保护规划为上位依据，落实《四川省省级开发区设立调整管理办法》（川办发〔</w:t>
            </w:r>
            <w:r>
              <w:rPr>
                <w:rFonts w:ascii="仿宋_GB2312" w:hAnsi="仿宋_GB2312" w:cs="仿宋_GB2312" w:eastAsia="仿宋_GB2312"/>
                <w:sz w:val="28"/>
                <w:color w:val="000000"/>
              </w:rPr>
              <w:t>2026〕2号），符合《中国开发区审核公告目录》修订及省发改委、州发改委衔接审查要求，开展《四川阿坝经济开发区总体规划（2026年）》编制工作。</w:t>
            </w:r>
          </w:p>
          <w:p>
            <w:pPr>
              <w:pStyle w:val="null3"/>
              <w:ind w:firstLine="560"/>
              <w:jc w:val="left"/>
            </w:pPr>
            <w:r>
              <w:rPr>
                <w:rFonts w:ascii="仿宋_GB2312" w:hAnsi="仿宋_GB2312" w:cs="仿宋_GB2312" w:eastAsia="仿宋_GB2312"/>
                <w:sz w:val="28"/>
                <w:color w:val="000000"/>
              </w:rPr>
              <w:t>2、规划范围</w:t>
            </w:r>
          </w:p>
          <w:p>
            <w:pPr>
              <w:pStyle w:val="null3"/>
              <w:ind w:firstLine="560"/>
              <w:jc w:val="left"/>
            </w:pPr>
            <w:r>
              <w:rPr>
                <w:rFonts w:ascii="仿宋_GB2312" w:hAnsi="仿宋_GB2312" w:cs="仿宋_GB2312" w:eastAsia="仿宋_GB2312"/>
                <w:sz w:val="28"/>
                <w:color w:val="000000"/>
              </w:rPr>
              <w:t>经自然资源厅审核同意后，四川阿坝经济开发区按照</w:t>
            </w:r>
            <w:r>
              <w:rPr>
                <w:rFonts w:ascii="仿宋_GB2312" w:hAnsi="仿宋_GB2312" w:cs="仿宋_GB2312" w:eastAsia="仿宋_GB2312"/>
                <w:sz w:val="28"/>
                <w:color w:val="000000"/>
              </w:rPr>
              <w:t>“一区五园”布局，目前规划范围涉及</w:t>
            </w:r>
            <w:r>
              <w:rPr>
                <w:rFonts w:ascii="仿宋_GB2312" w:hAnsi="仿宋_GB2312" w:cs="仿宋_GB2312" w:eastAsia="仿宋_GB2312"/>
                <w:sz w:val="28"/>
                <w:color w:val="000000"/>
              </w:rPr>
              <w:t>5县，共计12区块</w:t>
            </w:r>
            <w:r>
              <w:rPr>
                <w:rFonts w:ascii="仿宋_GB2312" w:hAnsi="仿宋_GB2312" w:cs="仿宋_GB2312" w:eastAsia="仿宋_GB2312"/>
                <w:sz w:val="28"/>
                <w:color w:val="000000"/>
              </w:rPr>
              <w:t>，规划面积为</w:t>
            </w:r>
            <w:r>
              <w:rPr>
                <w:rFonts w:ascii="仿宋_GB2312" w:hAnsi="仿宋_GB2312" w:cs="仿宋_GB2312" w:eastAsia="仿宋_GB2312"/>
                <w:sz w:val="28"/>
                <w:color w:val="000000"/>
              </w:rPr>
              <w:t>334.7926公顷。</w:t>
            </w:r>
          </w:p>
          <w:p>
            <w:pPr>
              <w:pStyle w:val="null3"/>
              <w:ind w:firstLine="560"/>
              <w:jc w:val="left"/>
            </w:pPr>
            <w:r>
              <w:rPr>
                <w:rFonts w:ascii="仿宋_GB2312" w:hAnsi="仿宋_GB2312" w:cs="仿宋_GB2312" w:eastAsia="仿宋_GB2312"/>
                <w:sz w:val="28"/>
                <w:color w:val="000000"/>
              </w:rPr>
              <w:t>3、规划定位与目标</w:t>
            </w:r>
          </w:p>
          <w:p>
            <w:pPr>
              <w:pStyle w:val="null3"/>
              <w:ind w:firstLine="560"/>
              <w:jc w:val="left"/>
            </w:pPr>
            <w:r>
              <w:rPr>
                <w:rFonts w:ascii="仿宋_GB2312" w:hAnsi="仿宋_GB2312" w:cs="仿宋_GB2312" w:eastAsia="仿宋_GB2312"/>
                <w:sz w:val="28"/>
                <w:color w:val="000000"/>
              </w:rPr>
              <w:t>立足阿坝州资源禀赋与区域战略，明确开发区功能定位、发展规模、</w:t>
            </w:r>
            <w:r>
              <w:rPr>
                <w:rFonts w:ascii="仿宋_GB2312" w:hAnsi="仿宋_GB2312" w:cs="仿宋_GB2312" w:eastAsia="仿宋_GB2312"/>
                <w:sz w:val="28"/>
                <w:color w:val="000000"/>
              </w:rPr>
              <w:t>期限</w:t>
            </w:r>
            <w:r>
              <w:rPr>
                <w:rFonts w:ascii="仿宋_GB2312" w:hAnsi="仿宋_GB2312" w:cs="仿宋_GB2312" w:eastAsia="仿宋_GB2312"/>
                <w:sz w:val="28"/>
                <w:color w:val="000000"/>
              </w:rPr>
              <w:t>，量化经济、产业、用地、生态等核心指标；聚焦主导产业建圈强链，主导产业按国民经济行业大类不超过</w:t>
            </w:r>
            <w:r>
              <w:rPr>
                <w:rFonts w:ascii="仿宋_GB2312" w:hAnsi="仿宋_GB2312" w:cs="仿宋_GB2312" w:eastAsia="仿宋_GB2312"/>
                <w:sz w:val="28"/>
                <w:color w:val="000000"/>
              </w:rPr>
              <w:t>3个，占比原则不低于30%。</w:t>
            </w:r>
          </w:p>
          <w:p>
            <w:pPr>
              <w:pStyle w:val="null3"/>
              <w:ind w:firstLine="560"/>
              <w:jc w:val="left"/>
            </w:pPr>
            <w:r>
              <w:rPr>
                <w:rFonts w:ascii="仿宋_GB2312" w:hAnsi="仿宋_GB2312" w:cs="仿宋_GB2312" w:eastAsia="仿宋_GB2312"/>
                <w:sz w:val="28"/>
                <w:color w:val="000000"/>
              </w:rPr>
              <w:t>4、空间格局</w:t>
            </w:r>
          </w:p>
          <w:p>
            <w:pPr>
              <w:pStyle w:val="null3"/>
              <w:ind w:firstLine="560"/>
              <w:jc w:val="left"/>
            </w:pPr>
            <w:r>
              <w:rPr>
                <w:rFonts w:ascii="仿宋_GB2312" w:hAnsi="仿宋_GB2312" w:cs="仿宋_GB2312" w:eastAsia="仿宋_GB2312"/>
                <w:sz w:val="28"/>
                <w:color w:val="000000"/>
              </w:rPr>
              <w:t>严格落实城镇开发边界内布局，不涉及永久基本农田、生态保护红线；明确四至边界、界址点坐标与矢量数据，编制详细规划并实现全覆盖，未覆盖区域不得供地；强化土地节约集约利用，现状与规划工业用地率不低于</w:t>
            </w:r>
            <w:r>
              <w:rPr>
                <w:rFonts w:ascii="仿宋_GB2312" w:hAnsi="仿宋_GB2312" w:cs="仿宋_GB2312" w:eastAsia="仿宋_GB2312"/>
                <w:sz w:val="28"/>
                <w:color w:val="000000"/>
              </w:rPr>
              <w:t>30%，严控批而未供、闲置用地。</w:t>
            </w:r>
          </w:p>
          <w:p>
            <w:pPr>
              <w:pStyle w:val="null3"/>
              <w:ind w:firstLine="560"/>
              <w:jc w:val="left"/>
            </w:pPr>
            <w:r>
              <w:rPr>
                <w:rFonts w:ascii="仿宋_GB2312" w:hAnsi="仿宋_GB2312" w:cs="仿宋_GB2312" w:eastAsia="仿宋_GB2312"/>
                <w:sz w:val="28"/>
                <w:color w:val="000000"/>
              </w:rPr>
              <w:t>5、产业与绿色发展</w:t>
            </w:r>
          </w:p>
          <w:p>
            <w:pPr>
              <w:pStyle w:val="null3"/>
              <w:ind w:firstLine="560"/>
              <w:jc w:val="left"/>
            </w:pPr>
            <w:r>
              <w:rPr>
                <w:rFonts w:ascii="仿宋_GB2312" w:hAnsi="仿宋_GB2312" w:cs="仿宋_GB2312" w:eastAsia="仿宋_GB2312"/>
                <w:sz w:val="28"/>
                <w:color w:val="000000"/>
              </w:rPr>
              <w:t>因地制宜发展新质生产力，推进绿色低碳循环、循环化改造与清洁生产，坚决遏制</w:t>
            </w:r>
            <w:r>
              <w:rPr>
                <w:rFonts w:ascii="仿宋_GB2312" w:hAnsi="仿宋_GB2312" w:cs="仿宋_GB2312" w:eastAsia="仿宋_GB2312"/>
                <w:sz w:val="28"/>
                <w:color w:val="000000"/>
              </w:rPr>
              <w:t>“两高一低”项目；统筹产业集聚、产城融合与生态隔离，合理布局基础设施与公共服务配套。</w:t>
            </w:r>
          </w:p>
          <w:p>
            <w:pPr>
              <w:pStyle w:val="null3"/>
              <w:ind w:firstLine="560"/>
              <w:jc w:val="left"/>
            </w:pPr>
            <w:r>
              <w:rPr>
                <w:rFonts w:ascii="仿宋_GB2312" w:hAnsi="仿宋_GB2312" w:cs="仿宋_GB2312" w:eastAsia="仿宋_GB2312"/>
                <w:sz w:val="28"/>
                <w:color w:val="000000"/>
              </w:rPr>
              <w:t>6、安全与生态保护</w:t>
            </w:r>
          </w:p>
          <w:p>
            <w:pPr>
              <w:pStyle w:val="null3"/>
              <w:ind w:firstLine="560"/>
              <w:jc w:val="left"/>
            </w:pPr>
            <w:r>
              <w:rPr>
                <w:rFonts w:ascii="仿宋_GB2312" w:hAnsi="仿宋_GB2312" w:cs="仿宋_GB2312" w:eastAsia="仿宋_GB2312"/>
                <w:sz w:val="28"/>
                <w:color w:val="000000"/>
              </w:rPr>
              <w:t>落实生态环境分区管控，协同降碳、减污、扩绿、增长；强化安全生产布局，明确风险防控与应急设施，契合阿坝州生态安全屏障建设要求。</w:t>
            </w:r>
          </w:p>
          <w:p>
            <w:pPr>
              <w:pStyle w:val="null3"/>
              <w:ind w:firstLine="560"/>
              <w:jc w:val="left"/>
            </w:pPr>
            <w:r>
              <w:rPr>
                <w:rFonts w:ascii="仿宋_GB2312" w:hAnsi="仿宋_GB2312" w:cs="仿宋_GB2312" w:eastAsia="仿宋_GB2312"/>
                <w:sz w:val="28"/>
                <w:color w:val="000000"/>
              </w:rPr>
              <w:t>7、成果要求</w:t>
            </w:r>
          </w:p>
          <w:p>
            <w:pPr>
              <w:pStyle w:val="null3"/>
              <w:ind w:firstLine="560"/>
              <w:jc w:val="left"/>
            </w:pPr>
            <w:r>
              <w:rPr>
                <w:rFonts w:ascii="仿宋_GB2312" w:hAnsi="仿宋_GB2312" w:cs="仿宋_GB2312" w:eastAsia="仿宋_GB2312"/>
                <w:sz w:val="28"/>
                <w:color w:val="000000"/>
              </w:rPr>
              <w:t>7.1.成果深度</w:t>
            </w:r>
          </w:p>
          <w:p>
            <w:pPr>
              <w:pStyle w:val="null3"/>
              <w:ind w:firstLine="560"/>
              <w:jc w:val="left"/>
            </w:pPr>
            <w:r>
              <w:rPr>
                <w:rFonts w:ascii="仿宋_GB2312" w:hAnsi="仿宋_GB2312" w:cs="仿宋_GB2312" w:eastAsia="仿宋_GB2312"/>
                <w:sz w:val="28"/>
                <w:color w:val="000000"/>
              </w:rPr>
              <w:t>成果需要通过行业主管部门组织的专家论证，须符合《中华人民共和国城乡规划法》、《中华人民共和国土地管理法》、《中华人民共和国环境保护法》、《中华人民共和国安全生产法》、《中华人民共和国消防法》、《四川省化工园区建设标准和认定管理办法》等国家及地方有关法律、法规的具体要求；</w:t>
            </w:r>
          </w:p>
          <w:p>
            <w:pPr>
              <w:pStyle w:val="null3"/>
              <w:ind w:firstLine="560"/>
              <w:jc w:val="left"/>
            </w:pPr>
            <w:r>
              <w:rPr>
                <w:rFonts w:ascii="仿宋_GB2312" w:hAnsi="仿宋_GB2312" w:cs="仿宋_GB2312" w:eastAsia="仿宋_GB2312"/>
                <w:sz w:val="28"/>
                <w:color w:val="000000"/>
              </w:rPr>
              <w:t>7.2.成果形式</w:t>
            </w:r>
          </w:p>
          <w:p>
            <w:pPr>
              <w:pStyle w:val="null3"/>
              <w:ind w:firstLine="560"/>
              <w:jc w:val="left"/>
            </w:pPr>
            <w:r>
              <w:rPr>
                <w:rFonts w:ascii="仿宋_GB2312" w:hAnsi="仿宋_GB2312" w:cs="仿宋_GB2312" w:eastAsia="仿宋_GB2312"/>
                <w:sz w:val="28"/>
                <w:color w:val="000000"/>
              </w:rPr>
              <w:t>规划设计成果包括文本成果和图件成果及其相应电子文件，</w:t>
            </w:r>
            <w:r>
              <w:rPr>
                <w:rFonts w:ascii="仿宋_GB2312" w:hAnsi="仿宋_GB2312" w:cs="仿宋_GB2312" w:eastAsia="仿宋_GB2312"/>
                <w:sz w:val="28"/>
                <w:color w:val="000000"/>
              </w:rPr>
              <w:t>最终文本</w:t>
            </w:r>
            <w:r>
              <w:rPr>
                <w:rFonts w:ascii="仿宋_GB2312" w:hAnsi="仿宋_GB2312" w:cs="仿宋_GB2312" w:eastAsia="仿宋_GB2312"/>
                <w:sz w:val="28"/>
                <w:color w:val="000000"/>
              </w:rPr>
              <w:t>6份、图件6套、说明书6份、电子光盘3份。</w:t>
            </w:r>
            <w:r>
              <w:rPr>
                <w:rFonts w:ascii="仿宋_GB2312" w:hAnsi="仿宋_GB2312" w:cs="仿宋_GB2312" w:eastAsia="仿宋_GB2312"/>
                <w:sz w:val="28"/>
                <w:color w:val="000000"/>
              </w:rPr>
              <w:t>其中，文本成果至少包括规划总则、现状分析、总体布局规划、综合交通规划公用设施规划、环境保护规划、安全生产规划、应急救援规划、消防规划、综合防灾规划等主要内容。</w:t>
            </w:r>
          </w:p>
          <w:p>
            <w:pPr>
              <w:pStyle w:val="null3"/>
              <w:ind w:firstLine="560"/>
              <w:jc w:val="left"/>
            </w:pPr>
            <w:r>
              <w:rPr>
                <w:rFonts w:ascii="仿宋_GB2312" w:hAnsi="仿宋_GB2312" w:cs="仿宋_GB2312" w:eastAsia="仿宋_GB2312"/>
                <w:sz w:val="28"/>
                <w:color w:val="000000"/>
              </w:rPr>
              <w:t>图件成果至少包括区位图、土地利用现状图、总体布局规划图、土地利用规划图、综合交通规划图、公用设施规划图。</w:t>
            </w:r>
          </w:p>
          <w:p>
            <w:pPr>
              <w:pStyle w:val="null3"/>
              <w:ind w:firstLine="560"/>
              <w:jc w:val="left"/>
            </w:pPr>
            <w:r>
              <w:rPr>
                <w:rFonts w:ascii="仿宋_GB2312" w:hAnsi="仿宋_GB2312" w:cs="仿宋_GB2312" w:eastAsia="仿宋_GB2312"/>
                <w:sz w:val="28"/>
                <w:color w:val="000000"/>
              </w:rPr>
              <w:t>8、其他要求</w:t>
            </w:r>
          </w:p>
          <w:p>
            <w:pPr>
              <w:pStyle w:val="null3"/>
              <w:ind w:firstLine="560"/>
              <w:jc w:val="left"/>
            </w:pPr>
            <w:r>
              <w:rPr>
                <w:rFonts w:ascii="仿宋_GB2312" w:hAnsi="仿宋_GB2312" w:cs="仿宋_GB2312" w:eastAsia="仿宋_GB2312"/>
                <w:sz w:val="28"/>
                <w:color w:val="000000"/>
              </w:rPr>
              <w:t>8.1.供应商应配置具有能够完成本项目的服务人员。</w:t>
            </w:r>
          </w:p>
          <w:p>
            <w:pPr>
              <w:pStyle w:val="null3"/>
              <w:ind w:firstLine="560"/>
              <w:jc w:val="left"/>
            </w:pPr>
            <w:r>
              <w:rPr>
                <w:rFonts w:ascii="仿宋_GB2312" w:hAnsi="仿宋_GB2312" w:cs="仿宋_GB2312" w:eastAsia="仿宋_GB2312"/>
                <w:sz w:val="28"/>
                <w:color w:val="000000"/>
              </w:rPr>
              <w:t>8.2.供应商拟投入本项目的服务人员在服务期间发生伤亡事故，或在服务过程中造成第三人伤亡的，责任由供应商依法承担。</w:t>
            </w:r>
          </w:p>
          <w:p>
            <w:pPr>
              <w:pStyle w:val="null3"/>
              <w:ind w:firstLine="560"/>
              <w:jc w:val="left"/>
            </w:pPr>
            <w:r>
              <w:rPr>
                <w:rFonts w:ascii="仿宋_GB2312" w:hAnsi="仿宋_GB2312" w:cs="仿宋_GB2312" w:eastAsia="仿宋_GB2312"/>
                <w:sz w:val="28"/>
                <w:color w:val="000000"/>
              </w:rPr>
              <w:t>8.3.供应商报价应包含完成本项目的所有费用，包括但不限于：人员工资、差旅交通费、食宿、成果专家论证费、代理服务费以及完成本项目所需的一切费用，采购人不再支付成交金额以外的任何费用。</w:t>
            </w:r>
          </w:p>
          <w:p>
            <w:pPr>
              <w:pStyle w:val="null3"/>
              <w:ind w:firstLine="562"/>
              <w:jc w:val="left"/>
            </w:pPr>
            <w:r>
              <w:rPr>
                <w:rFonts w:ascii="仿宋_GB2312" w:hAnsi="仿宋_GB2312" w:cs="仿宋_GB2312" w:eastAsia="仿宋_GB2312"/>
                <w:sz w:val="28"/>
                <w:b/>
                <w:color w:val="000000"/>
              </w:rPr>
              <w:t>注：以上所列文件或标准如有更新按照更新后的执行。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自合同签订生效之日起90日内完成初稿，180日内完成全部工作内容。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阿坝藏族羌族自治州，具体以采购人指定地点为准。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以及《政府采购需求管理办法》（财库〔2021〕22号）的要求，结合采购文件、响应文件、政府采购合同进行验收。成交供应商完成本合同项下服务后，应向采购人提交完整的成果文件，包括但不限于：《四川阿坝经济开发区总体规划》最终文本6份、图件6套、说明书6份、电子光盘3份，以及采购人合理要求的其他阶段性或最终成果文件。成果文件应符合以下验收标准： （1）符合国家、四川省及阿坝州有关城市规划、经济开发区规划的法律法规、技术规范和标准； （2）满足本项目《竞争性磋商文件》及成交供应商《投标（响应）文件》中明确的所有技术要求和功能要求； （3）通过采购人组织的专家评审或论证，并根据评审意见修改完善直至获得采购人书面确认； （4）获得相关政府主管部门的批复（如适用）。 成交供应商应积极配合，并根据验收意见在10日内完成修改。验收合格后，采购人向成交供应商出具书面验收合格证明。</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1、预付款，政府采购合同签订后且收到供应商开具的等额有效发票，达到付款条件起10日内，支付合同总金额的40.00%</w:t>
            </w:r>
          </w:p>
          <w:p>
            <w:pPr>
              <w:pStyle w:val="null3"/>
              <w:jc w:val="left"/>
            </w:pPr>
            <w:r>
              <w:rPr>
                <w:rFonts w:ascii="仿宋_GB2312" w:hAnsi="仿宋_GB2312" w:cs="仿宋_GB2312" w:eastAsia="仿宋_GB2312"/>
              </w:rPr>
              <w:t>2、进度款，总体规划编制方案通过相关部门审查且收到供应商开具的等额有效发票后，达到付款条件起10日内，支付合同总金额的30.00%</w:t>
            </w:r>
          </w:p>
          <w:p>
            <w:pPr>
              <w:pStyle w:val="null3"/>
              <w:jc w:val="left"/>
            </w:pPr>
            <w:r>
              <w:rPr>
                <w:rFonts w:ascii="仿宋_GB2312" w:hAnsi="仿宋_GB2312" w:cs="仿宋_GB2312" w:eastAsia="仿宋_GB2312"/>
              </w:rPr>
              <w:t>3、尾款，正式成果报告经过主管部门审查且经采购人验收合格后，并收到供应商开具的等额有效发票，达到付款条件起10日内，支付合同总金额的30.00%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1、质量瑕疵的违约责任 成交供应商提供的服务不符合本合同约定的，采购人有权要求成交供应商承担修理、重作、更换、退货、减少价款或者报酬等违约责任，并承担由此给采购人造成的损失，具体要求为：成交供应商应在采购人发出质量整改通知后 7 个工作日内，提交书面整改方案，明确整改内容、整改期限及责任人。若成交供应商拒绝整改， 或整改后仍不符合合同约定，或累计出现两次以上（含两次）质量瑕疵的，采购人有权选择以下一种或多种方式追究成交供应商责任： （1）要求成交供应商退还已支付的相关款项； （2）要求成交供应商按照合同总金额的【10%】支付违约金； （3）选择解除本合同全部或部分，并要求成交供应商赔偿因此给采购人造成的全部损失（包括但不限于为纠正错误而发生的费用、重新委托的费用等）。 2.迟延履行的违约责任 2.1.成交供应商应按照本合同规定的时间、地点提供相关服务。在履行合同过程中，如果成交供应商遇到可能影响按时提供服务的情形时，应及时以书面形式将迟延的事实、可能迟延的期限和理由通知采购人。采购人在收到成交供应商通知后，应尽快对情况进行评价，并确定是否同意延期提供服务。 2.2.如果成交供应商没有按照合同规定的时间提供相关服务，采购人有权从服务款中扣除误期赔偿费，并要求成交供应商向采购人支付本合同总价款的 30%作为违约金，如违约金不足以补偿采购人损失的，采购人有权追偿。采购人上述损失包括但不限于采购人因此而支出的律师费、诉讼（仲裁）费、公告费、保全费、保单保函费、鉴定费、公证费、差旅费、执行费等。如果涉及公共利益，且赔偿金额无法弥补公共利益损失，采购人可要求继续履行或者采取其他补救措施。 2.3.迟延支付的违约责任 达到付款条件后，采购人逾期支付服务费，且经成交供应商书面催促后 10天还未支付的，采购人除应及时付足服务费外，还应向成交供应商偿付欠款总额万分之五/天的违约金，本项下的违约金总额不超过合同总金额的【10%】。 3.违法分包、转包的违约责任 成交供应商将项目转包、违法分包的，采购人可以解除合同，并要求成交供应商承担如下违约责任：成交供应商应向采购人支付合同总金额【20%】的违约金，并赔偿因此给采购人造成的全部损失（包括但不限于工期延误损失、返工费用、重新招标费用等）。 4.合同终止/解除后，成交供应商需在【7】日内移交全部资料，保密义务持续有效。 5.本条款未约定的违约情形，按《民法典》合同编及相关司法解释执行，违约方给守约方造成损失的，应赔偿守约方全部损失（包括但不限于对第三方赔偿费用、人工费、差旅费、诉讼费、律师费等。 争议解决方法 6.因本合同及合同有关事项发生的争议，由甲乙双方友好协商解决。协商不成时，可以向有关组织申请调解。合同一方或双方不愿调解或调解不成的，可以通过诉讼的方式解决争议。 7.因本合同及合同有关事项发生的争议，向采购人所在地人民法院起诉。 8.如甲乙双方有争议的事项不影响合同其他部分的履行，在争议解决期间，合同其他部分应当继续履行。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1、供应商根据本项目内容提供项目实施方案，内容包括：①综合现状分析思路；②产业及空间规划思路；③交通组织规划思路；④用地规划思路；⑤安全规划思路；⑥生态环境规划思路。 2、供应商根据本项目内容提供项目保障方案，内容包括：①工作计划节点及安排；②工作进度保障措施；③质量控制保障措施。 3、供应商根据本项目内容提供类似项目业绩（具体内容按照评分明细表提供）。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磋商小组可以根据磋商文件和磋商情况实质性变动第三章“技术、服务及其他要求”中“3.2.技术要求”，“3.3.服务要求”内容，实质性变动的内容，须经采购人代表确认。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磋商小组可以根据磋商文件和磋商情况实质性变动第七章“拟签订采购合同文本” 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若为企业法人：提供“统一社会信用代码营业执照”扫描件并进行电子签章；若为其他组织：提供对应主管部门颁发的准许执业证明文件或营业执照扫描件并进行电子签章；若为自然人：提供有效的自然人身份证明扫描件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 xml:space="preserve"> 供应商具有国家行政主管部门颁发的在有效期内的城乡规划编制或城乡规划(国土空间规划)编制乙级及以上资质。</w:t>
            </w:r>
          </w:p>
        </w:tc>
        <w:tc>
          <w:tcPr>
            <w:tcW w:type="dxa" w:w="3322"/>
          </w:tcPr>
          <w:p>
            <w:pPr>
              <w:pStyle w:val="null3"/>
              <w:jc w:val="left"/>
            </w:pPr>
            <w:r>
              <w:rPr>
                <w:rFonts w:ascii="仿宋_GB2312" w:hAnsi="仿宋_GB2312" w:cs="仿宋_GB2312" w:eastAsia="仿宋_GB2312"/>
              </w:rPr>
              <w:t xml:space="preserve"> 供应商具提供国家行政主管部门颁发的在有效期内的城乡规划编制或城乡规划(国土空间规划)编制乙级及以上资质扫描件。</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由于系统固化原因，第一条的审查要求不适用，审查内容、具体标准和要求以此为准：采购文件第3章以外需要供应商进行承诺的实质性要求，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根据磋商文件“3.2技术要求”、“3.3.2商务要求”作出的实质性响应情况。</w:t>
            </w:r>
          </w:p>
        </w:tc>
        <w:tc>
          <w:tcPr>
            <w:tcW w:type="dxa" w:w="3322"/>
          </w:tcPr>
          <w:p>
            <w:pPr>
              <w:pStyle w:val="null3"/>
              <w:jc w:val="left"/>
            </w:pPr>
            <w:r>
              <w:rPr>
                <w:rFonts w:ascii="仿宋_GB2312" w:hAnsi="仿宋_GB2312" w:cs="仿宋_GB2312" w:eastAsia="仿宋_GB2312"/>
              </w:rPr>
              <w:t>按要求填写《技术应答表》《商务应答表》《供应商需提供的其他相关资料》并进行电子签章。</w:t>
            </w:r>
          </w:p>
        </w:tc>
        <w:tc>
          <w:tcPr>
            <w:tcW w:type="dxa" w:w="1661"/>
          </w:tcPr>
          <w:p>
            <w:pPr>
              <w:pStyle w:val="null3"/>
              <w:jc w:val="left"/>
            </w:pPr>
            <w:r>
              <w:rPr>
                <w:rFonts w:ascii="仿宋_GB2312" w:hAnsi="仿宋_GB2312" w:cs="仿宋_GB2312" w:eastAsia="仿宋_GB2312"/>
              </w:rPr>
              <w:t>供应商需提供的其他相关材料.docx,技术应答表.docx,商务应答表.docx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进行综合评审，方案包含：①综合现状分析思路；②产业及空间规划思路；③交通组织规划思路；④用地规划思路；⑤安全规划思路；⑥生态环境规划思路；以上内容完整且无缺陷的得48分，每有一项缺少或未提供的扣8分，每项具有一处缺陷的扣4分，单项最多扣8分，不提供不得分。 （缺陷是指存在项目名称错误、地点区域错误、内容与本项目需求无关、仅有框架或标题、适用的标准（方法）错误、明显复制其他项目内容等任意一种情形）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供应商针对本项目提供的保障方案进行综合评审，方案包含：①工作计划节点及安排；②工作进度保障措施；③质量控制保障措施。以上内容完整且无缺陷的得24分，每有一项缺少或未提供的扣8分，每项具有一处缺陷的扣4分，单项最多扣8分，不提供不得分。 （缺陷是指存在项目名称错误、地点区域错误、内容与本项目需求无关、仅有框架或标题、适用的标准（方法）错误、明显复制其他项目内容等任意一种情形）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保障方案.docx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供应商2022年1月1日（含1日）至响应文件递交截止时间具有规划类项目履约经验的，每提供一个得2.5分，最多得5分。 注：须提供合同扫描件或中标（成交）通知书（时间以证明材料落款时间为准），不提供不得分。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根据供应商为本项目配置的服务人员进行评审： 1.服务人员中具备规划类相关专业高级及以上职称证书的，每有一个得3分；具备规划类相关中级职称证书的，每有一个得1分，本项最多得9分。 2.服务人员中具备注册城乡（城市）规划师证书的得4分，本项最多得4分。 注：以上人员不得重复得分，需提供在相关证书扫描件。</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经评标委员会评审，通过资格和符合性审查，且最后报价最低的投标人的投标报价作为评标基准价。2.投标报价得分=(评标基准价／投标报价)×分值。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详见附件：保障方案.docx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详见附件：供应商需提供的其他相关材料.docx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