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0B784C">
      <w:pPr>
        <w:pStyle w:val="2"/>
        <w:keepNext w:val="0"/>
        <w:keepLines w:val="0"/>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仿宋" w:hAnsi="仿宋" w:eastAsia="仿宋" w:cs="仿宋"/>
          <w:b/>
          <w:bCs/>
          <w:color w:val="auto"/>
          <w:spacing w:val="-26"/>
          <w:sz w:val="47"/>
          <w:szCs w:val="47"/>
          <w:highlight w:val="none"/>
        </w:rPr>
      </w:pPr>
      <w:r>
        <w:rPr>
          <w:rFonts w:hint="eastAsia" w:ascii="仿宋" w:hAnsi="仿宋" w:eastAsia="仿宋" w:cs="仿宋"/>
          <w:b/>
          <w:bCs/>
          <w:color w:val="auto"/>
          <w:spacing w:val="-26"/>
          <w:sz w:val="47"/>
          <w:szCs w:val="47"/>
          <w:highlight w:val="none"/>
        </w:rPr>
        <w:tab/>
      </w:r>
      <w:r>
        <w:rPr>
          <w:rFonts w:hint="eastAsia" w:ascii="仿宋" w:hAnsi="仿宋" w:eastAsia="仿宋" w:cs="仿宋"/>
          <w:b/>
          <w:bCs/>
          <w:color w:val="auto"/>
          <w:spacing w:val="-26"/>
          <w:sz w:val="47"/>
          <w:szCs w:val="47"/>
          <w:highlight w:val="none"/>
        </w:rPr>
        <w:t>｛</w:t>
      </w:r>
      <w:r>
        <w:rPr>
          <w:rFonts w:hint="eastAsia" w:ascii="仿宋" w:hAnsi="仿宋" w:eastAsia="仿宋" w:cs="仿宋"/>
          <w:b/>
          <w:bCs/>
          <w:color w:val="auto"/>
          <w:spacing w:val="-26"/>
          <w:sz w:val="47"/>
          <w:szCs w:val="47"/>
          <w:highlight w:val="none"/>
          <w:lang w:eastAsia="zh-CN"/>
        </w:rPr>
        <w:t>2026年数据及网络安全运维服务</w:t>
      </w:r>
      <w:r>
        <w:rPr>
          <w:rFonts w:hint="eastAsia" w:ascii="仿宋" w:hAnsi="仿宋" w:eastAsia="仿宋" w:cs="仿宋"/>
          <w:b/>
          <w:bCs/>
          <w:color w:val="auto"/>
          <w:spacing w:val="-26"/>
          <w:sz w:val="47"/>
          <w:szCs w:val="47"/>
          <w:highlight w:val="none"/>
        </w:rPr>
        <w:t>｝-｛</w:t>
      </w:r>
      <w:r>
        <w:rPr>
          <w:rFonts w:hint="eastAsia" w:ascii="仿宋" w:hAnsi="仿宋" w:eastAsia="仿宋" w:cs="仿宋"/>
          <w:b/>
          <w:bCs/>
          <w:color w:val="auto"/>
          <w:spacing w:val="-26"/>
          <w:sz w:val="47"/>
          <w:szCs w:val="47"/>
          <w:highlight w:val="none"/>
          <w:lang w:val="en-US" w:eastAsia="zh-CN"/>
        </w:rPr>
        <w:t>XX</w:t>
      </w:r>
      <w:r>
        <w:rPr>
          <w:rFonts w:hint="eastAsia" w:ascii="仿宋" w:hAnsi="仿宋" w:eastAsia="仿宋" w:cs="仿宋"/>
          <w:b/>
          <w:bCs/>
          <w:color w:val="auto"/>
          <w:spacing w:val="-26"/>
          <w:sz w:val="47"/>
          <w:szCs w:val="47"/>
          <w:highlight w:val="none"/>
        </w:rPr>
        <w:t>｝（第</w:t>
      </w:r>
      <w:r>
        <w:rPr>
          <w:rFonts w:hint="eastAsia" w:ascii="仿宋" w:hAnsi="仿宋" w:eastAsia="仿宋" w:cs="仿宋"/>
          <w:b/>
          <w:bCs/>
          <w:color w:val="auto"/>
          <w:spacing w:val="-26"/>
          <w:sz w:val="47"/>
          <w:szCs w:val="47"/>
          <w:highlight w:val="none"/>
          <w:lang w:val="en-US" w:eastAsia="zh-CN"/>
        </w:rPr>
        <w:t>1</w:t>
      </w:r>
      <w:r>
        <w:rPr>
          <w:rFonts w:hint="eastAsia" w:ascii="仿宋" w:hAnsi="仿宋" w:eastAsia="仿宋" w:cs="仿宋"/>
          <w:b/>
          <w:bCs/>
          <w:color w:val="auto"/>
          <w:spacing w:val="-26"/>
          <w:sz w:val="47"/>
          <w:szCs w:val="47"/>
          <w:highlight w:val="none"/>
        </w:rPr>
        <w:t>包）</w:t>
      </w:r>
    </w:p>
    <w:p w14:paraId="72D2EFB5">
      <w:pPr>
        <w:pStyle w:val="2"/>
        <w:shd w:val="clear"/>
        <w:spacing w:before="83" w:line="223" w:lineRule="auto"/>
        <w:ind w:left="3380"/>
        <w:rPr>
          <w:rFonts w:hint="eastAsia" w:ascii="仿宋" w:hAnsi="仿宋" w:eastAsia="仿宋" w:cs="仿宋"/>
          <w:color w:val="auto"/>
          <w:sz w:val="47"/>
          <w:szCs w:val="47"/>
          <w:highlight w:val="none"/>
        </w:rPr>
      </w:pPr>
      <w:r>
        <w:rPr>
          <w:rFonts w:hint="eastAsia" w:ascii="仿宋" w:hAnsi="仿宋" w:eastAsia="仿宋" w:cs="仿宋"/>
          <w:b/>
          <w:bCs/>
          <w:color w:val="auto"/>
          <w:spacing w:val="-26"/>
          <w:sz w:val="47"/>
          <w:szCs w:val="47"/>
          <w:highlight w:val="none"/>
        </w:rPr>
        <w:t>政府采购合同</w:t>
      </w:r>
    </w:p>
    <w:p w14:paraId="4FFC5DE3">
      <w:pPr>
        <w:shd w:val="clear"/>
        <w:spacing w:line="259" w:lineRule="auto"/>
        <w:rPr>
          <w:rFonts w:ascii="Arial"/>
          <w:color w:val="auto"/>
          <w:sz w:val="21"/>
          <w:highlight w:val="none"/>
        </w:rPr>
      </w:pPr>
    </w:p>
    <w:p w14:paraId="64108582">
      <w:pPr>
        <w:shd w:val="clear"/>
        <w:spacing w:line="259" w:lineRule="auto"/>
        <w:rPr>
          <w:rFonts w:ascii="Arial"/>
          <w:color w:val="auto"/>
          <w:sz w:val="21"/>
          <w:highlight w:val="none"/>
        </w:rPr>
      </w:pPr>
    </w:p>
    <w:p w14:paraId="28A4E92C">
      <w:pPr>
        <w:shd w:val="clear"/>
        <w:spacing w:line="260" w:lineRule="auto"/>
        <w:rPr>
          <w:rFonts w:ascii="Arial"/>
          <w:color w:val="auto"/>
          <w:sz w:val="21"/>
          <w:highlight w:val="none"/>
        </w:rPr>
      </w:pPr>
    </w:p>
    <w:p w14:paraId="10BE05F8">
      <w:pPr>
        <w:shd w:val="clear"/>
        <w:spacing w:line="260" w:lineRule="auto"/>
        <w:rPr>
          <w:rFonts w:ascii="Arial"/>
          <w:color w:val="auto"/>
          <w:sz w:val="21"/>
          <w:highlight w:val="none"/>
        </w:rPr>
      </w:pPr>
    </w:p>
    <w:p w14:paraId="51D85C3B">
      <w:pPr>
        <w:shd w:val="clear"/>
        <w:spacing w:line="260" w:lineRule="auto"/>
        <w:rPr>
          <w:rFonts w:ascii="Arial"/>
          <w:color w:val="auto"/>
          <w:sz w:val="21"/>
          <w:highlight w:val="none"/>
        </w:rPr>
      </w:pPr>
    </w:p>
    <w:p w14:paraId="3862AF10">
      <w:pPr>
        <w:shd w:val="clear"/>
        <w:spacing w:line="260" w:lineRule="auto"/>
        <w:rPr>
          <w:rFonts w:ascii="Arial"/>
          <w:color w:val="auto"/>
          <w:sz w:val="21"/>
          <w:highlight w:val="none"/>
        </w:rPr>
      </w:pPr>
    </w:p>
    <w:p w14:paraId="739B1BD5">
      <w:pPr>
        <w:shd w:val="clear"/>
        <w:spacing w:line="260" w:lineRule="auto"/>
        <w:rPr>
          <w:rFonts w:ascii="Arial"/>
          <w:color w:val="auto"/>
          <w:sz w:val="21"/>
          <w:highlight w:val="none"/>
        </w:rPr>
      </w:pPr>
    </w:p>
    <w:p w14:paraId="5FC5A51B">
      <w:pPr>
        <w:shd w:val="clear"/>
        <w:spacing w:line="260" w:lineRule="auto"/>
        <w:rPr>
          <w:rFonts w:ascii="Arial"/>
          <w:color w:val="auto"/>
          <w:sz w:val="21"/>
          <w:highlight w:val="none"/>
        </w:rPr>
      </w:pPr>
    </w:p>
    <w:p w14:paraId="578FF8AC">
      <w:pPr>
        <w:shd w:val="clear"/>
        <w:spacing w:line="260" w:lineRule="auto"/>
        <w:rPr>
          <w:rFonts w:ascii="Arial"/>
          <w:color w:val="auto"/>
          <w:sz w:val="21"/>
          <w:highlight w:val="none"/>
        </w:rPr>
      </w:pPr>
    </w:p>
    <w:p w14:paraId="58A1035D">
      <w:pPr>
        <w:shd w:val="clear"/>
        <w:spacing w:line="260" w:lineRule="auto"/>
        <w:rPr>
          <w:rFonts w:ascii="Arial"/>
          <w:color w:val="auto"/>
          <w:sz w:val="21"/>
          <w:highlight w:val="none"/>
        </w:rPr>
      </w:pPr>
    </w:p>
    <w:p w14:paraId="3DD28F8C">
      <w:pPr>
        <w:shd w:val="clear"/>
        <w:spacing w:line="260" w:lineRule="auto"/>
        <w:rPr>
          <w:rFonts w:ascii="Arial"/>
          <w:color w:val="auto"/>
          <w:sz w:val="21"/>
          <w:highlight w:val="none"/>
        </w:rPr>
      </w:pPr>
    </w:p>
    <w:p w14:paraId="2BCEB4CC">
      <w:pPr>
        <w:pStyle w:val="2"/>
        <w:shd w:val="clear"/>
        <w:spacing w:before="91" w:line="220" w:lineRule="auto"/>
        <w:ind w:left="1107"/>
        <w:outlineLvl w:val="9"/>
        <w:rPr>
          <w:rFonts w:hint="eastAsia" w:ascii="仿宋" w:hAnsi="仿宋" w:eastAsia="仿宋" w:cs="仿宋"/>
          <w:color w:val="auto"/>
          <w:spacing w:val="-4"/>
          <w:sz w:val="24"/>
          <w:szCs w:val="24"/>
          <w:highlight w:val="none"/>
          <w:u w:val="single" w:color="auto"/>
        </w:rPr>
      </w:pPr>
      <w:r>
        <w:rPr>
          <w:rFonts w:hint="eastAsia" w:ascii="仿宋" w:hAnsi="仿宋" w:eastAsia="仿宋" w:cs="仿宋"/>
          <w:color w:val="auto"/>
          <w:spacing w:val="1"/>
          <w:sz w:val="24"/>
          <w:szCs w:val="24"/>
          <w:highlight w:val="none"/>
        </w:rPr>
        <w:t>合同编号</w:t>
      </w:r>
      <w:r>
        <w:rPr>
          <w:rFonts w:hint="eastAsia" w:ascii="仿宋" w:hAnsi="仿宋" w:eastAsia="仿宋" w:cs="仿宋"/>
          <w:color w:val="auto"/>
          <w:spacing w:val="-9"/>
          <w:sz w:val="24"/>
          <w:szCs w:val="24"/>
          <w:highlight w:val="none"/>
        </w:rPr>
        <w:t>：</w:t>
      </w:r>
      <w:r>
        <w:rPr>
          <w:rFonts w:hint="eastAsia" w:ascii="仿宋" w:hAnsi="仿宋" w:eastAsia="仿宋" w:cs="仿宋"/>
          <w:color w:val="auto"/>
          <w:spacing w:val="-4"/>
          <w:sz w:val="24"/>
          <w:szCs w:val="24"/>
          <w:highlight w:val="none"/>
          <w:u w:val="single" w:color="auto"/>
        </w:rPr>
        <w:t>｛（系统生成，不可编辑）XX｝</w:t>
      </w:r>
    </w:p>
    <w:p w14:paraId="261304C7">
      <w:pPr>
        <w:pStyle w:val="2"/>
        <w:shd w:val="clear"/>
        <w:spacing w:before="290" w:line="219" w:lineRule="auto"/>
        <w:ind w:left="1105"/>
        <w:outlineLvl w:val="9"/>
        <w:rPr>
          <w:rFonts w:hint="eastAsia" w:ascii="仿宋" w:hAnsi="仿宋" w:eastAsia="仿宋" w:cs="仿宋"/>
          <w:color w:val="auto"/>
          <w:spacing w:val="-4"/>
          <w:sz w:val="24"/>
          <w:szCs w:val="24"/>
          <w:highlight w:val="none"/>
          <w:u w:val="single" w:color="auto"/>
        </w:rPr>
      </w:pPr>
      <w:r>
        <w:rPr>
          <w:rFonts w:hint="eastAsia" w:ascii="仿宋" w:hAnsi="仿宋" w:eastAsia="仿宋" w:cs="仿宋"/>
          <w:color w:val="auto"/>
          <w:spacing w:val="1"/>
          <w:sz w:val="24"/>
          <w:szCs w:val="24"/>
          <w:highlight w:val="none"/>
        </w:rPr>
        <w:t>采购人（甲方</w:t>
      </w:r>
      <w:r>
        <w:rPr>
          <w:rFonts w:hint="eastAsia" w:ascii="仿宋" w:hAnsi="仿宋" w:eastAsia="仿宋" w:cs="仿宋"/>
          <w:color w:val="auto"/>
          <w:spacing w:val="-9"/>
          <w:sz w:val="24"/>
          <w:szCs w:val="24"/>
          <w:highlight w:val="none"/>
        </w:rPr>
        <w:t>）：</w:t>
      </w:r>
      <w:r>
        <w:rPr>
          <w:rFonts w:hint="eastAsia" w:ascii="仿宋" w:hAnsi="仿宋" w:eastAsia="仿宋" w:cs="仿宋"/>
          <w:color w:val="auto"/>
          <w:spacing w:val="-4"/>
          <w:sz w:val="24"/>
          <w:szCs w:val="24"/>
          <w:highlight w:val="none"/>
          <w:u w:val="single" w:color="auto"/>
        </w:rPr>
        <w:t>成都市双流区西航港社区卫生服务中心</w:t>
      </w:r>
    </w:p>
    <w:p w14:paraId="0D9D971A">
      <w:pPr>
        <w:pStyle w:val="2"/>
        <w:shd w:val="clear"/>
        <w:spacing w:before="292" w:line="219" w:lineRule="auto"/>
        <w:ind w:left="1106"/>
        <w:outlineLvl w:val="9"/>
        <w:rPr>
          <w:rFonts w:hint="eastAsia" w:ascii="仿宋" w:hAnsi="仿宋" w:eastAsia="仿宋" w:cs="仿宋"/>
          <w:color w:val="auto"/>
          <w:sz w:val="24"/>
          <w:szCs w:val="24"/>
          <w:highlight w:val="none"/>
        </w:rPr>
      </w:pPr>
      <w:r>
        <w:rPr>
          <w:rFonts w:hint="eastAsia" w:ascii="仿宋" w:hAnsi="仿宋" w:eastAsia="仿宋" w:cs="仿宋"/>
          <w:color w:val="auto"/>
          <w:spacing w:val="1"/>
          <w:sz w:val="24"/>
          <w:szCs w:val="24"/>
          <w:highlight w:val="none"/>
        </w:rPr>
        <w:t>供应商（乙方</w:t>
      </w:r>
      <w:r>
        <w:rPr>
          <w:rFonts w:hint="eastAsia" w:ascii="仿宋" w:hAnsi="仿宋" w:eastAsia="仿宋" w:cs="仿宋"/>
          <w:color w:val="auto"/>
          <w:spacing w:val="-8"/>
          <w:sz w:val="24"/>
          <w:szCs w:val="24"/>
          <w:highlight w:val="none"/>
        </w:rPr>
        <w:t>）：</w:t>
      </w:r>
      <w:r>
        <w:rPr>
          <w:rFonts w:hint="eastAsia" w:ascii="仿宋" w:hAnsi="仿宋" w:eastAsia="仿宋" w:cs="仿宋"/>
          <w:color w:val="auto"/>
          <w:spacing w:val="-4"/>
          <w:sz w:val="24"/>
          <w:szCs w:val="24"/>
          <w:highlight w:val="none"/>
          <w:u w:val="single" w:color="auto"/>
        </w:rPr>
        <w:t>｛（继承信息，不可编辑）供应商名称｝</w:t>
      </w:r>
    </w:p>
    <w:p w14:paraId="464170D9">
      <w:pPr>
        <w:pStyle w:val="2"/>
        <w:shd w:val="clear"/>
        <w:spacing w:before="291" w:line="220" w:lineRule="auto"/>
        <w:ind w:left="1106"/>
        <w:outlineLvl w:val="9"/>
        <w:rPr>
          <w:rFonts w:hint="eastAsia" w:ascii="仿宋" w:hAnsi="仿宋" w:eastAsia="仿宋" w:cs="仿宋"/>
          <w:color w:val="auto"/>
          <w:sz w:val="24"/>
          <w:szCs w:val="24"/>
          <w:highlight w:val="none"/>
        </w:rPr>
      </w:pPr>
      <w:r>
        <w:rPr>
          <w:rFonts w:hint="eastAsia" w:ascii="仿宋" w:hAnsi="仿宋" w:eastAsia="仿宋" w:cs="仿宋"/>
          <w:color w:val="auto"/>
          <w:spacing w:val="-4"/>
          <w:sz w:val="24"/>
          <w:szCs w:val="24"/>
          <w:highlight w:val="none"/>
        </w:rPr>
        <w:t>签订地点：</w:t>
      </w:r>
      <w:r>
        <w:rPr>
          <w:rFonts w:hint="eastAsia" w:ascii="仿宋" w:hAnsi="仿宋" w:eastAsia="仿宋" w:cs="仿宋"/>
          <w:color w:val="auto"/>
          <w:spacing w:val="-4"/>
          <w:sz w:val="24"/>
          <w:szCs w:val="24"/>
          <w:highlight w:val="none"/>
          <w:u w:val="single" w:color="auto"/>
        </w:rPr>
        <w:t>成都市双流区西航港街道西航港大道中三段689号</w:t>
      </w:r>
    </w:p>
    <w:p w14:paraId="48329B07">
      <w:pPr>
        <w:pStyle w:val="2"/>
        <w:shd w:val="clear"/>
        <w:spacing w:before="291" w:line="219" w:lineRule="auto"/>
        <w:ind w:left="1106"/>
        <w:outlineLvl w:val="9"/>
        <w:rPr>
          <w:rFonts w:hint="eastAsia" w:ascii="仿宋" w:hAnsi="仿宋" w:eastAsia="仿宋" w:cs="仿宋"/>
          <w:color w:val="auto"/>
          <w:spacing w:val="-4"/>
          <w:sz w:val="24"/>
          <w:szCs w:val="24"/>
          <w:highlight w:val="none"/>
          <w:u w:val="single" w:color="auto"/>
        </w:rPr>
      </w:pPr>
      <w:r>
        <w:rPr>
          <w:rFonts w:hint="eastAsia" w:ascii="仿宋" w:hAnsi="仿宋" w:eastAsia="仿宋" w:cs="仿宋"/>
          <w:color w:val="auto"/>
          <w:spacing w:val="-4"/>
          <w:sz w:val="24"/>
          <w:szCs w:val="24"/>
          <w:highlight w:val="none"/>
        </w:rPr>
        <w:t>签订时间：</w:t>
      </w:r>
      <w:r>
        <w:rPr>
          <w:rFonts w:hint="eastAsia" w:ascii="仿宋" w:hAnsi="仿宋" w:eastAsia="仿宋" w:cs="仿宋"/>
          <w:color w:val="auto"/>
          <w:spacing w:val="-66"/>
          <w:sz w:val="24"/>
          <w:szCs w:val="24"/>
          <w:highlight w:val="none"/>
        </w:rPr>
        <w:t xml:space="preserve"> </w:t>
      </w:r>
      <w:r>
        <w:rPr>
          <w:rFonts w:hint="eastAsia" w:ascii="仿宋" w:hAnsi="仿宋" w:eastAsia="仿宋" w:cs="仿宋"/>
          <w:color w:val="auto"/>
          <w:spacing w:val="-4"/>
          <w:sz w:val="24"/>
          <w:szCs w:val="24"/>
          <w:highlight w:val="none"/>
          <w:u w:val="single" w:color="auto"/>
        </w:rPr>
        <w:t>{取值供应商签章时间，不可编辑}</w:t>
      </w:r>
    </w:p>
    <w:p w14:paraId="5A5A2411">
      <w:pPr>
        <w:shd w:val="clear"/>
        <w:spacing w:line="219" w:lineRule="auto"/>
        <w:outlineLvl w:val="9"/>
        <w:rPr>
          <w:rFonts w:hint="eastAsia" w:ascii="仿宋" w:hAnsi="仿宋" w:eastAsia="仿宋" w:cs="仿宋"/>
          <w:color w:val="auto"/>
          <w:sz w:val="24"/>
          <w:szCs w:val="24"/>
          <w:highlight w:val="none"/>
        </w:rPr>
        <w:sectPr>
          <w:pgSz w:w="11906" w:h="16839"/>
          <w:pgMar w:top="1431" w:right="1785" w:bottom="0" w:left="1263" w:header="0" w:footer="0" w:gutter="0"/>
          <w:cols w:space="720" w:num="1"/>
        </w:sectPr>
      </w:pPr>
    </w:p>
    <w:p w14:paraId="2AD5DCD7">
      <w:pPr>
        <w:pStyle w:val="2"/>
        <w:shd w:val="clear"/>
        <w:spacing w:before="183" w:line="411" w:lineRule="auto"/>
        <w:ind w:left="23" w:firstLine="560"/>
        <w:jc w:val="both"/>
        <w:outlineLvl w:val="9"/>
        <w:rPr>
          <w:rFonts w:hint="eastAsia" w:ascii="仿宋" w:hAnsi="仿宋" w:eastAsia="仿宋" w:cs="仿宋"/>
          <w:color w:val="auto"/>
          <w:sz w:val="24"/>
          <w:szCs w:val="24"/>
          <w:highlight w:val="none"/>
        </w:rPr>
      </w:pPr>
      <w:r>
        <w:rPr>
          <w:rFonts w:hint="eastAsia" w:ascii="仿宋" w:hAnsi="仿宋" w:eastAsia="仿宋" w:cs="仿宋"/>
          <w:color w:val="auto"/>
          <w:spacing w:val="-1"/>
          <w:sz w:val="24"/>
          <w:szCs w:val="24"/>
          <w:highlight w:val="none"/>
        </w:rPr>
        <w:t>根据《中华人民共和国民法典》《中华人民共和国政府采购法》</w:t>
      </w:r>
      <w:r>
        <w:rPr>
          <w:rFonts w:hint="eastAsia" w:ascii="仿宋" w:hAnsi="仿宋" w:eastAsia="仿宋" w:cs="仿宋"/>
          <w:color w:val="auto"/>
          <w:spacing w:val="-4"/>
          <w:sz w:val="24"/>
          <w:szCs w:val="24"/>
          <w:highlight w:val="none"/>
        </w:rPr>
        <w:t>等法律法规，以及本采购项目的采购文件、乙方的《投标（响应）文件》及《中标（成交）通知书》，甲乙双方同意签订本合同，共同遵</w:t>
      </w:r>
      <w:r>
        <w:rPr>
          <w:rFonts w:hint="eastAsia" w:ascii="仿宋" w:hAnsi="仿宋" w:eastAsia="仿宋" w:cs="仿宋"/>
          <w:color w:val="auto"/>
          <w:spacing w:val="-2"/>
          <w:sz w:val="24"/>
          <w:szCs w:val="24"/>
          <w:highlight w:val="none"/>
        </w:rPr>
        <w:t>守如下条款：</w:t>
      </w:r>
    </w:p>
    <w:p w14:paraId="7A99D458">
      <w:pPr>
        <w:pStyle w:val="2"/>
        <w:shd w:val="clear"/>
        <w:spacing w:before="1" w:line="219" w:lineRule="auto"/>
        <w:ind w:left="588"/>
        <w:outlineLvl w:val="9"/>
        <w:rPr>
          <w:rFonts w:hint="eastAsia" w:ascii="仿宋" w:hAnsi="仿宋" w:eastAsia="仿宋" w:cs="仿宋"/>
          <w:color w:val="auto"/>
          <w:sz w:val="24"/>
          <w:szCs w:val="24"/>
          <w:highlight w:val="none"/>
        </w:rPr>
      </w:pPr>
      <w:r>
        <w:rPr>
          <w:rFonts w:hint="eastAsia" w:ascii="仿宋" w:hAnsi="仿宋" w:eastAsia="仿宋" w:cs="仿宋"/>
          <w:b/>
          <w:bCs/>
          <w:color w:val="auto"/>
          <w:spacing w:val="-5"/>
          <w:sz w:val="24"/>
          <w:szCs w:val="24"/>
          <w:highlight w:val="none"/>
        </w:rPr>
        <w:t>一、项目信息</w:t>
      </w:r>
    </w:p>
    <w:p w14:paraId="135C5075">
      <w:pPr>
        <w:pStyle w:val="2"/>
        <w:shd w:val="clear"/>
        <w:spacing w:before="290" w:line="219" w:lineRule="auto"/>
        <w:ind w:left="605"/>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1.1.采购项目名称</w:t>
      </w:r>
      <w:r>
        <w:rPr>
          <w:rFonts w:hint="eastAsia" w:ascii="仿宋" w:hAnsi="仿宋" w:eastAsia="仿宋" w:cs="仿宋"/>
          <w:color w:val="auto"/>
          <w:spacing w:val="-11"/>
          <w:sz w:val="24"/>
          <w:szCs w:val="24"/>
          <w:highlight w:val="none"/>
        </w:rPr>
        <w:t>：</w:t>
      </w:r>
      <w:r>
        <w:rPr>
          <w:rFonts w:hint="eastAsia" w:ascii="仿宋" w:hAnsi="仿宋" w:eastAsia="仿宋" w:cs="仿宋"/>
          <w:color w:val="auto"/>
          <w:spacing w:val="-1"/>
          <w:sz w:val="24"/>
          <w:szCs w:val="24"/>
          <w:highlight w:val="none"/>
          <w:lang w:eastAsia="zh-CN"/>
        </w:rPr>
        <w:t>2026年数据及网络安全运维服务</w:t>
      </w:r>
    </w:p>
    <w:p w14:paraId="0A665E81">
      <w:pPr>
        <w:pStyle w:val="2"/>
        <w:shd w:val="clear"/>
        <w:spacing w:before="291" w:line="219" w:lineRule="auto"/>
        <w:ind w:left="605"/>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1.2.采购项目编号</w:t>
      </w:r>
      <w:r>
        <w:rPr>
          <w:rFonts w:hint="eastAsia" w:ascii="仿宋" w:hAnsi="仿宋" w:eastAsia="仿宋" w:cs="仿宋"/>
          <w:color w:val="auto"/>
          <w:spacing w:val="-75"/>
          <w:w w:val="89"/>
          <w:sz w:val="24"/>
          <w:szCs w:val="24"/>
          <w:highlight w:val="none"/>
        </w:rPr>
        <w:t>：</w:t>
      </w:r>
      <w:r>
        <w:rPr>
          <w:rFonts w:hint="eastAsia" w:ascii="仿宋" w:hAnsi="仿宋" w:eastAsia="仿宋" w:cs="仿宋"/>
          <w:color w:val="auto"/>
          <w:spacing w:val="-1"/>
          <w:sz w:val="24"/>
          <w:szCs w:val="24"/>
          <w:highlight w:val="none"/>
        </w:rPr>
        <w:t>｛（继承信息，不可编辑）XX｝</w:t>
      </w:r>
    </w:p>
    <w:p w14:paraId="10D27FAF">
      <w:pPr>
        <w:shd w:val="clear"/>
        <w:spacing w:line="318" w:lineRule="auto"/>
        <w:outlineLvl w:val="9"/>
        <w:rPr>
          <w:rFonts w:hint="eastAsia" w:ascii="仿宋" w:hAnsi="仿宋" w:eastAsia="仿宋" w:cs="仿宋"/>
          <w:color w:val="auto"/>
          <w:sz w:val="24"/>
          <w:szCs w:val="24"/>
          <w:highlight w:val="none"/>
        </w:rPr>
      </w:pPr>
    </w:p>
    <w:p w14:paraId="46E8057F">
      <w:pPr>
        <w:pStyle w:val="2"/>
        <w:shd w:val="clear"/>
        <w:spacing w:before="92" w:line="219" w:lineRule="auto"/>
        <w:ind w:left="605"/>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1.3.采购计划编号</w:t>
      </w:r>
      <w:r>
        <w:rPr>
          <w:rFonts w:hint="eastAsia" w:ascii="仿宋" w:hAnsi="仿宋" w:eastAsia="仿宋" w:cs="仿宋"/>
          <w:color w:val="auto"/>
          <w:spacing w:val="-1"/>
          <w:sz w:val="24"/>
          <w:szCs w:val="24"/>
          <w:highlight w:val="none"/>
        </w:rPr>
        <w:t>：｛（继承信息，不可编辑）XX｝</w:t>
      </w:r>
    </w:p>
    <w:p w14:paraId="1AEFEFD1">
      <w:pPr>
        <w:shd w:val="clear"/>
        <w:spacing w:line="318" w:lineRule="auto"/>
        <w:outlineLvl w:val="9"/>
        <w:rPr>
          <w:rFonts w:hint="eastAsia" w:ascii="仿宋" w:hAnsi="仿宋" w:eastAsia="仿宋" w:cs="仿宋"/>
          <w:color w:val="auto"/>
          <w:sz w:val="24"/>
          <w:szCs w:val="24"/>
          <w:highlight w:val="none"/>
        </w:rPr>
      </w:pPr>
    </w:p>
    <w:p w14:paraId="6E11F8C1">
      <w:pPr>
        <w:pStyle w:val="2"/>
        <w:shd w:val="clear"/>
        <w:spacing w:before="92" w:line="219" w:lineRule="auto"/>
        <w:ind w:left="605"/>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1.4.政府采购组织形式</w:t>
      </w:r>
      <w:r>
        <w:rPr>
          <w:rFonts w:hint="eastAsia" w:ascii="仿宋" w:hAnsi="仿宋" w:eastAsia="仿宋" w:cs="仿宋"/>
          <w:color w:val="auto"/>
          <w:spacing w:val="-11"/>
          <w:sz w:val="24"/>
          <w:szCs w:val="24"/>
          <w:highlight w:val="none"/>
        </w:rPr>
        <w:t>：</w:t>
      </w:r>
      <w:r>
        <w:rPr>
          <w:rFonts w:hint="eastAsia" w:ascii="仿宋" w:hAnsi="仿宋" w:eastAsia="仿宋" w:cs="仿宋"/>
          <w:color w:val="auto"/>
          <w:spacing w:val="-1"/>
          <w:sz w:val="24"/>
          <w:szCs w:val="24"/>
          <w:highlight w:val="none"/>
        </w:rPr>
        <w:t>｛</w:t>
      </w:r>
      <w:r>
        <w:rPr>
          <w:rFonts w:hint="eastAsia" w:ascii="仿宋" w:hAnsi="仿宋" w:eastAsia="仿宋" w:cs="仿宋"/>
          <w:color w:val="auto"/>
          <w:spacing w:val="-1"/>
          <w:sz w:val="24"/>
          <w:szCs w:val="24"/>
          <w:highlight w:val="none"/>
          <w:lang w:val="en-US" w:eastAsia="zh-CN"/>
        </w:rPr>
        <w:t>分散采购</w:t>
      </w:r>
      <w:r>
        <w:rPr>
          <w:rFonts w:hint="eastAsia" w:ascii="仿宋" w:hAnsi="仿宋" w:eastAsia="仿宋" w:cs="仿宋"/>
          <w:color w:val="auto"/>
          <w:spacing w:val="-1"/>
          <w:sz w:val="24"/>
          <w:szCs w:val="24"/>
          <w:highlight w:val="none"/>
        </w:rPr>
        <w:t>｝</w:t>
      </w:r>
    </w:p>
    <w:p w14:paraId="1B62183A">
      <w:pPr>
        <w:pStyle w:val="2"/>
        <w:shd w:val="clear"/>
        <w:spacing w:before="292" w:line="219" w:lineRule="auto"/>
        <w:ind w:left="605"/>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1.5.政府采购方式</w:t>
      </w:r>
      <w:r>
        <w:rPr>
          <w:rFonts w:hint="eastAsia" w:ascii="仿宋" w:hAnsi="仿宋" w:eastAsia="仿宋" w:cs="仿宋"/>
          <w:color w:val="auto"/>
          <w:spacing w:val="-1"/>
          <w:sz w:val="24"/>
          <w:szCs w:val="24"/>
          <w:highlight w:val="none"/>
        </w:rPr>
        <w:t>：｛</w:t>
      </w:r>
      <w:r>
        <w:rPr>
          <w:rFonts w:hint="eastAsia" w:ascii="仿宋" w:hAnsi="仿宋" w:eastAsia="仿宋" w:cs="仿宋"/>
          <w:color w:val="auto"/>
          <w:spacing w:val="-1"/>
          <w:sz w:val="24"/>
          <w:szCs w:val="24"/>
          <w:highlight w:val="none"/>
          <w:lang w:val="en-US" w:eastAsia="zh-CN"/>
        </w:rPr>
        <w:t>公开招标</w:t>
      </w:r>
      <w:r>
        <w:rPr>
          <w:rFonts w:hint="eastAsia" w:ascii="仿宋" w:hAnsi="仿宋" w:eastAsia="仿宋" w:cs="仿宋"/>
          <w:color w:val="auto"/>
          <w:spacing w:val="-1"/>
          <w:sz w:val="24"/>
          <w:szCs w:val="24"/>
          <w:highlight w:val="none"/>
        </w:rPr>
        <w:t>｝</w:t>
      </w:r>
    </w:p>
    <w:p w14:paraId="09BE8213">
      <w:pPr>
        <w:shd w:val="clear"/>
        <w:spacing w:line="318" w:lineRule="auto"/>
        <w:outlineLvl w:val="9"/>
        <w:rPr>
          <w:rFonts w:hint="eastAsia" w:ascii="仿宋" w:hAnsi="仿宋" w:eastAsia="仿宋" w:cs="仿宋"/>
          <w:color w:val="auto"/>
          <w:sz w:val="24"/>
          <w:szCs w:val="24"/>
          <w:highlight w:val="none"/>
        </w:rPr>
      </w:pPr>
    </w:p>
    <w:p w14:paraId="24CE1813">
      <w:pPr>
        <w:pStyle w:val="2"/>
        <w:shd w:val="clear"/>
        <w:spacing w:before="92" w:line="219" w:lineRule="auto"/>
        <w:ind w:left="605"/>
        <w:outlineLvl w:val="9"/>
        <w:rPr>
          <w:rFonts w:hint="eastAsia" w:ascii="仿宋" w:hAnsi="仿宋" w:eastAsia="仿宋" w:cs="仿宋"/>
          <w:color w:val="auto"/>
          <w:sz w:val="24"/>
          <w:szCs w:val="24"/>
          <w:highlight w:val="none"/>
        </w:rPr>
      </w:pPr>
      <w:r>
        <w:rPr>
          <w:rFonts w:hint="eastAsia" w:ascii="仿宋" w:hAnsi="仿宋" w:eastAsia="仿宋" w:cs="仿宋"/>
          <w:color w:val="auto"/>
          <w:spacing w:val="-2"/>
          <w:sz w:val="24"/>
          <w:szCs w:val="24"/>
          <w:highlight w:val="none"/>
        </w:rPr>
        <w:t>1.6.落实政府采购政策情况：</w:t>
      </w:r>
    </w:p>
    <w:p w14:paraId="448CE6B1">
      <w:pPr>
        <w:pStyle w:val="2"/>
        <w:shd w:val="clear"/>
        <w:spacing w:before="290" w:line="316" w:lineRule="auto"/>
        <w:ind w:left="25" w:right="82" w:firstLine="579"/>
        <w:outlineLvl w:val="9"/>
        <w:rPr>
          <w:rFonts w:hint="eastAsia" w:ascii="仿宋" w:hAnsi="仿宋" w:eastAsia="仿宋" w:cs="仿宋"/>
          <w:color w:val="auto"/>
          <w:spacing w:val="-1"/>
          <w:sz w:val="24"/>
          <w:szCs w:val="24"/>
          <w:highlight w:val="none"/>
        </w:rPr>
      </w:pPr>
      <w:r>
        <w:rPr>
          <w:rFonts w:hint="eastAsia" w:ascii="仿宋" w:hAnsi="仿宋" w:eastAsia="仿宋" w:cs="仿宋"/>
          <w:color w:val="auto"/>
          <w:spacing w:val="-1"/>
          <w:sz w:val="24"/>
          <w:szCs w:val="24"/>
          <w:highlight w:val="none"/>
        </w:rPr>
        <w:t>1.6.1.中标（成交）采购的服务单位是否为中小企业</w:t>
      </w:r>
      <w:r>
        <w:rPr>
          <w:rFonts w:hint="eastAsia" w:ascii="仿宋" w:hAnsi="仿宋" w:eastAsia="仿宋" w:cs="仿宋"/>
          <w:color w:val="auto"/>
          <w:spacing w:val="-32"/>
          <w:sz w:val="24"/>
          <w:szCs w:val="24"/>
          <w:highlight w:val="none"/>
        </w:rPr>
        <w:t>：</w:t>
      </w:r>
      <w:r>
        <w:rPr>
          <w:rFonts w:hint="eastAsia" w:ascii="仿宋" w:hAnsi="仿宋" w:eastAsia="仿宋" w:cs="仿宋"/>
          <w:color w:val="auto"/>
          <w:spacing w:val="-1"/>
          <w:sz w:val="24"/>
          <w:szCs w:val="24"/>
          <w:highlight w:val="none"/>
        </w:rPr>
        <w:t>｛是｝</w:t>
      </w:r>
    </w:p>
    <w:p w14:paraId="21537D5C">
      <w:pPr>
        <w:pStyle w:val="2"/>
        <w:shd w:val="clear"/>
        <w:spacing w:before="290" w:line="316" w:lineRule="auto"/>
        <w:ind w:left="45" w:right="82" w:firstLine="559"/>
        <w:outlineLvl w:val="9"/>
        <w:rPr>
          <w:rFonts w:hint="eastAsia" w:ascii="仿宋" w:hAnsi="仿宋" w:eastAsia="仿宋" w:cs="仿宋"/>
          <w:color w:val="auto"/>
          <w:spacing w:val="-1"/>
          <w:sz w:val="24"/>
          <w:szCs w:val="24"/>
          <w:highlight w:val="none"/>
        </w:rPr>
      </w:pPr>
      <w:r>
        <w:rPr>
          <w:rFonts w:hint="eastAsia" w:ascii="仿宋" w:hAnsi="仿宋" w:eastAsia="仿宋" w:cs="仿宋"/>
          <w:color w:val="auto"/>
          <w:spacing w:val="-4"/>
          <w:sz w:val="24"/>
          <w:szCs w:val="24"/>
          <w:highlight w:val="none"/>
        </w:rPr>
        <w:t>1.6.2.本合同是否为专门面向中小企业的采购合同（中小企</w:t>
      </w:r>
      <w:r>
        <w:rPr>
          <w:rFonts w:hint="eastAsia" w:ascii="仿宋" w:hAnsi="仿宋" w:eastAsia="仿宋" w:cs="仿宋"/>
          <w:color w:val="auto"/>
          <w:spacing w:val="-5"/>
          <w:sz w:val="24"/>
          <w:szCs w:val="24"/>
          <w:highlight w:val="none"/>
        </w:rPr>
        <w:t>业预</w:t>
      </w:r>
      <w:r>
        <w:rPr>
          <w:rFonts w:hint="eastAsia" w:ascii="仿宋" w:hAnsi="仿宋" w:eastAsia="仿宋" w:cs="仿宋"/>
          <w:color w:val="auto"/>
          <w:sz w:val="24"/>
          <w:szCs w:val="24"/>
          <w:highlight w:val="none"/>
        </w:rPr>
        <w:t>留合同</w:t>
      </w:r>
      <w:r>
        <w:rPr>
          <w:rFonts w:hint="eastAsia" w:ascii="仿宋" w:hAnsi="仿宋" w:eastAsia="仿宋" w:cs="仿宋"/>
          <w:color w:val="auto"/>
          <w:spacing w:val="-70"/>
          <w:w w:val="84"/>
          <w:sz w:val="24"/>
          <w:szCs w:val="24"/>
          <w:highlight w:val="none"/>
        </w:rPr>
        <w:t>）：</w:t>
      </w:r>
      <w:r>
        <w:rPr>
          <w:rFonts w:hint="eastAsia" w:ascii="仿宋" w:hAnsi="仿宋" w:eastAsia="仿宋" w:cs="仿宋"/>
          <w:color w:val="auto"/>
          <w:spacing w:val="-1"/>
          <w:sz w:val="24"/>
          <w:szCs w:val="24"/>
          <w:highlight w:val="none"/>
        </w:rPr>
        <w:t>｛（是｝</w:t>
      </w:r>
    </w:p>
    <w:p w14:paraId="37C104E8">
      <w:pPr>
        <w:shd w:val="clear"/>
        <w:spacing w:line="316" w:lineRule="auto"/>
        <w:outlineLvl w:val="9"/>
        <w:rPr>
          <w:rFonts w:hint="eastAsia" w:ascii="仿宋" w:hAnsi="仿宋" w:eastAsia="仿宋" w:cs="仿宋"/>
          <w:color w:val="auto"/>
          <w:sz w:val="24"/>
          <w:szCs w:val="24"/>
          <w:highlight w:val="none"/>
        </w:rPr>
      </w:pPr>
    </w:p>
    <w:p w14:paraId="2935A9F7">
      <w:pPr>
        <w:pStyle w:val="2"/>
        <w:shd w:val="clear"/>
        <w:spacing w:before="91" w:line="316" w:lineRule="auto"/>
        <w:ind w:left="39" w:right="82" w:firstLine="565"/>
        <w:outlineLvl w:val="9"/>
        <w:rPr>
          <w:rFonts w:hint="eastAsia" w:ascii="仿宋" w:hAnsi="仿宋" w:eastAsia="仿宋" w:cs="仿宋"/>
          <w:color w:val="auto"/>
          <w:spacing w:val="-1"/>
          <w:sz w:val="24"/>
          <w:szCs w:val="24"/>
          <w:highlight w:val="none"/>
        </w:rPr>
      </w:pPr>
      <w:r>
        <w:rPr>
          <w:rFonts w:hint="eastAsia" w:ascii="仿宋" w:hAnsi="仿宋" w:eastAsia="仿宋" w:cs="仿宋"/>
          <w:color w:val="auto"/>
          <w:spacing w:val="-4"/>
          <w:sz w:val="24"/>
          <w:szCs w:val="24"/>
          <w:highlight w:val="none"/>
        </w:rPr>
        <w:t>1.6.3.若本项目不专门面向中小企业采购，是否给予小微企</w:t>
      </w:r>
      <w:r>
        <w:rPr>
          <w:rFonts w:hint="eastAsia" w:ascii="仿宋" w:hAnsi="仿宋" w:eastAsia="仿宋" w:cs="仿宋"/>
          <w:color w:val="auto"/>
          <w:spacing w:val="-5"/>
          <w:sz w:val="24"/>
          <w:szCs w:val="24"/>
          <w:highlight w:val="none"/>
        </w:rPr>
        <w:t>业评</w:t>
      </w:r>
      <w:r>
        <w:rPr>
          <w:rFonts w:hint="eastAsia" w:ascii="仿宋" w:hAnsi="仿宋" w:eastAsia="仿宋" w:cs="仿宋"/>
          <w:color w:val="auto"/>
          <w:sz w:val="24"/>
          <w:szCs w:val="24"/>
          <w:highlight w:val="none"/>
        </w:rPr>
        <w:t>审优惠</w:t>
      </w:r>
      <w:r>
        <w:rPr>
          <w:rFonts w:hint="eastAsia" w:ascii="仿宋" w:hAnsi="仿宋" w:eastAsia="仿宋" w:cs="仿宋"/>
          <w:color w:val="auto"/>
          <w:spacing w:val="-76"/>
          <w:w w:val="90"/>
          <w:sz w:val="24"/>
          <w:szCs w:val="24"/>
          <w:highlight w:val="none"/>
        </w:rPr>
        <w:t>：</w:t>
      </w:r>
      <w:r>
        <w:rPr>
          <w:rFonts w:hint="eastAsia" w:ascii="仿宋" w:hAnsi="仿宋" w:eastAsia="仿宋" w:cs="仿宋"/>
          <w:color w:val="auto"/>
          <w:spacing w:val="-1"/>
          <w:sz w:val="24"/>
          <w:szCs w:val="24"/>
          <w:highlight w:val="none"/>
        </w:rPr>
        <w:t>｛</w:t>
      </w:r>
      <w:r>
        <w:rPr>
          <w:rFonts w:hint="eastAsia" w:ascii="仿宋" w:hAnsi="仿宋" w:eastAsia="仿宋" w:cs="仿宋"/>
          <w:color w:val="auto"/>
          <w:spacing w:val="-1"/>
          <w:sz w:val="24"/>
          <w:szCs w:val="24"/>
          <w:highlight w:val="none"/>
          <w:lang w:eastAsia="zh-CN"/>
        </w:rPr>
        <w:t>是</w:t>
      </w:r>
      <w:r>
        <w:rPr>
          <w:rFonts w:hint="eastAsia" w:ascii="仿宋" w:hAnsi="仿宋" w:eastAsia="仿宋" w:cs="仿宋"/>
          <w:color w:val="auto"/>
          <w:spacing w:val="-1"/>
          <w:sz w:val="24"/>
          <w:szCs w:val="24"/>
          <w:highlight w:val="none"/>
        </w:rPr>
        <w:t>｝</w:t>
      </w:r>
    </w:p>
    <w:p w14:paraId="1DE7E17F">
      <w:pPr>
        <w:shd w:val="clear"/>
        <w:spacing w:line="316" w:lineRule="auto"/>
        <w:outlineLvl w:val="9"/>
        <w:rPr>
          <w:rFonts w:hint="eastAsia" w:ascii="仿宋" w:hAnsi="仿宋" w:eastAsia="仿宋" w:cs="仿宋"/>
          <w:color w:val="auto"/>
          <w:sz w:val="24"/>
          <w:szCs w:val="24"/>
          <w:highlight w:val="none"/>
        </w:rPr>
      </w:pPr>
    </w:p>
    <w:p w14:paraId="7DBE9887">
      <w:pPr>
        <w:pStyle w:val="2"/>
        <w:shd w:val="clear"/>
        <w:tabs>
          <w:tab w:val="left" w:pos="162"/>
        </w:tabs>
        <w:spacing w:before="92" w:line="316" w:lineRule="auto"/>
        <w:ind w:left="14" w:right="8" w:firstLine="590"/>
        <w:outlineLvl w:val="9"/>
        <w:rPr>
          <w:rFonts w:hint="eastAsia" w:ascii="仿宋" w:hAnsi="仿宋" w:eastAsia="仿宋" w:cs="仿宋"/>
          <w:color w:val="auto"/>
          <w:spacing w:val="-1"/>
          <w:sz w:val="24"/>
          <w:szCs w:val="24"/>
          <w:highlight w:val="none"/>
        </w:rPr>
      </w:pPr>
      <w:r>
        <w:rPr>
          <w:rFonts w:hint="eastAsia" w:ascii="仿宋" w:hAnsi="仿宋" w:eastAsia="仿宋" w:cs="仿宋"/>
          <w:color w:val="auto"/>
          <w:spacing w:val="-2"/>
          <w:sz w:val="24"/>
          <w:szCs w:val="24"/>
          <w:highlight w:val="none"/>
        </w:rPr>
        <w:t>1.6.4.中标（成交）采购标的供应商是否为残疾人福利性单位</w:t>
      </w:r>
      <w:r>
        <w:rPr>
          <w:rFonts w:hint="eastAsia" w:ascii="仿宋" w:hAnsi="仿宋" w:eastAsia="仿宋" w:cs="仿宋"/>
          <w:color w:val="auto"/>
          <w:spacing w:val="-1"/>
          <w:sz w:val="24"/>
          <w:szCs w:val="24"/>
          <w:highlight w:val="none"/>
        </w:rPr>
        <w:t>：｛（继承信息，不可编辑）是/否｝</w:t>
      </w:r>
    </w:p>
    <w:p w14:paraId="33EBBF4F">
      <w:pPr>
        <w:shd w:val="clear"/>
        <w:spacing w:line="316" w:lineRule="auto"/>
        <w:outlineLvl w:val="9"/>
        <w:rPr>
          <w:rFonts w:hint="eastAsia" w:ascii="仿宋" w:hAnsi="仿宋" w:eastAsia="仿宋" w:cs="仿宋"/>
          <w:color w:val="auto"/>
          <w:sz w:val="24"/>
          <w:szCs w:val="24"/>
          <w:highlight w:val="none"/>
        </w:rPr>
      </w:pPr>
    </w:p>
    <w:p w14:paraId="7E89DBB3">
      <w:pPr>
        <w:pStyle w:val="2"/>
        <w:shd w:val="clear"/>
        <w:tabs>
          <w:tab w:val="left" w:pos="162"/>
        </w:tabs>
        <w:spacing w:before="92" w:line="316" w:lineRule="auto"/>
        <w:ind w:left="14" w:right="8" w:firstLine="590"/>
        <w:outlineLvl w:val="9"/>
        <w:rPr>
          <w:rFonts w:hint="eastAsia" w:ascii="仿宋" w:hAnsi="仿宋" w:eastAsia="仿宋" w:cs="仿宋"/>
          <w:color w:val="auto"/>
          <w:spacing w:val="-2"/>
          <w:sz w:val="24"/>
          <w:szCs w:val="24"/>
          <w:highlight w:val="none"/>
        </w:rPr>
      </w:pPr>
      <w:r>
        <w:rPr>
          <w:rFonts w:hint="eastAsia" w:ascii="仿宋" w:hAnsi="仿宋" w:eastAsia="仿宋" w:cs="仿宋"/>
          <w:color w:val="auto"/>
          <w:spacing w:val="-2"/>
          <w:sz w:val="24"/>
          <w:szCs w:val="24"/>
          <w:highlight w:val="none"/>
        </w:rPr>
        <w:t>1.6.5.中标（成交）采购标的供应商是否为监狱企业：｛（继承信息，不可编辑）是/否｝</w:t>
      </w:r>
    </w:p>
    <w:p w14:paraId="25B5235D">
      <w:pPr>
        <w:pStyle w:val="2"/>
        <w:shd w:val="clear"/>
        <w:tabs>
          <w:tab w:val="left" w:pos="162"/>
        </w:tabs>
        <w:spacing w:before="92" w:line="316" w:lineRule="auto"/>
        <w:ind w:left="14" w:right="8" w:firstLine="590"/>
        <w:outlineLvl w:val="9"/>
        <w:rPr>
          <w:rFonts w:hint="eastAsia" w:ascii="仿宋" w:hAnsi="仿宋" w:eastAsia="仿宋" w:cs="仿宋"/>
          <w:color w:val="auto"/>
          <w:spacing w:val="-2"/>
          <w:sz w:val="24"/>
          <w:szCs w:val="24"/>
          <w:highlight w:val="none"/>
        </w:rPr>
        <w:sectPr>
          <w:pgSz w:w="11906" w:h="16839"/>
          <w:pgMar w:top="1431" w:right="1717" w:bottom="0" w:left="1785" w:header="0" w:footer="0" w:gutter="0"/>
          <w:cols w:space="720" w:num="1"/>
        </w:sectPr>
      </w:pPr>
    </w:p>
    <w:p w14:paraId="7EC138B5">
      <w:pPr>
        <w:pStyle w:val="2"/>
        <w:shd w:val="clear"/>
        <w:spacing w:before="181" w:line="394" w:lineRule="auto"/>
        <w:ind w:left="122" w:right="112" w:firstLine="581"/>
        <w:outlineLvl w:val="9"/>
        <w:rPr>
          <w:rFonts w:hint="eastAsia" w:ascii="仿宋" w:hAnsi="仿宋" w:eastAsia="仿宋" w:cs="仿宋"/>
          <w:color w:val="auto"/>
          <w:spacing w:val="-2"/>
          <w:sz w:val="24"/>
          <w:szCs w:val="24"/>
          <w:highlight w:val="none"/>
        </w:rPr>
      </w:pPr>
      <w:r>
        <w:rPr>
          <w:rFonts w:hint="eastAsia" w:ascii="仿宋" w:hAnsi="仿宋" w:eastAsia="仿宋" w:cs="仿宋"/>
          <w:color w:val="auto"/>
          <w:spacing w:val="-2"/>
          <w:sz w:val="24"/>
          <w:szCs w:val="24"/>
          <w:highlight w:val="none"/>
        </w:rPr>
        <w:t>1.7.中标（成交）供应商是否为外商投资企</w:t>
      </w:r>
      <w:r>
        <w:rPr>
          <w:rFonts w:hint="eastAsia" w:ascii="仿宋" w:hAnsi="仿宋" w:eastAsia="仿宋" w:cs="仿宋"/>
          <w:color w:val="auto"/>
          <w:spacing w:val="-3"/>
          <w:sz w:val="24"/>
          <w:szCs w:val="24"/>
          <w:highlight w:val="none"/>
        </w:rPr>
        <w:t>业</w:t>
      </w:r>
      <w:r>
        <w:rPr>
          <w:rFonts w:hint="eastAsia" w:ascii="仿宋" w:hAnsi="仿宋" w:eastAsia="仿宋" w:cs="仿宋"/>
          <w:color w:val="auto"/>
          <w:spacing w:val="-2"/>
          <w:sz w:val="24"/>
          <w:szCs w:val="24"/>
          <w:highlight w:val="none"/>
        </w:rPr>
        <w:t>：｛（预设内容，可选择）是/否｝</w:t>
      </w:r>
    </w:p>
    <w:p w14:paraId="36125545">
      <w:pPr>
        <w:pStyle w:val="2"/>
        <w:shd w:val="clear"/>
        <w:spacing w:line="492" w:lineRule="exact"/>
        <w:ind w:firstLine="672"/>
        <w:outlineLvl w:val="9"/>
        <w:rPr>
          <w:rFonts w:hint="eastAsia" w:ascii="仿宋" w:hAnsi="仿宋" w:eastAsia="仿宋" w:cs="仿宋"/>
          <w:color w:val="auto"/>
          <w:sz w:val="24"/>
          <w:szCs w:val="24"/>
          <w:highlight w:val="none"/>
        </w:rPr>
      </w:pPr>
      <w:r>
        <w:rPr>
          <w:rFonts w:hint="eastAsia" w:ascii="仿宋" w:hAnsi="仿宋" w:eastAsia="仿宋" w:cs="仿宋"/>
          <w:color w:val="auto"/>
          <w:position w:val="-9"/>
          <w:sz w:val="24"/>
          <w:szCs w:val="24"/>
          <w:highlight w:val="none"/>
        </w:rPr>
        <mc:AlternateContent>
          <mc:Choice Requires="wps">
            <w:drawing>
              <wp:inline distT="0" distB="0" distL="114300" distR="114300">
                <wp:extent cx="3556000" cy="313055"/>
                <wp:effectExtent l="0" t="0" r="6350" b="10795"/>
                <wp:docPr id="101" name="文本框 101"/>
                <wp:cNvGraphicFramePr/>
                <a:graphic xmlns:a="http://schemas.openxmlformats.org/drawingml/2006/main">
                  <a:graphicData uri="http://schemas.microsoft.com/office/word/2010/wordprocessingShape">
                    <wps:wsp>
                      <wps:cNvSpPr txBox="1"/>
                      <wps:spPr>
                        <a:xfrm>
                          <a:off x="0" y="0"/>
                          <a:ext cx="3556000" cy="313055"/>
                        </a:xfrm>
                        <a:prstGeom prst="rect">
                          <a:avLst/>
                        </a:prstGeom>
                        <a:solidFill>
                          <a:srgbClr val="C0C0C0"/>
                        </a:solidFill>
                        <a:ln>
                          <a:noFill/>
                        </a:ln>
                      </wps:spPr>
                      <wps:txbx>
                        <w:txbxContent>
                          <w:p w14:paraId="18C38E5D">
                            <w:pPr>
                              <w:spacing w:before="172" w:line="219" w:lineRule="auto"/>
                              <w:jc w:val="right"/>
                              <w:rPr>
                                <w:rFonts w:ascii="宋体" w:hAnsi="宋体" w:eastAsia="宋体" w:cs="宋体"/>
                                <w:sz w:val="28"/>
                                <w:szCs w:val="28"/>
                              </w:rPr>
                            </w:pPr>
                            <w:r>
                              <w:rPr>
                                <w:rFonts w:ascii="宋体" w:hAnsi="宋体" w:eastAsia="宋体" w:cs="宋体"/>
                                <w:spacing w:val="-2"/>
                                <w:sz w:val="28"/>
                                <w:szCs w:val="28"/>
                              </w:rPr>
                              <w:t>（外商投资企业选择【是】才显示并可选择）</w:t>
                            </w:r>
                          </w:p>
                        </w:txbxContent>
                      </wps:txbx>
                      <wps:bodyPr lIns="0" tIns="0" rIns="0" bIns="0" upright="1"/>
                    </wps:wsp>
                  </a:graphicData>
                </a:graphic>
              </wp:inline>
            </w:drawing>
          </mc:Choice>
          <mc:Fallback>
            <w:pict>
              <v:shape id="_x0000_s1026" o:spid="_x0000_s1026" o:spt="202" type="#_x0000_t202" style="height:24.65pt;width:280pt;" fillcolor="#C0C0C0" filled="t" stroked="f" coordsize="21600,21600" o:gfxdata="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CZ03Wk1QAAAAQBAAAPAAAAAAAAAAEAIAAAACIAAABk&#10;cnMvZG93bnJldi54bWxQSwECFAAUAAAACACHTuJARQuJBNABAACfAwAADgAAAAAAAAABACAAAAAk&#10;AQAAZHJzL2Uyb0RvYy54bWxQSwUGAAAAAAYABgBZAQAAZgUAAAAA&#10;">
                <v:fill on="t" focussize="0,0"/>
                <v:stroke on="f"/>
                <v:imagedata o:title=""/>
                <o:lock v:ext="edit" aspectratio="f"/>
                <v:textbox inset="0mm,0mm,0mm,0mm">
                  <w:txbxContent>
                    <w:p w14:paraId="18C38E5D">
                      <w:pPr>
                        <w:spacing w:before="172" w:line="219" w:lineRule="auto"/>
                        <w:jc w:val="right"/>
                        <w:rPr>
                          <w:rFonts w:ascii="宋体" w:hAnsi="宋体" w:eastAsia="宋体" w:cs="宋体"/>
                          <w:sz w:val="28"/>
                          <w:szCs w:val="28"/>
                        </w:rPr>
                      </w:pPr>
                      <w:r>
                        <w:rPr>
                          <w:rFonts w:ascii="宋体" w:hAnsi="宋体" w:eastAsia="宋体" w:cs="宋体"/>
                          <w:spacing w:val="-2"/>
                          <w:sz w:val="28"/>
                          <w:szCs w:val="28"/>
                        </w:rPr>
                        <w:t>（外商投资企业选择【是】才显示并可选择）</w:t>
                      </w:r>
                    </w:p>
                  </w:txbxContent>
                </v:textbox>
                <w10:wrap type="none"/>
                <w10:anchorlock/>
              </v:shape>
            </w:pict>
          </mc:Fallback>
        </mc:AlternateContent>
      </w:r>
    </w:p>
    <w:p w14:paraId="2106672B">
      <w:pPr>
        <w:pStyle w:val="2"/>
        <w:shd w:val="clear"/>
        <w:spacing w:before="304" w:line="413" w:lineRule="auto"/>
        <w:ind w:left="127" w:right="112" w:firstLine="556"/>
        <w:outlineLvl w:val="9"/>
        <w:rPr>
          <w:rFonts w:hint="eastAsia" w:ascii="仿宋" w:hAnsi="仿宋" w:eastAsia="仿宋" w:cs="仿宋"/>
          <w:color w:val="auto"/>
          <w:spacing w:val="-2"/>
          <w:sz w:val="24"/>
          <w:szCs w:val="24"/>
          <w:highlight w:val="none"/>
        </w:rPr>
      </w:pPr>
      <w:r>
        <w:rPr>
          <w:rFonts w:hint="eastAsia" w:ascii="仿宋" w:hAnsi="仿宋" w:eastAsia="仿宋" w:cs="仿宋"/>
          <w:color w:val="auto"/>
          <w:spacing w:val="2"/>
          <w:sz w:val="24"/>
          <w:szCs w:val="24"/>
          <w:highlight w:val="none"/>
        </w:rPr>
        <w:t>本项目外商投资企业类型为</w:t>
      </w:r>
      <w:r>
        <w:rPr>
          <w:rFonts w:hint="eastAsia" w:ascii="仿宋" w:hAnsi="仿宋" w:eastAsia="仿宋" w:cs="仿宋"/>
          <w:color w:val="auto"/>
          <w:spacing w:val="-2"/>
          <w:sz w:val="24"/>
          <w:szCs w:val="24"/>
          <w:highlight w:val="none"/>
        </w:rPr>
        <w:t>｛（预设内容，可选择）全部由外国投资者投资/部分由外国投资者投资｝。</w:t>
      </w:r>
    </w:p>
    <w:p w14:paraId="2160F875">
      <w:pPr>
        <w:pStyle w:val="2"/>
        <w:shd w:val="clear"/>
        <w:spacing w:before="114" w:line="220" w:lineRule="auto"/>
        <w:ind w:left="703"/>
        <w:outlineLvl w:val="9"/>
        <w:rPr>
          <w:rFonts w:hint="eastAsia" w:ascii="仿宋" w:hAnsi="仿宋" w:eastAsia="仿宋" w:cs="仿宋"/>
          <w:color w:val="auto"/>
          <w:sz w:val="24"/>
          <w:szCs w:val="24"/>
          <w:highlight w:val="none"/>
        </w:rPr>
      </w:pPr>
      <w:r>
        <w:rPr>
          <w:rFonts w:hint="eastAsia" w:ascii="仿宋" w:hAnsi="仿宋" w:eastAsia="仿宋" w:cs="仿宋"/>
          <w:color w:val="auto"/>
          <w:spacing w:val="-4"/>
          <w:sz w:val="24"/>
          <w:szCs w:val="24"/>
          <w:highlight w:val="none"/>
        </w:rPr>
        <w:t>1.8.项目内容：</w:t>
      </w:r>
    </w:p>
    <w:p w14:paraId="5648944B">
      <w:pPr>
        <w:shd w:val="clear"/>
        <w:spacing w:line="118" w:lineRule="exact"/>
        <w:outlineLvl w:val="9"/>
        <w:rPr>
          <w:rFonts w:hint="eastAsia" w:ascii="仿宋" w:hAnsi="仿宋" w:eastAsia="仿宋" w:cs="仿宋"/>
          <w:color w:val="auto"/>
          <w:sz w:val="24"/>
          <w:szCs w:val="24"/>
          <w:highlight w:val="none"/>
        </w:rPr>
      </w:pPr>
    </w:p>
    <w:tbl>
      <w:tblPr>
        <w:tblStyle w:val="8"/>
        <w:tblW w:w="844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85"/>
        <w:gridCol w:w="1446"/>
        <w:gridCol w:w="1616"/>
        <w:gridCol w:w="1279"/>
        <w:gridCol w:w="1703"/>
        <w:gridCol w:w="1714"/>
      </w:tblGrid>
      <w:tr w14:paraId="012FA4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6" w:hRule="atLeast"/>
        </w:trPr>
        <w:tc>
          <w:tcPr>
            <w:tcW w:w="685" w:type="dxa"/>
            <w:noWrap w:val="0"/>
            <w:vAlign w:val="top"/>
          </w:tcPr>
          <w:p w14:paraId="13BB5680">
            <w:pPr>
              <w:pStyle w:val="7"/>
              <w:shd w:val="clear"/>
              <w:spacing w:before="133" w:line="229" w:lineRule="auto"/>
              <w:ind w:left="136"/>
              <w:outlineLvl w:val="9"/>
              <w:rPr>
                <w:rFonts w:hint="eastAsia" w:ascii="仿宋" w:hAnsi="仿宋" w:eastAsia="仿宋" w:cs="仿宋"/>
                <w:color w:val="auto"/>
                <w:sz w:val="24"/>
                <w:szCs w:val="24"/>
                <w:highlight w:val="none"/>
              </w:rPr>
            </w:pPr>
            <w:r>
              <w:rPr>
                <w:rFonts w:hint="eastAsia" w:ascii="仿宋" w:hAnsi="仿宋" w:eastAsia="仿宋" w:cs="仿宋"/>
                <w:b/>
                <w:bCs/>
                <w:color w:val="auto"/>
                <w:spacing w:val="4"/>
                <w:sz w:val="24"/>
                <w:szCs w:val="24"/>
                <w:highlight w:val="none"/>
              </w:rPr>
              <w:t>序号</w:t>
            </w:r>
          </w:p>
        </w:tc>
        <w:tc>
          <w:tcPr>
            <w:tcW w:w="1446" w:type="dxa"/>
            <w:noWrap w:val="0"/>
            <w:vAlign w:val="top"/>
          </w:tcPr>
          <w:p w14:paraId="52C13A8D">
            <w:pPr>
              <w:pStyle w:val="7"/>
              <w:shd w:val="clear"/>
              <w:spacing w:before="133" w:line="228" w:lineRule="auto"/>
              <w:ind w:left="307"/>
              <w:outlineLvl w:val="9"/>
              <w:rPr>
                <w:rFonts w:hint="eastAsia" w:ascii="仿宋" w:hAnsi="仿宋" w:eastAsia="仿宋" w:cs="仿宋"/>
                <w:color w:val="auto"/>
                <w:sz w:val="24"/>
                <w:szCs w:val="24"/>
                <w:highlight w:val="none"/>
              </w:rPr>
            </w:pPr>
            <w:r>
              <w:rPr>
                <w:rFonts w:hint="eastAsia" w:ascii="仿宋" w:hAnsi="仿宋" w:eastAsia="仿宋" w:cs="仿宋"/>
                <w:b/>
                <w:bCs/>
                <w:color w:val="auto"/>
                <w:spacing w:val="6"/>
                <w:sz w:val="24"/>
                <w:szCs w:val="24"/>
                <w:highlight w:val="none"/>
              </w:rPr>
              <w:t>标的名称</w:t>
            </w:r>
          </w:p>
        </w:tc>
        <w:tc>
          <w:tcPr>
            <w:tcW w:w="1616" w:type="dxa"/>
            <w:noWrap w:val="0"/>
            <w:vAlign w:val="top"/>
          </w:tcPr>
          <w:p w14:paraId="4F9BA733">
            <w:pPr>
              <w:pStyle w:val="7"/>
              <w:shd w:val="clear"/>
              <w:spacing w:before="133" w:line="226" w:lineRule="auto"/>
              <w:ind w:left="602"/>
              <w:outlineLvl w:val="9"/>
              <w:rPr>
                <w:rFonts w:hint="eastAsia" w:ascii="仿宋" w:hAnsi="仿宋" w:eastAsia="仿宋" w:cs="仿宋"/>
                <w:color w:val="auto"/>
                <w:sz w:val="24"/>
                <w:szCs w:val="24"/>
                <w:highlight w:val="none"/>
              </w:rPr>
            </w:pPr>
            <w:r>
              <w:rPr>
                <w:rFonts w:hint="eastAsia" w:ascii="仿宋" w:hAnsi="仿宋" w:eastAsia="仿宋" w:cs="仿宋"/>
                <w:b/>
                <w:bCs/>
                <w:color w:val="auto"/>
                <w:spacing w:val="3"/>
                <w:sz w:val="24"/>
                <w:szCs w:val="24"/>
                <w:highlight w:val="none"/>
              </w:rPr>
              <w:t>单价</w:t>
            </w:r>
          </w:p>
        </w:tc>
        <w:tc>
          <w:tcPr>
            <w:tcW w:w="1279" w:type="dxa"/>
            <w:noWrap w:val="0"/>
            <w:vAlign w:val="top"/>
          </w:tcPr>
          <w:p w14:paraId="1712072C">
            <w:pPr>
              <w:pStyle w:val="7"/>
              <w:shd w:val="clear"/>
              <w:spacing w:before="132" w:line="228" w:lineRule="auto"/>
              <w:ind w:left="436"/>
              <w:outlineLvl w:val="9"/>
              <w:rPr>
                <w:rFonts w:hint="eastAsia" w:ascii="仿宋" w:hAnsi="仿宋" w:eastAsia="仿宋" w:cs="仿宋"/>
                <w:color w:val="auto"/>
                <w:sz w:val="24"/>
                <w:szCs w:val="24"/>
                <w:highlight w:val="none"/>
              </w:rPr>
            </w:pPr>
            <w:r>
              <w:rPr>
                <w:rFonts w:hint="eastAsia" w:ascii="仿宋" w:hAnsi="仿宋" w:eastAsia="仿宋" w:cs="仿宋"/>
                <w:b/>
                <w:bCs/>
                <w:color w:val="auto"/>
                <w:spacing w:val="3"/>
                <w:sz w:val="24"/>
                <w:szCs w:val="24"/>
                <w:highlight w:val="none"/>
              </w:rPr>
              <w:t>数量</w:t>
            </w:r>
          </w:p>
        </w:tc>
        <w:tc>
          <w:tcPr>
            <w:tcW w:w="1703" w:type="dxa"/>
            <w:noWrap w:val="0"/>
            <w:vAlign w:val="top"/>
          </w:tcPr>
          <w:p w14:paraId="0A244E12">
            <w:pPr>
              <w:pStyle w:val="7"/>
              <w:shd w:val="clear"/>
              <w:spacing w:before="132" w:line="228" w:lineRule="auto"/>
              <w:ind w:left="650"/>
              <w:outlineLvl w:val="9"/>
              <w:rPr>
                <w:rFonts w:hint="eastAsia" w:ascii="仿宋" w:hAnsi="仿宋" w:eastAsia="仿宋" w:cs="仿宋"/>
                <w:color w:val="auto"/>
                <w:sz w:val="24"/>
                <w:szCs w:val="24"/>
                <w:highlight w:val="none"/>
              </w:rPr>
            </w:pPr>
            <w:r>
              <w:rPr>
                <w:rFonts w:hint="eastAsia" w:ascii="仿宋" w:hAnsi="仿宋" w:eastAsia="仿宋" w:cs="仿宋"/>
                <w:b/>
                <w:bCs/>
                <w:color w:val="auto"/>
                <w:spacing w:val="3"/>
                <w:sz w:val="24"/>
                <w:szCs w:val="24"/>
                <w:highlight w:val="none"/>
              </w:rPr>
              <w:t>金额</w:t>
            </w:r>
          </w:p>
        </w:tc>
        <w:tc>
          <w:tcPr>
            <w:tcW w:w="1714" w:type="dxa"/>
            <w:noWrap w:val="0"/>
            <w:vAlign w:val="top"/>
          </w:tcPr>
          <w:p w14:paraId="4630479D">
            <w:pPr>
              <w:pStyle w:val="7"/>
              <w:shd w:val="clear"/>
              <w:spacing w:before="133" w:line="228" w:lineRule="auto"/>
              <w:ind w:left="440"/>
              <w:outlineLvl w:val="9"/>
              <w:rPr>
                <w:rFonts w:hint="eastAsia" w:ascii="仿宋" w:hAnsi="仿宋" w:eastAsia="仿宋" w:cs="仿宋"/>
                <w:color w:val="auto"/>
                <w:sz w:val="24"/>
                <w:szCs w:val="24"/>
                <w:highlight w:val="none"/>
              </w:rPr>
            </w:pPr>
            <w:r>
              <w:rPr>
                <w:rFonts w:hint="eastAsia" w:ascii="仿宋" w:hAnsi="仿宋" w:eastAsia="仿宋" w:cs="仿宋"/>
                <w:b/>
                <w:bCs/>
                <w:color w:val="auto"/>
                <w:spacing w:val="6"/>
                <w:sz w:val="24"/>
                <w:szCs w:val="24"/>
                <w:highlight w:val="none"/>
              </w:rPr>
              <w:t>计量单位</w:t>
            </w:r>
          </w:p>
        </w:tc>
      </w:tr>
      <w:tr w14:paraId="6D1AF0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30" w:hRule="atLeast"/>
        </w:trPr>
        <w:tc>
          <w:tcPr>
            <w:tcW w:w="685" w:type="dxa"/>
            <w:noWrap w:val="0"/>
            <w:vAlign w:val="top"/>
          </w:tcPr>
          <w:p w14:paraId="67D6C00A">
            <w:pPr>
              <w:pStyle w:val="7"/>
              <w:shd w:val="clear"/>
              <w:spacing w:before="1" w:line="370" w:lineRule="exact"/>
              <w:ind w:firstLine="107"/>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1446" w:type="dxa"/>
            <w:noWrap w:val="0"/>
            <w:vAlign w:val="center"/>
          </w:tcPr>
          <w:p w14:paraId="6FEBBF50">
            <w:pPr>
              <w:pStyle w:val="7"/>
              <w:shd w:val="clear"/>
              <w:tabs>
                <w:tab w:val="left" w:pos="1333"/>
              </w:tabs>
              <w:spacing w:before="132" w:line="427" w:lineRule="auto"/>
              <w:ind w:left="110" w:right="53" w:firstLine="38"/>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2026年数据及网络安全运维服务</w:t>
            </w:r>
          </w:p>
        </w:tc>
        <w:tc>
          <w:tcPr>
            <w:tcW w:w="1616" w:type="dxa"/>
            <w:noWrap w:val="0"/>
            <w:vAlign w:val="center"/>
          </w:tcPr>
          <w:p w14:paraId="3D6C8D60">
            <w:pPr>
              <w:pStyle w:val="7"/>
              <w:shd w:val="clear"/>
              <w:spacing w:before="1" w:line="839" w:lineRule="exact"/>
              <w:ind w:firstLine="104"/>
              <w:jc w:val="center"/>
              <w:outlineLvl w:val="9"/>
              <w:rPr>
                <w:rFonts w:hint="eastAsia" w:ascii="仿宋" w:hAnsi="仿宋" w:eastAsia="仿宋" w:cs="仿宋"/>
                <w:color w:val="auto"/>
                <w:sz w:val="24"/>
                <w:szCs w:val="24"/>
                <w:highlight w:val="none"/>
              </w:rPr>
            </w:pPr>
          </w:p>
        </w:tc>
        <w:tc>
          <w:tcPr>
            <w:tcW w:w="1279" w:type="dxa"/>
            <w:noWrap w:val="0"/>
            <w:vAlign w:val="center"/>
          </w:tcPr>
          <w:p w14:paraId="648DDC49">
            <w:pPr>
              <w:pStyle w:val="7"/>
              <w:shd w:val="clear"/>
              <w:spacing w:before="132" w:line="427" w:lineRule="auto"/>
              <w:ind w:left="110" w:right="18" w:firstLine="38"/>
              <w:jc w:val="center"/>
              <w:outlineLvl w:val="9"/>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1703" w:type="dxa"/>
            <w:noWrap w:val="0"/>
            <w:vAlign w:val="center"/>
          </w:tcPr>
          <w:p w14:paraId="6674F21B">
            <w:pPr>
              <w:pStyle w:val="7"/>
              <w:shd w:val="clear"/>
              <w:spacing w:before="133" w:line="433" w:lineRule="auto"/>
              <w:ind w:left="117" w:right="104" w:firstLine="34"/>
              <w:jc w:val="center"/>
              <w:outlineLvl w:val="9"/>
              <w:rPr>
                <w:rFonts w:hint="eastAsia" w:ascii="仿宋" w:hAnsi="仿宋" w:eastAsia="仿宋" w:cs="仿宋"/>
                <w:color w:val="auto"/>
                <w:sz w:val="24"/>
                <w:szCs w:val="24"/>
                <w:highlight w:val="none"/>
              </w:rPr>
            </w:pPr>
          </w:p>
        </w:tc>
        <w:tc>
          <w:tcPr>
            <w:tcW w:w="1714" w:type="dxa"/>
            <w:noWrap w:val="0"/>
            <w:vAlign w:val="center"/>
          </w:tcPr>
          <w:p w14:paraId="33B2D07C">
            <w:pPr>
              <w:pStyle w:val="7"/>
              <w:shd w:val="clear"/>
              <w:spacing w:before="133" w:line="433" w:lineRule="auto"/>
              <w:ind w:left="118" w:right="107" w:firstLine="34"/>
              <w:jc w:val="center"/>
              <w:outlineLvl w:val="9"/>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项</w:t>
            </w:r>
          </w:p>
        </w:tc>
      </w:tr>
    </w:tbl>
    <w:p w14:paraId="3D2A75DA">
      <w:pPr>
        <w:shd w:val="clear"/>
        <w:spacing w:line="310" w:lineRule="auto"/>
        <w:outlineLvl w:val="9"/>
        <w:rPr>
          <w:rFonts w:hint="eastAsia" w:ascii="仿宋" w:hAnsi="仿宋" w:eastAsia="仿宋" w:cs="仿宋"/>
          <w:color w:val="auto"/>
          <w:sz w:val="24"/>
          <w:szCs w:val="24"/>
          <w:highlight w:val="none"/>
        </w:rPr>
      </w:pPr>
    </w:p>
    <w:p w14:paraId="30D18BA0">
      <w:pPr>
        <w:pStyle w:val="2"/>
        <w:shd w:val="clear"/>
        <w:spacing w:before="91" w:line="220" w:lineRule="auto"/>
        <w:ind w:left="588"/>
        <w:outlineLvl w:val="9"/>
        <w:rPr>
          <w:rFonts w:hint="eastAsia" w:ascii="仿宋" w:hAnsi="仿宋" w:eastAsia="仿宋" w:cs="仿宋"/>
          <w:color w:val="auto"/>
          <w:sz w:val="24"/>
          <w:szCs w:val="24"/>
          <w:highlight w:val="none"/>
        </w:rPr>
      </w:pPr>
      <w:r>
        <w:rPr>
          <w:rFonts w:hint="eastAsia" w:ascii="仿宋" w:hAnsi="仿宋" w:eastAsia="仿宋" w:cs="仿宋"/>
          <w:b/>
          <w:bCs/>
          <w:color w:val="auto"/>
          <w:spacing w:val="-5"/>
          <w:sz w:val="24"/>
          <w:szCs w:val="24"/>
          <w:highlight w:val="none"/>
        </w:rPr>
        <w:t>二、服务要求</w:t>
      </w:r>
    </w:p>
    <w:p w14:paraId="14C52E85">
      <w:pPr>
        <w:shd w:val="clear"/>
        <w:spacing w:line="264" w:lineRule="auto"/>
        <w:outlineLvl w:val="9"/>
        <w:rPr>
          <w:rFonts w:hint="eastAsia" w:ascii="仿宋" w:hAnsi="仿宋" w:eastAsia="仿宋" w:cs="仿宋"/>
          <w:color w:val="auto"/>
          <w:sz w:val="24"/>
          <w:szCs w:val="24"/>
          <w:highlight w:val="none"/>
        </w:rPr>
      </w:pPr>
    </w:p>
    <w:p w14:paraId="6EDF7621">
      <w:pPr>
        <w:pStyle w:val="2"/>
        <w:shd w:val="clear"/>
        <w:spacing w:before="91" w:line="220" w:lineRule="auto"/>
        <w:ind w:firstLine="472"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pacing w:val="-2"/>
          <w:sz w:val="24"/>
          <w:szCs w:val="24"/>
          <w:highlight w:val="none"/>
        </w:rPr>
        <w:t>2.1.技术要求</w:t>
      </w:r>
    </w:p>
    <w:p w14:paraId="4427E45F">
      <w:pPr>
        <w:pStyle w:val="2"/>
        <w:shd w:val="clear"/>
        <w:spacing w:before="266" w:line="220" w:lineRule="auto"/>
        <w:ind w:firstLine="472" w:firstLineChars="200"/>
        <w:outlineLvl w:val="9"/>
        <w:rPr>
          <w:rFonts w:hint="eastAsia" w:ascii="仿宋" w:hAnsi="仿宋" w:eastAsia="仿宋" w:cs="仿宋"/>
          <w:color w:val="auto"/>
          <w:spacing w:val="-2"/>
          <w:sz w:val="24"/>
          <w:szCs w:val="24"/>
          <w:highlight w:val="none"/>
          <w:lang w:eastAsia="zh-CN"/>
        </w:rPr>
      </w:pPr>
    </w:p>
    <w:p w14:paraId="5230D3E8">
      <w:pPr>
        <w:pStyle w:val="2"/>
        <w:shd w:val="clear"/>
        <w:spacing w:before="266" w:line="220" w:lineRule="auto"/>
        <w:ind w:firstLine="472"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pacing w:val="-2"/>
          <w:sz w:val="24"/>
          <w:szCs w:val="24"/>
          <w:highlight w:val="none"/>
        </w:rPr>
        <w:t>2.2.服务要求</w:t>
      </w:r>
    </w:p>
    <w:p w14:paraId="0134FD46">
      <w:pPr>
        <w:shd w:val="clear"/>
        <w:spacing w:line="500" w:lineRule="exact"/>
        <w:ind w:firstLine="472" w:firstLineChars="200"/>
        <w:outlineLvl w:val="9"/>
        <w:rPr>
          <w:rFonts w:hint="eastAsia" w:ascii="仿宋" w:hAnsi="仿宋" w:eastAsia="仿宋" w:cs="仿宋"/>
          <w:color w:val="auto"/>
          <w:spacing w:val="-2"/>
          <w:sz w:val="24"/>
          <w:szCs w:val="24"/>
          <w:highlight w:val="none"/>
        </w:rPr>
      </w:pPr>
    </w:p>
    <w:p w14:paraId="2A641E64">
      <w:pPr>
        <w:pStyle w:val="2"/>
        <w:shd w:val="clear"/>
        <w:spacing w:before="265" w:line="221" w:lineRule="auto"/>
        <w:ind w:firstLine="472"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pacing w:val="-2"/>
          <w:sz w:val="24"/>
          <w:szCs w:val="24"/>
          <w:highlight w:val="none"/>
        </w:rPr>
        <w:t>2.3.其他要求</w:t>
      </w:r>
    </w:p>
    <w:p w14:paraId="5C6014DE">
      <w:pPr>
        <w:pStyle w:val="9"/>
        <w:shd w:val="clear"/>
        <w:spacing w:line="360" w:lineRule="auto"/>
        <w:ind w:firstLine="472"/>
        <w:jc w:val="both"/>
        <w:rPr>
          <w:rFonts w:hint="eastAsia" w:ascii="仿宋" w:hAnsi="仿宋" w:eastAsia="仿宋" w:cs="仿宋"/>
          <w:b/>
          <w:bCs/>
          <w:color w:val="auto"/>
          <w:spacing w:val="-3"/>
          <w:sz w:val="24"/>
          <w:szCs w:val="24"/>
          <w:highlight w:val="none"/>
        </w:rPr>
      </w:pPr>
    </w:p>
    <w:p w14:paraId="5007C99C">
      <w:pPr>
        <w:pStyle w:val="2"/>
        <w:shd w:val="clear"/>
        <w:spacing w:before="198" w:line="219" w:lineRule="auto"/>
        <w:ind w:left="584"/>
        <w:outlineLvl w:val="9"/>
        <w:rPr>
          <w:rFonts w:hint="eastAsia" w:ascii="仿宋" w:hAnsi="仿宋" w:eastAsia="仿宋" w:cs="仿宋"/>
          <w:color w:val="auto"/>
          <w:sz w:val="24"/>
          <w:szCs w:val="24"/>
          <w:highlight w:val="none"/>
        </w:rPr>
      </w:pPr>
      <w:r>
        <w:rPr>
          <w:rFonts w:hint="eastAsia" w:ascii="仿宋" w:hAnsi="仿宋" w:eastAsia="仿宋" w:cs="仿宋"/>
          <w:b/>
          <w:bCs/>
          <w:color w:val="auto"/>
          <w:spacing w:val="-3"/>
          <w:sz w:val="24"/>
          <w:szCs w:val="24"/>
          <w:highlight w:val="none"/>
        </w:rPr>
        <w:t>三、合同价款、支付方式和付款进度安排</w:t>
      </w:r>
    </w:p>
    <w:p w14:paraId="27CB7C50">
      <w:pPr>
        <w:pStyle w:val="2"/>
        <w:shd w:val="clear"/>
        <w:spacing w:before="292" w:line="219" w:lineRule="auto"/>
        <w:ind w:left="589"/>
        <w:outlineLvl w:val="9"/>
        <w:rPr>
          <w:rFonts w:hint="eastAsia" w:ascii="仿宋" w:hAnsi="仿宋" w:eastAsia="仿宋" w:cs="仿宋"/>
          <w:color w:val="auto"/>
          <w:sz w:val="24"/>
          <w:szCs w:val="24"/>
          <w:highlight w:val="none"/>
        </w:rPr>
      </w:pPr>
      <w:r>
        <w:rPr>
          <w:rFonts w:hint="eastAsia" w:ascii="仿宋" w:hAnsi="仿宋" w:eastAsia="仿宋" w:cs="仿宋"/>
          <w:color w:val="auto"/>
          <w:spacing w:val="-2"/>
          <w:sz w:val="24"/>
          <w:szCs w:val="24"/>
          <w:highlight w:val="none"/>
        </w:rPr>
        <w:t>3.1.合同价款</w:t>
      </w:r>
    </w:p>
    <w:p w14:paraId="57669C29">
      <w:pPr>
        <w:pStyle w:val="2"/>
        <w:shd w:val="clear"/>
        <w:spacing w:before="120" w:line="493" w:lineRule="exact"/>
        <w:ind w:firstLine="574"/>
        <w:outlineLvl w:val="9"/>
        <w:rPr>
          <w:rFonts w:hint="eastAsia" w:ascii="仿宋" w:hAnsi="仿宋" w:eastAsia="仿宋" w:cs="仿宋"/>
          <w:color w:val="auto"/>
          <w:sz w:val="24"/>
          <w:szCs w:val="24"/>
          <w:highlight w:val="none"/>
        </w:rPr>
      </w:pPr>
      <w:r>
        <w:rPr>
          <w:rFonts w:hint="eastAsia" w:ascii="仿宋" w:hAnsi="仿宋" w:eastAsia="仿宋" w:cs="仿宋"/>
          <w:color w:val="auto"/>
          <w:position w:val="-9"/>
          <w:sz w:val="24"/>
          <w:szCs w:val="24"/>
          <w:highlight w:val="none"/>
        </w:rPr>
        <mc:AlternateContent>
          <mc:Choice Requires="wps">
            <w:drawing>
              <wp:inline distT="0" distB="0" distL="114300" distR="114300">
                <wp:extent cx="2133600" cy="313055"/>
                <wp:effectExtent l="0" t="0" r="0" b="10795"/>
                <wp:docPr id="118" name="文本框 118"/>
                <wp:cNvGraphicFramePr/>
                <a:graphic xmlns:a="http://schemas.openxmlformats.org/drawingml/2006/main">
                  <a:graphicData uri="http://schemas.microsoft.com/office/word/2010/wordprocessingShape">
                    <wps:wsp>
                      <wps:cNvSpPr txBox="1"/>
                      <wps:spPr>
                        <a:xfrm>
                          <a:off x="0" y="0"/>
                          <a:ext cx="2133600" cy="313055"/>
                        </a:xfrm>
                        <a:prstGeom prst="rect">
                          <a:avLst/>
                        </a:prstGeom>
                        <a:solidFill>
                          <a:srgbClr val="C0C0C0"/>
                        </a:solidFill>
                        <a:ln>
                          <a:noFill/>
                        </a:ln>
                      </wps:spPr>
                      <wps:txbx>
                        <w:txbxContent>
                          <w:p w14:paraId="73680A0B">
                            <w:pPr>
                              <w:spacing w:before="171" w:line="219" w:lineRule="auto"/>
                              <w:jc w:val="right"/>
                              <w:rPr>
                                <w:rFonts w:ascii="宋体" w:hAnsi="宋体" w:eastAsia="宋体" w:cs="宋体"/>
                                <w:sz w:val="28"/>
                                <w:szCs w:val="28"/>
                              </w:rPr>
                            </w:pPr>
                            <w:r>
                              <w:rPr>
                                <w:rFonts w:ascii="宋体" w:hAnsi="宋体" w:eastAsia="宋体" w:cs="宋体"/>
                                <w:spacing w:val="-4"/>
                                <w:sz w:val="28"/>
                                <w:szCs w:val="28"/>
                              </w:rPr>
                              <w:t>（报价模式为总价时显示）</w:t>
                            </w:r>
                          </w:p>
                        </w:txbxContent>
                      </wps:txbx>
                      <wps:bodyPr lIns="0" tIns="0" rIns="0" bIns="0" upright="1"/>
                    </wps:wsp>
                  </a:graphicData>
                </a:graphic>
              </wp:inline>
            </w:drawing>
          </mc:Choice>
          <mc:Fallback>
            <w:pict>
              <v:shape id="_x0000_s1026" o:spid="_x0000_s1026" o:spt="202" type="#_x0000_t202" style="height:24.65pt;width:168pt;" fillcolor="#C0C0C0" filled="t" stroked="f" coordsize="21600,21600" o:gfxdata="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ASLOIc1QAAAAQBAAAPAAAAAAAAAAEAIAAAACIAAABk&#10;cnMvZG93bnJldi54bWxQSwECFAAUAAAACACHTuJAkPzJ+9ABAACfAwAADgAAAAAAAAABACAAAAAk&#10;AQAAZHJzL2Uyb0RvYy54bWxQSwUGAAAAAAYABgBZAQAAZgUAAAAA&#10;">
                <v:fill on="t" focussize="0,0"/>
                <v:stroke on="f"/>
                <v:imagedata o:title=""/>
                <o:lock v:ext="edit" aspectratio="f"/>
                <v:textbox inset="0mm,0mm,0mm,0mm">
                  <w:txbxContent>
                    <w:p w14:paraId="73680A0B">
                      <w:pPr>
                        <w:spacing w:before="171" w:line="219" w:lineRule="auto"/>
                        <w:jc w:val="right"/>
                        <w:rPr>
                          <w:rFonts w:ascii="宋体" w:hAnsi="宋体" w:eastAsia="宋体" w:cs="宋体"/>
                          <w:sz w:val="28"/>
                          <w:szCs w:val="28"/>
                        </w:rPr>
                      </w:pPr>
                      <w:r>
                        <w:rPr>
                          <w:rFonts w:ascii="宋体" w:hAnsi="宋体" w:eastAsia="宋体" w:cs="宋体"/>
                          <w:spacing w:val="-4"/>
                          <w:sz w:val="28"/>
                          <w:szCs w:val="28"/>
                        </w:rPr>
                        <w:t>（报价模式为总价时显示）</w:t>
                      </w:r>
                    </w:p>
                  </w:txbxContent>
                </v:textbox>
                <w10:wrap type="none"/>
                <w10:anchorlock/>
              </v:shape>
            </w:pict>
          </mc:Fallback>
        </mc:AlternateContent>
      </w:r>
    </w:p>
    <w:p w14:paraId="54B4B89C">
      <w:pPr>
        <w:pStyle w:val="2"/>
        <w:shd w:val="clear"/>
        <w:spacing w:before="302" w:line="355" w:lineRule="auto"/>
        <w:ind w:left="26" w:right="13" w:firstLine="559"/>
        <w:outlineLvl w:val="9"/>
        <w:rPr>
          <w:rFonts w:hint="eastAsia" w:ascii="仿宋" w:hAnsi="仿宋" w:eastAsia="仿宋" w:cs="仿宋"/>
          <w:b w:val="0"/>
          <w:bCs/>
          <w:color w:val="auto"/>
          <w:kern w:val="2"/>
          <w:sz w:val="24"/>
          <w:szCs w:val="24"/>
          <w:highlight w:val="none"/>
          <w:lang w:val="en-US" w:eastAsia="zh-CN" w:bidi="ar-SA"/>
        </w:rPr>
      </w:pPr>
      <w:r>
        <w:rPr>
          <w:rFonts w:hint="eastAsia" w:ascii="仿宋" w:hAnsi="仿宋" w:eastAsia="仿宋" w:cs="仿宋"/>
          <w:color w:val="auto"/>
          <w:spacing w:val="-4"/>
          <w:sz w:val="24"/>
          <w:szCs w:val="24"/>
          <w:highlight w:val="none"/>
        </w:rPr>
        <w:t>本合同总金额</w:t>
      </w:r>
      <w:r>
        <w:rPr>
          <w:rFonts w:hint="eastAsia" w:ascii="仿宋" w:hAnsi="仿宋" w:eastAsia="仿宋" w:cs="仿宋"/>
          <w:b w:val="0"/>
          <w:bCs/>
          <w:color w:val="auto"/>
          <w:kern w:val="2"/>
          <w:sz w:val="24"/>
          <w:szCs w:val="24"/>
          <w:highlight w:val="none"/>
          <w:lang w:val="en-US" w:eastAsia="zh-CN" w:bidi="ar-SA"/>
        </w:rPr>
        <w:t>为｛（继承信息，不可编辑）XX｝元</w:t>
      </w:r>
      <w:r>
        <w:rPr>
          <w:rFonts w:hint="eastAsia" w:ascii="仿宋" w:hAnsi="仿宋" w:eastAsia="仿宋" w:cs="仿宋"/>
          <w:color w:val="auto"/>
          <w:spacing w:val="-4"/>
          <w:sz w:val="24"/>
          <w:szCs w:val="24"/>
          <w:highlight w:val="none"/>
        </w:rPr>
        <w:t>（大</w:t>
      </w:r>
      <w:r>
        <w:rPr>
          <w:rFonts w:hint="eastAsia" w:ascii="仿宋" w:hAnsi="仿宋" w:eastAsia="仿宋" w:cs="仿宋"/>
          <w:color w:val="auto"/>
          <w:spacing w:val="-5"/>
          <w:sz w:val="24"/>
          <w:szCs w:val="24"/>
          <w:highlight w:val="none"/>
        </w:rPr>
        <w:t>写</w:t>
      </w:r>
      <w:r>
        <w:rPr>
          <w:rFonts w:hint="eastAsia" w:ascii="仿宋" w:hAnsi="仿宋" w:eastAsia="仿宋" w:cs="仿宋"/>
          <w:b w:val="0"/>
          <w:bCs/>
          <w:color w:val="auto"/>
          <w:kern w:val="2"/>
          <w:sz w:val="24"/>
          <w:szCs w:val="24"/>
          <w:highlight w:val="none"/>
          <w:lang w:val="en-US" w:eastAsia="zh-CN" w:bidi="ar-SA"/>
        </w:rPr>
        <w:t>：｛（自动生成，不可编辑）XX｝元。</w:t>
      </w:r>
    </w:p>
    <w:p w14:paraId="273394DA">
      <w:pPr>
        <w:pStyle w:val="2"/>
        <w:shd w:val="clear"/>
        <w:spacing w:before="290" w:line="219" w:lineRule="auto"/>
        <w:ind w:left="672"/>
        <w:outlineLvl w:val="9"/>
        <w:rPr>
          <w:rFonts w:hint="eastAsia" w:ascii="仿宋" w:hAnsi="仿宋" w:eastAsia="仿宋" w:cs="仿宋"/>
          <w:color w:val="auto"/>
          <w:spacing w:val="-9"/>
          <w:sz w:val="24"/>
          <w:szCs w:val="24"/>
          <w:highlight w:val="none"/>
        </w:rPr>
      </w:pPr>
      <w:r>
        <w:rPr>
          <w:rFonts w:hint="eastAsia" w:ascii="仿宋" w:hAnsi="仿宋" w:eastAsia="仿宋" w:cs="仿宋"/>
          <w:color w:val="auto"/>
          <w:spacing w:val="1"/>
          <w:sz w:val="24"/>
          <w:szCs w:val="24"/>
          <w:highlight w:val="none"/>
        </w:rPr>
        <w:t>其他情况说明</w:t>
      </w:r>
      <w:r>
        <w:rPr>
          <w:rFonts w:hint="eastAsia" w:ascii="仿宋" w:hAnsi="仿宋" w:eastAsia="仿宋" w:cs="仿宋"/>
          <w:color w:val="auto"/>
          <w:spacing w:val="-9"/>
          <w:sz w:val="24"/>
          <w:szCs w:val="24"/>
          <w:highlight w:val="none"/>
        </w:rPr>
        <w:t>：</w:t>
      </w:r>
    </w:p>
    <w:p w14:paraId="7B517E16">
      <w:pPr>
        <w:pStyle w:val="9"/>
        <w:shd w:val="clear"/>
        <w:spacing w:line="360" w:lineRule="auto"/>
        <w:ind w:firstLine="472"/>
        <w:jc w:val="both"/>
        <w:rPr>
          <w:rFonts w:hint="eastAsia" w:ascii="仿宋" w:hAnsi="仿宋" w:eastAsia="仿宋" w:cs="仿宋"/>
          <w:color w:val="auto"/>
          <w:sz w:val="24"/>
          <w:szCs w:val="24"/>
          <w:highlight w:val="none"/>
          <w:lang w:val="en-US" w:eastAsia="zh-CN"/>
        </w:rPr>
      </w:pPr>
      <w:r>
        <w:rPr>
          <w:rFonts w:hint="eastAsia" w:ascii="仿宋" w:hAnsi="仿宋" w:eastAsia="仿宋" w:cs="仿宋"/>
          <w:color w:val="auto"/>
          <w:spacing w:val="-9"/>
          <w:sz w:val="24"/>
          <w:szCs w:val="24"/>
          <w:highlight w:val="none"/>
          <w:lang w:eastAsia="zh-CN"/>
        </w:rPr>
        <w:t>（</w:t>
      </w:r>
      <w:r>
        <w:rPr>
          <w:rFonts w:hint="eastAsia" w:ascii="仿宋" w:hAnsi="仿宋" w:eastAsia="仿宋" w:cs="仿宋"/>
          <w:color w:val="auto"/>
          <w:spacing w:val="-9"/>
          <w:sz w:val="24"/>
          <w:szCs w:val="24"/>
          <w:highlight w:val="none"/>
          <w:lang w:val="en-US" w:eastAsia="zh-CN"/>
        </w:rPr>
        <w:t>1</w:t>
      </w:r>
      <w:r>
        <w:rPr>
          <w:rFonts w:hint="eastAsia" w:ascii="仿宋" w:hAnsi="仿宋" w:eastAsia="仿宋" w:cs="仿宋"/>
          <w:color w:val="auto"/>
          <w:spacing w:val="-9"/>
          <w:sz w:val="24"/>
          <w:szCs w:val="24"/>
          <w:highlight w:val="none"/>
          <w:lang w:eastAsia="zh-CN"/>
        </w:rPr>
        <w:t>）</w:t>
      </w:r>
      <w:r>
        <w:rPr>
          <w:rFonts w:hint="eastAsia" w:ascii="仿宋" w:hAnsi="仿宋" w:eastAsia="仿宋" w:cs="仿宋"/>
          <w:color w:val="auto"/>
          <w:sz w:val="24"/>
          <w:szCs w:val="24"/>
          <w:highlight w:val="none"/>
          <w:lang w:val="en-US" w:eastAsia="zh-CN"/>
        </w:rPr>
        <w:t>合同签订并收到乙方提供等额真实有效合法发票或票据后10个工作日内支付合同金额的40%作为预付款。</w:t>
      </w:r>
    </w:p>
    <w:p w14:paraId="58A5DAA1">
      <w:pPr>
        <w:pStyle w:val="9"/>
        <w:shd w:val="clear"/>
        <w:spacing w:line="360" w:lineRule="auto"/>
        <w:ind w:firstLine="472"/>
        <w:jc w:val="both"/>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r>
        <w:rPr>
          <w:rFonts w:ascii="仿宋" w:hAnsi="仿宋" w:eastAsia="仿宋" w:cs="仿宋"/>
          <w:sz w:val="24"/>
          <w:highlight w:val="none"/>
        </w:rPr>
        <w:t>待系统交付、完成并通过验收后，</w:t>
      </w:r>
      <w:r>
        <w:rPr>
          <w:rFonts w:hint="eastAsia" w:ascii="仿宋" w:hAnsi="仿宋" w:eastAsia="仿宋" w:cs="仿宋"/>
          <w:sz w:val="24"/>
          <w:highlight w:val="none"/>
          <w:lang w:eastAsia="zh-CN"/>
        </w:rPr>
        <w:t>甲方</w:t>
      </w:r>
      <w:r>
        <w:rPr>
          <w:rFonts w:ascii="仿宋" w:hAnsi="仿宋" w:eastAsia="仿宋" w:cs="仿宋"/>
          <w:sz w:val="24"/>
          <w:highlight w:val="none"/>
        </w:rPr>
        <w:t>在收到</w:t>
      </w:r>
      <w:r>
        <w:rPr>
          <w:rFonts w:hint="eastAsia" w:ascii="仿宋" w:hAnsi="仿宋" w:eastAsia="仿宋" w:cs="仿宋"/>
          <w:color w:val="auto"/>
          <w:sz w:val="24"/>
          <w:szCs w:val="24"/>
          <w:highlight w:val="none"/>
          <w:lang w:val="en-US" w:eastAsia="zh-CN"/>
        </w:rPr>
        <w:t>乙方</w:t>
      </w:r>
      <w:r>
        <w:rPr>
          <w:rFonts w:ascii="仿宋" w:hAnsi="仿宋" w:eastAsia="仿宋" w:cs="仿宋"/>
          <w:sz w:val="24"/>
          <w:highlight w:val="none"/>
        </w:rPr>
        <w:t>出具的合法有效等额增值税</w:t>
      </w:r>
      <w:r>
        <w:rPr>
          <w:rFonts w:hint="eastAsia" w:ascii="仿宋" w:hAnsi="仿宋" w:eastAsia="仿宋" w:cs="仿宋"/>
          <w:color w:val="auto"/>
          <w:sz w:val="24"/>
          <w:szCs w:val="24"/>
          <w:highlight w:val="none"/>
          <w:lang w:val="en-US" w:eastAsia="zh-CN"/>
        </w:rPr>
        <w:t>发票或票据</w:t>
      </w:r>
      <w:r>
        <w:rPr>
          <w:rFonts w:ascii="仿宋" w:hAnsi="仿宋" w:eastAsia="仿宋" w:cs="仿宋"/>
          <w:sz w:val="24"/>
          <w:highlight w:val="none"/>
        </w:rPr>
        <w:t>后10个工作日内支付合同金额的</w:t>
      </w:r>
      <w:r>
        <w:rPr>
          <w:rFonts w:hint="eastAsia" w:ascii="仿宋" w:hAnsi="仿宋" w:eastAsia="仿宋" w:cs="仿宋"/>
          <w:sz w:val="24"/>
          <w:highlight w:val="none"/>
          <w:lang w:val="en-US" w:eastAsia="zh-CN"/>
        </w:rPr>
        <w:t>5</w:t>
      </w:r>
      <w:r>
        <w:rPr>
          <w:rFonts w:ascii="仿宋" w:hAnsi="仿宋" w:eastAsia="仿宋" w:cs="仿宋"/>
          <w:sz w:val="24"/>
          <w:highlight w:val="none"/>
        </w:rPr>
        <w:t>0%</w:t>
      </w:r>
      <w:r>
        <w:rPr>
          <w:rFonts w:hint="eastAsia" w:ascii="仿宋" w:hAnsi="仿宋" w:eastAsia="仿宋" w:cs="仿宋"/>
          <w:color w:val="auto"/>
          <w:sz w:val="24"/>
          <w:szCs w:val="24"/>
          <w:highlight w:val="none"/>
          <w:lang w:val="en-US" w:eastAsia="zh-CN"/>
        </w:rPr>
        <w:t>。</w:t>
      </w:r>
    </w:p>
    <w:p w14:paraId="07459A39">
      <w:pPr>
        <w:pStyle w:val="9"/>
        <w:shd w:val="clear"/>
        <w:spacing w:line="360" w:lineRule="auto"/>
        <w:ind w:firstLine="472"/>
        <w:jc w:val="both"/>
        <w:rPr>
          <w:rFonts w:hint="eastAsia" w:ascii="仿宋" w:hAnsi="仿宋" w:eastAsia="仿宋" w:cs="仿宋"/>
          <w:color w:val="auto"/>
          <w:sz w:val="24"/>
          <w:szCs w:val="24"/>
          <w:highlight w:val="red"/>
          <w:lang w:val="en-US" w:eastAsia="zh-CN"/>
        </w:rPr>
      </w:pPr>
      <w:r>
        <w:rPr>
          <w:rFonts w:hint="eastAsia" w:ascii="仿宋" w:hAnsi="仿宋" w:eastAsia="仿宋" w:cs="仿宋"/>
          <w:color w:val="auto"/>
          <w:sz w:val="24"/>
          <w:szCs w:val="24"/>
          <w:highlight w:val="none"/>
          <w:lang w:val="en-US" w:eastAsia="zh-CN"/>
        </w:rPr>
        <w:t>（3）等保测评工作完成，提交《等保测评报告》并通过测评后</w:t>
      </w:r>
      <w:r>
        <w:rPr>
          <w:rFonts w:ascii="仿宋" w:hAnsi="仿宋" w:eastAsia="仿宋" w:cs="仿宋"/>
          <w:sz w:val="24"/>
          <w:highlight w:val="none"/>
        </w:rPr>
        <w:t>，</w:t>
      </w:r>
      <w:r>
        <w:rPr>
          <w:rFonts w:hint="eastAsia" w:ascii="仿宋" w:hAnsi="仿宋" w:eastAsia="仿宋" w:cs="仿宋"/>
          <w:sz w:val="24"/>
          <w:highlight w:val="none"/>
          <w:lang w:eastAsia="zh-CN"/>
        </w:rPr>
        <w:t>甲方</w:t>
      </w:r>
      <w:r>
        <w:rPr>
          <w:rFonts w:ascii="仿宋" w:hAnsi="仿宋" w:eastAsia="仿宋" w:cs="仿宋"/>
          <w:sz w:val="24"/>
          <w:highlight w:val="none"/>
        </w:rPr>
        <w:t>在收到</w:t>
      </w:r>
      <w:r>
        <w:rPr>
          <w:rFonts w:hint="eastAsia" w:ascii="仿宋" w:hAnsi="仿宋" w:eastAsia="仿宋" w:cs="仿宋"/>
          <w:color w:val="auto"/>
          <w:sz w:val="24"/>
          <w:szCs w:val="24"/>
          <w:highlight w:val="none"/>
          <w:lang w:val="en-US" w:eastAsia="zh-CN"/>
        </w:rPr>
        <w:t>乙方</w:t>
      </w:r>
      <w:r>
        <w:rPr>
          <w:rFonts w:ascii="仿宋" w:hAnsi="仿宋" w:eastAsia="仿宋" w:cs="仿宋"/>
          <w:sz w:val="24"/>
          <w:highlight w:val="none"/>
        </w:rPr>
        <w:t>出具的合法有效等额增值税</w:t>
      </w:r>
      <w:r>
        <w:rPr>
          <w:rFonts w:hint="eastAsia" w:ascii="仿宋" w:hAnsi="仿宋" w:eastAsia="仿宋" w:cs="仿宋"/>
          <w:color w:val="auto"/>
          <w:sz w:val="24"/>
          <w:szCs w:val="24"/>
          <w:highlight w:val="none"/>
          <w:lang w:val="en-US" w:eastAsia="zh-CN"/>
        </w:rPr>
        <w:t>发票或票据</w:t>
      </w:r>
      <w:r>
        <w:rPr>
          <w:rFonts w:ascii="仿宋" w:hAnsi="仿宋" w:eastAsia="仿宋" w:cs="仿宋"/>
          <w:sz w:val="24"/>
          <w:highlight w:val="none"/>
        </w:rPr>
        <w:t>后10个工作日内支付合同金额的</w:t>
      </w:r>
      <w:r>
        <w:rPr>
          <w:rFonts w:hint="eastAsia" w:ascii="仿宋" w:hAnsi="仿宋" w:eastAsia="仿宋" w:cs="仿宋"/>
          <w:sz w:val="24"/>
          <w:highlight w:val="none"/>
          <w:lang w:val="en-US" w:eastAsia="zh-CN"/>
        </w:rPr>
        <w:t>1</w:t>
      </w:r>
      <w:r>
        <w:rPr>
          <w:rFonts w:ascii="仿宋" w:hAnsi="仿宋" w:eastAsia="仿宋" w:cs="仿宋"/>
          <w:sz w:val="24"/>
          <w:highlight w:val="none"/>
        </w:rPr>
        <w:t>0%</w:t>
      </w:r>
      <w:r>
        <w:rPr>
          <w:rFonts w:hint="eastAsia" w:ascii="仿宋" w:hAnsi="仿宋" w:eastAsia="仿宋" w:cs="仿宋"/>
          <w:color w:val="auto"/>
          <w:sz w:val="24"/>
          <w:szCs w:val="24"/>
          <w:highlight w:val="none"/>
          <w:lang w:val="en-US" w:eastAsia="zh-CN"/>
        </w:rPr>
        <w:t>。</w:t>
      </w:r>
    </w:p>
    <w:p w14:paraId="4E43EC69">
      <w:pPr>
        <w:pStyle w:val="2"/>
        <w:keepNext w:val="0"/>
        <w:keepLines w:val="0"/>
        <w:pageBreakBefore w:val="0"/>
        <w:widowControl w:val="0"/>
        <w:shd w:val="clear"/>
        <w:kinsoku/>
        <w:wordWrap/>
        <w:overflowPunct/>
        <w:topLinePunct w:val="0"/>
        <w:autoSpaceDE/>
        <w:autoSpaceDN/>
        <w:bidi w:val="0"/>
        <w:adjustRightInd/>
        <w:snapToGrid/>
        <w:spacing w:line="360" w:lineRule="auto"/>
        <w:ind w:left="0" w:firstLine="480" w:firstLineChars="200"/>
        <w:textAlignment w:val="auto"/>
        <w:outlineLvl w:val="9"/>
        <w:rPr>
          <w:rFonts w:hint="eastAsia" w:ascii="仿宋" w:hAnsi="仿宋" w:eastAsia="仿宋" w:cs="仿宋"/>
          <w:color w:val="auto"/>
          <w:spacing w:val="-9"/>
          <w:sz w:val="24"/>
          <w:szCs w:val="24"/>
          <w:highlight w:val="none"/>
        </w:rPr>
      </w:pPr>
      <w:r>
        <w:rPr>
          <w:rFonts w:hint="eastAsia" w:ascii="仿宋" w:hAnsi="仿宋" w:eastAsia="仿宋" w:cs="仿宋"/>
          <w:color w:val="auto"/>
          <w:sz w:val="24"/>
          <w:szCs w:val="24"/>
          <w:highlight w:val="none"/>
          <w:lang w:val="en-US" w:eastAsia="zh-CN"/>
        </w:rPr>
        <w:t>（4）支付前提：乙方须提供等额的发票或票据，如因乙方未按要求提供的，甲方有权拒绝支付款项并不承担违约责任</w:t>
      </w:r>
      <w:r>
        <w:rPr>
          <w:rFonts w:hint="eastAsia" w:ascii="仿宋" w:hAnsi="仿宋" w:eastAsia="仿宋" w:cs="仿宋"/>
          <w:color w:val="auto"/>
          <w:spacing w:val="-9"/>
          <w:sz w:val="24"/>
          <w:szCs w:val="24"/>
          <w:highlight w:val="none"/>
        </w:rPr>
        <w:t>。</w:t>
      </w:r>
    </w:p>
    <w:p w14:paraId="2ED3E3B2">
      <w:pPr>
        <w:pStyle w:val="2"/>
        <w:shd w:val="clear"/>
        <w:spacing w:before="292" w:line="220" w:lineRule="auto"/>
        <w:ind w:left="676"/>
        <w:outlineLvl w:val="9"/>
        <w:rPr>
          <w:rFonts w:hint="eastAsia" w:ascii="仿宋" w:hAnsi="仿宋" w:eastAsia="仿宋" w:cs="仿宋"/>
          <w:color w:val="auto"/>
          <w:sz w:val="24"/>
          <w:szCs w:val="24"/>
          <w:highlight w:val="none"/>
        </w:rPr>
      </w:pPr>
      <w:r>
        <w:rPr>
          <w:rFonts w:hint="eastAsia" w:ascii="仿宋" w:hAnsi="仿宋" w:eastAsia="仿宋" w:cs="仿宋"/>
          <w:color w:val="auto"/>
          <w:spacing w:val="-2"/>
          <w:sz w:val="24"/>
          <w:szCs w:val="24"/>
          <w:highlight w:val="none"/>
        </w:rPr>
        <w:t>3.2.支付方式</w:t>
      </w:r>
    </w:p>
    <w:p w14:paraId="5E5650B5">
      <w:pPr>
        <w:pStyle w:val="2"/>
        <w:shd w:val="clear"/>
        <w:spacing w:before="302" w:line="355" w:lineRule="auto"/>
        <w:ind w:left="26" w:right="13" w:firstLine="559"/>
        <w:outlineLvl w:val="9"/>
        <w:rPr>
          <w:rFonts w:hint="eastAsia" w:ascii="仿宋" w:hAnsi="仿宋" w:eastAsia="仿宋" w:cs="仿宋"/>
          <w:b w:val="0"/>
          <w:bCs/>
          <w:color w:val="auto"/>
          <w:kern w:val="2"/>
          <w:sz w:val="24"/>
          <w:szCs w:val="24"/>
          <w:highlight w:val="none"/>
          <w:lang w:val="en-US" w:eastAsia="zh-CN" w:bidi="ar-SA"/>
        </w:rPr>
      </w:pPr>
      <w:r>
        <w:rPr>
          <w:rFonts w:hint="eastAsia" w:ascii="仿宋" w:hAnsi="仿宋" w:eastAsia="仿宋" w:cs="仿宋"/>
          <w:b w:val="0"/>
          <w:bCs/>
          <w:color w:val="auto"/>
          <w:kern w:val="2"/>
          <w:sz w:val="24"/>
          <w:szCs w:val="24"/>
          <w:highlight w:val="none"/>
          <w:lang w:val="en-US" w:eastAsia="zh-CN" w:bidi="ar-SA"/>
        </w:rPr>
        <w:t>{分期付款}</w:t>
      </w:r>
    </w:p>
    <w:p w14:paraId="4DC2A166">
      <w:pPr>
        <w:pStyle w:val="2"/>
        <w:shd w:val="clear"/>
        <w:spacing w:before="291" w:line="220" w:lineRule="auto"/>
        <w:ind w:left="676"/>
        <w:outlineLvl w:val="9"/>
        <w:rPr>
          <w:rFonts w:hint="eastAsia" w:ascii="仿宋" w:hAnsi="仿宋" w:eastAsia="仿宋" w:cs="仿宋"/>
          <w:color w:val="auto"/>
          <w:sz w:val="24"/>
          <w:szCs w:val="24"/>
          <w:highlight w:val="none"/>
        </w:rPr>
      </w:pPr>
      <w:r>
        <w:rPr>
          <w:rFonts w:hint="eastAsia" w:ascii="仿宋" w:hAnsi="仿宋" w:eastAsia="仿宋" w:cs="仿宋"/>
          <w:color w:val="auto"/>
          <w:spacing w:val="-2"/>
          <w:sz w:val="24"/>
          <w:szCs w:val="24"/>
          <w:highlight w:val="none"/>
        </w:rPr>
        <w:t>3.3.付款进度安排</w:t>
      </w:r>
    </w:p>
    <w:p w14:paraId="6279C5CC">
      <w:pPr>
        <w:shd w:val="clear"/>
        <w:spacing w:line="117" w:lineRule="exact"/>
        <w:outlineLvl w:val="9"/>
        <w:rPr>
          <w:rFonts w:hint="eastAsia" w:ascii="仿宋" w:hAnsi="仿宋" w:eastAsia="仿宋" w:cs="仿宋"/>
          <w:color w:val="auto"/>
          <w:sz w:val="24"/>
          <w:szCs w:val="24"/>
          <w:highlight w:val="none"/>
        </w:rPr>
      </w:pPr>
    </w:p>
    <w:tbl>
      <w:tblPr>
        <w:tblStyle w:val="8"/>
        <w:tblW w:w="8082" w:type="dxa"/>
        <w:tblInd w:w="2" w:type="dxa"/>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Layout w:type="fixed"/>
        <w:tblCellMar>
          <w:top w:w="0" w:type="dxa"/>
          <w:left w:w="0" w:type="dxa"/>
          <w:bottom w:w="0" w:type="dxa"/>
          <w:right w:w="0" w:type="dxa"/>
        </w:tblCellMar>
      </w:tblPr>
      <w:tblGrid>
        <w:gridCol w:w="664"/>
        <w:gridCol w:w="1653"/>
        <w:gridCol w:w="1189"/>
        <w:gridCol w:w="1653"/>
        <w:gridCol w:w="1459"/>
        <w:gridCol w:w="1464"/>
      </w:tblGrid>
      <w:tr w14:paraId="13D74C73">
        <w:tblPrEx>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CellMar>
            <w:top w:w="0" w:type="dxa"/>
            <w:left w:w="0" w:type="dxa"/>
            <w:bottom w:w="0" w:type="dxa"/>
            <w:right w:w="0" w:type="dxa"/>
          </w:tblCellMar>
        </w:tblPrEx>
        <w:trPr>
          <w:trHeight w:val="752" w:hRule="atLeast"/>
        </w:trPr>
        <w:tc>
          <w:tcPr>
            <w:tcW w:w="664" w:type="dxa"/>
            <w:noWrap w:val="0"/>
            <w:vAlign w:val="top"/>
          </w:tcPr>
          <w:p w14:paraId="411BCA07">
            <w:pPr>
              <w:pStyle w:val="7"/>
              <w:shd w:val="clear"/>
              <w:spacing w:before="281" w:line="230" w:lineRule="auto"/>
              <w:ind w:left="148"/>
              <w:outlineLvl w:val="9"/>
              <w:rPr>
                <w:rFonts w:hint="eastAsia" w:ascii="仿宋" w:hAnsi="仿宋" w:eastAsia="仿宋" w:cs="仿宋"/>
                <w:color w:val="auto"/>
                <w:sz w:val="24"/>
                <w:szCs w:val="24"/>
                <w:highlight w:val="none"/>
              </w:rPr>
            </w:pPr>
            <w:r>
              <w:rPr>
                <w:rFonts w:hint="eastAsia" w:ascii="仿宋" w:hAnsi="仿宋" w:eastAsia="仿宋" w:cs="仿宋"/>
                <w:b/>
                <w:bCs/>
                <w:color w:val="auto"/>
                <w:spacing w:val="3"/>
                <w:sz w:val="24"/>
                <w:szCs w:val="24"/>
                <w:highlight w:val="none"/>
              </w:rPr>
              <w:t>期次</w:t>
            </w:r>
          </w:p>
        </w:tc>
        <w:tc>
          <w:tcPr>
            <w:tcW w:w="1653" w:type="dxa"/>
            <w:noWrap w:val="0"/>
            <w:vAlign w:val="top"/>
          </w:tcPr>
          <w:p w14:paraId="4D35AA9A">
            <w:pPr>
              <w:pStyle w:val="7"/>
              <w:shd w:val="clear"/>
              <w:spacing w:before="281" w:line="230" w:lineRule="auto"/>
              <w:ind w:left="227"/>
              <w:outlineLvl w:val="9"/>
              <w:rPr>
                <w:rFonts w:hint="eastAsia" w:ascii="仿宋" w:hAnsi="仿宋" w:eastAsia="仿宋" w:cs="仿宋"/>
                <w:color w:val="auto"/>
                <w:sz w:val="24"/>
                <w:szCs w:val="24"/>
                <w:highlight w:val="none"/>
              </w:rPr>
            </w:pPr>
            <w:r>
              <w:rPr>
                <w:rFonts w:hint="eastAsia" w:ascii="仿宋" w:hAnsi="仿宋" w:eastAsia="仿宋" w:cs="仿宋"/>
                <w:b/>
                <w:bCs/>
                <w:color w:val="auto"/>
                <w:spacing w:val="5"/>
                <w:sz w:val="24"/>
                <w:szCs w:val="24"/>
                <w:highlight w:val="none"/>
              </w:rPr>
              <w:t>支付金额（元）</w:t>
            </w:r>
          </w:p>
        </w:tc>
        <w:tc>
          <w:tcPr>
            <w:tcW w:w="1189" w:type="dxa"/>
            <w:noWrap w:val="0"/>
            <w:vAlign w:val="top"/>
          </w:tcPr>
          <w:p w14:paraId="295B2A03">
            <w:pPr>
              <w:pStyle w:val="7"/>
              <w:shd w:val="clear"/>
              <w:spacing w:before="125" w:line="316" w:lineRule="auto"/>
              <w:ind w:left="101" w:right="138" w:hanging="2"/>
              <w:outlineLvl w:val="9"/>
              <w:rPr>
                <w:rFonts w:hint="eastAsia" w:ascii="仿宋" w:hAnsi="仿宋" w:eastAsia="仿宋" w:cs="仿宋"/>
                <w:color w:val="auto"/>
                <w:sz w:val="24"/>
                <w:szCs w:val="24"/>
                <w:highlight w:val="none"/>
              </w:rPr>
            </w:pPr>
            <w:r>
              <w:rPr>
                <w:rFonts w:hint="eastAsia" w:ascii="仿宋" w:hAnsi="仿宋" w:eastAsia="仿宋" w:cs="仿宋"/>
                <w:b/>
                <w:bCs/>
                <w:color w:val="auto"/>
                <w:spacing w:val="7"/>
                <w:sz w:val="24"/>
                <w:szCs w:val="24"/>
                <w:highlight w:val="none"/>
              </w:rPr>
              <w:t>计划支付日</w:t>
            </w:r>
            <w:r>
              <w:rPr>
                <w:rFonts w:hint="eastAsia" w:ascii="仿宋" w:hAnsi="仿宋" w:eastAsia="仿宋" w:cs="仿宋"/>
                <w:b/>
                <w:bCs/>
                <w:color w:val="auto"/>
                <w:spacing w:val="-2"/>
                <w:sz w:val="24"/>
                <w:szCs w:val="24"/>
                <w:highlight w:val="none"/>
              </w:rPr>
              <w:t>期</w:t>
            </w:r>
          </w:p>
        </w:tc>
        <w:tc>
          <w:tcPr>
            <w:tcW w:w="1653" w:type="dxa"/>
            <w:noWrap w:val="0"/>
            <w:vAlign w:val="top"/>
          </w:tcPr>
          <w:p w14:paraId="51689B24">
            <w:pPr>
              <w:pStyle w:val="7"/>
              <w:shd w:val="clear"/>
              <w:spacing w:before="281" w:line="230" w:lineRule="auto"/>
              <w:ind w:left="107"/>
              <w:outlineLvl w:val="9"/>
              <w:rPr>
                <w:rFonts w:hint="eastAsia" w:ascii="仿宋" w:hAnsi="仿宋" w:eastAsia="仿宋" w:cs="仿宋"/>
                <w:color w:val="auto"/>
                <w:sz w:val="24"/>
                <w:szCs w:val="24"/>
                <w:highlight w:val="none"/>
              </w:rPr>
            </w:pPr>
            <w:r>
              <w:rPr>
                <w:rFonts w:hint="eastAsia" w:ascii="仿宋" w:hAnsi="仿宋" w:eastAsia="仿宋" w:cs="仿宋"/>
                <w:b/>
                <w:bCs/>
                <w:color w:val="auto"/>
                <w:spacing w:val="3"/>
                <w:sz w:val="24"/>
                <w:szCs w:val="24"/>
                <w:highlight w:val="none"/>
              </w:rPr>
              <w:t>收款人</w:t>
            </w:r>
          </w:p>
        </w:tc>
        <w:tc>
          <w:tcPr>
            <w:tcW w:w="1459" w:type="dxa"/>
            <w:noWrap w:val="0"/>
            <w:vAlign w:val="top"/>
          </w:tcPr>
          <w:p w14:paraId="688CB94E">
            <w:pPr>
              <w:pStyle w:val="7"/>
              <w:shd w:val="clear"/>
              <w:spacing w:before="281" w:line="230" w:lineRule="auto"/>
              <w:ind w:left="102"/>
              <w:outlineLvl w:val="9"/>
              <w:rPr>
                <w:rFonts w:hint="eastAsia" w:ascii="仿宋" w:hAnsi="仿宋" w:eastAsia="仿宋" w:cs="仿宋"/>
                <w:color w:val="auto"/>
                <w:sz w:val="24"/>
                <w:szCs w:val="24"/>
                <w:highlight w:val="none"/>
              </w:rPr>
            </w:pPr>
            <w:r>
              <w:rPr>
                <w:rFonts w:hint="eastAsia" w:ascii="仿宋" w:hAnsi="仿宋" w:eastAsia="仿宋" w:cs="仿宋"/>
                <w:b/>
                <w:bCs/>
                <w:color w:val="auto"/>
                <w:spacing w:val="6"/>
                <w:sz w:val="24"/>
                <w:szCs w:val="24"/>
                <w:highlight w:val="none"/>
              </w:rPr>
              <w:t>支付说明</w:t>
            </w:r>
          </w:p>
        </w:tc>
        <w:tc>
          <w:tcPr>
            <w:tcW w:w="1464" w:type="dxa"/>
            <w:noWrap w:val="0"/>
            <w:vAlign w:val="top"/>
          </w:tcPr>
          <w:p w14:paraId="4AB615AB">
            <w:pPr>
              <w:pStyle w:val="7"/>
              <w:shd w:val="clear"/>
              <w:spacing w:before="281" w:line="230" w:lineRule="auto"/>
              <w:ind w:left="105"/>
              <w:outlineLvl w:val="9"/>
              <w:rPr>
                <w:rFonts w:hint="eastAsia" w:ascii="仿宋" w:hAnsi="仿宋" w:eastAsia="仿宋" w:cs="仿宋"/>
                <w:color w:val="auto"/>
                <w:sz w:val="24"/>
                <w:szCs w:val="24"/>
                <w:highlight w:val="none"/>
              </w:rPr>
            </w:pPr>
            <w:r>
              <w:rPr>
                <w:rFonts w:hint="eastAsia" w:ascii="仿宋" w:hAnsi="仿宋" w:eastAsia="仿宋" w:cs="仿宋"/>
                <w:b/>
                <w:bCs/>
                <w:color w:val="auto"/>
                <w:spacing w:val="6"/>
                <w:sz w:val="24"/>
                <w:szCs w:val="24"/>
                <w:highlight w:val="none"/>
              </w:rPr>
              <w:t>是否预付款</w:t>
            </w:r>
          </w:p>
        </w:tc>
      </w:tr>
      <w:tr w14:paraId="1DD5BE44">
        <w:tblPrEx>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CellMar>
            <w:top w:w="0" w:type="dxa"/>
            <w:left w:w="0" w:type="dxa"/>
            <w:bottom w:w="0" w:type="dxa"/>
            <w:right w:w="0" w:type="dxa"/>
          </w:tblCellMar>
        </w:tblPrEx>
        <w:trPr>
          <w:trHeight w:val="1266" w:hRule="atLeast"/>
        </w:trPr>
        <w:tc>
          <w:tcPr>
            <w:tcW w:w="664" w:type="dxa"/>
            <w:noWrap w:val="0"/>
            <w:vAlign w:val="top"/>
          </w:tcPr>
          <w:p w14:paraId="656179B2">
            <w:pPr>
              <w:shd w:val="clear"/>
              <w:spacing w:line="475" w:lineRule="auto"/>
              <w:outlineLvl w:val="9"/>
              <w:rPr>
                <w:rFonts w:hint="eastAsia" w:ascii="仿宋" w:hAnsi="仿宋" w:eastAsia="仿宋" w:cs="仿宋"/>
                <w:color w:val="auto"/>
                <w:sz w:val="24"/>
                <w:szCs w:val="24"/>
                <w:highlight w:val="none"/>
              </w:rPr>
            </w:pPr>
          </w:p>
          <w:p w14:paraId="508810A0">
            <w:pPr>
              <w:pStyle w:val="7"/>
              <w:shd w:val="clear"/>
              <w:spacing w:before="59" w:line="245" w:lineRule="exact"/>
              <w:ind w:left="302"/>
              <w:outlineLvl w:val="9"/>
              <w:rPr>
                <w:rFonts w:hint="eastAsia" w:ascii="仿宋" w:hAnsi="仿宋" w:eastAsia="仿宋" w:cs="仿宋"/>
                <w:color w:val="auto"/>
                <w:sz w:val="24"/>
                <w:szCs w:val="24"/>
                <w:highlight w:val="none"/>
              </w:rPr>
            </w:pPr>
            <w:r>
              <w:rPr>
                <w:rFonts w:hint="eastAsia" w:ascii="仿宋" w:hAnsi="仿宋" w:eastAsia="仿宋" w:cs="仿宋"/>
                <w:color w:val="auto"/>
                <w:position w:val="1"/>
                <w:sz w:val="24"/>
                <w:szCs w:val="24"/>
                <w:highlight w:val="none"/>
              </w:rPr>
              <w:t>1</w:t>
            </w:r>
          </w:p>
        </w:tc>
        <w:tc>
          <w:tcPr>
            <w:tcW w:w="1653" w:type="dxa"/>
            <w:noWrap w:val="0"/>
            <w:vAlign w:val="top"/>
          </w:tcPr>
          <w:p w14:paraId="2F531A2E">
            <w:pPr>
              <w:pStyle w:val="7"/>
              <w:shd w:val="clear"/>
              <w:tabs>
                <w:tab w:val="left" w:pos="191"/>
              </w:tabs>
              <w:spacing w:before="59" w:line="322" w:lineRule="auto"/>
              <w:ind w:left="98" w:right="94" w:hanging="7"/>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shd w:val="clear" w:color="auto" w:fill="FFFF00"/>
              </w:rPr>
              <w:tab/>
            </w:r>
            <w:r>
              <w:rPr>
                <w:rFonts w:hint="eastAsia" w:ascii="仿宋" w:hAnsi="仿宋" w:eastAsia="仿宋" w:cs="仿宋"/>
                <w:b w:val="0"/>
                <w:bCs/>
                <w:color w:val="auto"/>
                <w:kern w:val="2"/>
                <w:sz w:val="24"/>
                <w:szCs w:val="24"/>
                <w:highlight w:val="none"/>
                <w:lang w:val="en-US" w:eastAsia="zh-CN" w:bidi="ar-SA"/>
              </w:rPr>
              <w:tab/>
            </w:r>
            <w:r>
              <w:rPr>
                <w:rFonts w:hint="eastAsia" w:ascii="仿宋" w:hAnsi="仿宋" w:eastAsia="仿宋" w:cs="仿宋"/>
                <w:b w:val="0"/>
                <w:bCs/>
                <w:color w:val="auto"/>
                <w:kern w:val="2"/>
                <w:sz w:val="24"/>
                <w:szCs w:val="24"/>
                <w:highlight w:val="none"/>
                <w:lang w:val="en-US" w:eastAsia="zh-CN" w:bidi="ar-SA"/>
              </w:rPr>
              <w:t>｛（采购人自行编辑）XX｝</w:t>
            </w:r>
          </w:p>
        </w:tc>
        <w:tc>
          <w:tcPr>
            <w:tcW w:w="1189" w:type="dxa"/>
            <w:noWrap w:val="0"/>
            <w:vAlign w:val="top"/>
          </w:tcPr>
          <w:p w14:paraId="5093238D">
            <w:pPr>
              <w:pStyle w:val="7"/>
              <w:shd w:val="clear"/>
              <w:spacing w:before="164" w:line="240" w:lineRule="auto"/>
              <w:ind w:firstLine="92"/>
              <w:outlineLvl w:val="9"/>
              <w:rPr>
                <w:rFonts w:hint="eastAsia" w:ascii="仿宋" w:hAnsi="仿宋" w:eastAsia="仿宋" w:cs="仿宋"/>
                <w:color w:val="auto"/>
                <w:sz w:val="24"/>
                <w:szCs w:val="24"/>
                <w:highlight w:val="none"/>
              </w:rPr>
            </w:pPr>
          </w:p>
        </w:tc>
        <w:tc>
          <w:tcPr>
            <w:tcW w:w="1653" w:type="dxa"/>
            <w:noWrap w:val="0"/>
            <w:vAlign w:val="top"/>
          </w:tcPr>
          <w:p w14:paraId="49DF69B7">
            <w:pPr>
              <w:shd w:val="clear"/>
              <w:spacing w:line="318" w:lineRule="auto"/>
              <w:outlineLvl w:val="9"/>
              <w:rPr>
                <w:rFonts w:hint="eastAsia" w:ascii="仿宋" w:hAnsi="仿宋" w:eastAsia="仿宋" w:cs="仿宋"/>
                <w:color w:val="auto"/>
                <w:sz w:val="24"/>
                <w:szCs w:val="24"/>
                <w:highlight w:val="none"/>
              </w:rPr>
            </w:pPr>
          </w:p>
          <w:p w14:paraId="68FC3F19">
            <w:pPr>
              <w:pStyle w:val="7"/>
              <w:shd w:val="clear"/>
              <w:spacing w:line="591" w:lineRule="exact"/>
              <w:ind w:firstLine="93"/>
              <w:outlineLvl w:val="9"/>
              <w:rPr>
                <w:rFonts w:hint="eastAsia" w:ascii="仿宋" w:hAnsi="仿宋" w:eastAsia="仿宋" w:cs="仿宋"/>
                <w:color w:val="auto"/>
                <w:sz w:val="24"/>
                <w:szCs w:val="24"/>
                <w:highlight w:val="none"/>
              </w:rPr>
            </w:pPr>
            <w:r>
              <w:rPr>
                <w:rFonts w:hint="eastAsia" w:ascii="仿宋" w:hAnsi="仿宋" w:eastAsia="仿宋" w:cs="仿宋"/>
                <w:b w:val="0"/>
                <w:bCs/>
                <w:color w:val="auto"/>
                <w:kern w:val="2"/>
                <w:sz w:val="24"/>
                <w:szCs w:val="24"/>
                <w:highlight w:val="none"/>
                <w:lang w:val="en-US" w:eastAsia="zh-CN" w:bidi="ar-SA"/>
              </w:rPr>
              <w:t>（采购人选择供应商名称）XX</w:t>
            </w:r>
            <w:r>
              <w:rPr>
                <w:rFonts w:ascii="宋体" w:hAnsi="宋体" w:eastAsia="宋体" w:cs="宋体"/>
                <w:spacing w:val="8"/>
                <w:sz w:val="18"/>
                <w:szCs w:val="18"/>
              </w:rPr>
              <w:t>｝</w:t>
            </w:r>
          </w:p>
        </w:tc>
        <w:tc>
          <w:tcPr>
            <w:tcW w:w="1459" w:type="dxa"/>
            <w:noWrap w:val="0"/>
            <w:vAlign w:val="top"/>
          </w:tcPr>
          <w:p w14:paraId="0EA0A62B">
            <w:pPr>
              <w:pStyle w:val="7"/>
              <w:shd w:val="clear"/>
              <w:spacing w:before="164" w:line="240" w:lineRule="auto"/>
              <w:outlineLvl w:val="9"/>
              <w:rPr>
                <w:rFonts w:hint="eastAsia" w:ascii="仿宋" w:hAnsi="仿宋" w:eastAsia="仿宋" w:cs="仿宋"/>
                <w:color w:val="auto"/>
                <w:sz w:val="24"/>
                <w:szCs w:val="24"/>
                <w:highlight w:val="none"/>
              </w:rPr>
            </w:pPr>
            <w:bookmarkStart w:id="0" w:name="_GoBack"/>
            <w:bookmarkEnd w:id="0"/>
          </w:p>
        </w:tc>
        <w:tc>
          <w:tcPr>
            <w:tcW w:w="1464" w:type="dxa"/>
            <w:noWrap w:val="0"/>
            <w:vAlign w:val="top"/>
          </w:tcPr>
          <w:p w14:paraId="789CACF0">
            <w:pPr>
              <w:pStyle w:val="7"/>
              <w:shd w:val="clear"/>
              <w:spacing w:line="591" w:lineRule="exact"/>
              <w:jc w:val="center"/>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是</w:t>
            </w:r>
          </w:p>
        </w:tc>
      </w:tr>
      <w:tr w14:paraId="6EFEC250">
        <w:tblPrEx>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CellMar>
            <w:top w:w="0" w:type="dxa"/>
            <w:left w:w="0" w:type="dxa"/>
            <w:bottom w:w="0" w:type="dxa"/>
            <w:right w:w="0" w:type="dxa"/>
          </w:tblCellMar>
        </w:tblPrEx>
        <w:trPr>
          <w:trHeight w:val="1266" w:hRule="atLeast"/>
        </w:trPr>
        <w:tc>
          <w:tcPr>
            <w:tcW w:w="664" w:type="dxa"/>
            <w:noWrap w:val="0"/>
            <w:vAlign w:val="top"/>
          </w:tcPr>
          <w:p w14:paraId="7392C86C">
            <w:pPr>
              <w:pStyle w:val="7"/>
              <w:shd w:val="clear"/>
              <w:spacing w:before="59" w:line="245" w:lineRule="exact"/>
              <w:ind w:left="302"/>
              <w:outlineLvl w:val="9"/>
              <w:rPr>
                <w:rFonts w:hint="eastAsia" w:ascii="仿宋" w:hAnsi="仿宋" w:eastAsia="仿宋" w:cs="仿宋"/>
                <w:color w:val="auto"/>
                <w:position w:val="1"/>
                <w:sz w:val="24"/>
                <w:szCs w:val="24"/>
                <w:highlight w:val="none"/>
                <w:lang w:val="en-US" w:eastAsia="zh-CN"/>
              </w:rPr>
            </w:pPr>
            <w:r>
              <w:rPr>
                <w:rFonts w:hint="eastAsia" w:ascii="仿宋" w:hAnsi="仿宋" w:eastAsia="仿宋" w:cs="仿宋"/>
                <w:color w:val="auto"/>
                <w:position w:val="1"/>
                <w:sz w:val="24"/>
                <w:szCs w:val="24"/>
                <w:highlight w:val="none"/>
                <w:lang w:val="en-US" w:eastAsia="zh-CN"/>
              </w:rPr>
              <w:t>2</w:t>
            </w:r>
          </w:p>
        </w:tc>
        <w:tc>
          <w:tcPr>
            <w:tcW w:w="1653" w:type="dxa"/>
            <w:noWrap w:val="0"/>
            <w:vAlign w:val="top"/>
          </w:tcPr>
          <w:p w14:paraId="5DDF032D">
            <w:pPr>
              <w:pStyle w:val="7"/>
              <w:shd w:val="clear"/>
              <w:tabs>
                <w:tab w:val="left" w:pos="191"/>
              </w:tabs>
              <w:spacing w:before="59" w:line="322" w:lineRule="auto"/>
              <w:ind w:left="98" w:right="94" w:hanging="7"/>
              <w:outlineLvl w:val="9"/>
              <w:rPr>
                <w:rFonts w:hint="eastAsia" w:ascii="仿宋" w:hAnsi="仿宋" w:eastAsia="仿宋" w:cs="仿宋"/>
                <w:color w:val="auto"/>
                <w:sz w:val="24"/>
                <w:szCs w:val="24"/>
                <w:highlight w:val="none"/>
                <w:shd w:val="clear" w:color="auto" w:fill="FFFF00"/>
              </w:rPr>
            </w:pPr>
            <w:r>
              <w:rPr>
                <w:rFonts w:hint="eastAsia" w:ascii="仿宋" w:hAnsi="仿宋" w:eastAsia="仿宋" w:cs="仿宋"/>
                <w:b w:val="0"/>
                <w:bCs/>
                <w:color w:val="auto"/>
                <w:kern w:val="2"/>
                <w:sz w:val="24"/>
                <w:szCs w:val="24"/>
                <w:highlight w:val="none"/>
                <w:lang w:val="en-US" w:eastAsia="zh-CN" w:bidi="ar-SA"/>
              </w:rPr>
              <w:t>｛（采购人自行编辑）XX｝</w:t>
            </w:r>
          </w:p>
        </w:tc>
        <w:tc>
          <w:tcPr>
            <w:tcW w:w="1189" w:type="dxa"/>
            <w:noWrap w:val="0"/>
            <w:vAlign w:val="top"/>
          </w:tcPr>
          <w:p w14:paraId="5D77FFB5">
            <w:pPr>
              <w:pStyle w:val="7"/>
              <w:shd w:val="clear"/>
              <w:spacing w:before="164" w:line="240" w:lineRule="auto"/>
              <w:ind w:firstLine="92"/>
              <w:outlineLvl w:val="9"/>
              <w:rPr>
                <w:rFonts w:hint="eastAsia" w:ascii="仿宋" w:hAnsi="仿宋" w:eastAsia="仿宋" w:cs="仿宋"/>
                <w:color w:val="auto"/>
                <w:spacing w:val="-9"/>
                <w:kern w:val="2"/>
                <w:sz w:val="24"/>
                <w:szCs w:val="24"/>
                <w:highlight w:val="none"/>
                <w:lang w:val="en-US" w:eastAsia="zh-CN" w:bidi="ar-SA"/>
              </w:rPr>
            </w:pPr>
          </w:p>
        </w:tc>
        <w:tc>
          <w:tcPr>
            <w:tcW w:w="1653" w:type="dxa"/>
            <w:noWrap w:val="0"/>
            <w:vAlign w:val="top"/>
          </w:tcPr>
          <w:p w14:paraId="466670E2">
            <w:pPr>
              <w:pStyle w:val="7"/>
              <w:shd w:val="clear"/>
              <w:spacing w:line="591" w:lineRule="exact"/>
              <w:ind w:firstLine="93"/>
              <w:outlineLvl w:val="9"/>
              <w:rPr>
                <w:rFonts w:hint="eastAsia" w:ascii="仿宋" w:hAnsi="仿宋" w:eastAsia="仿宋" w:cs="仿宋"/>
                <w:color w:val="auto"/>
                <w:position w:val="-11"/>
                <w:sz w:val="24"/>
                <w:szCs w:val="24"/>
                <w:highlight w:val="none"/>
              </w:rPr>
            </w:pPr>
            <w:r>
              <w:rPr>
                <w:rFonts w:hint="eastAsia" w:ascii="仿宋" w:hAnsi="仿宋" w:eastAsia="仿宋" w:cs="仿宋"/>
                <w:b w:val="0"/>
                <w:bCs/>
                <w:color w:val="auto"/>
                <w:kern w:val="2"/>
                <w:sz w:val="24"/>
                <w:szCs w:val="24"/>
                <w:highlight w:val="none"/>
                <w:lang w:val="en-US" w:eastAsia="zh-CN" w:bidi="ar-SA"/>
              </w:rPr>
              <w:t>（采购人选择供应商名称）XX</w:t>
            </w:r>
            <w:r>
              <w:rPr>
                <w:rFonts w:ascii="宋体" w:hAnsi="宋体" w:eastAsia="宋体" w:cs="宋体"/>
                <w:spacing w:val="8"/>
                <w:sz w:val="18"/>
                <w:szCs w:val="18"/>
              </w:rPr>
              <w:t>｝</w:t>
            </w:r>
          </w:p>
        </w:tc>
        <w:tc>
          <w:tcPr>
            <w:tcW w:w="1459" w:type="dxa"/>
            <w:noWrap w:val="0"/>
            <w:vAlign w:val="top"/>
          </w:tcPr>
          <w:p w14:paraId="5DF32206">
            <w:pPr>
              <w:pStyle w:val="7"/>
              <w:shd w:val="clear"/>
              <w:spacing w:before="164" w:line="240" w:lineRule="auto"/>
              <w:outlineLvl w:val="9"/>
              <w:rPr>
                <w:rFonts w:hint="eastAsia" w:ascii="仿宋" w:hAnsi="仿宋" w:eastAsia="仿宋" w:cs="仿宋"/>
                <w:color w:val="auto"/>
                <w:spacing w:val="-9"/>
                <w:kern w:val="2"/>
                <w:sz w:val="24"/>
                <w:szCs w:val="24"/>
                <w:highlight w:val="none"/>
                <w:lang w:val="en-US" w:eastAsia="zh-CN" w:bidi="ar-SA"/>
              </w:rPr>
            </w:pPr>
          </w:p>
        </w:tc>
        <w:tc>
          <w:tcPr>
            <w:tcW w:w="1464" w:type="dxa"/>
            <w:noWrap w:val="0"/>
            <w:vAlign w:val="top"/>
          </w:tcPr>
          <w:p w14:paraId="58FE0963">
            <w:pPr>
              <w:pStyle w:val="7"/>
              <w:shd w:val="clear"/>
              <w:spacing w:line="591" w:lineRule="exact"/>
              <w:jc w:val="center"/>
              <w:outlineLvl w:val="9"/>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r>
      <w:tr w14:paraId="2EDF9BE6">
        <w:tblPrEx>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CellMar>
            <w:top w:w="0" w:type="dxa"/>
            <w:left w:w="0" w:type="dxa"/>
            <w:bottom w:w="0" w:type="dxa"/>
            <w:right w:w="0" w:type="dxa"/>
          </w:tblCellMar>
        </w:tblPrEx>
        <w:trPr>
          <w:trHeight w:val="1266" w:hRule="atLeast"/>
        </w:trPr>
        <w:tc>
          <w:tcPr>
            <w:tcW w:w="664" w:type="dxa"/>
            <w:noWrap w:val="0"/>
            <w:vAlign w:val="top"/>
          </w:tcPr>
          <w:p w14:paraId="0D958D87">
            <w:pPr>
              <w:pStyle w:val="7"/>
              <w:shd w:val="clear"/>
              <w:spacing w:before="59" w:line="245" w:lineRule="exact"/>
              <w:ind w:left="302"/>
              <w:outlineLvl w:val="9"/>
              <w:rPr>
                <w:rFonts w:hint="default" w:ascii="仿宋" w:hAnsi="仿宋" w:eastAsia="仿宋" w:cs="仿宋"/>
                <w:color w:val="auto"/>
                <w:position w:val="1"/>
                <w:sz w:val="24"/>
                <w:szCs w:val="24"/>
                <w:highlight w:val="none"/>
                <w:lang w:val="en-US" w:eastAsia="zh-CN"/>
              </w:rPr>
            </w:pPr>
            <w:r>
              <w:rPr>
                <w:rFonts w:hint="eastAsia" w:ascii="仿宋" w:hAnsi="仿宋" w:eastAsia="仿宋" w:cs="仿宋"/>
                <w:color w:val="auto"/>
                <w:position w:val="1"/>
                <w:sz w:val="24"/>
                <w:szCs w:val="24"/>
                <w:highlight w:val="none"/>
                <w:lang w:val="en-US" w:eastAsia="zh-CN"/>
              </w:rPr>
              <w:t>3</w:t>
            </w:r>
          </w:p>
        </w:tc>
        <w:tc>
          <w:tcPr>
            <w:tcW w:w="1653" w:type="dxa"/>
            <w:shd w:val="clear" w:color="auto" w:fill="auto"/>
            <w:noWrap w:val="0"/>
            <w:vAlign w:val="top"/>
          </w:tcPr>
          <w:p w14:paraId="57824831">
            <w:pPr>
              <w:pStyle w:val="7"/>
              <w:shd w:val="clear"/>
              <w:tabs>
                <w:tab w:val="left" w:pos="191"/>
              </w:tabs>
              <w:spacing w:before="59" w:line="322" w:lineRule="auto"/>
              <w:ind w:left="98" w:leftChars="0" w:right="94" w:rightChars="0" w:hanging="7" w:firstLineChars="0"/>
              <w:outlineLvl w:val="9"/>
              <w:rPr>
                <w:rFonts w:hint="eastAsia" w:ascii="仿宋" w:hAnsi="仿宋" w:eastAsia="仿宋" w:cs="仿宋"/>
                <w:color w:val="auto"/>
                <w:kern w:val="2"/>
                <w:sz w:val="24"/>
                <w:szCs w:val="24"/>
                <w:highlight w:val="none"/>
                <w:shd w:val="clear" w:color="auto" w:fill="FFFF00"/>
                <w:lang w:val="en-US" w:eastAsia="zh-CN" w:bidi="ar-SA"/>
              </w:rPr>
            </w:pPr>
            <w:r>
              <w:rPr>
                <w:rFonts w:hint="eastAsia" w:ascii="仿宋" w:hAnsi="仿宋" w:eastAsia="仿宋" w:cs="仿宋"/>
                <w:b w:val="0"/>
                <w:bCs/>
                <w:color w:val="auto"/>
                <w:kern w:val="2"/>
                <w:sz w:val="24"/>
                <w:szCs w:val="24"/>
                <w:highlight w:val="none"/>
                <w:lang w:val="en-US" w:eastAsia="zh-CN" w:bidi="ar-SA"/>
              </w:rPr>
              <w:t>｛（采购人自行编辑）XX｝</w:t>
            </w:r>
          </w:p>
        </w:tc>
        <w:tc>
          <w:tcPr>
            <w:tcW w:w="1189" w:type="dxa"/>
            <w:shd w:val="clear" w:color="auto" w:fill="auto"/>
            <w:noWrap w:val="0"/>
            <w:vAlign w:val="top"/>
          </w:tcPr>
          <w:p w14:paraId="0629C872">
            <w:pPr>
              <w:pStyle w:val="7"/>
              <w:shd w:val="clear"/>
              <w:spacing w:before="164" w:line="240" w:lineRule="auto"/>
              <w:ind w:firstLine="92" w:firstLineChars="0"/>
              <w:outlineLvl w:val="9"/>
              <w:rPr>
                <w:rFonts w:hint="eastAsia" w:ascii="仿宋" w:hAnsi="仿宋" w:eastAsia="仿宋" w:cs="仿宋"/>
                <w:color w:val="auto"/>
                <w:spacing w:val="-9"/>
                <w:kern w:val="2"/>
                <w:sz w:val="24"/>
                <w:szCs w:val="24"/>
                <w:highlight w:val="none"/>
                <w:lang w:val="en-US" w:eastAsia="zh-CN" w:bidi="ar-SA"/>
              </w:rPr>
            </w:pPr>
          </w:p>
        </w:tc>
        <w:tc>
          <w:tcPr>
            <w:tcW w:w="1653" w:type="dxa"/>
            <w:shd w:val="clear" w:color="auto" w:fill="auto"/>
            <w:noWrap w:val="0"/>
            <w:vAlign w:val="top"/>
          </w:tcPr>
          <w:p w14:paraId="4D2BDC4E">
            <w:pPr>
              <w:pStyle w:val="7"/>
              <w:shd w:val="clear"/>
              <w:spacing w:line="591" w:lineRule="exact"/>
              <w:ind w:firstLine="93" w:firstLineChars="0"/>
              <w:outlineLvl w:val="9"/>
              <w:rPr>
                <w:rFonts w:hint="eastAsia" w:ascii="仿宋" w:hAnsi="仿宋" w:eastAsia="仿宋" w:cs="仿宋"/>
                <w:color w:val="auto"/>
                <w:kern w:val="2"/>
                <w:position w:val="-11"/>
                <w:sz w:val="24"/>
                <w:szCs w:val="24"/>
                <w:highlight w:val="none"/>
                <w:lang w:val="en-US" w:eastAsia="zh-CN" w:bidi="ar-SA"/>
              </w:rPr>
            </w:pPr>
            <w:r>
              <w:rPr>
                <w:rFonts w:hint="eastAsia" w:ascii="仿宋" w:hAnsi="仿宋" w:eastAsia="仿宋" w:cs="仿宋"/>
                <w:b w:val="0"/>
                <w:bCs/>
                <w:color w:val="auto"/>
                <w:kern w:val="2"/>
                <w:sz w:val="24"/>
                <w:szCs w:val="24"/>
                <w:highlight w:val="none"/>
                <w:lang w:val="en-US" w:eastAsia="zh-CN" w:bidi="ar-SA"/>
              </w:rPr>
              <w:t>（采购人选择供应商名称）XX</w:t>
            </w:r>
            <w:r>
              <w:rPr>
                <w:rFonts w:ascii="宋体" w:hAnsi="宋体" w:eastAsia="宋体" w:cs="宋体"/>
                <w:spacing w:val="8"/>
                <w:sz w:val="18"/>
                <w:szCs w:val="18"/>
              </w:rPr>
              <w:t>｝</w:t>
            </w:r>
          </w:p>
        </w:tc>
        <w:tc>
          <w:tcPr>
            <w:tcW w:w="1459" w:type="dxa"/>
            <w:noWrap w:val="0"/>
            <w:vAlign w:val="top"/>
          </w:tcPr>
          <w:p w14:paraId="1291B68E">
            <w:pPr>
              <w:pStyle w:val="7"/>
              <w:shd w:val="clear"/>
              <w:spacing w:before="164" w:line="240" w:lineRule="auto"/>
              <w:outlineLvl w:val="9"/>
              <w:rPr>
                <w:rFonts w:hint="eastAsia" w:ascii="仿宋" w:hAnsi="仿宋" w:eastAsia="仿宋" w:cs="仿宋"/>
                <w:color w:val="auto"/>
                <w:spacing w:val="-9"/>
                <w:kern w:val="2"/>
                <w:sz w:val="24"/>
                <w:szCs w:val="24"/>
                <w:highlight w:val="none"/>
                <w:lang w:val="en-US" w:eastAsia="zh-CN" w:bidi="ar-SA"/>
              </w:rPr>
            </w:pPr>
          </w:p>
        </w:tc>
        <w:tc>
          <w:tcPr>
            <w:tcW w:w="1464" w:type="dxa"/>
            <w:noWrap w:val="0"/>
            <w:vAlign w:val="top"/>
          </w:tcPr>
          <w:p w14:paraId="3D05CDE8">
            <w:pPr>
              <w:pStyle w:val="7"/>
              <w:shd w:val="clear"/>
              <w:spacing w:line="591" w:lineRule="exact"/>
              <w:jc w:val="center"/>
              <w:outlineLvl w:val="9"/>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r>
    </w:tbl>
    <w:p w14:paraId="086178E3">
      <w:pPr>
        <w:pStyle w:val="2"/>
        <w:shd w:val="clear"/>
        <w:spacing w:before="91" w:line="221" w:lineRule="auto"/>
        <w:ind w:left="697"/>
        <w:outlineLvl w:val="9"/>
        <w:rPr>
          <w:rFonts w:hint="eastAsia" w:ascii="仿宋" w:hAnsi="仿宋" w:eastAsia="仿宋" w:cs="仿宋"/>
          <w:color w:val="auto"/>
          <w:sz w:val="24"/>
          <w:szCs w:val="24"/>
          <w:highlight w:val="none"/>
        </w:rPr>
      </w:pPr>
      <w:r>
        <w:rPr>
          <w:rFonts w:hint="eastAsia" w:ascii="仿宋" w:hAnsi="仿宋" w:eastAsia="仿宋" w:cs="仿宋"/>
          <w:b/>
          <w:bCs/>
          <w:color w:val="auto"/>
          <w:spacing w:val="-8"/>
          <w:sz w:val="24"/>
          <w:szCs w:val="24"/>
          <w:highlight w:val="none"/>
        </w:rPr>
        <w:t>四、合同履行</w:t>
      </w:r>
    </w:p>
    <w:p w14:paraId="7F4ED10C">
      <w:pPr>
        <w:pStyle w:val="2"/>
        <w:shd w:val="clear"/>
        <w:spacing w:before="291" w:line="315" w:lineRule="auto"/>
        <w:ind w:left="118" w:right="14" w:firstLine="484"/>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4.1.服务期限</w:t>
      </w:r>
      <w:r>
        <w:rPr>
          <w:rFonts w:hint="eastAsia" w:ascii="仿宋" w:hAnsi="仿宋" w:eastAsia="仿宋" w:cs="仿宋"/>
          <w:color w:val="auto"/>
          <w:spacing w:val="-73"/>
          <w:w w:val="87"/>
          <w:sz w:val="24"/>
          <w:szCs w:val="24"/>
          <w:highlight w:val="none"/>
        </w:rPr>
        <w:t>：</w:t>
      </w:r>
      <w:r>
        <w:rPr>
          <w:rFonts w:hint="eastAsia" w:ascii="仿宋" w:hAnsi="仿宋" w:eastAsia="仿宋" w:cs="仿宋"/>
          <w:color w:val="auto"/>
          <w:sz w:val="24"/>
          <w:szCs w:val="24"/>
          <w:highlight w:val="none"/>
        </w:rPr>
        <w:t>｛合同签订生效之日起3年，合同一年一签。一年服务期满后，年度考核合格且有预算保障前提下续签下一年度合同,若当年预算调整按当年预算续签下一轮合同；当期合同到期后，如采购人因此项条款未选择与供应商继续合作，采购人不构成违约} 服务时间：{XXXX 年 XX月 XX 日}-{XXXX 年 XX 月 XX 日｝ (采购人选择)</w:t>
      </w:r>
    </w:p>
    <w:p w14:paraId="39B6E514">
      <w:pPr>
        <w:pStyle w:val="2"/>
        <w:shd w:val="clear"/>
        <w:spacing w:before="291" w:line="220" w:lineRule="auto"/>
        <w:ind w:left="602"/>
        <w:outlineLvl w:val="9"/>
        <w:rPr>
          <w:rFonts w:hint="eastAsia" w:ascii="仿宋" w:hAnsi="仿宋" w:eastAsia="仿宋" w:cs="仿宋"/>
          <w:color w:val="auto"/>
          <w:sz w:val="24"/>
          <w:szCs w:val="24"/>
          <w:highlight w:val="none"/>
        </w:rPr>
      </w:pPr>
      <w:r>
        <w:rPr>
          <w:rFonts w:hint="eastAsia" w:ascii="仿宋" w:hAnsi="仿宋" w:eastAsia="仿宋" w:cs="仿宋"/>
          <w:color w:val="auto"/>
          <w:spacing w:val="1"/>
          <w:sz w:val="24"/>
          <w:szCs w:val="24"/>
          <w:highlight w:val="none"/>
        </w:rPr>
        <w:t>4.2.服务地点</w:t>
      </w:r>
      <w:r>
        <w:rPr>
          <w:rFonts w:hint="eastAsia" w:ascii="仿宋" w:hAnsi="仿宋" w:eastAsia="仿宋" w:cs="仿宋"/>
          <w:color w:val="auto"/>
          <w:sz w:val="24"/>
          <w:szCs w:val="24"/>
          <w:highlight w:val="none"/>
        </w:rPr>
        <w:t>：成都市双流区西航港社区卫生服务中心</w:t>
      </w:r>
      <w:r>
        <w:rPr>
          <w:rFonts w:hint="eastAsia" w:ascii="仿宋" w:hAnsi="仿宋" w:eastAsia="仿宋" w:cs="仿宋"/>
          <w:color w:val="auto"/>
          <w:sz w:val="24"/>
          <w:szCs w:val="24"/>
          <w:highlight w:val="none"/>
          <w:lang w:eastAsia="zh-CN"/>
        </w:rPr>
        <w:t>（</w:t>
      </w:r>
      <w:r>
        <w:rPr>
          <w:rFonts w:ascii="仿宋" w:hAnsi="仿宋" w:eastAsia="仿宋" w:cs="仿宋"/>
          <w:sz w:val="24"/>
        </w:rPr>
        <w:t>采购人指定地点</w:t>
      </w:r>
      <w:r>
        <w:rPr>
          <w:rFonts w:hint="eastAsia" w:ascii="仿宋" w:hAnsi="仿宋" w:eastAsia="仿宋" w:cs="仿宋"/>
          <w:sz w:val="24"/>
          <w:lang w:eastAsia="zh-CN"/>
        </w:rPr>
        <w:t>）</w:t>
      </w:r>
    </w:p>
    <w:p w14:paraId="7B4FBA06">
      <w:pPr>
        <w:pStyle w:val="2"/>
        <w:shd w:val="clear"/>
        <w:spacing w:before="291" w:line="220" w:lineRule="auto"/>
        <w:ind w:left="602"/>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pacing w:val="-3"/>
          <w:sz w:val="24"/>
          <w:szCs w:val="24"/>
          <w:highlight w:val="none"/>
        </w:rPr>
        <w:t>4.3.分期履行要求：</w:t>
      </w:r>
      <w:r>
        <w:rPr>
          <w:rFonts w:hint="eastAsia" w:ascii="仿宋" w:hAnsi="仿宋" w:eastAsia="仿宋" w:cs="仿宋"/>
          <w:color w:val="auto"/>
          <w:sz w:val="24"/>
          <w:szCs w:val="24"/>
          <w:highlight w:val="none"/>
          <w:lang w:val="en-US" w:eastAsia="zh-CN"/>
        </w:rPr>
        <w:t>无</w:t>
      </w:r>
    </w:p>
    <w:p w14:paraId="0D6C9BE2">
      <w:pPr>
        <w:pStyle w:val="2"/>
        <w:shd w:val="clear"/>
        <w:spacing w:before="290" w:line="219" w:lineRule="auto"/>
        <w:ind w:left="669"/>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pacing w:val="-2"/>
          <w:sz w:val="24"/>
          <w:szCs w:val="24"/>
          <w:highlight w:val="none"/>
        </w:rPr>
        <w:t>4.4.风险处置措施和替代方案：</w:t>
      </w:r>
      <w:r>
        <w:rPr>
          <w:rFonts w:hint="eastAsia" w:ascii="仿宋" w:hAnsi="仿宋" w:eastAsia="仿宋" w:cs="仿宋"/>
          <w:color w:val="auto"/>
          <w:spacing w:val="-80"/>
          <w:sz w:val="24"/>
          <w:szCs w:val="24"/>
          <w:highlight w:val="none"/>
          <w:lang w:val="en-US" w:eastAsia="zh-CN"/>
        </w:rPr>
        <w:t>无</w:t>
      </w:r>
    </w:p>
    <w:p w14:paraId="659895A0">
      <w:pPr>
        <w:pStyle w:val="2"/>
        <w:shd w:val="clear"/>
        <w:spacing w:before="292" w:line="220" w:lineRule="auto"/>
        <w:ind w:left="675"/>
        <w:outlineLvl w:val="9"/>
        <w:rPr>
          <w:rFonts w:hint="eastAsia" w:ascii="仿宋" w:hAnsi="仿宋" w:eastAsia="仿宋" w:cs="仿宋"/>
          <w:color w:val="auto"/>
          <w:sz w:val="24"/>
          <w:szCs w:val="24"/>
          <w:highlight w:val="none"/>
        </w:rPr>
      </w:pPr>
      <w:r>
        <w:rPr>
          <w:rFonts w:hint="eastAsia" w:ascii="仿宋" w:hAnsi="仿宋" w:eastAsia="仿宋" w:cs="仿宋"/>
          <w:b/>
          <w:bCs/>
          <w:color w:val="auto"/>
          <w:spacing w:val="-4"/>
          <w:sz w:val="24"/>
          <w:szCs w:val="24"/>
          <w:highlight w:val="none"/>
        </w:rPr>
        <w:t>五、验收、交付标准和方法</w:t>
      </w:r>
    </w:p>
    <w:p w14:paraId="732BC44B">
      <w:pPr>
        <w:pStyle w:val="2"/>
        <w:shd w:val="clear"/>
        <w:spacing w:before="292" w:line="240" w:lineRule="auto"/>
        <w:ind w:left="26" w:right="13" w:firstLine="497"/>
        <w:jc w:val="both"/>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5.1.①履约验收主体：成都市双流区西航港社区卫生服务中心</w:t>
      </w:r>
    </w:p>
    <w:p w14:paraId="4F5FA9E9">
      <w:pPr>
        <w:pStyle w:val="2"/>
        <w:shd w:val="clear"/>
        <w:spacing w:before="292" w:line="240" w:lineRule="auto"/>
        <w:ind w:left="26" w:right="13" w:firstLine="497"/>
        <w:jc w:val="both"/>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②履约验收时间：投标人提出验收申请之日起10日内组织验收</w:t>
      </w:r>
    </w:p>
    <w:p w14:paraId="5CB217F3">
      <w:pPr>
        <w:pStyle w:val="2"/>
        <w:shd w:val="clear"/>
        <w:spacing w:before="292" w:line="240" w:lineRule="auto"/>
        <w:ind w:left="26" w:right="13" w:firstLine="497"/>
        <w:jc w:val="both"/>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③验收组织方式：自行验收</w:t>
      </w:r>
    </w:p>
    <w:p w14:paraId="5FA53166">
      <w:pPr>
        <w:pStyle w:val="2"/>
        <w:shd w:val="clear"/>
        <w:spacing w:before="292" w:line="240" w:lineRule="auto"/>
        <w:ind w:left="26" w:right="13" w:firstLine="497"/>
        <w:jc w:val="both"/>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④履约验收程序：</w:t>
      </w:r>
      <w:r>
        <w:rPr>
          <w:rFonts w:hint="eastAsia" w:ascii="仿宋" w:hAnsi="仿宋" w:eastAsia="仿宋" w:cs="仿宋"/>
          <w:color w:val="auto"/>
          <w:sz w:val="24"/>
          <w:szCs w:val="24"/>
          <w:highlight w:val="none"/>
          <w:lang w:eastAsia="zh-CN"/>
        </w:rPr>
        <w:t>分期/分段验收</w:t>
      </w:r>
    </w:p>
    <w:p w14:paraId="256A33DC">
      <w:pPr>
        <w:pStyle w:val="2"/>
        <w:shd w:val="clear"/>
        <w:spacing w:before="292" w:line="240" w:lineRule="auto"/>
        <w:ind w:left="26" w:right="13" w:firstLine="497"/>
        <w:jc w:val="both"/>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⑤技术履约验收内容：按照本项目采购文件中“服务内容及要求”及投标文件进行验收。</w:t>
      </w:r>
    </w:p>
    <w:p w14:paraId="14BA113E">
      <w:pPr>
        <w:pStyle w:val="2"/>
        <w:shd w:val="clear"/>
        <w:spacing w:before="292" w:line="360" w:lineRule="auto"/>
        <w:ind w:left="26" w:right="13" w:firstLine="497"/>
        <w:jc w:val="both"/>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⑥商务履约验收内容：按照本项目采购文件中“商务要求”及投标文件进行验收。</w:t>
      </w:r>
    </w:p>
    <w:p w14:paraId="527E5C31">
      <w:pPr>
        <w:pStyle w:val="2"/>
        <w:shd w:val="clear"/>
        <w:spacing w:before="292" w:line="360" w:lineRule="auto"/>
        <w:ind w:left="26" w:right="13" w:firstLine="497"/>
        <w:jc w:val="both"/>
        <w:outlineLvl w:val="9"/>
        <w:rPr>
          <w:rFonts w:hint="eastAsia" w:ascii="仿宋" w:hAnsi="仿宋" w:eastAsia="仿宋" w:cs="仿宋"/>
          <w:color w:val="auto"/>
          <w:spacing w:val="-11"/>
          <w:sz w:val="24"/>
          <w:szCs w:val="24"/>
          <w:highlight w:val="none"/>
        </w:rPr>
      </w:pPr>
      <w:r>
        <w:rPr>
          <w:rFonts w:hint="eastAsia" w:ascii="仿宋" w:hAnsi="仿宋" w:eastAsia="仿宋" w:cs="仿宋"/>
          <w:color w:val="auto"/>
          <w:sz w:val="24"/>
          <w:szCs w:val="24"/>
          <w:highlight w:val="none"/>
        </w:rPr>
        <w:t>⑦履约验收标准：本项目采购人将严格按照政府采购相关法律法规以及《财政部关于进一步加强政府采购需求和履约验收管理的指导意见》（财库〔2016〕205号）</w:t>
      </w:r>
      <w:r>
        <w:rPr>
          <w:rFonts w:hint="eastAsia" w:ascii="仿宋" w:hAnsi="仿宋" w:eastAsia="仿宋" w:cs="仿宋"/>
          <w:color w:val="auto"/>
          <w:sz w:val="24"/>
          <w:szCs w:val="24"/>
          <w:highlight w:val="none"/>
          <w:lang w:val="en-US" w:eastAsia="zh-CN"/>
        </w:rPr>
        <w:t>和《成都市市级采购项目履约验收实施细则（试行）》（成财规〔2026〕1号）的要求</w:t>
      </w:r>
      <w:r>
        <w:rPr>
          <w:rFonts w:hint="eastAsia" w:ascii="仿宋" w:hAnsi="仿宋" w:eastAsia="仿宋" w:cs="仿宋"/>
          <w:color w:val="auto"/>
          <w:sz w:val="24"/>
          <w:szCs w:val="24"/>
          <w:highlight w:val="none"/>
        </w:rPr>
        <w:t>、采购文件的要求以及投标文件进行验收</w:t>
      </w:r>
      <w:r>
        <w:rPr>
          <w:rFonts w:hint="eastAsia" w:ascii="仿宋" w:hAnsi="仿宋" w:eastAsia="仿宋" w:cs="仿宋"/>
          <w:color w:val="auto"/>
          <w:spacing w:val="-11"/>
          <w:sz w:val="24"/>
          <w:szCs w:val="24"/>
          <w:highlight w:val="none"/>
        </w:rPr>
        <w:t>。</w:t>
      </w:r>
    </w:p>
    <w:p w14:paraId="54E75D57">
      <w:pPr>
        <w:pStyle w:val="2"/>
        <w:shd w:val="clear"/>
        <w:spacing w:before="290" w:line="220" w:lineRule="auto"/>
        <w:ind w:left="614"/>
        <w:outlineLvl w:val="9"/>
        <w:rPr>
          <w:rFonts w:hint="eastAsia" w:ascii="仿宋" w:hAnsi="仿宋" w:eastAsia="仿宋" w:cs="仿宋"/>
          <w:color w:val="auto"/>
          <w:sz w:val="24"/>
          <w:szCs w:val="24"/>
          <w:highlight w:val="none"/>
        </w:rPr>
      </w:pPr>
      <w:r>
        <w:rPr>
          <w:rFonts w:hint="eastAsia" w:ascii="仿宋" w:hAnsi="仿宋" w:eastAsia="仿宋" w:cs="仿宋"/>
          <w:color w:val="auto"/>
          <w:spacing w:val="-1"/>
          <w:sz w:val="24"/>
          <w:szCs w:val="24"/>
          <w:highlight w:val="none"/>
        </w:rPr>
        <w:t>5.2.是否以采购活动中供应商提供的样品作为参考：</w:t>
      </w:r>
      <w:r>
        <w:rPr>
          <w:rFonts w:hint="eastAsia" w:ascii="仿宋" w:hAnsi="仿宋" w:eastAsia="仿宋" w:cs="仿宋"/>
          <w:color w:val="auto"/>
          <w:sz w:val="24"/>
          <w:szCs w:val="24"/>
          <w:highlight w:val="none"/>
        </w:rPr>
        <w:t>否</w:t>
      </w:r>
    </w:p>
    <w:p w14:paraId="3FD0B223">
      <w:pPr>
        <w:pStyle w:val="2"/>
        <w:shd w:val="clear"/>
        <w:spacing w:before="290" w:line="220" w:lineRule="auto"/>
        <w:ind w:left="606"/>
        <w:outlineLvl w:val="9"/>
        <w:rPr>
          <w:rFonts w:hint="eastAsia" w:ascii="Calibri" w:hAnsi="Calibri" w:eastAsia="方正仿宋" w:cs="Times New Roman"/>
          <w:kern w:val="2"/>
          <w:sz w:val="32"/>
          <w:szCs w:val="24"/>
          <w:lang w:val="en-US" w:eastAsia="zh-CN" w:bidi="ar-SA"/>
        </w:rPr>
      </w:pPr>
      <w:r>
        <w:rPr>
          <w:rFonts w:hint="eastAsia" w:ascii="仿宋" w:hAnsi="仿宋" w:eastAsia="仿宋" w:cs="仿宋"/>
          <w:b/>
          <w:bCs/>
          <w:color w:val="auto"/>
          <w:spacing w:val="-4"/>
          <w:sz w:val="24"/>
          <w:szCs w:val="24"/>
          <w:highlight w:val="none"/>
        </w:rPr>
        <w:t>六、甲方的权利和义务</w:t>
      </w:r>
    </w:p>
    <w:p w14:paraId="631D1B22">
      <w:pPr>
        <w:pStyle w:val="2"/>
        <w:shd w:val="clear"/>
        <w:spacing w:before="292" w:line="411" w:lineRule="auto"/>
        <w:ind w:left="26" w:right="13" w:firstLine="497"/>
        <w:jc w:val="both"/>
        <w:outlineLvl w:val="9"/>
        <w:rPr>
          <w:rFonts w:hint="eastAsia" w:ascii="仿宋" w:hAnsi="仿宋" w:eastAsia="仿宋" w:cs="仿宋"/>
          <w:color w:val="auto"/>
          <w:spacing w:val="-11"/>
          <w:sz w:val="24"/>
          <w:szCs w:val="24"/>
          <w:highlight w:val="none"/>
        </w:rPr>
      </w:pPr>
      <w:r>
        <w:rPr>
          <w:rFonts w:hint="eastAsia" w:ascii="仿宋" w:hAnsi="仿宋" w:eastAsia="仿宋" w:cs="仿宋"/>
          <w:color w:val="auto"/>
          <w:spacing w:val="-11"/>
          <w:sz w:val="24"/>
          <w:szCs w:val="24"/>
          <w:highlight w:val="none"/>
        </w:rPr>
        <w:t>6.1.甲方有权依据双方签订的合同对乙方提供的服务进行检查、验收。对于乙方未按照采购文件及响应文件要求执行的事项，有权要求乙方进行整改。</w:t>
      </w:r>
    </w:p>
    <w:p w14:paraId="7B8A0C27">
      <w:pPr>
        <w:pStyle w:val="2"/>
        <w:shd w:val="clear"/>
        <w:spacing w:before="292" w:line="411" w:lineRule="auto"/>
        <w:ind w:left="26" w:right="13" w:firstLine="497"/>
        <w:jc w:val="both"/>
        <w:outlineLvl w:val="9"/>
        <w:rPr>
          <w:rFonts w:hint="eastAsia" w:ascii="仿宋" w:hAnsi="仿宋" w:eastAsia="仿宋" w:cs="仿宋"/>
          <w:color w:val="auto"/>
          <w:spacing w:val="-11"/>
          <w:sz w:val="24"/>
          <w:szCs w:val="24"/>
          <w:highlight w:val="none"/>
        </w:rPr>
      </w:pPr>
      <w:r>
        <w:rPr>
          <w:rFonts w:hint="eastAsia" w:ascii="仿宋" w:hAnsi="仿宋" w:eastAsia="仿宋" w:cs="仿宋"/>
          <w:color w:val="auto"/>
          <w:spacing w:val="-11"/>
          <w:sz w:val="24"/>
          <w:szCs w:val="24"/>
          <w:highlight w:val="none"/>
        </w:rPr>
        <w:t>6.2.甲方应当配合乙方完成相关项目实施工作。</w:t>
      </w:r>
    </w:p>
    <w:p w14:paraId="1E3FD92A">
      <w:pPr>
        <w:pStyle w:val="2"/>
        <w:shd w:val="clear"/>
        <w:spacing w:before="292" w:line="411" w:lineRule="auto"/>
        <w:ind w:left="26" w:right="13" w:firstLine="497"/>
        <w:jc w:val="both"/>
        <w:outlineLvl w:val="9"/>
        <w:rPr>
          <w:rFonts w:hint="eastAsia" w:ascii="仿宋" w:hAnsi="仿宋" w:eastAsia="仿宋" w:cs="仿宋"/>
          <w:color w:val="auto"/>
          <w:spacing w:val="-11"/>
          <w:sz w:val="24"/>
          <w:szCs w:val="24"/>
          <w:highlight w:val="none"/>
        </w:rPr>
      </w:pPr>
      <w:r>
        <w:rPr>
          <w:rFonts w:hint="eastAsia" w:ascii="仿宋" w:hAnsi="仿宋" w:eastAsia="仿宋" w:cs="仿宋"/>
          <w:color w:val="auto"/>
          <w:spacing w:val="-11"/>
          <w:sz w:val="24"/>
          <w:szCs w:val="24"/>
          <w:highlight w:val="none"/>
        </w:rPr>
        <w:t>6.3.甲方应当根据采购文件、响应文件、合同约定和履约验收情况向乙方支付费用。满足约定支付条件的，甲方应当自收到发票后10 个工作日内将资金支付到合同约定的供应商账户，不得以机构变动、人员更替、政策调整等为由延迟付款，不得将采购文件和合同中未规定的义务作为向供应商付款的条件。</w:t>
      </w:r>
    </w:p>
    <w:p w14:paraId="5823C5A1">
      <w:pPr>
        <w:pStyle w:val="2"/>
        <w:shd w:val="clear"/>
        <w:spacing w:before="292" w:line="411" w:lineRule="auto"/>
        <w:ind w:left="26" w:right="13" w:firstLine="497"/>
        <w:jc w:val="both"/>
        <w:outlineLvl w:val="9"/>
        <w:rPr>
          <w:rFonts w:hint="eastAsia" w:ascii="仿宋" w:hAnsi="仿宋" w:eastAsia="仿宋" w:cs="仿宋"/>
          <w:color w:val="auto"/>
          <w:spacing w:val="-11"/>
          <w:sz w:val="24"/>
          <w:szCs w:val="24"/>
          <w:highlight w:val="none"/>
        </w:rPr>
      </w:pPr>
      <w:r>
        <w:rPr>
          <w:rFonts w:hint="eastAsia" w:ascii="仿宋" w:hAnsi="仿宋" w:eastAsia="仿宋" w:cs="仿宋"/>
          <w:color w:val="auto"/>
          <w:spacing w:val="-11"/>
          <w:sz w:val="24"/>
          <w:szCs w:val="24"/>
          <w:highlight w:val="none"/>
        </w:rPr>
        <w:t>6.4.出现因不可抗力致使不能实现合同目的等法定情形时，甲方有权解除合同。｝</w:t>
      </w:r>
    </w:p>
    <w:p w14:paraId="5C83C36D">
      <w:pPr>
        <w:pStyle w:val="2"/>
        <w:shd w:val="clear"/>
        <w:spacing w:before="290" w:line="220" w:lineRule="auto"/>
        <w:ind w:left="583"/>
        <w:outlineLvl w:val="9"/>
        <w:rPr>
          <w:rFonts w:hint="eastAsia" w:ascii="仿宋" w:hAnsi="仿宋" w:eastAsia="仿宋" w:cs="仿宋"/>
          <w:color w:val="auto"/>
          <w:sz w:val="24"/>
          <w:szCs w:val="24"/>
          <w:highlight w:val="none"/>
        </w:rPr>
      </w:pPr>
      <w:r>
        <w:rPr>
          <w:rFonts w:hint="eastAsia" w:ascii="仿宋" w:hAnsi="仿宋" w:eastAsia="仿宋" w:cs="仿宋"/>
          <w:b/>
          <w:bCs/>
          <w:color w:val="auto"/>
          <w:spacing w:val="-3"/>
          <w:sz w:val="24"/>
          <w:szCs w:val="24"/>
          <w:highlight w:val="none"/>
        </w:rPr>
        <w:t>七、乙方的权利和义务</w:t>
      </w:r>
    </w:p>
    <w:p w14:paraId="54B4D486">
      <w:pPr>
        <w:pStyle w:val="2"/>
        <w:shd w:val="clear"/>
        <w:spacing w:before="292" w:line="411" w:lineRule="auto"/>
        <w:ind w:left="26" w:right="13" w:firstLine="497"/>
        <w:jc w:val="both"/>
        <w:outlineLvl w:val="9"/>
        <w:rPr>
          <w:rFonts w:hint="eastAsia" w:ascii="仿宋" w:hAnsi="仿宋" w:eastAsia="仿宋" w:cs="仿宋"/>
          <w:color w:val="auto"/>
          <w:sz w:val="24"/>
          <w:szCs w:val="24"/>
          <w:highlight w:val="none"/>
        </w:rPr>
      </w:pPr>
      <w:r>
        <w:rPr>
          <w:rFonts w:hint="eastAsia" w:ascii="仿宋" w:hAnsi="仿宋" w:eastAsia="仿宋" w:cs="仿宋"/>
          <w:color w:val="auto"/>
          <w:spacing w:val="-11"/>
          <w:sz w:val="24"/>
          <w:szCs w:val="24"/>
          <w:highlight w:val="none"/>
        </w:rPr>
        <w:t>7.1.乙方承诺遵守《中华人民共和国劳动合同法》有关规定和《中</w:t>
      </w:r>
      <w:r>
        <w:rPr>
          <w:rFonts w:hint="eastAsia" w:ascii="仿宋" w:hAnsi="仿宋" w:eastAsia="仿宋" w:cs="仿宋"/>
          <w:color w:val="auto"/>
          <w:spacing w:val="-5"/>
          <w:sz w:val="24"/>
          <w:szCs w:val="24"/>
          <w:highlight w:val="none"/>
        </w:rPr>
        <w:t>华人民共和国妇女权益保障法》中关于“劳动和社会保障权益</w:t>
      </w:r>
      <w:r>
        <w:rPr>
          <w:rFonts w:hint="eastAsia" w:ascii="仿宋" w:hAnsi="仿宋" w:eastAsia="仿宋" w:cs="仿宋"/>
          <w:color w:val="auto"/>
          <w:spacing w:val="-97"/>
          <w:sz w:val="24"/>
          <w:szCs w:val="24"/>
          <w:highlight w:val="none"/>
        </w:rPr>
        <w:t xml:space="preserve"> </w:t>
      </w:r>
      <w:r>
        <w:rPr>
          <w:rFonts w:hint="eastAsia" w:ascii="仿宋" w:hAnsi="仿宋" w:eastAsia="仿宋" w:cs="仿宋"/>
          <w:color w:val="auto"/>
          <w:spacing w:val="-5"/>
          <w:sz w:val="24"/>
          <w:szCs w:val="24"/>
          <w:highlight w:val="none"/>
        </w:rPr>
        <w:t>”的有</w:t>
      </w:r>
      <w:r>
        <w:rPr>
          <w:rFonts w:hint="eastAsia" w:ascii="仿宋" w:hAnsi="仿宋" w:eastAsia="仿宋" w:cs="仿宋"/>
          <w:color w:val="auto"/>
          <w:spacing w:val="-3"/>
          <w:sz w:val="24"/>
          <w:szCs w:val="24"/>
          <w:highlight w:val="none"/>
        </w:rPr>
        <w:t>关要求。</w:t>
      </w:r>
    </w:p>
    <w:p w14:paraId="550BF9E6">
      <w:pPr>
        <w:pStyle w:val="2"/>
        <w:shd w:val="clear"/>
        <w:spacing w:before="292" w:line="411" w:lineRule="auto"/>
        <w:ind w:left="26" w:right="13" w:firstLine="497"/>
        <w:jc w:val="both"/>
        <w:outlineLvl w:val="9"/>
        <w:rPr>
          <w:rFonts w:hint="eastAsia" w:ascii="仿宋" w:hAnsi="仿宋" w:eastAsia="仿宋" w:cs="仿宋"/>
          <w:color w:val="auto"/>
          <w:spacing w:val="-11"/>
          <w:sz w:val="24"/>
          <w:szCs w:val="24"/>
          <w:highlight w:val="none"/>
        </w:rPr>
      </w:pPr>
      <w:r>
        <w:rPr>
          <w:rFonts w:hint="eastAsia" w:ascii="仿宋" w:hAnsi="仿宋" w:eastAsia="仿宋" w:cs="仿宋"/>
          <w:color w:val="auto"/>
          <w:spacing w:val="-11"/>
          <w:sz w:val="24"/>
          <w:szCs w:val="24"/>
          <w:highlight w:val="none"/>
        </w:rPr>
        <w:t>7.2.乙方有权根据本合同约定向甲方收取合同价款。</w:t>
      </w:r>
    </w:p>
    <w:p w14:paraId="396DDB34">
      <w:pPr>
        <w:pStyle w:val="2"/>
        <w:shd w:val="clear"/>
        <w:spacing w:before="292" w:line="411" w:lineRule="auto"/>
        <w:ind w:left="26" w:right="13" w:firstLine="497"/>
        <w:jc w:val="both"/>
        <w:outlineLvl w:val="9"/>
        <w:rPr>
          <w:rFonts w:hint="eastAsia" w:ascii="仿宋" w:hAnsi="仿宋" w:eastAsia="仿宋" w:cs="仿宋"/>
          <w:color w:val="auto"/>
          <w:spacing w:val="-11"/>
          <w:sz w:val="24"/>
          <w:szCs w:val="24"/>
          <w:highlight w:val="none"/>
        </w:rPr>
      </w:pPr>
      <w:r>
        <w:rPr>
          <w:rFonts w:hint="eastAsia" w:ascii="仿宋" w:hAnsi="仿宋" w:eastAsia="仿宋" w:cs="仿宋"/>
          <w:color w:val="auto"/>
          <w:spacing w:val="-11"/>
          <w:sz w:val="24"/>
          <w:szCs w:val="24"/>
          <w:highlight w:val="none"/>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14:paraId="0F816B61">
      <w:pPr>
        <w:pStyle w:val="2"/>
        <w:shd w:val="clear"/>
        <w:spacing w:before="181" w:line="220" w:lineRule="auto"/>
        <w:ind w:left="521"/>
        <w:outlineLvl w:val="9"/>
        <w:rPr>
          <w:rFonts w:hint="eastAsia" w:ascii="仿宋" w:hAnsi="仿宋" w:eastAsia="仿宋" w:cs="仿宋"/>
          <w:color w:val="auto"/>
          <w:sz w:val="24"/>
          <w:szCs w:val="24"/>
          <w:highlight w:val="none"/>
        </w:rPr>
      </w:pPr>
      <w:r>
        <w:rPr>
          <w:rFonts w:hint="eastAsia" w:ascii="仿宋" w:hAnsi="仿宋" w:eastAsia="仿宋" w:cs="仿宋"/>
          <w:b/>
          <w:bCs/>
          <w:color w:val="auto"/>
          <w:spacing w:val="-5"/>
          <w:sz w:val="24"/>
          <w:szCs w:val="24"/>
          <w:highlight w:val="none"/>
        </w:rPr>
        <w:t>八、违约责任</w:t>
      </w:r>
    </w:p>
    <w:p w14:paraId="30A34732">
      <w:pPr>
        <w:pStyle w:val="2"/>
        <w:shd w:val="clear"/>
        <w:spacing w:before="290" w:line="316" w:lineRule="auto"/>
        <w:ind w:left="25" w:right="13" w:firstLine="586"/>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8.1</w:t>
      </w:r>
      <w:r>
        <w:rPr>
          <w:rFonts w:hint="eastAsia" w:ascii="仿宋" w:hAnsi="仿宋" w:eastAsia="仿宋" w:cs="仿宋"/>
          <w:color w:val="auto"/>
          <w:sz w:val="24"/>
          <w:szCs w:val="24"/>
          <w:highlight w:val="none"/>
          <w:lang w:eastAsia="zh-CN"/>
        </w:rPr>
        <w:t>除法律规定及本合同约定情形外，采购人与供应商双方不得单方面终止合同，单方面终止合同一方应按照合同总额的20%支付违约金。</w:t>
      </w:r>
    </w:p>
    <w:p w14:paraId="37174F25">
      <w:pPr>
        <w:pStyle w:val="2"/>
        <w:shd w:val="clear"/>
        <w:spacing w:before="290" w:line="316" w:lineRule="auto"/>
        <w:ind w:left="25" w:right="13" w:firstLine="586"/>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lang w:eastAsia="zh-CN"/>
        </w:rPr>
        <w:t>2如因供应商工作人员在履行职务过程中的疏忽、失职、过错等故意或者过失原因给采购人造成损失、侵害或未按时按质完成工作内容(包括但不限于给受损方造成的经济损失、受损方为避免或减少损失支出的合理费用，受损方因此向任何第三方承担的法律责任，以及受损方为维护合法权益支出的诉讼费、保全费、鉴定费、公证费、差旅费、律师费等合理费用），采购人有权向中标人全部追偿。出现上述情况，采购人有权视情况通知中标人终止合同，不向供应商支付任何费用，中标人向采购人支付合同总价款【20】%的违约金并退还采购人已支付的全部费用。</w:t>
      </w:r>
    </w:p>
    <w:p w14:paraId="1A4DC13D">
      <w:pPr>
        <w:pStyle w:val="2"/>
        <w:shd w:val="clear"/>
        <w:spacing w:before="290" w:line="316" w:lineRule="auto"/>
        <w:ind w:left="25" w:right="13" w:firstLine="586"/>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lang w:eastAsia="zh-CN"/>
        </w:rPr>
        <w:t>3因中标人责任，中标人逾期通过采购人验收，应按逾期天数向采购人支付合同总价款【1】‰/天的违约金。逾期超过【15】日，视为中标人根本违约，采购人有权书面通知中标人解除本合同，不向中标人支付任何费用，并要求中标人退还已支付的全部费用，中标人另按本合同总价款的【20】%承担违约责任。中标人工作成果未通过采购人验收返工整改的，按照本条约定向采购人承担违约责任。</w:t>
      </w:r>
    </w:p>
    <w:p w14:paraId="102AE931">
      <w:pPr>
        <w:pStyle w:val="2"/>
        <w:shd w:val="clear"/>
        <w:spacing w:before="290" w:line="316" w:lineRule="auto"/>
        <w:ind w:left="25" w:right="13" w:firstLine="586"/>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lang w:eastAsia="zh-CN"/>
        </w:rPr>
        <w:t>4供应商存在其他违反本合同约定的情形，采购人有权要求供应商限期改正。如供应商在上述期限内未改正，采购人有权解除本合同，并要求供应商返还采购人已支付的款项，同时供应商除应向采购人支付本合同总价 10% 的违约金外，还应赔偿由此对采购人造成的损失。</w:t>
      </w:r>
    </w:p>
    <w:p w14:paraId="7F0A2D7F">
      <w:pPr>
        <w:pStyle w:val="2"/>
        <w:shd w:val="clear"/>
        <w:spacing w:before="290" w:line="316" w:lineRule="auto"/>
        <w:ind w:left="25" w:right="13" w:firstLine="586"/>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lang w:eastAsia="zh-CN"/>
        </w:rPr>
        <w:t>5除承担违约责任外，供应商违约给采购人造成损失的（包括但不限于给采购人造成的经济损失、采购人为避免或减少损失支出的合理费用，采购人因此向任何第三方支付的违约金或赔偿的损失，以及采购人为维护合法权益支出的诉讼费、保全费、鉴定费、公证费、差旅费、律师费等合理费用），采购人有权向供应商全部追偿，采购人有权在应付款项中直接扣除该等损失费用，不足部分供应商应当及时支付。</w:t>
      </w:r>
    </w:p>
    <w:p w14:paraId="6D61EE26">
      <w:pPr>
        <w:pStyle w:val="2"/>
        <w:shd w:val="clear"/>
        <w:spacing w:before="181" w:line="220" w:lineRule="auto"/>
        <w:ind w:left="590"/>
        <w:outlineLvl w:val="9"/>
        <w:rPr>
          <w:rFonts w:hint="eastAsia" w:ascii="仿宋" w:hAnsi="仿宋" w:eastAsia="仿宋" w:cs="仿宋"/>
          <w:color w:val="auto"/>
          <w:sz w:val="24"/>
          <w:szCs w:val="24"/>
          <w:highlight w:val="none"/>
        </w:rPr>
      </w:pPr>
      <w:r>
        <w:rPr>
          <w:rFonts w:hint="eastAsia" w:ascii="仿宋" w:hAnsi="仿宋" w:eastAsia="仿宋" w:cs="仿宋"/>
          <w:b/>
          <w:bCs/>
          <w:color w:val="auto"/>
          <w:spacing w:val="-5"/>
          <w:sz w:val="24"/>
          <w:szCs w:val="24"/>
          <w:highlight w:val="none"/>
        </w:rPr>
        <w:t>九、争议解决方法</w:t>
      </w:r>
    </w:p>
    <w:p w14:paraId="55CC4183">
      <w:pPr>
        <w:pStyle w:val="2"/>
        <w:shd w:val="clear"/>
        <w:spacing w:before="289" w:line="316" w:lineRule="auto"/>
        <w:ind w:left="27" w:right="13" w:firstLine="49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9.1</w:t>
      </w:r>
      <w:r>
        <w:rPr>
          <w:rFonts w:hint="eastAsia" w:ascii="仿宋" w:hAnsi="仿宋" w:eastAsia="仿宋" w:cs="仿宋"/>
          <w:color w:val="auto"/>
          <w:sz w:val="24"/>
          <w:szCs w:val="24"/>
          <w:highlight w:val="none"/>
        </w:rPr>
        <w:t>因服务的质量问题发生争议，由采购人或其指定的第三方机构进行质量鉴定，服务符合标准的，鉴定费用由采购人承担；服务质量不符合质量标准的，鉴定费用由</w:t>
      </w:r>
      <w:r>
        <w:rPr>
          <w:rFonts w:hint="eastAsia" w:ascii="仿宋" w:hAnsi="仿宋" w:eastAsia="仿宋" w:cs="仿宋"/>
          <w:color w:val="auto"/>
          <w:sz w:val="24"/>
          <w:szCs w:val="24"/>
          <w:highlight w:val="none"/>
          <w:lang w:eastAsia="zh-CN"/>
        </w:rPr>
        <w:t>中标人</w:t>
      </w:r>
      <w:r>
        <w:rPr>
          <w:rFonts w:hint="eastAsia" w:ascii="仿宋" w:hAnsi="仿宋" w:eastAsia="仿宋" w:cs="仿宋"/>
          <w:color w:val="auto"/>
          <w:sz w:val="24"/>
          <w:szCs w:val="24"/>
          <w:highlight w:val="none"/>
        </w:rPr>
        <w:t>承担。</w:t>
      </w:r>
    </w:p>
    <w:p w14:paraId="49230C28">
      <w:pPr>
        <w:pStyle w:val="2"/>
        <w:shd w:val="clear"/>
        <w:spacing w:before="289" w:line="316" w:lineRule="auto"/>
        <w:ind w:left="27" w:right="13" w:firstLine="49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9.2</w:t>
      </w:r>
      <w:r>
        <w:rPr>
          <w:rFonts w:hint="eastAsia" w:ascii="仿宋" w:hAnsi="仿宋" w:eastAsia="仿宋" w:cs="仿宋"/>
          <w:color w:val="auto"/>
          <w:sz w:val="24"/>
          <w:szCs w:val="24"/>
          <w:highlight w:val="none"/>
        </w:rPr>
        <w:t>合同履行期间：若双方发生争议，可协商或由有关部门调解解决，协商或调解不成的，按照下列方式解决：向采购人所在地人民法院提请诉讼处理。</w:t>
      </w:r>
    </w:p>
    <w:p w14:paraId="3480C1D6">
      <w:pPr>
        <w:pStyle w:val="2"/>
        <w:shd w:val="clear"/>
        <w:spacing w:before="289" w:line="316" w:lineRule="auto"/>
        <w:ind w:left="27" w:right="13" w:firstLine="49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9.3</w:t>
      </w:r>
      <w:r>
        <w:rPr>
          <w:rFonts w:hint="eastAsia" w:ascii="仿宋" w:hAnsi="仿宋" w:eastAsia="仿宋" w:cs="仿宋"/>
          <w:color w:val="auto"/>
          <w:sz w:val="24"/>
          <w:szCs w:val="24"/>
          <w:highlight w:val="none"/>
        </w:rPr>
        <w:t>诉讼判决应为最终决定，并对双方具有约束力。</w:t>
      </w:r>
    </w:p>
    <w:p w14:paraId="523DD931">
      <w:pPr>
        <w:pStyle w:val="2"/>
        <w:shd w:val="clear"/>
        <w:spacing w:before="289" w:line="316" w:lineRule="auto"/>
        <w:ind w:left="27" w:right="13" w:firstLine="49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9.4</w:t>
      </w:r>
      <w:r>
        <w:rPr>
          <w:rFonts w:hint="eastAsia" w:ascii="仿宋" w:hAnsi="仿宋" w:eastAsia="仿宋" w:cs="仿宋"/>
          <w:color w:val="auto"/>
          <w:sz w:val="24"/>
          <w:szCs w:val="24"/>
          <w:highlight w:val="none"/>
        </w:rPr>
        <w:t>除另有裁决外，诉讼费应由败诉方负担。</w:t>
      </w:r>
    </w:p>
    <w:p w14:paraId="5D8293B3">
      <w:pPr>
        <w:pStyle w:val="2"/>
        <w:shd w:val="clear"/>
        <w:spacing w:before="289" w:line="316" w:lineRule="auto"/>
        <w:ind w:left="27" w:right="13" w:firstLine="490"/>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9.5</w:t>
      </w:r>
      <w:r>
        <w:rPr>
          <w:rFonts w:hint="eastAsia" w:ascii="仿宋" w:hAnsi="仿宋" w:eastAsia="仿宋" w:cs="仿宋"/>
          <w:color w:val="auto"/>
          <w:sz w:val="24"/>
          <w:szCs w:val="24"/>
          <w:highlight w:val="none"/>
        </w:rPr>
        <w:t>在诉讼期间，除正在进行诉讼部分外，合同其他部分继续执行</w:t>
      </w:r>
      <w:r>
        <w:rPr>
          <w:rFonts w:hint="eastAsia" w:ascii="仿宋" w:hAnsi="仿宋" w:eastAsia="仿宋" w:cs="仿宋"/>
          <w:color w:val="auto"/>
          <w:sz w:val="24"/>
          <w:szCs w:val="24"/>
          <w:highlight w:val="none"/>
          <w:lang w:eastAsia="zh-CN"/>
        </w:rPr>
        <w:t>。</w:t>
      </w:r>
    </w:p>
    <w:p w14:paraId="3971364F">
      <w:pPr>
        <w:pStyle w:val="2"/>
        <w:shd w:val="clear"/>
        <w:spacing w:before="290" w:line="220" w:lineRule="auto"/>
        <w:ind w:left="585"/>
        <w:outlineLvl w:val="9"/>
        <w:rPr>
          <w:rFonts w:hint="eastAsia" w:ascii="仿宋" w:hAnsi="仿宋" w:eastAsia="仿宋" w:cs="仿宋"/>
          <w:color w:val="auto"/>
          <w:sz w:val="24"/>
          <w:szCs w:val="24"/>
          <w:highlight w:val="none"/>
        </w:rPr>
      </w:pPr>
      <w:r>
        <w:rPr>
          <w:rFonts w:hint="eastAsia" w:ascii="仿宋" w:hAnsi="仿宋" w:eastAsia="仿宋" w:cs="仿宋"/>
          <w:b/>
          <w:bCs/>
          <w:color w:val="auto"/>
          <w:spacing w:val="-4"/>
          <w:sz w:val="24"/>
          <w:szCs w:val="24"/>
          <w:highlight w:val="none"/>
        </w:rPr>
        <w:t>十、组成合同的文件</w:t>
      </w:r>
    </w:p>
    <w:p w14:paraId="176D8754">
      <w:pPr>
        <w:pStyle w:val="2"/>
        <w:shd w:val="clear"/>
        <w:spacing w:before="292" w:line="411" w:lineRule="auto"/>
        <w:ind w:left="25" w:right="13" w:firstLine="560"/>
        <w:outlineLvl w:val="9"/>
        <w:rPr>
          <w:rFonts w:hint="eastAsia" w:ascii="仿宋" w:hAnsi="仿宋" w:eastAsia="仿宋" w:cs="仿宋"/>
          <w:color w:val="auto"/>
          <w:sz w:val="24"/>
          <w:szCs w:val="24"/>
          <w:highlight w:val="none"/>
        </w:rPr>
      </w:pPr>
      <w:r>
        <w:rPr>
          <w:rFonts w:hint="eastAsia" w:ascii="仿宋" w:hAnsi="仿宋" w:eastAsia="仿宋" w:cs="仿宋"/>
          <w:color w:val="auto"/>
          <w:spacing w:val="-4"/>
          <w:sz w:val="24"/>
          <w:szCs w:val="24"/>
          <w:highlight w:val="none"/>
        </w:rPr>
        <w:t>本合同与下列文件一起构成合同文件，如下述文件之间有任何抵</w:t>
      </w:r>
      <w:r>
        <w:rPr>
          <w:rFonts w:hint="eastAsia" w:ascii="仿宋" w:hAnsi="仿宋" w:eastAsia="仿宋" w:cs="仿宋"/>
          <w:color w:val="auto"/>
          <w:spacing w:val="-1"/>
          <w:sz w:val="24"/>
          <w:szCs w:val="24"/>
          <w:highlight w:val="none"/>
        </w:rPr>
        <w:t>触、矛盾或歧义，应按以下顺序解释：</w:t>
      </w:r>
    </w:p>
    <w:p w14:paraId="2E2124B1">
      <w:pPr>
        <w:pStyle w:val="2"/>
        <w:shd w:val="clear"/>
        <w:spacing w:line="219" w:lineRule="auto"/>
        <w:ind w:left="525"/>
        <w:outlineLvl w:val="9"/>
        <w:rPr>
          <w:rFonts w:hint="eastAsia" w:ascii="仿宋" w:hAnsi="仿宋" w:eastAsia="仿宋" w:cs="仿宋"/>
          <w:color w:val="auto"/>
          <w:sz w:val="24"/>
          <w:szCs w:val="24"/>
          <w:highlight w:val="none"/>
        </w:rPr>
      </w:pPr>
      <w:r>
        <w:rPr>
          <w:rFonts w:hint="eastAsia" w:ascii="仿宋" w:hAnsi="仿宋" w:eastAsia="仿宋" w:cs="仿宋"/>
          <w:color w:val="auto"/>
          <w:spacing w:val="-2"/>
          <w:sz w:val="24"/>
          <w:szCs w:val="24"/>
          <w:highlight w:val="none"/>
        </w:rPr>
        <w:t>（1）政府采购合同及其变更、补充协议</w:t>
      </w:r>
    </w:p>
    <w:p w14:paraId="59088811">
      <w:pPr>
        <w:pStyle w:val="2"/>
        <w:shd w:val="clear"/>
        <w:spacing w:before="292" w:line="219" w:lineRule="auto"/>
        <w:ind w:left="525"/>
        <w:outlineLvl w:val="9"/>
        <w:rPr>
          <w:rFonts w:hint="eastAsia" w:ascii="仿宋" w:hAnsi="仿宋" w:eastAsia="仿宋" w:cs="仿宋"/>
          <w:color w:val="auto"/>
          <w:sz w:val="24"/>
          <w:szCs w:val="24"/>
          <w:highlight w:val="none"/>
        </w:rPr>
      </w:pPr>
      <w:r>
        <w:rPr>
          <w:rFonts w:hint="eastAsia" w:ascii="仿宋" w:hAnsi="仿宋" w:eastAsia="仿宋" w:cs="仿宋"/>
          <w:color w:val="auto"/>
          <w:spacing w:val="-2"/>
          <w:sz w:val="24"/>
          <w:szCs w:val="24"/>
          <w:highlight w:val="none"/>
        </w:rPr>
        <w:t>（2）中标（成交）通知书</w:t>
      </w:r>
    </w:p>
    <w:p w14:paraId="277EE422">
      <w:pPr>
        <w:pStyle w:val="2"/>
        <w:shd w:val="clear"/>
        <w:spacing w:before="291" w:line="220" w:lineRule="auto"/>
        <w:ind w:left="525"/>
        <w:outlineLvl w:val="9"/>
        <w:rPr>
          <w:rFonts w:hint="eastAsia" w:ascii="仿宋" w:hAnsi="仿宋" w:eastAsia="仿宋" w:cs="仿宋"/>
          <w:color w:val="auto"/>
          <w:sz w:val="24"/>
          <w:szCs w:val="24"/>
          <w:highlight w:val="none"/>
        </w:rPr>
      </w:pPr>
      <w:r>
        <w:rPr>
          <w:rFonts w:hint="eastAsia" w:ascii="仿宋" w:hAnsi="仿宋" w:eastAsia="仿宋" w:cs="仿宋"/>
          <w:color w:val="auto"/>
          <w:spacing w:val="-2"/>
          <w:sz w:val="24"/>
          <w:szCs w:val="24"/>
          <w:highlight w:val="none"/>
        </w:rPr>
        <w:t>（3）投标（响应）文件</w:t>
      </w:r>
    </w:p>
    <w:p w14:paraId="2C6705C0">
      <w:pPr>
        <w:pStyle w:val="2"/>
        <w:shd w:val="clear"/>
        <w:spacing w:before="291" w:line="219" w:lineRule="auto"/>
        <w:ind w:left="525"/>
        <w:outlineLvl w:val="9"/>
        <w:rPr>
          <w:rFonts w:hint="eastAsia" w:ascii="仿宋" w:hAnsi="仿宋" w:eastAsia="仿宋" w:cs="仿宋"/>
          <w:color w:val="auto"/>
          <w:sz w:val="24"/>
          <w:szCs w:val="24"/>
          <w:highlight w:val="none"/>
        </w:rPr>
      </w:pPr>
      <w:r>
        <w:rPr>
          <w:rFonts w:hint="eastAsia" w:ascii="仿宋" w:hAnsi="仿宋" w:eastAsia="仿宋" w:cs="仿宋"/>
          <w:color w:val="auto"/>
          <w:spacing w:val="-3"/>
          <w:sz w:val="24"/>
          <w:szCs w:val="24"/>
          <w:highlight w:val="none"/>
        </w:rPr>
        <w:t>（4）采购文件</w:t>
      </w:r>
    </w:p>
    <w:p w14:paraId="75DBD716">
      <w:pPr>
        <w:pStyle w:val="2"/>
        <w:shd w:val="clear"/>
        <w:spacing w:before="291" w:line="220" w:lineRule="auto"/>
        <w:ind w:left="525"/>
        <w:outlineLvl w:val="9"/>
        <w:rPr>
          <w:rFonts w:hint="eastAsia" w:ascii="仿宋" w:hAnsi="仿宋" w:eastAsia="仿宋" w:cs="仿宋"/>
          <w:color w:val="auto"/>
          <w:sz w:val="24"/>
          <w:szCs w:val="24"/>
          <w:highlight w:val="none"/>
        </w:rPr>
      </w:pPr>
      <w:r>
        <w:rPr>
          <w:rFonts w:hint="eastAsia" w:ascii="仿宋" w:hAnsi="仿宋" w:eastAsia="仿宋" w:cs="仿宋"/>
          <w:color w:val="auto"/>
          <w:spacing w:val="-2"/>
          <w:sz w:val="24"/>
          <w:szCs w:val="24"/>
          <w:highlight w:val="none"/>
        </w:rPr>
        <w:t>（5）有关技术文件，图纸</w:t>
      </w:r>
    </w:p>
    <w:p w14:paraId="6BBCDBA8">
      <w:pPr>
        <w:pStyle w:val="2"/>
        <w:shd w:val="clear"/>
        <w:spacing w:before="290" w:line="316" w:lineRule="auto"/>
        <w:ind w:left="52" w:right="13" w:firstLine="472"/>
        <w:outlineLvl w:val="9"/>
        <w:rPr>
          <w:rFonts w:hint="eastAsia" w:ascii="仿宋" w:hAnsi="仿宋" w:eastAsia="仿宋" w:cs="仿宋"/>
          <w:color w:val="auto"/>
          <w:sz w:val="24"/>
          <w:szCs w:val="24"/>
          <w:highlight w:val="none"/>
        </w:rPr>
      </w:pPr>
      <w:r>
        <w:rPr>
          <w:rFonts w:hint="eastAsia" w:ascii="仿宋" w:hAnsi="仿宋" w:eastAsia="仿宋" w:cs="仿宋"/>
          <w:color w:val="auto"/>
          <w:spacing w:val="3"/>
          <w:sz w:val="24"/>
          <w:szCs w:val="24"/>
          <w:highlight w:val="none"/>
        </w:rPr>
        <w:t>（6）国家法律、行政法规和规章制度规定或合同约定的作为合</w:t>
      </w:r>
      <w:r>
        <w:rPr>
          <w:rFonts w:hint="eastAsia" w:ascii="仿宋" w:hAnsi="仿宋" w:eastAsia="仿宋" w:cs="仿宋"/>
          <w:color w:val="auto"/>
          <w:spacing w:val="-4"/>
          <w:sz w:val="24"/>
          <w:szCs w:val="24"/>
          <w:highlight w:val="none"/>
        </w:rPr>
        <w:t>同组成部分的其他文件</w:t>
      </w:r>
    </w:p>
    <w:p w14:paraId="104F9DE8">
      <w:pPr>
        <w:pStyle w:val="2"/>
        <w:shd w:val="clear"/>
        <w:spacing w:before="290" w:line="220" w:lineRule="auto"/>
        <w:ind w:left="585"/>
        <w:outlineLvl w:val="9"/>
        <w:rPr>
          <w:rFonts w:hint="eastAsia" w:ascii="仿宋" w:hAnsi="仿宋" w:eastAsia="仿宋" w:cs="仿宋"/>
          <w:color w:val="auto"/>
          <w:sz w:val="24"/>
          <w:szCs w:val="24"/>
          <w:highlight w:val="none"/>
        </w:rPr>
      </w:pPr>
      <w:r>
        <w:rPr>
          <w:rFonts w:hint="eastAsia" w:ascii="仿宋" w:hAnsi="仿宋" w:eastAsia="仿宋" w:cs="仿宋"/>
          <w:b/>
          <w:bCs/>
          <w:color w:val="auto"/>
          <w:spacing w:val="-4"/>
          <w:sz w:val="24"/>
          <w:szCs w:val="24"/>
          <w:highlight w:val="none"/>
        </w:rPr>
        <w:t>十一、其他条款</w:t>
      </w:r>
    </w:p>
    <w:p w14:paraId="0C9B0E6D">
      <w:pPr>
        <w:pStyle w:val="2"/>
        <w:shd w:val="clear"/>
        <w:spacing w:before="290" w:line="221" w:lineRule="auto"/>
        <w:ind w:left="605"/>
        <w:outlineLvl w:val="9"/>
        <w:rPr>
          <w:rFonts w:hint="eastAsia" w:ascii="仿宋" w:hAnsi="仿宋" w:eastAsia="仿宋" w:cs="仿宋"/>
          <w:color w:val="auto"/>
          <w:sz w:val="24"/>
          <w:szCs w:val="24"/>
          <w:highlight w:val="none"/>
        </w:rPr>
      </w:pPr>
      <w:r>
        <w:rPr>
          <w:rFonts w:hint="eastAsia" w:ascii="仿宋" w:hAnsi="仿宋" w:eastAsia="仿宋" w:cs="仿宋"/>
          <w:color w:val="auto"/>
          <w:spacing w:val="-3"/>
          <w:sz w:val="24"/>
          <w:szCs w:val="24"/>
          <w:highlight w:val="none"/>
        </w:rPr>
        <w:t>11.1.履约保证金</w:t>
      </w:r>
    </w:p>
    <w:p w14:paraId="3EA78579">
      <w:pPr>
        <w:shd w:val="clear"/>
        <w:spacing w:line="493" w:lineRule="exact"/>
        <w:outlineLvl w:val="9"/>
        <w:rPr>
          <w:rFonts w:hint="eastAsia" w:ascii="仿宋" w:hAnsi="仿宋" w:eastAsia="仿宋" w:cs="仿宋"/>
          <w:color w:val="auto"/>
          <w:sz w:val="24"/>
          <w:szCs w:val="24"/>
          <w:highlight w:val="none"/>
        </w:rPr>
      </w:pPr>
    </w:p>
    <w:p w14:paraId="326EF235">
      <w:pPr>
        <w:tabs>
          <w:tab w:val="left" w:pos="630"/>
        </w:tabs>
        <w:bidi w:val="0"/>
        <w:jc w:val="left"/>
        <w:rPr>
          <w:rFonts w:hint="eastAsia" w:ascii="仿宋" w:hAnsi="仿宋" w:eastAsia="仿宋" w:cs="仿宋"/>
          <w:color w:val="auto"/>
          <w:spacing w:val="3"/>
          <w:kern w:val="2"/>
          <w:sz w:val="24"/>
          <w:szCs w:val="24"/>
          <w:highlight w:val="none"/>
          <w:lang w:val="en-US" w:eastAsia="zh-CN" w:bidi="ar-SA"/>
        </w:rPr>
      </w:pPr>
      <w:r>
        <w:rPr>
          <w:rFonts w:hint="eastAsia" w:cs="Times New Roman"/>
          <w:kern w:val="2"/>
          <w:sz w:val="32"/>
          <w:szCs w:val="24"/>
          <w:lang w:val="en-US" w:eastAsia="zh-CN" w:bidi="ar-SA"/>
        </w:rPr>
        <w:tab/>
      </w:r>
      <w:r>
        <w:rPr>
          <w:rFonts w:hint="eastAsia" w:ascii="仿宋" w:hAnsi="仿宋" w:eastAsia="仿宋" w:cs="仿宋"/>
          <w:color w:val="auto"/>
          <w:spacing w:val="3"/>
          <w:kern w:val="2"/>
          <w:sz w:val="24"/>
          <w:szCs w:val="24"/>
          <w:highlight w:val="none"/>
          <w:lang w:val="en-US" w:eastAsia="zh-CN" w:bidi="ar-SA"/>
        </w:rPr>
        <w:t>是否收取履约保证金：否</w:t>
      </w:r>
    </w:p>
    <w:p w14:paraId="158F22CA">
      <w:pPr>
        <w:bidi w:val="0"/>
        <w:rPr>
          <w:rFonts w:hint="default"/>
          <w:lang w:val="en-US" w:eastAsia="zh-CN"/>
        </w:rPr>
      </w:pPr>
      <w:r>
        <w:rPr>
          <w:rFonts w:hint="eastAsia"/>
          <w:lang w:val="en-US" w:eastAsia="zh-CN"/>
        </w:rPr>
        <w:t xml:space="preserve"> </w:t>
      </w:r>
    </w:p>
    <w:p w14:paraId="7703B79B">
      <w:pPr>
        <w:tabs>
          <w:tab w:val="left" w:pos="643"/>
        </w:tabs>
        <w:bidi w:val="0"/>
        <w:ind w:firstLine="468"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pacing w:val="-3"/>
          <w:sz w:val="24"/>
          <w:szCs w:val="24"/>
          <w:highlight w:val="none"/>
        </w:rPr>
        <w:t>11.2.不可抗力事件处理</w:t>
      </w:r>
    </w:p>
    <w:p w14:paraId="3C8B1C81">
      <w:pPr>
        <w:pStyle w:val="2"/>
        <w:shd w:val="clear"/>
        <w:spacing w:before="130" w:line="493" w:lineRule="exact"/>
        <w:ind w:firstLine="487" w:firstLineChars="203"/>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{（预设内容，可编辑）</w:t>
      </w:r>
    </w:p>
    <w:p w14:paraId="58A0673F">
      <w:pPr>
        <w:pStyle w:val="2"/>
        <w:shd w:val="clear"/>
        <w:spacing w:before="130" w:line="493" w:lineRule="exact"/>
        <w:ind w:firstLine="487" w:firstLineChars="203"/>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11.2.1.任何一方对由于不可抗力造成的部分或全部不能履行合同不承担违约责任。但迟延履行后发生不可抗力的，不能免除责任。</w:t>
      </w:r>
    </w:p>
    <w:p w14:paraId="71F4265E">
      <w:pPr>
        <w:pStyle w:val="2"/>
        <w:shd w:val="clear"/>
        <w:spacing w:before="130" w:line="493" w:lineRule="exact"/>
        <w:ind w:firstLine="487" w:firstLineChars="203"/>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11.2.2.遇有不可抗力的一方，应及时将事件情况以书面形式告知另一方，并在事件发生后 XX 天内及时向另一方提交合同不能履行或部分不能履行或需要延期履行的详细报告，以及证明不可抗力发生及其持续时间的证据。</w:t>
      </w:r>
    </w:p>
    <w:p w14:paraId="38738B51">
      <w:pPr>
        <w:pStyle w:val="2"/>
        <w:shd w:val="clear"/>
        <w:spacing w:before="130" w:line="493" w:lineRule="exact"/>
        <w:ind w:firstLine="487" w:firstLineChars="203"/>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11.2.3.不可抗力事件延续 XX 天以上，双方应通过友好协商，确定是否继续履行合同。｝</w:t>
      </w:r>
    </w:p>
    <w:p w14:paraId="196A23DE">
      <w:pPr>
        <w:pStyle w:val="2"/>
        <w:shd w:val="clear"/>
        <w:spacing w:before="289" w:line="220" w:lineRule="auto"/>
        <w:ind w:left="605"/>
        <w:outlineLvl w:val="9"/>
        <w:rPr>
          <w:rFonts w:hint="eastAsia" w:ascii="仿宋" w:hAnsi="仿宋" w:eastAsia="仿宋" w:cs="仿宋"/>
          <w:color w:val="auto"/>
          <w:sz w:val="24"/>
          <w:szCs w:val="24"/>
          <w:highlight w:val="none"/>
        </w:rPr>
      </w:pPr>
      <w:r>
        <w:rPr>
          <w:rFonts w:hint="eastAsia" w:ascii="仿宋" w:hAnsi="仿宋" w:eastAsia="仿宋" w:cs="仿宋"/>
          <w:color w:val="auto"/>
          <w:spacing w:val="-3"/>
          <w:sz w:val="24"/>
          <w:szCs w:val="24"/>
          <w:highlight w:val="none"/>
        </w:rPr>
        <w:t>11.3.权利瑕疵担保</w:t>
      </w:r>
    </w:p>
    <w:p w14:paraId="01A217C2">
      <w:pPr>
        <w:pStyle w:val="2"/>
        <w:shd w:val="clear"/>
        <w:spacing w:before="130" w:line="493" w:lineRule="exact"/>
        <w:ind w:firstLine="487" w:firstLineChars="203"/>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（预设内容，可编辑）</w:t>
      </w:r>
    </w:p>
    <w:p w14:paraId="5BE80F38">
      <w:pPr>
        <w:pStyle w:val="2"/>
        <w:shd w:val="clear"/>
        <w:spacing w:before="130" w:line="493" w:lineRule="exact"/>
        <w:ind w:firstLine="487" w:firstLineChars="203"/>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14:paraId="7869BCD8">
      <w:pPr>
        <w:pStyle w:val="2"/>
        <w:shd w:val="clear"/>
        <w:spacing w:before="2" w:line="219" w:lineRule="auto"/>
        <w:ind w:left="605"/>
        <w:outlineLvl w:val="9"/>
        <w:rPr>
          <w:rFonts w:hint="eastAsia" w:ascii="仿宋" w:hAnsi="仿宋" w:eastAsia="仿宋" w:cs="仿宋"/>
          <w:color w:val="auto"/>
          <w:sz w:val="24"/>
          <w:szCs w:val="24"/>
          <w:highlight w:val="none"/>
        </w:rPr>
      </w:pPr>
      <w:r>
        <w:rPr>
          <w:rFonts w:hint="eastAsia" w:ascii="仿宋" w:hAnsi="仿宋" w:eastAsia="仿宋" w:cs="仿宋"/>
          <w:color w:val="auto"/>
          <w:spacing w:val="-3"/>
          <w:sz w:val="24"/>
          <w:szCs w:val="24"/>
          <w:highlight w:val="none"/>
        </w:rPr>
        <w:t>11.4.知识产权保护</w:t>
      </w:r>
    </w:p>
    <w:p w14:paraId="18A72587">
      <w:pPr>
        <w:pStyle w:val="2"/>
        <w:shd w:val="clear"/>
        <w:spacing w:before="130" w:line="493" w:lineRule="exact"/>
        <w:ind w:firstLine="487" w:firstLineChars="203"/>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中标人应保证在本项目中使用的任何技术、产品和服务（包括部分使用），不会产生因第三方提出侵犯其专利权、商标权或其它知识产权而引起的法律和经济纠纷，如存在前述情形，由中标人承担所有相关责任，并且赔偿由此给采购人带来的损失。本项目实施过程中产生的知识成果及知识产权归采购人所有。</w:t>
      </w:r>
    </w:p>
    <w:p w14:paraId="0A4B83FE">
      <w:pPr>
        <w:pStyle w:val="2"/>
        <w:shd w:val="clear"/>
        <w:spacing w:before="130" w:line="493" w:lineRule="exact"/>
        <w:ind w:firstLine="487" w:firstLineChars="203"/>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中标人将在采购项目实施过程中采用自有或者第三方知识成果的，使用该知识成果后，中标人需提供开发接口和开发手册等技术资料，并承诺提供无限期支持，采购人享有使用权（含采购人委托第三方在该项目后续开发的使用权）。</w:t>
      </w:r>
    </w:p>
    <w:p w14:paraId="033C6922">
      <w:pPr>
        <w:pStyle w:val="2"/>
        <w:shd w:val="clear"/>
        <w:spacing w:before="130" w:line="493" w:lineRule="exact"/>
        <w:ind w:firstLine="487" w:firstLineChars="203"/>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（3）如使用中标人所不拥有的知识产权，则在投标报价中必须包括合法使用该知识产权的相关费用。</w:t>
      </w:r>
    </w:p>
    <w:p w14:paraId="273E944C">
      <w:pPr>
        <w:pStyle w:val="2"/>
        <w:shd w:val="clear"/>
        <w:spacing w:before="303" w:line="220" w:lineRule="auto"/>
        <w:ind w:left="605"/>
        <w:outlineLvl w:val="9"/>
        <w:rPr>
          <w:rFonts w:hint="eastAsia" w:ascii="仿宋" w:hAnsi="仿宋" w:eastAsia="仿宋" w:cs="仿宋"/>
          <w:color w:val="auto"/>
          <w:sz w:val="24"/>
          <w:szCs w:val="24"/>
          <w:highlight w:val="none"/>
        </w:rPr>
      </w:pPr>
      <w:r>
        <w:rPr>
          <w:rFonts w:hint="eastAsia" w:ascii="仿宋" w:hAnsi="仿宋" w:eastAsia="仿宋" w:cs="仿宋"/>
          <w:color w:val="auto"/>
          <w:spacing w:val="-4"/>
          <w:sz w:val="24"/>
          <w:szCs w:val="24"/>
          <w:highlight w:val="none"/>
        </w:rPr>
        <w:t>11.5.保密义务</w:t>
      </w:r>
    </w:p>
    <w:p w14:paraId="04CE11D2">
      <w:pPr>
        <w:pStyle w:val="2"/>
        <w:shd w:val="clear"/>
        <w:spacing w:before="130" w:line="493" w:lineRule="exact"/>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14:paraId="03100C43">
      <w:pPr>
        <w:pStyle w:val="2"/>
        <w:shd w:val="clear"/>
        <w:spacing w:before="130" w:line="493" w:lineRule="exact"/>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投标人要严格按照《中华人民共和国保守国家秘密法》、《中华人民共和国保守国家秘密法实施条例》及《中共中央保密委员会办公室、国家保密局关于国家秘密载体保密管理的规定》等相关要求，确定项目保密责任人，管理、监督、落实项目保密工作。</w:t>
      </w:r>
    </w:p>
    <w:p w14:paraId="1AE1F492">
      <w:pPr>
        <w:pStyle w:val="2"/>
        <w:shd w:val="clear"/>
        <w:spacing w:before="130" w:line="493" w:lineRule="exact"/>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投标人在履行服务过程中所获得或接触到的任何与本合同项下有关的所有资料及信息，均被视为保密内容，未经采购人同意，投标人不得以任何方式泄露给第三方或作其它任何形式的使用，由此造成的法律后果和赔偿责任由投标人全部承担。不管本项目合同因何种原因终止，本条款仍有效。</w:t>
      </w:r>
    </w:p>
    <w:p w14:paraId="47B63A84">
      <w:pPr>
        <w:pStyle w:val="2"/>
        <w:shd w:val="clear"/>
        <w:spacing w:before="130" w:line="493" w:lineRule="exact"/>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）投标人应对本项目服务团队的保密义务承担连带责任。</w:t>
      </w:r>
    </w:p>
    <w:p w14:paraId="06DCE4E4">
      <w:pPr>
        <w:pStyle w:val="2"/>
        <w:shd w:val="clear"/>
        <w:spacing w:before="1" w:line="220" w:lineRule="auto"/>
        <w:ind w:left="605"/>
        <w:outlineLvl w:val="9"/>
        <w:rPr>
          <w:rFonts w:hint="eastAsia" w:ascii="仿宋" w:hAnsi="仿宋" w:eastAsia="仿宋" w:cs="仿宋"/>
          <w:color w:val="auto"/>
          <w:sz w:val="24"/>
          <w:szCs w:val="24"/>
          <w:highlight w:val="none"/>
        </w:rPr>
      </w:pPr>
      <w:r>
        <w:rPr>
          <w:rFonts w:hint="eastAsia" w:ascii="仿宋" w:hAnsi="仿宋" w:eastAsia="仿宋" w:cs="仿宋"/>
          <w:color w:val="auto"/>
          <w:spacing w:val="-2"/>
          <w:sz w:val="24"/>
          <w:szCs w:val="24"/>
          <w:highlight w:val="none"/>
        </w:rPr>
        <w:t>11.6.合同变更、中止与终止</w:t>
      </w:r>
    </w:p>
    <w:p w14:paraId="6EC1329D">
      <w:pPr>
        <w:pStyle w:val="2"/>
        <w:shd w:val="clear"/>
        <w:spacing w:before="292" w:line="411" w:lineRule="auto"/>
        <w:ind w:left="25" w:right="97" w:firstLine="595"/>
        <w:outlineLvl w:val="9"/>
        <w:rPr>
          <w:rFonts w:hint="eastAsia" w:ascii="仿宋" w:hAnsi="仿宋" w:eastAsia="仿宋" w:cs="仿宋"/>
          <w:color w:val="auto"/>
          <w:sz w:val="24"/>
          <w:szCs w:val="24"/>
          <w:highlight w:val="none"/>
        </w:rPr>
      </w:pPr>
      <w:r>
        <w:rPr>
          <w:rFonts w:hint="eastAsia" w:ascii="仿宋" w:hAnsi="仿宋" w:eastAsia="仿宋" w:cs="仿宋"/>
          <w:color w:val="auto"/>
          <w:spacing w:val="-5"/>
          <w:sz w:val="24"/>
          <w:szCs w:val="24"/>
          <w:highlight w:val="none"/>
        </w:rPr>
        <w:t>甲乙双方当事人不得擅自变更、中止或者终止合同。合同继续履</w:t>
      </w:r>
      <w:r>
        <w:rPr>
          <w:rFonts w:hint="eastAsia" w:ascii="仿宋" w:hAnsi="仿宋" w:eastAsia="仿宋" w:cs="仿宋"/>
          <w:color w:val="auto"/>
          <w:spacing w:val="-4"/>
          <w:sz w:val="24"/>
          <w:szCs w:val="24"/>
          <w:highlight w:val="none"/>
        </w:rPr>
        <w:t>行将损害国家利益和社会公共利益的，甲乙双方应当变更、中止或者终止合同。有过错的一方应当承担赔偿责任，双方都有过错的，各自</w:t>
      </w:r>
      <w:r>
        <w:rPr>
          <w:rFonts w:hint="eastAsia" w:ascii="仿宋" w:hAnsi="仿宋" w:eastAsia="仿宋" w:cs="仿宋"/>
          <w:color w:val="auto"/>
          <w:spacing w:val="-2"/>
          <w:sz w:val="24"/>
          <w:szCs w:val="24"/>
          <w:highlight w:val="none"/>
        </w:rPr>
        <w:t>承担相应的责任。</w:t>
      </w:r>
    </w:p>
    <w:p w14:paraId="1830F518">
      <w:pPr>
        <w:pStyle w:val="2"/>
        <w:shd w:val="clear"/>
        <w:spacing w:before="1" w:line="221" w:lineRule="auto"/>
        <w:ind w:left="605"/>
        <w:outlineLvl w:val="9"/>
        <w:rPr>
          <w:rFonts w:hint="eastAsia" w:ascii="仿宋" w:hAnsi="仿宋" w:eastAsia="仿宋" w:cs="仿宋"/>
          <w:color w:val="auto"/>
          <w:sz w:val="24"/>
          <w:szCs w:val="24"/>
          <w:highlight w:val="none"/>
        </w:rPr>
      </w:pPr>
      <w:r>
        <w:rPr>
          <w:rFonts w:hint="eastAsia" w:ascii="仿宋" w:hAnsi="仿宋" w:eastAsia="仿宋" w:cs="仿宋"/>
          <w:color w:val="auto"/>
          <w:spacing w:val="-3"/>
          <w:sz w:val="24"/>
          <w:szCs w:val="24"/>
          <w:highlight w:val="none"/>
        </w:rPr>
        <w:t>11.6.1.合同的变更</w:t>
      </w:r>
    </w:p>
    <w:p w14:paraId="3C4EB2D7">
      <w:pPr>
        <w:pStyle w:val="2"/>
        <w:shd w:val="clear"/>
        <w:spacing w:before="292" w:line="411" w:lineRule="auto"/>
        <w:ind w:left="25" w:right="97" w:firstLine="595"/>
        <w:outlineLvl w:val="9"/>
        <w:rPr>
          <w:rFonts w:hint="eastAsia" w:ascii="仿宋" w:hAnsi="仿宋" w:eastAsia="仿宋" w:cs="仿宋"/>
          <w:color w:val="auto"/>
          <w:spacing w:val="-5"/>
          <w:sz w:val="24"/>
          <w:szCs w:val="24"/>
          <w:highlight w:val="none"/>
        </w:rPr>
      </w:pPr>
      <w:r>
        <w:rPr>
          <w:rFonts w:hint="eastAsia" w:ascii="仿宋" w:hAnsi="仿宋" w:eastAsia="仿宋" w:cs="仿宋"/>
          <w:color w:val="auto"/>
          <w:spacing w:val="-5"/>
          <w:sz w:val="24"/>
          <w:szCs w:val="24"/>
          <w:highlight w:val="none"/>
        </w:rPr>
        <w:t>政府采购合同履行中，在不改变合同其他条款的前提下，甲方可以在合同价款10%的范围内追加与合同标的相同的服务，并就此与乙方协商一致后签订补充协议。}</w:t>
      </w:r>
    </w:p>
    <w:p w14:paraId="4923A566">
      <w:pPr>
        <w:pStyle w:val="2"/>
        <w:shd w:val="clear"/>
        <w:spacing w:before="1" w:line="220" w:lineRule="auto"/>
        <w:ind w:left="605"/>
        <w:outlineLvl w:val="9"/>
        <w:rPr>
          <w:rFonts w:hint="eastAsia" w:ascii="仿宋" w:hAnsi="仿宋" w:eastAsia="仿宋" w:cs="仿宋"/>
          <w:color w:val="auto"/>
          <w:sz w:val="24"/>
          <w:szCs w:val="24"/>
          <w:highlight w:val="none"/>
        </w:rPr>
      </w:pPr>
      <w:r>
        <w:rPr>
          <w:rFonts w:hint="eastAsia" w:ascii="仿宋" w:hAnsi="仿宋" w:eastAsia="仿宋" w:cs="仿宋"/>
          <w:color w:val="auto"/>
          <w:spacing w:val="-3"/>
          <w:sz w:val="24"/>
          <w:szCs w:val="24"/>
          <w:highlight w:val="none"/>
        </w:rPr>
        <w:t>11.6.2.合同的中止</w:t>
      </w:r>
    </w:p>
    <w:p w14:paraId="53FF7CAF">
      <w:pPr>
        <w:bidi w:val="0"/>
        <w:rPr>
          <w:rFonts w:hint="eastAsia" w:ascii="Calibri" w:hAnsi="Calibri" w:eastAsia="方正仿宋" w:cs="Times New Roman"/>
          <w:kern w:val="2"/>
          <w:sz w:val="32"/>
          <w:szCs w:val="24"/>
          <w:lang w:val="en-US" w:eastAsia="zh-CN" w:bidi="ar-SA"/>
        </w:rPr>
      </w:pPr>
    </w:p>
    <w:p w14:paraId="0F6B0221">
      <w:pPr>
        <w:tabs>
          <w:tab w:val="left" w:pos="293"/>
        </w:tabs>
        <w:bidi w:val="0"/>
        <w:jc w:val="left"/>
        <w:rPr>
          <w:rFonts w:hint="eastAsia" w:ascii="仿宋" w:hAnsi="仿宋" w:eastAsia="仿宋" w:cs="仿宋"/>
          <w:color w:val="auto"/>
          <w:spacing w:val="-5"/>
          <w:kern w:val="2"/>
          <w:sz w:val="24"/>
          <w:szCs w:val="24"/>
          <w:highlight w:val="none"/>
          <w:lang w:val="en-US" w:eastAsia="zh-CN" w:bidi="ar-SA"/>
        </w:rPr>
      </w:pPr>
      <w:r>
        <w:rPr>
          <w:rFonts w:hint="eastAsia"/>
          <w:lang w:val="en-US" w:eastAsia="zh-CN"/>
        </w:rPr>
        <w:tab/>
      </w:r>
      <w:r>
        <w:rPr>
          <w:rFonts w:hint="eastAsia" w:ascii="仿宋" w:hAnsi="仿宋" w:eastAsia="仿宋" w:cs="仿宋"/>
          <w:color w:val="auto"/>
          <w:spacing w:val="-5"/>
          <w:sz w:val="24"/>
          <w:szCs w:val="24"/>
          <w:highlight w:val="none"/>
        </w:rPr>
        <w:t>11.6.2.1.</w:t>
      </w:r>
      <w:r>
        <w:rPr>
          <w:rFonts w:hint="eastAsia" w:ascii="仿宋" w:hAnsi="仿宋" w:eastAsia="仿宋" w:cs="仿宋"/>
          <w:color w:val="auto"/>
          <w:spacing w:val="-5"/>
          <w:kern w:val="2"/>
          <w:sz w:val="24"/>
          <w:szCs w:val="24"/>
          <w:highlight w:val="none"/>
          <w:lang w:val="en-US" w:eastAsia="zh-CN" w:bidi="ar-SA"/>
        </w:rPr>
        <w:t>合同签订后，因询问、质疑可能影响成交结果的，甲方应当中止履行合同，因供应商就采购文件、采购过程或结果提起投诉的，甲方认为有必要的，可以中止合同的履行。</w:t>
      </w:r>
    </w:p>
    <w:p w14:paraId="67669EBC">
      <w:pPr>
        <w:pStyle w:val="2"/>
        <w:shd w:val="clear"/>
        <w:spacing w:before="292" w:line="411" w:lineRule="auto"/>
        <w:ind w:left="25" w:right="97" w:firstLine="595"/>
        <w:outlineLvl w:val="9"/>
        <w:rPr>
          <w:rFonts w:hint="eastAsia" w:ascii="仿宋" w:hAnsi="仿宋" w:eastAsia="仿宋" w:cs="仿宋"/>
          <w:color w:val="auto"/>
          <w:spacing w:val="-5"/>
          <w:sz w:val="24"/>
          <w:szCs w:val="24"/>
          <w:highlight w:val="none"/>
        </w:rPr>
      </w:pPr>
      <w:r>
        <w:rPr>
          <w:rFonts w:hint="eastAsia" w:ascii="仿宋" w:hAnsi="仿宋" w:eastAsia="仿宋" w:cs="仿宋"/>
          <w:color w:val="auto"/>
          <w:spacing w:val="-5"/>
          <w:sz w:val="24"/>
          <w:szCs w:val="24"/>
          <w:highlight w:val="none"/>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55A23619">
      <w:pPr>
        <w:pStyle w:val="2"/>
        <w:shd w:val="clear"/>
        <w:spacing w:before="292" w:line="411" w:lineRule="auto"/>
        <w:ind w:left="25" w:right="97" w:firstLine="595"/>
        <w:outlineLvl w:val="9"/>
        <w:rPr>
          <w:rFonts w:hint="eastAsia" w:ascii="仿宋" w:hAnsi="仿宋" w:eastAsia="仿宋" w:cs="仿宋"/>
          <w:color w:val="auto"/>
          <w:spacing w:val="-5"/>
          <w:sz w:val="24"/>
          <w:szCs w:val="24"/>
          <w:highlight w:val="none"/>
        </w:rPr>
      </w:pPr>
      <w:r>
        <w:rPr>
          <w:rFonts w:hint="eastAsia" w:ascii="仿宋" w:hAnsi="仿宋" w:eastAsia="仿宋" w:cs="仿宋"/>
          <w:color w:val="auto"/>
          <w:spacing w:val="-5"/>
          <w:sz w:val="24"/>
          <w:szCs w:val="24"/>
          <w:highlight w:val="none"/>
        </w:rPr>
        <w:t>11.6.2.3.乙方分立、合并或者变更住所的，应当及时以书面形式告知甲方。乙方没有及时告知甲方，致使合同履行发生困难的，甲方可以中止合同履行并要求乙方承担由此给甲方造成的损失。</w:t>
      </w:r>
    </w:p>
    <w:p w14:paraId="4A9F536A">
      <w:pPr>
        <w:pStyle w:val="2"/>
        <w:shd w:val="clear"/>
        <w:spacing w:before="292" w:line="411" w:lineRule="auto"/>
        <w:ind w:left="25" w:right="97" w:firstLine="595"/>
        <w:outlineLvl w:val="9"/>
        <w:rPr>
          <w:rFonts w:hint="eastAsia" w:ascii="仿宋" w:hAnsi="仿宋" w:eastAsia="仿宋" w:cs="仿宋"/>
          <w:color w:val="auto"/>
          <w:spacing w:val="-5"/>
          <w:sz w:val="24"/>
          <w:szCs w:val="24"/>
          <w:highlight w:val="none"/>
        </w:rPr>
      </w:pPr>
      <w:r>
        <w:rPr>
          <w:rFonts w:hint="eastAsia" w:ascii="仿宋" w:hAnsi="仿宋" w:eastAsia="仿宋" w:cs="仿宋"/>
          <w:color w:val="auto"/>
          <w:spacing w:val="-5"/>
          <w:sz w:val="24"/>
          <w:szCs w:val="24"/>
          <w:highlight w:val="none"/>
        </w:rPr>
        <w:t>11.6.2.4.甲方不得以行政区划调整、政府换届、机构或者职能调整以及相关责任人更替为由中止合同。}</w:t>
      </w:r>
    </w:p>
    <w:p w14:paraId="15CCFD81">
      <w:pPr>
        <w:pStyle w:val="2"/>
        <w:shd w:val="clear"/>
        <w:spacing w:before="290" w:line="222" w:lineRule="auto"/>
        <w:ind w:left="605"/>
        <w:outlineLvl w:val="9"/>
        <w:rPr>
          <w:rFonts w:hint="eastAsia" w:ascii="仿宋" w:hAnsi="仿宋" w:eastAsia="仿宋" w:cs="仿宋"/>
          <w:color w:val="auto"/>
          <w:sz w:val="24"/>
          <w:szCs w:val="24"/>
          <w:highlight w:val="none"/>
        </w:rPr>
      </w:pPr>
      <w:r>
        <w:rPr>
          <w:rFonts w:hint="eastAsia" w:ascii="仿宋" w:hAnsi="仿宋" w:eastAsia="仿宋" w:cs="仿宋"/>
          <w:color w:val="auto"/>
          <w:spacing w:val="-3"/>
          <w:sz w:val="24"/>
          <w:szCs w:val="24"/>
          <w:highlight w:val="none"/>
        </w:rPr>
        <w:t>11.6.3.合同的终止</w:t>
      </w:r>
    </w:p>
    <w:p w14:paraId="27141588">
      <w:pPr>
        <w:pStyle w:val="2"/>
        <w:shd w:val="clear"/>
        <w:spacing w:before="292" w:line="411" w:lineRule="auto"/>
        <w:ind w:left="25" w:right="97" w:firstLine="595"/>
        <w:outlineLvl w:val="9"/>
        <w:rPr>
          <w:rFonts w:hint="eastAsia" w:ascii="仿宋" w:hAnsi="仿宋" w:eastAsia="仿宋" w:cs="仿宋"/>
          <w:color w:val="auto"/>
          <w:spacing w:val="-5"/>
          <w:sz w:val="24"/>
          <w:szCs w:val="24"/>
          <w:highlight w:val="none"/>
        </w:rPr>
      </w:pPr>
      <w:r>
        <w:rPr>
          <w:rFonts w:hint="eastAsia" w:ascii="仿宋" w:hAnsi="仿宋" w:eastAsia="仿宋" w:cs="仿宋"/>
          <w:color w:val="auto"/>
          <w:spacing w:val="-5"/>
          <w:sz w:val="24"/>
          <w:szCs w:val="24"/>
          <w:highlight w:val="none"/>
        </w:rPr>
        <w:t>11.6.3.1.合同因有效期限届满而终止；</w:t>
      </w:r>
    </w:p>
    <w:p w14:paraId="3C1C25BD">
      <w:pPr>
        <w:pStyle w:val="2"/>
        <w:shd w:val="clear"/>
        <w:spacing w:before="292" w:line="411" w:lineRule="auto"/>
        <w:ind w:left="25" w:right="97" w:firstLine="595"/>
        <w:outlineLvl w:val="9"/>
        <w:rPr>
          <w:rFonts w:hint="eastAsia" w:ascii="仿宋" w:hAnsi="仿宋" w:eastAsia="仿宋" w:cs="仿宋"/>
          <w:color w:val="auto"/>
          <w:spacing w:val="-5"/>
          <w:sz w:val="24"/>
          <w:szCs w:val="24"/>
          <w:highlight w:val="none"/>
        </w:rPr>
      </w:pPr>
      <w:r>
        <w:rPr>
          <w:rFonts w:hint="eastAsia" w:ascii="仿宋" w:hAnsi="仿宋" w:eastAsia="仿宋" w:cs="仿宋"/>
          <w:color w:val="auto"/>
          <w:spacing w:val="-5"/>
          <w:sz w:val="24"/>
          <w:szCs w:val="24"/>
          <w:highlight w:val="none"/>
        </w:rPr>
        <w:t>11.6.3.2.任一方未按合同约定履行，构成根本性违约的，另一方有权终止合同，并追究违约方的违约责任。}</w:t>
      </w:r>
    </w:p>
    <w:p w14:paraId="52D6DE17">
      <w:pPr>
        <w:pStyle w:val="2"/>
        <w:shd w:val="clear"/>
        <w:spacing w:before="291" w:line="221" w:lineRule="auto"/>
        <w:ind w:left="605"/>
        <w:outlineLvl w:val="9"/>
        <w:rPr>
          <w:rFonts w:hint="eastAsia" w:ascii="仿宋" w:hAnsi="仿宋" w:eastAsia="仿宋" w:cs="仿宋"/>
          <w:color w:val="auto"/>
          <w:sz w:val="24"/>
          <w:szCs w:val="24"/>
          <w:highlight w:val="none"/>
        </w:rPr>
      </w:pPr>
      <w:r>
        <w:rPr>
          <w:rFonts w:hint="eastAsia" w:ascii="仿宋" w:hAnsi="仿宋" w:eastAsia="仿宋" w:cs="仿宋"/>
          <w:color w:val="auto"/>
          <w:spacing w:val="-4"/>
          <w:sz w:val="24"/>
          <w:szCs w:val="24"/>
          <w:highlight w:val="none"/>
        </w:rPr>
        <w:t>11.7.合同分包</w:t>
      </w:r>
    </w:p>
    <w:p w14:paraId="560F50AE">
      <w:pPr>
        <w:bidi w:val="0"/>
        <w:rPr>
          <w:rFonts w:hint="eastAsia" w:ascii="Calibri" w:hAnsi="Calibri" w:eastAsia="方正仿宋" w:cs="Times New Roman"/>
          <w:kern w:val="2"/>
          <w:sz w:val="32"/>
          <w:szCs w:val="24"/>
          <w:lang w:val="en-US" w:eastAsia="zh-CN" w:bidi="ar-SA"/>
        </w:rPr>
      </w:pPr>
    </w:p>
    <w:p w14:paraId="53DF2E22">
      <w:pPr>
        <w:tabs>
          <w:tab w:val="left" w:pos="318"/>
        </w:tabs>
        <w:bidi w:val="0"/>
        <w:spacing w:line="360" w:lineRule="auto"/>
        <w:jc w:val="left"/>
        <w:rPr>
          <w:rFonts w:hint="eastAsia" w:ascii="仿宋" w:hAnsi="仿宋" w:eastAsia="仿宋" w:cs="仿宋"/>
          <w:color w:val="auto"/>
          <w:spacing w:val="-5"/>
          <w:kern w:val="2"/>
          <w:sz w:val="24"/>
          <w:szCs w:val="24"/>
          <w:highlight w:val="none"/>
          <w:lang w:val="en-US" w:eastAsia="zh-CN" w:bidi="ar-SA"/>
        </w:rPr>
      </w:pPr>
      <w:r>
        <w:rPr>
          <w:rFonts w:hint="eastAsia" w:ascii="仿宋" w:hAnsi="仿宋" w:eastAsia="仿宋" w:cs="仿宋"/>
          <w:color w:val="auto"/>
          <w:spacing w:val="-5"/>
          <w:kern w:val="2"/>
          <w:sz w:val="24"/>
          <w:szCs w:val="24"/>
          <w:highlight w:val="none"/>
          <w:lang w:val="en-US" w:eastAsia="zh-CN" w:bidi="ar-SA"/>
        </w:rPr>
        <w:tab/>
      </w:r>
      <w:r>
        <w:rPr>
          <w:rFonts w:hint="eastAsia" w:ascii="仿宋" w:hAnsi="仿宋" w:eastAsia="仿宋" w:cs="仿宋"/>
          <w:color w:val="auto"/>
          <w:spacing w:val="-5"/>
          <w:kern w:val="2"/>
          <w:sz w:val="24"/>
          <w:szCs w:val="24"/>
          <w:highlight w:val="none"/>
          <w:lang w:val="en-US" w:eastAsia="zh-CN" w:bidi="ar-SA"/>
        </w:rPr>
        <w:t>乙方不得将合同转包给其他供应商。涉及合同分包的，乙方应根据采购文件和投标（响应）文件规定进行合同分包。</w:t>
      </w:r>
    </w:p>
    <w:p w14:paraId="314E589D">
      <w:pPr>
        <w:pStyle w:val="2"/>
        <w:shd w:val="clear"/>
        <w:spacing w:before="1" w:line="411" w:lineRule="auto"/>
        <w:ind w:left="27" w:right="13" w:firstLine="584"/>
        <w:jc w:val="both"/>
        <w:outlineLvl w:val="9"/>
        <w:rPr>
          <w:rFonts w:hint="eastAsia" w:ascii="仿宋" w:hAnsi="仿宋" w:eastAsia="仿宋" w:cs="仿宋"/>
          <w:color w:val="auto"/>
          <w:spacing w:val="-5"/>
          <w:kern w:val="2"/>
          <w:sz w:val="24"/>
          <w:szCs w:val="24"/>
          <w:highlight w:val="none"/>
          <w:lang w:val="en-US" w:eastAsia="zh-CN" w:bidi="ar-SA"/>
        </w:rPr>
      </w:pPr>
      <w:r>
        <w:rPr>
          <w:rFonts w:hint="eastAsia" w:ascii="仿宋" w:hAnsi="仿宋" w:eastAsia="仿宋" w:cs="仿宋"/>
          <w:color w:val="auto"/>
          <w:spacing w:val="-5"/>
          <w:kern w:val="2"/>
          <w:sz w:val="24"/>
          <w:szCs w:val="24"/>
          <w:highlight w:val="none"/>
          <w:lang w:val="en-US" w:eastAsia="zh-CN" w:bidi="ar-SA"/>
        </w:rPr>
        <w:t>乙方执行政府采购政策向中小企业依法分包的，乙方应当按采购文件和投标（响应）文件签订分包意向协议，分包意向协议属于本合同组成部分。</w:t>
      </w:r>
    </w:p>
    <w:p w14:paraId="33C46304">
      <w:pPr>
        <w:pStyle w:val="2"/>
        <w:shd w:val="clear"/>
        <w:spacing w:before="1" w:line="219" w:lineRule="auto"/>
        <w:ind w:left="605"/>
        <w:outlineLvl w:val="9"/>
        <w:rPr>
          <w:rFonts w:hint="eastAsia" w:ascii="仿宋" w:hAnsi="仿宋" w:eastAsia="仿宋" w:cs="仿宋"/>
          <w:color w:val="auto"/>
          <w:sz w:val="24"/>
          <w:szCs w:val="24"/>
          <w:highlight w:val="none"/>
        </w:rPr>
      </w:pPr>
      <w:r>
        <w:rPr>
          <w:rFonts w:hint="eastAsia" w:ascii="仿宋" w:hAnsi="仿宋" w:eastAsia="仿宋" w:cs="仿宋"/>
          <w:color w:val="auto"/>
          <w:spacing w:val="-4"/>
          <w:sz w:val="24"/>
          <w:szCs w:val="24"/>
          <w:highlight w:val="none"/>
        </w:rPr>
        <w:t>11.8.法律适用</w:t>
      </w:r>
    </w:p>
    <w:p w14:paraId="3C055F62">
      <w:pPr>
        <w:pStyle w:val="2"/>
        <w:shd w:val="clear"/>
        <w:spacing w:before="182" w:line="411" w:lineRule="auto"/>
        <w:ind w:left="23" w:right="13" w:firstLine="587"/>
        <w:outlineLvl w:val="9"/>
        <w:rPr>
          <w:rFonts w:hint="eastAsia" w:ascii="仿宋" w:hAnsi="仿宋" w:eastAsia="仿宋" w:cs="仿宋"/>
          <w:color w:val="auto"/>
          <w:spacing w:val="-5"/>
          <w:sz w:val="24"/>
          <w:szCs w:val="24"/>
          <w:highlight w:val="none"/>
        </w:rPr>
      </w:pPr>
      <w:r>
        <w:rPr>
          <w:rFonts w:hint="eastAsia" w:ascii="仿宋" w:hAnsi="仿宋" w:eastAsia="仿宋" w:cs="仿宋"/>
          <w:color w:val="auto"/>
          <w:spacing w:val="-5"/>
          <w:sz w:val="24"/>
          <w:szCs w:val="24"/>
          <w:highlight w:val="none"/>
        </w:rPr>
        <w:t>本合同的订立、生效、解释、履行及与本合同有关的争议解决，均适用法律、行政法规。</w:t>
      </w:r>
    </w:p>
    <w:p w14:paraId="3B483C40">
      <w:pPr>
        <w:pStyle w:val="2"/>
        <w:shd w:val="clear"/>
        <w:spacing w:before="182" w:line="411" w:lineRule="auto"/>
        <w:ind w:left="23" w:right="13" w:firstLine="587"/>
        <w:outlineLvl w:val="9"/>
        <w:rPr>
          <w:rFonts w:hint="eastAsia" w:ascii="仿宋" w:hAnsi="仿宋" w:eastAsia="仿宋" w:cs="仿宋"/>
          <w:color w:val="auto"/>
          <w:spacing w:val="-5"/>
          <w:sz w:val="24"/>
          <w:szCs w:val="24"/>
          <w:highlight w:val="none"/>
        </w:rPr>
      </w:pPr>
      <w:r>
        <w:rPr>
          <w:rFonts w:hint="eastAsia" w:ascii="仿宋" w:hAnsi="仿宋" w:eastAsia="仿宋" w:cs="仿宋"/>
          <w:color w:val="auto"/>
          <w:spacing w:val="-5"/>
          <w:sz w:val="24"/>
          <w:szCs w:val="24"/>
          <w:highlight w:val="none"/>
        </w:rPr>
        <w:t>本合同条款与法律、行政法规的强制性规定不一致的，双方当事人应按照法律、行政法规的强制性规定修改本合同的相关条款。}</w:t>
      </w:r>
    </w:p>
    <w:p w14:paraId="6C1AABBC">
      <w:pPr>
        <w:pStyle w:val="2"/>
        <w:shd w:val="clear"/>
        <w:spacing w:before="1" w:line="220" w:lineRule="auto"/>
        <w:ind w:left="448"/>
        <w:outlineLvl w:val="9"/>
        <w:rPr>
          <w:rFonts w:hint="eastAsia" w:ascii="仿宋" w:hAnsi="仿宋" w:eastAsia="仿宋" w:cs="仿宋"/>
          <w:color w:val="auto"/>
          <w:sz w:val="24"/>
          <w:szCs w:val="24"/>
          <w:highlight w:val="none"/>
        </w:rPr>
      </w:pPr>
      <w:r>
        <w:rPr>
          <w:rFonts w:hint="eastAsia" w:ascii="仿宋" w:hAnsi="仿宋" w:eastAsia="仿宋" w:cs="仿宋"/>
          <w:b/>
          <w:bCs/>
          <w:color w:val="auto"/>
          <w:spacing w:val="-4"/>
          <w:sz w:val="24"/>
          <w:szCs w:val="24"/>
          <w:highlight w:val="none"/>
        </w:rPr>
        <w:t>十二、合同生效及其他</w:t>
      </w:r>
    </w:p>
    <w:p w14:paraId="27200F2B">
      <w:pPr>
        <w:pStyle w:val="2"/>
        <w:shd w:val="clear"/>
        <w:spacing w:before="182" w:line="411" w:lineRule="auto"/>
        <w:ind w:left="23" w:right="13" w:firstLine="587"/>
        <w:outlineLvl w:val="9"/>
        <w:rPr>
          <w:rFonts w:hint="eastAsia" w:ascii="仿宋" w:hAnsi="仿宋" w:eastAsia="仿宋" w:cs="仿宋"/>
          <w:color w:val="auto"/>
          <w:spacing w:val="-5"/>
          <w:sz w:val="24"/>
          <w:szCs w:val="24"/>
          <w:highlight w:val="none"/>
        </w:rPr>
      </w:pPr>
      <w:r>
        <w:rPr>
          <w:rFonts w:hint="eastAsia" w:ascii="仿宋" w:hAnsi="仿宋" w:eastAsia="仿宋" w:cs="仿宋"/>
          <w:color w:val="auto"/>
          <w:spacing w:val="-5"/>
          <w:sz w:val="24"/>
          <w:szCs w:val="24"/>
          <w:highlight w:val="none"/>
        </w:rPr>
        <w:t>12.1.合同经双方法定代表人（或主要负责人）或授权委托代理人签字并加盖公章后生效。</w:t>
      </w:r>
    </w:p>
    <w:p w14:paraId="64506749">
      <w:pPr>
        <w:pStyle w:val="2"/>
        <w:shd w:val="clear"/>
        <w:spacing w:before="182" w:line="411" w:lineRule="auto"/>
        <w:ind w:left="23" w:right="13" w:firstLine="587"/>
        <w:outlineLvl w:val="9"/>
        <w:rPr>
          <w:rFonts w:hint="eastAsia" w:ascii="仿宋" w:hAnsi="仿宋" w:eastAsia="仿宋" w:cs="仿宋"/>
          <w:color w:val="auto"/>
          <w:spacing w:val="-5"/>
          <w:sz w:val="24"/>
          <w:szCs w:val="24"/>
          <w:highlight w:val="none"/>
        </w:rPr>
      </w:pPr>
      <w:r>
        <w:rPr>
          <w:rFonts w:hint="eastAsia" w:ascii="仿宋" w:hAnsi="仿宋" w:eastAsia="仿宋" w:cs="仿宋"/>
          <w:color w:val="auto"/>
          <w:spacing w:val="-5"/>
          <w:sz w:val="24"/>
          <w:szCs w:val="24"/>
          <w:highlight w:val="none"/>
        </w:rPr>
        <w:t>12.2.政府采购合同履行中，甲方需追加与合同标的相同的服务的，在不改变合同其他条款的前提下签订的补充合同，报同级政府采购监督管理部门备案，方可作为主合同不可分割的一部分。</w:t>
      </w:r>
    </w:p>
    <w:p w14:paraId="6AFE6A13">
      <w:pPr>
        <w:pStyle w:val="2"/>
        <w:shd w:val="clear"/>
        <w:spacing w:before="182" w:line="411" w:lineRule="auto"/>
        <w:ind w:left="23" w:right="13" w:firstLine="587"/>
        <w:outlineLvl w:val="9"/>
        <w:rPr>
          <w:rFonts w:hint="eastAsia" w:ascii="仿宋" w:hAnsi="仿宋" w:eastAsia="仿宋" w:cs="仿宋"/>
          <w:color w:val="auto"/>
          <w:spacing w:val="-5"/>
          <w:sz w:val="24"/>
          <w:szCs w:val="24"/>
          <w:highlight w:val="none"/>
        </w:rPr>
      </w:pPr>
      <w:r>
        <w:rPr>
          <w:rFonts w:hint="eastAsia" w:ascii="仿宋" w:hAnsi="仿宋" w:eastAsia="仿宋" w:cs="仿宋"/>
          <w:color w:val="auto"/>
          <w:spacing w:val="-5"/>
          <w:sz w:val="24"/>
          <w:szCs w:val="24"/>
          <w:highlight w:val="none"/>
        </w:rPr>
        <w:t>12.3.本合同一式 XX 份， 自双方签章之日起生效。甲方持有 XX份，乙方持有 XX 份，项目同级政府采购监督管理部门备案 XX 份，均具有同等法律效力。｝</w:t>
      </w:r>
    </w:p>
    <w:p w14:paraId="634BE02C">
      <w:pPr>
        <w:shd w:val="clear"/>
        <w:spacing w:before="235"/>
        <w:outlineLvl w:val="9"/>
        <w:rPr>
          <w:rFonts w:hint="eastAsia" w:ascii="仿宋" w:hAnsi="仿宋" w:eastAsia="仿宋" w:cs="仿宋"/>
          <w:color w:val="auto"/>
          <w:sz w:val="24"/>
          <w:szCs w:val="24"/>
          <w:highlight w:val="none"/>
        </w:rPr>
      </w:pPr>
    </w:p>
    <w:tbl>
      <w:tblPr>
        <w:tblStyle w:val="8"/>
        <w:tblW w:w="839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988"/>
        <w:gridCol w:w="4402"/>
      </w:tblGrid>
      <w:tr w14:paraId="56B098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8390" w:type="dxa"/>
            <w:gridSpan w:val="2"/>
            <w:noWrap w:val="0"/>
            <w:vAlign w:val="top"/>
          </w:tcPr>
          <w:p w14:paraId="4D390449">
            <w:pPr>
              <w:pStyle w:val="7"/>
              <w:shd w:val="clear"/>
              <w:spacing w:before="133" w:line="229" w:lineRule="auto"/>
              <w:ind w:left="4016"/>
              <w:outlineLvl w:val="9"/>
              <w:rPr>
                <w:rFonts w:hint="eastAsia" w:ascii="仿宋" w:hAnsi="仿宋" w:eastAsia="仿宋" w:cs="仿宋"/>
                <w:color w:val="auto"/>
                <w:sz w:val="24"/>
                <w:szCs w:val="24"/>
                <w:highlight w:val="none"/>
              </w:rPr>
            </w:pPr>
            <w:r>
              <w:rPr>
                <w:rFonts w:hint="eastAsia" w:ascii="仿宋" w:hAnsi="仿宋" w:eastAsia="仿宋" w:cs="仿宋"/>
                <w:b/>
                <w:bCs/>
                <w:color w:val="auto"/>
                <w:spacing w:val="-10"/>
                <w:sz w:val="24"/>
                <w:szCs w:val="24"/>
                <w:highlight w:val="none"/>
              </w:rPr>
              <w:t>甲方</w:t>
            </w:r>
          </w:p>
        </w:tc>
      </w:tr>
      <w:tr w14:paraId="24E012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3988" w:type="dxa"/>
            <w:noWrap w:val="0"/>
            <w:vAlign w:val="top"/>
          </w:tcPr>
          <w:p w14:paraId="69F5D882">
            <w:pPr>
              <w:pStyle w:val="7"/>
              <w:shd w:val="clear"/>
              <w:spacing w:before="131" w:line="228" w:lineRule="auto"/>
              <w:ind w:left="1581"/>
              <w:outlineLvl w:val="9"/>
              <w:rPr>
                <w:rFonts w:hint="eastAsia" w:ascii="仿宋" w:hAnsi="仿宋" w:eastAsia="仿宋" w:cs="仿宋"/>
                <w:color w:val="auto"/>
                <w:sz w:val="24"/>
                <w:szCs w:val="24"/>
                <w:highlight w:val="none"/>
              </w:rPr>
            </w:pPr>
            <w:r>
              <w:rPr>
                <w:rFonts w:hint="eastAsia" w:ascii="仿宋" w:hAnsi="仿宋" w:eastAsia="仿宋" w:cs="仿宋"/>
                <w:color w:val="auto"/>
                <w:spacing w:val="6"/>
                <w:sz w:val="24"/>
                <w:szCs w:val="24"/>
                <w:highlight w:val="none"/>
              </w:rPr>
              <w:t>单位名称</w:t>
            </w:r>
          </w:p>
        </w:tc>
        <w:tc>
          <w:tcPr>
            <w:tcW w:w="4402" w:type="dxa"/>
            <w:noWrap w:val="0"/>
            <w:vAlign w:val="top"/>
          </w:tcPr>
          <w:p w14:paraId="08F34F2C">
            <w:pPr>
              <w:pStyle w:val="7"/>
              <w:shd w:val="clear"/>
              <w:spacing w:before="131" w:line="227" w:lineRule="auto"/>
              <w:ind w:left="124"/>
              <w:outlineLvl w:val="9"/>
              <w:rPr>
                <w:rFonts w:hint="eastAsia" w:ascii="仿宋" w:hAnsi="仿宋" w:eastAsia="仿宋" w:cs="仿宋"/>
                <w:color w:val="auto"/>
                <w:sz w:val="24"/>
                <w:szCs w:val="24"/>
                <w:highlight w:val="none"/>
              </w:rPr>
            </w:pPr>
            <w:r>
              <w:rPr>
                <w:rFonts w:hint="eastAsia" w:ascii="仿宋" w:hAnsi="仿宋" w:eastAsia="仿宋" w:cs="仿宋"/>
                <w:color w:val="auto"/>
                <w:spacing w:val="2"/>
                <w:sz w:val="24"/>
                <w:szCs w:val="24"/>
                <w:highlight w:val="none"/>
              </w:rPr>
              <w:t>（盖章）</w:t>
            </w:r>
          </w:p>
        </w:tc>
      </w:tr>
      <w:tr w14:paraId="0D483A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3988" w:type="dxa"/>
            <w:noWrap w:val="0"/>
            <w:vAlign w:val="top"/>
          </w:tcPr>
          <w:p w14:paraId="3FB2F061">
            <w:pPr>
              <w:pStyle w:val="7"/>
              <w:shd w:val="clear"/>
              <w:spacing w:before="131" w:line="227" w:lineRule="auto"/>
              <w:ind w:left="116"/>
              <w:outlineLvl w:val="9"/>
              <w:rPr>
                <w:rFonts w:hint="eastAsia" w:ascii="仿宋" w:hAnsi="仿宋" w:eastAsia="仿宋" w:cs="仿宋"/>
                <w:color w:val="auto"/>
                <w:sz w:val="24"/>
                <w:szCs w:val="24"/>
                <w:highlight w:val="none"/>
              </w:rPr>
            </w:pPr>
            <w:r>
              <w:rPr>
                <w:rFonts w:hint="eastAsia" w:ascii="仿宋" w:hAnsi="仿宋" w:eastAsia="仿宋" w:cs="仿宋"/>
                <w:color w:val="auto"/>
                <w:spacing w:val="8"/>
                <w:sz w:val="24"/>
                <w:szCs w:val="24"/>
                <w:highlight w:val="none"/>
              </w:rPr>
              <w:t>法定代表人或其授权委托代理人（签章）</w:t>
            </w:r>
          </w:p>
        </w:tc>
        <w:tc>
          <w:tcPr>
            <w:tcW w:w="4402" w:type="dxa"/>
            <w:noWrap w:val="0"/>
            <w:vAlign w:val="top"/>
          </w:tcPr>
          <w:p w14:paraId="33D9AF62">
            <w:pPr>
              <w:shd w:val="clear"/>
              <w:outlineLvl w:val="9"/>
              <w:rPr>
                <w:rFonts w:hint="eastAsia" w:ascii="仿宋" w:hAnsi="仿宋" w:eastAsia="仿宋" w:cs="仿宋"/>
                <w:color w:val="auto"/>
                <w:sz w:val="24"/>
                <w:szCs w:val="24"/>
                <w:highlight w:val="none"/>
              </w:rPr>
            </w:pPr>
          </w:p>
        </w:tc>
      </w:tr>
      <w:tr w14:paraId="57F5D8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3988" w:type="dxa"/>
            <w:noWrap w:val="0"/>
            <w:vAlign w:val="top"/>
          </w:tcPr>
          <w:p w14:paraId="12F08A18">
            <w:pPr>
              <w:pStyle w:val="7"/>
              <w:shd w:val="clear"/>
              <w:spacing w:before="131" w:line="228" w:lineRule="auto"/>
              <w:ind w:left="1684"/>
              <w:outlineLvl w:val="9"/>
              <w:rPr>
                <w:rFonts w:hint="eastAsia" w:ascii="仿宋" w:hAnsi="仿宋" w:eastAsia="仿宋" w:cs="仿宋"/>
                <w:color w:val="auto"/>
                <w:sz w:val="24"/>
                <w:szCs w:val="24"/>
                <w:highlight w:val="none"/>
              </w:rPr>
            </w:pPr>
            <w:r>
              <w:rPr>
                <w:rFonts w:hint="eastAsia" w:ascii="仿宋" w:hAnsi="仿宋" w:eastAsia="仿宋" w:cs="仿宋"/>
                <w:color w:val="auto"/>
                <w:spacing w:val="1"/>
                <w:sz w:val="24"/>
                <w:szCs w:val="24"/>
                <w:highlight w:val="none"/>
              </w:rPr>
              <w:t>住</w:t>
            </w:r>
            <w:r>
              <w:rPr>
                <w:rFonts w:hint="eastAsia" w:ascii="仿宋" w:hAnsi="仿宋" w:eastAsia="仿宋" w:cs="仿宋"/>
                <w:color w:val="auto"/>
                <w:spacing w:val="9"/>
                <w:sz w:val="24"/>
                <w:szCs w:val="24"/>
                <w:highlight w:val="none"/>
              </w:rPr>
              <w:t xml:space="preserve">  </w:t>
            </w:r>
            <w:r>
              <w:rPr>
                <w:rFonts w:hint="eastAsia" w:ascii="仿宋" w:hAnsi="仿宋" w:eastAsia="仿宋" w:cs="仿宋"/>
                <w:color w:val="auto"/>
                <w:spacing w:val="1"/>
                <w:sz w:val="24"/>
                <w:szCs w:val="24"/>
                <w:highlight w:val="none"/>
              </w:rPr>
              <w:t>所</w:t>
            </w:r>
          </w:p>
        </w:tc>
        <w:tc>
          <w:tcPr>
            <w:tcW w:w="4402" w:type="dxa"/>
            <w:noWrap w:val="0"/>
            <w:vAlign w:val="top"/>
          </w:tcPr>
          <w:p w14:paraId="669F64F6">
            <w:pPr>
              <w:shd w:val="clear"/>
              <w:outlineLvl w:val="9"/>
              <w:rPr>
                <w:rFonts w:hint="eastAsia" w:ascii="仿宋" w:hAnsi="仿宋" w:eastAsia="仿宋" w:cs="仿宋"/>
                <w:color w:val="auto"/>
                <w:sz w:val="24"/>
                <w:szCs w:val="24"/>
                <w:highlight w:val="none"/>
              </w:rPr>
            </w:pPr>
          </w:p>
        </w:tc>
      </w:tr>
      <w:tr w14:paraId="371B28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3988" w:type="dxa"/>
            <w:noWrap w:val="0"/>
            <w:vAlign w:val="top"/>
          </w:tcPr>
          <w:p w14:paraId="44EA58A8">
            <w:pPr>
              <w:pStyle w:val="7"/>
              <w:shd w:val="clear"/>
              <w:spacing w:before="131" w:line="228" w:lineRule="auto"/>
              <w:ind w:left="1580"/>
              <w:outlineLvl w:val="9"/>
              <w:rPr>
                <w:rFonts w:hint="eastAsia" w:ascii="仿宋" w:hAnsi="仿宋" w:eastAsia="仿宋" w:cs="仿宋"/>
                <w:color w:val="auto"/>
                <w:sz w:val="24"/>
                <w:szCs w:val="24"/>
                <w:highlight w:val="none"/>
              </w:rPr>
            </w:pPr>
            <w:r>
              <w:rPr>
                <w:rFonts w:hint="eastAsia" w:ascii="仿宋" w:hAnsi="仿宋" w:eastAsia="仿宋" w:cs="仿宋"/>
                <w:color w:val="auto"/>
                <w:spacing w:val="7"/>
                <w:sz w:val="24"/>
                <w:szCs w:val="24"/>
                <w:highlight w:val="none"/>
              </w:rPr>
              <w:t>开户银行</w:t>
            </w:r>
          </w:p>
        </w:tc>
        <w:tc>
          <w:tcPr>
            <w:tcW w:w="4402" w:type="dxa"/>
            <w:noWrap w:val="0"/>
            <w:vAlign w:val="top"/>
          </w:tcPr>
          <w:p w14:paraId="181FB7DC">
            <w:pPr>
              <w:shd w:val="clear"/>
              <w:outlineLvl w:val="9"/>
              <w:rPr>
                <w:rFonts w:hint="eastAsia" w:ascii="仿宋" w:hAnsi="仿宋" w:eastAsia="仿宋" w:cs="仿宋"/>
                <w:color w:val="auto"/>
                <w:sz w:val="24"/>
                <w:szCs w:val="24"/>
                <w:highlight w:val="none"/>
              </w:rPr>
            </w:pPr>
          </w:p>
        </w:tc>
      </w:tr>
      <w:tr w14:paraId="42C1B1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3988" w:type="dxa"/>
            <w:noWrap w:val="0"/>
            <w:vAlign w:val="top"/>
          </w:tcPr>
          <w:p w14:paraId="7F66BBD3">
            <w:pPr>
              <w:pStyle w:val="7"/>
              <w:shd w:val="clear"/>
              <w:spacing w:before="131" w:line="228" w:lineRule="auto"/>
              <w:ind w:left="1580"/>
              <w:outlineLvl w:val="9"/>
              <w:rPr>
                <w:rFonts w:hint="eastAsia" w:ascii="仿宋" w:hAnsi="仿宋" w:eastAsia="仿宋" w:cs="仿宋"/>
                <w:color w:val="auto"/>
                <w:sz w:val="24"/>
                <w:szCs w:val="24"/>
                <w:highlight w:val="none"/>
              </w:rPr>
            </w:pPr>
            <w:r>
              <w:rPr>
                <w:rFonts w:hint="eastAsia" w:ascii="仿宋" w:hAnsi="仿宋" w:eastAsia="仿宋" w:cs="仿宋"/>
                <w:color w:val="auto"/>
                <w:spacing w:val="7"/>
                <w:sz w:val="24"/>
                <w:szCs w:val="24"/>
                <w:highlight w:val="none"/>
              </w:rPr>
              <w:t>银行账号</w:t>
            </w:r>
          </w:p>
        </w:tc>
        <w:tc>
          <w:tcPr>
            <w:tcW w:w="4402" w:type="dxa"/>
            <w:noWrap w:val="0"/>
            <w:vAlign w:val="top"/>
          </w:tcPr>
          <w:p w14:paraId="7853A037">
            <w:pPr>
              <w:shd w:val="clear"/>
              <w:outlineLvl w:val="9"/>
              <w:rPr>
                <w:rFonts w:hint="eastAsia" w:ascii="仿宋" w:hAnsi="仿宋" w:eastAsia="仿宋" w:cs="仿宋"/>
                <w:color w:val="auto"/>
                <w:sz w:val="24"/>
                <w:szCs w:val="24"/>
                <w:highlight w:val="none"/>
              </w:rPr>
            </w:pPr>
          </w:p>
        </w:tc>
      </w:tr>
      <w:tr w14:paraId="55283D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8390" w:type="dxa"/>
            <w:gridSpan w:val="2"/>
            <w:noWrap w:val="0"/>
            <w:vAlign w:val="top"/>
          </w:tcPr>
          <w:p w14:paraId="49068CDD">
            <w:pPr>
              <w:pStyle w:val="7"/>
              <w:shd w:val="clear"/>
              <w:spacing w:before="130" w:line="229" w:lineRule="auto"/>
              <w:ind w:left="4010"/>
              <w:outlineLvl w:val="9"/>
              <w:rPr>
                <w:rFonts w:hint="eastAsia" w:ascii="仿宋" w:hAnsi="仿宋" w:eastAsia="仿宋" w:cs="仿宋"/>
                <w:color w:val="auto"/>
                <w:sz w:val="24"/>
                <w:szCs w:val="24"/>
                <w:highlight w:val="none"/>
              </w:rPr>
            </w:pPr>
            <w:r>
              <w:rPr>
                <w:rFonts w:hint="eastAsia" w:ascii="仿宋" w:hAnsi="仿宋" w:eastAsia="仿宋" w:cs="仿宋"/>
                <w:b/>
                <w:bCs/>
                <w:color w:val="auto"/>
                <w:spacing w:val="-7"/>
                <w:sz w:val="24"/>
                <w:szCs w:val="24"/>
                <w:highlight w:val="none"/>
              </w:rPr>
              <w:t>乙方</w:t>
            </w:r>
          </w:p>
        </w:tc>
      </w:tr>
      <w:tr w14:paraId="4EB563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3988" w:type="dxa"/>
            <w:noWrap w:val="0"/>
            <w:vAlign w:val="top"/>
          </w:tcPr>
          <w:p w14:paraId="167A55A9">
            <w:pPr>
              <w:pStyle w:val="7"/>
              <w:shd w:val="clear"/>
              <w:spacing w:before="133" w:line="228" w:lineRule="auto"/>
              <w:ind w:left="1581"/>
              <w:outlineLvl w:val="9"/>
              <w:rPr>
                <w:rFonts w:hint="eastAsia" w:ascii="仿宋" w:hAnsi="仿宋" w:eastAsia="仿宋" w:cs="仿宋"/>
                <w:color w:val="auto"/>
                <w:sz w:val="24"/>
                <w:szCs w:val="24"/>
                <w:highlight w:val="none"/>
              </w:rPr>
            </w:pPr>
            <w:r>
              <w:rPr>
                <w:rFonts w:hint="eastAsia" w:ascii="仿宋" w:hAnsi="仿宋" w:eastAsia="仿宋" w:cs="仿宋"/>
                <w:color w:val="auto"/>
                <w:spacing w:val="6"/>
                <w:sz w:val="24"/>
                <w:szCs w:val="24"/>
                <w:highlight w:val="none"/>
              </w:rPr>
              <w:t>单位名称</w:t>
            </w:r>
          </w:p>
        </w:tc>
        <w:tc>
          <w:tcPr>
            <w:tcW w:w="4402" w:type="dxa"/>
            <w:noWrap w:val="0"/>
            <w:vAlign w:val="top"/>
          </w:tcPr>
          <w:p w14:paraId="55154CFF">
            <w:pPr>
              <w:pStyle w:val="7"/>
              <w:shd w:val="clear"/>
              <w:spacing w:before="133" w:line="227" w:lineRule="auto"/>
              <w:ind w:left="124"/>
              <w:outlineLvl w:val="9"/>
              <w:rPr>
                <w:rFonts w:hint="eastAsia" w:ascii="仿宋" w:hAnsi="仿宋" w:eastAsia="仿宋" w:cs="仿宋"/>
                <w:color w:val="auto"/>
                <w:sz w:val="24"/>
                <w:szCs w:val="24"/>
                <w:highlight w:val="none"/>
              </w:rPr>
            </w:pPr>
            <w:r>
              <w:rPr>
                <w:rFonts w:hint="eastAsia" w:ascii="仿宋" w:hAnsi="仿宋" w:eastAsia="仿宋" w:cs="仿宋"/>
                <w:color w:val="auto"/>
                <w:spacing w:val="2"/>
                <w:sz w:val="24"/>
                <w:szCs w:val="24"/>
                <w:highlight w:val="none"/>
              </w:rPr>
              <w:t>（盖章）</w:t>
            </w:r>
          </w:p>
        </w:tc>
      </w:tr>
      <w:tr w14:paraId="1931D2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3988" w:type="dxa"/>
            <w:noWrap w:val="0"/>
            <w:vAlign w:val="top"/>
          </w:tcPr>
          <w:p w14:paraId="00F3E5AC">
            <w:pPr>
              <w:pStyle w:val="7"/>
              <w:shd w:val="clear"/>
              <w:spacing w:before="133" w:line="227" w:lineRule="auto"/>
              <w:ind w:left="116"/>
              <w:outlineLvl w:val="9"/>
              <w:rPr>
                <w:rFonts w:hint="eastAsia" w:ascii="仿宋" w:hAnsi="仿宋" w:eastAsia="仿宋" w:cs="仿宋"/>
                <w:color w:val="auto"/>
                <w:sz w:val="24"/>
                <w:szCs w:val="24"/>
                <w:highlight w:val="none"/>
              </w:rPr>
            </w:pPr>
            <w:r>
              <w:rPr>
                <w:rFonts w:hint="eastAsia" w:ascii="仿宋" w:hAnsi="仿宋" w:eastAsia="仿宋" w:cs="仿宋"/>
                <w:color w:val="auto"/>
                <w:spacing w:val="8"/>
                <w:sz w:val="24"/>
                <w:szCs w:val="24"/>
                <w:highlight w:val="none"/>
              </w:rPr>
              <w:t>法定代表人或其授权委托代理人（签章）</w:t>
            </w:r>
          </w:p>
        </w:tc>
        <w:tc>
          <w:tcPr>
            <w:tcW w:w="4402" w:type="dxa"/>
            <w:noWrap w:val="0"/>
            <w:vAlign w:val="top"/>
          </w:tcPr>
          <w:p w14:paraId="58773B2A">
            <w:pPr>
              <w:shd w:val="clear"/>
              <w:outlineLvl w:val="9"/>
              <w:rPr>
                <w:rFonts w:hint="eastAsia" w:ascii="仿宋" w:hAnsi="仿宋" w:eastAsia="仿宋" w:cs="仿宋"/>
                <w:color w:val="auto"/>
                <w:sz w:val="24"/>
                <w:szCs w:val="24"/>
                <w:highlight w:val="none"/>
              </w:rPr>
            </w:pPr>
          </w:p>
        </w:tc>
      </w:tr>
      <w:tr w14:paraId="7629C8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3988" w:type="dxa"/>
            <w:noWrap w:val="0"/>
            <w:vAlign w:val="top"/>
          </w:tcPr>
          <w:p w14:paraId="5F7428AD">
            <w:pPr>
              <w:pStyle w:val="7"/>
              <w:shd w:val="clear"/>
              <w:spacing w:before="133" w:line="228" w:lineRule="auto"/>
              <w:ind w:left="1684"/>
              <w:outlineLvl w:val="9"/>
              <w:rPr>
                <w:rFonts w:hint="eastAsia" w:ascii="仿宋" w:hAnsi="仿宋" w:eastAsia="仿宋" w:cs="仿宋"/>
                <w:color w:val="auto"/>
                <w:sz w:val="24"/>
                <w:szCs w:val="24"/>
                <w:highlight w:val="none"/>
              </w:rPr>
            </w:pPr>
            <w:r>
              <w:rPr>
                <w:rFonts w:hint="eastAsia" w:ascii="仿宋" w:hAnsi="仿宋" w:eastAsia="仿宋" w:cs="仿宋"/>
                <w:color w:val="auto"/>
                <w:spacing w:val="1"/>
                <w:sz w:val="24"/>
                <w:szCs w:val="24"/>
                <w:highlight w:val="none"/>
              </w:rPr>
              <w:t>住</w:t>
            </w:r>
            <w:r>
              <w:rPr>
                <w:rFonts w:hint="eastAsia" w:ascii="仿宋" w:hAnsi="仿宋" w:eastAsia="仿宋" w:cs="仿宋"/>
                <w:color w:val="auto"/>
                <w:spacing w:val="9"/>
                <w:sz w:val="24"/>
                <w:szCs w:val="24"/>
                <w:highlight w:val="none"/>
              </w:rPr>
              <w:t xml:space="preserve">  </w:t>
            </w:r>
            <w:r>
              <w:rPr>
                <w:rFonts w:hint="eastAsia" w:ascii="仿宋" w:hAnsi="仿宋" w:eastAsia="仿宋" w:cs="仿宋"/>
                <w:color w:val="auto"/>
                <w:spacing w:val="1"/>
                <w:sz w:val="24"/>
                <w:szCs w:val="24"/>
                <w:highlight w:val="none"/>
              </w:rPr>
              <w:t>所</w:t>
            </w:r>
          </w:p>
        </w:tc>
        <w:tc>
          <w:tcPr>
            <w:tcW w:w="4402" w:type="dxa"/>
            <w:noWrap w:val="0"/>
            <w:vAlign w:val="top"/>
          </w:tcPr>
          <w:p w14:paraId="36F615FE">
            <w:pPr>
              <w:shd w:val="clear"/>
              <w:outlineLvl w:val="9"/>
              <w:rPr>
                <w:rFonts w:hint="eastAsia" w:ascii="仿宋" w:hAnsi="仿宋" w:eastAsia="仿宋" w:cs="仿宋"/>
                <w:color w:val="auto"/>
                <w:sz w:val="24"/>
                <w:szCs w:val="24"/>
                <w:highlight w:val="none"/>
              </w:rPr>
            </w:pPr>
          </w:p>
        </w:tc>
      </w:tr>
      <w:tr w14:paraId="3F4CE4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3988" w:type="dxa"/>
            <w:noWrap w:val="0"/>
            <w:vAlign w:val="top"/>
          </w:tcPr>
          <w:p w14:paraId="7C4BDF79">
            <w:pPr>
              <w:pStyle w:val="7"/>
              <w:shd w:val="clear"/>
              <w:spacing w:before="133" w:line="228" w:lineRule="auto"/>
              <w:ind w:left="1580"/>
              <w:outlineLvl w:val="9"/>
              <w:rPr>
                <w:rFonts w:hint="eastAsia" w:ascii="仿宋" w:hAnsi="仿宋" w:eastAsia="仿宋" w:cs="仿宋"/>
                <w:color w:val="auto"/>
                <w:sz w:val="24"/>
                <w:szCs w:val="24"/>
                <w:highlight w:val="none"/>
              </w:rPr>
            </w:pPr>
            <w:r>
              <w:rPr>
                <w:rFonts w:hint="eastAsia" w:ascii="仿宋" w:hAnsi="仿宋" w:eastAsia="仿宋" w:cs="仿宋"/>
                <w:color w:val="auto"/>
                <w:spacing w:val="7"/>
                <w:sz w:val="24"/>
                <w:szCs w:val="24"/>
                <w:highlight w:val="none"/>
              </w:rPr>
              <w:t>开户银行</w:t>
            </w:r>
          </w:p>
        </w:tc>
        <w:tc>
          <w:tcPr>
            <w:tcW w:w="4402" w:type="dxa"/>
            <w:noWrap w:val="0"/>
            <w:vAlign w:val="top"/>
          </w:tcPr>
          <w:p w14:paraId="77910C60">
            <w:pPr>
              <w:shd w:val="clear"/>
              <w:outlineLvl w:val="9"/>
              <w:rPr>
                <w:rFonts w:hint="eastAsia" w:ascii="仿宋" w:hAnsi="仿宋" w:eastAsia="仿宋" w:cs="仿宋"/>
                <w:color w:val="auto"/>
                <w:sz w:val="24"/>
                <w:szCs w:val="24"/>
                <w:highlight w:val="none"/>
              </w:rPr>
            </w:pPr>
          </w:p>
        </w:tc>
      </w:tr>
      <w:tr w14:paraId="09C671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3988" w:type="dxa"/>
            <w:noWrap w:val="0"/>
            <w:vAlign w:val="top"/>
          </w:tcPr>
          <w:p w14:paraId="1E59F945">
            <w:pPr>
              <w:pStyle w:val="7"/>
              <w:shd w:val="clear"/>
              <w:spacing w:before="134" w:line="228" w:lineRule="auto"/>
              <w:ind w:left="1580"/>
              <w:outlineLvl w:val="9"/>
              <w:rPr>
                <w:rFonts w:hint="eastAsia" w:ascii="仿宋" w:hAnsi="仿宋" w:eastAsia="仿宋" w:cs="仿宋"/>
                <w:color w:val="auto"/>
                <w:sz w:val="24"/>
                <w:szCs w:val="24"/>
                <w:highlight w:val="none"/>
              </w:rPr>
            </w:pPr>
            <w:r>
              <w:rPr>
                <w:rFonts w:hint="eastAsia" w:ascii="仿宋" w:hAnsi="仿宋" w:eastAsia="仿宋" w:cs="仿宋"/>
                <w:color w:val="auto"/>
                <w:spacing w:val="7"/>
                <w:sz w:val="24"/>
                <w:szCs w:val="24"/>
                <w:highlight w:val="none"/>
              </w:rPr>
              <w:t>银行账号</w:t>
            </w:r>
          </w:p>
        </w:tc>
        <w:tc>
          <w:tcPr>
            <w:tcW w:w="4402" w:type="dxa"/>
            <w:noWrap w:val="0"/>
            <w:vAlign w:val="top"/>
          </w:tcPr>
          <w:p w14:paraId="5B1EFBE1">
            <w:pPr>
              <w:shd w:val="clear"/>
              <w:outlineLvl w:val="9"/>
              <w:rPr>
                <w:rFonts w:hint="eastAsia" w:ascii="仿宋" w:hAnsi="仿宋" w:eastAsia="仿宋" w:cs="仿宋"/>
                <w:color w:val="auto"/>
                <w:sz w:val="24"/>
                <w:szCs w:val="24"/>
                <w:highlight w:val="none"/>
              </w:rPr>
            </w:pPr>
          </w:p>
        </w:tc>
      </w:tr>
      <w:tr w14:paraId="51447A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3988" w:type="dxa"/>
            <w:noWrap w:val="0"/>
            <w:vAlign w:val="top"/>
          </w:tcPr>
          <w:p w14:paraId="68DCE045">
            <w:pPr>
              <w:pStyle w:val="7"/>
              <w:shd w:val="clear"/>
              <w:spacing w:before="287" w:line="83" w:lineRule="exact"/>
              <w:ind w:left="1849"/>
              <w:outlineLvl w:val="9"/>
              <w:rPr>
                <w:rFonts w:hint="eastAsia" w:ascii="仿宋" w:hAnsi="仿宋" w:eastAsia="仿宋" w:cs="仿宋"/>
                <w:color w:val="auto"/>
                <w:sz w:val="24"/>
                <w:szCs w:val="24"/>
                <w:highlight w:val="none"/>
              </w:rPr>
            </w:pPr>
            <w:r>
              <w:rPr>
                <w:rFonts w:hint="eastAsia" w:ascii="仿宋" w:hAnsi="仿宋" w:eastAsia="仿宋" w:cs="仿宋"/>
                <w:color w:val="auto"/>
                <w:spacing w:val="3"/>
                <w:position w:val="1"/>
                <w:sz w:val="24"/>
                <w:szCs w:val="24"/>
                <w:highlight w:val="none"/>
              </w:rPr>
              <w:t>...</w:t>
            </w:r>
          </w:p>
        </w:tc>
        <w:tc>
          <w:tcPr>
            <w:tcW w:w="4402" w:type="dxa"/>
            <w:noWrap w:val="0"/>
            <w:vAlign w:val="top"/>
          </w:tcPr>
          <w:p w14:paraId="0652AE60">
            <w:pPr>
              <w:pStyle w:val="7"/>
              <w:shd w:val="clear"/>
              <w:spacing w:before="287" w:line="83" w:lineRule="exact"/>
              <w:ind w:left="119"/>
              <w:outlineLvl w:val="9"/>
              <w:rPr>
                <w:rFonts w:hint="eastAsia" w:ascii="仿宋" w:hAnsi="仿宋" w:eastAsia="仿宋" w:cs="仿宋"/>
                <w:color w:val="auto"/>
                <w:sz w:val="24"/>
                <w:szCs w:val="24"/>
                <w:highlight w:val="none"/>
              </w:rPr>
            </w:pPr>
            <w:r>
              <w:rPr>
                <w:rFonts w:hint="eastAsia" w:ascii="仿宋" w:hAnsi="仿宋" w:eastAsia="仿宋" w:cs="仿宋"/>
                <w:color w:val="auto"/>
                <w:spacing w:val="3"/>
                <w:position w:val="1"/>
                <w:sz w:val="24"/>
                <w:szCs w:val="24"/>
                <w:highlight w:val="none"/>
              </w:rPr>
              <w:t>...</w:t>
            </w:r>
          </w:p>
        </w:tc>
      </w:tr>
    </w:tbl>
    <w:p w14:paraId="519C356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
    <w:altName w:val="仿宋"/>
    <w:panose1 w:val="00000000000000000000"/>
    <w:charset w:val="86"/>
    <w:family w:val="script"/>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D12055"/>
    <w:rsid w:val="21A02638"/>
    <w:rsid w:val="3CD12055"/>
    <w:rsid w:val="455362C8"/>
    <w:rsid w:val="4AEB4606"/>
    <w:rsid w:val="5F3D2228"/>
    <w:rsid w:val="74AD7B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方正仿宋" w:cs="Times New Roman"/>
      <w:kern w:val="2"/>
      <w:sz w:val="32"/>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rFonts w:eastAsia="宋体"/>
      <w:sz w:val="18"/>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paragraph" w:customStyle="1" w:styleId="7">
    <w:name w:val="Table Text"/>
    <w:basedOn w:val="1"/>
    <w:semiHidden/>
    <w:qFormat/>
    <w:uiPriority w:val="0"/>
    <w:rPr>
      <w:rFonts w:ascii="宋体" w:hAnsi="宋体" w:eastAsia="宋体" w:cs="宋体"/>
      <w:sz w:val="20"/>
      <w:szCs w:val="20"/>
      <w:lang w:val="en-US" w:eastAsia="en-US" w:bidi="ar-SA"/>
    </w:rPr>
  </w:style>
  <w:style w:type="table" w:customStyle="1" w:styleId="8">
    <w:name w:val="Table Normal"/>
    <w:unhideWhenUsed/>
    <w:qFormat/>
    <w:uiPriority w:val="0"/>
    <w:tblPr>
      <w:tblCellMar>
        <w:top w:w="0" w:type="dxa"/>
        <w:left w:w="0" w:type="dxa"/>
        <w:bottom w:w="0" w:type="dxa"/>
        <w:right w:w="0" w:type="dxa"/>
      </w:tblCellMar>
    </w:tblPr>
  </w:style>
  <w:style w:type="paragraph" w:customStyle="1" w:styleId="9">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6158</Words>
  <Characters>6561</Characters>
  <Lines>0</Lines>
  <Paragraphs>0</Paragraphs>
  <TotalTime>1</TotalTime>
  <ScaleCrop>false</ScaleCrop>
  <LinksUpToDate>false</LinksUpToDate>
  <CharactersWithSpaces>6573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2026-03-06T06:52:00Z</dcterms:created>
  <dc:creator>中心</dc:creator>
  <cp:lastModifiedBy>Administrator</cp:lastModifiedBy>
  <dcterms:modified xsi:type="dcterms:W3CDTF">2026-04-17T02:55:48Z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0EA96960FF4A462AB90F164E8F88CC76_11</vt:lpwstr>
  </property>
  <property fmtid="{D5CDD505-2E9C-101B-9397-08002B2CF9AE}" pid="4" name="KSOTemplateDocerSaveRecord">
    <vt:lpwstr>eyJoZGlkIjoiNzJiMDMxNGEzYTA0NDRkMmZlOTYwZTYxMDc0MGExMGUiLCJ1c2VySWQiOiIyNDI2NTk2MDYifQ==</vt:lpwstr>
  </property>
</Properties>
</file>