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版本号：N510116202600014720260417001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2026年数据及网络安全运维服务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N5101162026000147</w:t>
      </w:r>
    </w:p>
    <w:p>
      <w:pPr>
        <w:pStyle w:val="null3"/>
        <w:jc w:val="left"/>
        <w:outlineLvl w:val="2"/>
      </w:pPr>
      <w:r>
        <w:rPr>
          <w:rFonts w:ascii="仿宋_GB2312" w:hAnsi="仿宋_GB2312" w:cs="仿宋_GB2312" w:eastAsia="仿宋_GB2312"/>
          <w:sz w:val="28"/>
          <w:b/>
        </w:rPr>
        <w:t>成都市双流区西航港社区卫生服务中心</w:t>
      </w:r>
    </w:p>
    <w:p>
      <w:pPr>
        <w:pStyle w:val="null3"/>
        <w:jc w:val="center"/>
        <w:outlineLvl w:val="2"/>
      </w:pPr>
      <w:r>
        <w:rPr>
          <w:rFonts w:ascii="仿宋_GB2312" w:hAnsi="仿宋_GB2312" w:cs="仿宋_GB2312" w:eastAsia="仿宋_GB2312"/>
          <w:sz w:val="28"/>
          <w:b/>
        </w:rPr>
        <w:t>四川政扬招标代理有限责任公司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四川政扬招标代理有限责任公司</w:t>
      </w:r>
      <w:r>
        <w:rPr>
          <w:rFonts w:ascii="仿宋_GB2312" w:hAnsi="仿宋_GB2312" w:cs="仿宋_GB2312" w:eastAsia="仿宋_GB2312"/>
        </w:rPr>
        <w:t xml:space="preserve"> （以下简称“代理机构”）受 </w:t>
      </w:r>
      <w:r>
        <w:rPr>
          <w:rFonts w:ascii="仿宋_GB2312" w:hAnsi="仿宋_GB2312" w:cs="仿宋_GB2312" w:eastAsia="仿宋_GB2312"/>
        </w:rPr>
        <w:t>成都市双流区西航港社区卫生服务中心</w:t>
      </w:r>
      <w:r>
        <w:rPr>
          <w:rFonts w:ascii="仿宋_GB2312" w:hAnsi="仿宋_GB2312" w:cs="仿宋_GB2312" w:eastAsia="仿宋_GB2312"/>
        </w:rPr>
        <w:t xml:space="preserve"> 委托，拟对 </w:t>
      </w:r>
      <w:r>
        <w:rPr>
          <w:rFonts w:ascii="仿宋_GB2312" w:hAnsi="仿宋_GB2312" w:cs="仿宋_GB2312" w:eastAsia="仿宋_GB2312"/>
        </w:rPr>
        <w:t>2026年数据及网络安全运维服务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成都市双流区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N5101162026000147</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2026年数据及网络安全运维服务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本项目1个包，成都市双流区西航港社区卫生服务中心因工作需要，拟采购2026年数据及网络安全运维服务商一名，以满足中心网络数据安全，保障系统稳定运行。</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成都市双流区西航港社区卫生服务中心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成都市双流区西航港街道西航港大道中三段689号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郭老师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028-68530251</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四川政扬招标代理有限责任公司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中国（四川）自由贸易试验区成都高新区益州大道中段722号3栋1单元603号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颜先生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028-62039722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采购包1：625,000.00元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成本加合理利润原则，以项目金额为基准参照原国家计委《关于印发招标代理服务收费管理暂行办法的通知》(计价格(2002)1980号)和国家发展改革委办公厅《关于招标代理服务收费有关问题的通知》(发改办价格[2003]857号)文件规定的收费标准，并结合《四川省政府采购营商环境指标提升专项工作方案》中“成本+合理利润”原则，按基础标准1.5%下浮10%（单个项目不足5000元按5000元收）向成交（中标）供应商收取。成交（中标）供应商在领取成交（中标）通知书前以现金或转账方式向采购代理机构缴纳。开户名称：四川政扬招标代理有限责任公司；开户银行：中国建设银行股份有限公司成都高新支行；账号：51050140613700004475。</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成都市双流区西航港社区卫生服务中心</w:t>
      </w:r>
      <w:r>
        <w:rPr>
          <w:rFonts w:ascii="仿宋_GB2312" w:hAnsi="仿宋_GB2312" w:cs="仿宋_GB2312" w:eastAsia="仿宋_GB2312"/>
        </w:rPr>
        <w:t xml:space="preserve"> 和 </w:t>
      </w:r>
      <w:r>
        <w:rPr>
          <w:rFonts w:ascii="仿宋_GB2312" w:hAnsi="仿宋_GB2312" w:cs="仿宋_GB2312" w:eastAsia="仿宋_GB2312"/>
        </w:rPr>
        <w:t>四川政扬招标代理有限责任公司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成都市双流区西航港社区卫生服务中心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四川政扬招标代理有限责任公司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60</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60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60</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投标人提出验收申请之日起10日内组织验收</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90</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投标人提出验收申请之日起10日内组织验收</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验收不合格的，采购人书面通知中标人，责令其限期采取措施依法进行整改。整改结束后，采购人重新组织验收。验收仍不合格的，采购人停止支付采购资金，并按照采购合同约定追究供应商违约责任</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按照本项目采购文件中“服务内容及要求”及投标文件进行验收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按照本项目采购文件中“商务要求”及投标文件进行验收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项目采购人将严格按照政府采购相关法律法规以及《财政部关于进一步加强政府采购需求和履约验收管理的指导意见》（财库〔2016〕205号）、参照《成都市市级采购项目履约验收实施细则（试行）》（成财规〔2026〕1号）、按照采购文件的要求以及投标文件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成都市双流区西航港社区卫生服务中心</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四川政扬招标代理有限责任公司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四川政扬招标代理有限责任公司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联系人：李老师</w:t>
      </w:r>
    </w:p>
    <w:p>
      <w:pPr>
        <w:pStyle w:val="null3"/>
        <w:jc w:val="left"/>
      </w:pPr>
      <w:r>
        <w:rPr>
          <w:rFonts w:ascii="仿宋_GB2312" w:hAnsi="仿宋_GB2312" w:cs="仿宋_GB2312" w:eastAsia="仿宋_GB2312"/>
        </w:rPr>
        <w:t>联系电话：028-62039722</w:t>
      </w:r>
    </w:p>
    <w:p>
      <w:pPr>
        <w:pStyle w:val="null3"/>
        <w:jc w:val="left"/>
      </w:pPr>
      <w:r>
        <w:rPr>
          <w:rFonts w:ascii="仿宋_GB2312" w:hAnsi="仿宋_GB2312" w:cs="仿宋_GB2312" w:eastAsia="仿宋_GB2312"/>
        </w:rPr>
        <w:t>地址：中国(四川)自由贸易试验区成都高新区益州大道中段722号3栋1单元603号（如有质疑，请递交至代理机构），供应商采用投递方式进行质疑的，快递公司在法定工作日进行派送。</w:t>
      </w:r>
    </w:p>
    <w:p>
      <w:pPr>
        <w:pStyle w:val="null3"/>
        <w:jc w:val="left"/>
      </w:pPr>
      <w:r>
        <w:rPr>
          <w:rFonts w:ascii="仿宋_GB2312" w:hAnsi="仿宋_GB2312" w:cs="仿宋_GB2312" w:eastAsia="仿宋_GB2312"/>
        </w:rPr>
        <w:t>邮编：610041</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联系人：郭老师</w:t>
      </w:r>
    </w:p>
    <w:p>
      <w:pPr>
        <w:pStyle w:val="null3"/>
        <w:jc w:val="left"/>
      </w:pPr>
      <w:r>
        <w:rPr>
          <w:rFonts w:ascii="仿宋_GB2312" w:hAnsi="仿宋_GB2312" w:cs="仿宋_GB2312" w:eastAsia="仿宋_GB2312"/>
        </w:rPr>
        <w:t>联系电话：028-68530251</w:t>
      </w:r>
    </w:p>
    <w:p>
      <w:pPr>
        <w:pStyle w:val="null3"/>
        <w:jc w:val="left"/>
      </w:pPr>
      <w:r>
        <w:rPr>
          <w:rFonts w:ascii="仿宋_GB2312" w:hAnsi="仿宋_GB2312" w:cs="仿宋_GB2312" w:eastAsia="仿宋_GB2312"/>
        </w:rPr>
        <w:t>地址：成都市双流区西航港街道西航港大道中三段689号（如有质疑，请递交至代理机构），供应商采用投递方式进行质疑的，快递公司在法定工作日进行派送。</w:t>
      </w:r>
    </w:p>
    <w:p>
      <w:pPr>
        <w:pStyle w:val="null3"/>
        <w:jc w:val="left"/>
      </w:pPr>
      <w:r>
        <w:rPr>
          <w:rFonts w:ascii="仿宋_GB2312" w:hAnsi="仿宋_GB2312" w:cs="仿宋_GB2312" w:eastAsia="仿宋_GB2312"/>
        </w:rPr>
        <w:t>邮编：610200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625,000.00</w:t>
      </w:r>
    </w:p>
    <w:p>
      <w:pPr>
        <w:pStyle w:val="null3"/>
        <w:jc w:val="left"/>
      </w:pPr>
      <w:r>
        <w:rPr>
          <w:rFonts w:ascii="仿宋_GB2312" w:hAnsi="仿宋_GB2312" w:cs="仿宋_GB2312" w:eastAsia="仿宋_GB2312"/>
        </w:rPr>
        <w:t>采购包最高限价（元）: 598,000.00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C16070400 安全运维服务</w:t>
            </w:r>
          </w:p>
        </w:tc>
        <w:tc>
          <w:tcPr>
            <w:tcW w:type="dxa" w:w="821"/>
          </w:tcPr>
          <w:p>
            <w:pPr>
              <w:pStyle w:val="null3"/>
              <w:jc w:val="left"/>
            </w:pPr>
            <w:r>
              <w:rPr>
                <w:rFonts w:ascii="仿宋_GB2312" w:hAnsi="仿宋_GB2312" w:cs="仿宋_GB2312" w:eastAsia="仿宋_GB2312"/>
              </w:rPr>
              <w:t>2026年数据及网络安全运维服务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598,000.00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2026年数据及网络安全运维服务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598,000.00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标的名称：2026年数据及网络安全运维服务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服务内容及要求</w:t>
            </w:r>
          </w:p>
        </w:tc>
        <w:tc>
          <w:tcPr>
            <w:tcW w:type="dxa" w:w="5814"/>
          </w:tcPr>
          <w:p>
            <w:pPr>
              <w:pStyle w:val="null3"/>
              <w:jc w:val="both"/>
            </w:pPr>
            <w:r>
              <w:rPr>
                <w:rFonts w:ascii="仿宋_GB2312" w:hAnsi="仿宋_GB2312" w:cs="仿宋_GB2312" w:eastAsia="仿宋_GB2312"/>
                <w:sz w:val="24"/>
                <w:b/>
              </w:rPr>
              <w:t>前提：标注</w:t>
            </w:r>
            <w:r>
              <w:rPr>
                <w:rFonts w:ascii="仿宋_GB2312" w:hAnsi="仿宋_GB2312" w:cs="仿宋_GB2312" w:eastAsia="仿宋_GB2312"/>
                <w:sz w:val="24"/>
                <w:b/>
              </w:rPr>
              <w:t>“★”的条款为本项目的实质性条款，投标人不满足的，将按照无效响应处理。</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一）项目概述</w:t>
            </w:r>
          </w:p>
          <w:p>
            <w:pPr>
              <w:pStyle w:val="null3"/>
              <w:jc w:val="both"/>
            </w:pPr>
            <w:r>
              <w:rPr>
                <w:rFonts w:ascii="仿宋_GB2312" w:hAnsi="仿宋_GB2312" w:cs="仿宋_GB2312" w:eastAsia="仿宋_GB2312"/>
                <w:sz w:val="24"/>
              </w:rPr>
              <w:t>本项目</w:t>
            </w:r>
            <w:r>
              <w:rPr>
                <w:rFonts w:ascii="仿宋_GB2312" w:hAnsi="仿宋_GB2312" w:cs="仿宋_GB2312" w:eastAsia="仿宋_GB2312"/>
                <w:sz w:val="24"/>
              </w:rPr>
              <w:t>1个包，成都市双流区西航港社区卫生服务中心因工作需要，拟采购2026年数据及网络安全运维服务商一名，以满足中心网络数据安全，保障系统稳定运行。</w:t>
            </w:r>
          </w:p>
          <w:p>
            <w:pPr>
              <w:pStyle w:val="null3"/>
              <w:jc w:val="both"/>
            </w:pPr>
            <w:r>
              <w:rPr>
                <w:rFonts w:ascii="仿宋_GB2312" w:hAnsi="仿宋_GB2312" w:cs="仿宋_GB2312" w:eastAsia="仿宋_GB2312"/>
                <w:sz w:val="24"/>
                <w:b/>
              </w:rPr>
              <w:t>（二）安全产品服务技术要求</w:t>
            </w:r>
          </w:p>
          <w:p>
            <w:pPr>
              <w:pStyle w:val="null3"/>
              <w:jc w:val="both"/>
            </w:pPr>
            <w:r>
              <w:rPr>
                <w:rFonts w:ascii="仿宋_GB2312" w:hAnsi="仿宋_GB2312" w:cs="仿宋_GB2312" w:eastAsia="仿宋_GB2312"/>
                <w:sz w:val="24"/>
                <w:b/>
              </w:rPr>
              <w:t>一、虚拟化防火墙</w:t>
            </w:r>
          </w:p>
          <w:p>
            <w:pPr>
              <w:pStyle w:val="null3"/>
              <w:jc w:val="both"/>
            </w:pPr>
            <w:r>
              <w:rPr>
                <w:rFonts w:ascii="仿宋_GB2312" w:hAnsi="仿宋_GB2312" w:cs="仿宋_GB2312" w:eastAsia="仿宋_GB2312"/>
                <w:sz w:val="24"/>
                <w:b/>
              </w:rPr>
              <w:t>1.应用识别</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1）支持应用类别、风险等级、应用技术等维度的应用定义。</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2）应用特征库支持网络实时更新。</w:t>
            </w:r>
          </w:p>
          <w:p>
            <w:pPr>
              <w:pStyle w:val="null3"/>
              <w:jc w:val="both"/>
            </w:pPr>
            <w:r>
              <w:rPr>
                <w:rFonts w:ascii="仿宋_GB2312" w:hAnsi="仿宋_GB2312" w:cs="仿宋_GB2312" w:eastAsia="仿宋_GB2312"/>
                <w:sz w:val="24"/>
                <w:b/>
              </w:rPr>
              <w:t>2.监控统计</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1）支持URL日志、NAT日志、会话日志、威胁日志。</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2）支持实时流量统计和分析功能。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3）支持安全事件统计功能。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4）支持iQoS管道策略实际流量情况监控，支持子管道叠加情况监控。</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5）支持应用的多维度统计监控，包括应用风险、类别、特征、所用技术。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6）支持报表功能，支持报表自定义。</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7）支持日志本地存储。</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8）支持设备、接口的流量统计将IPv6和IPv4分开统计呈现。</w:t>
            </w:r>
          </w:p>
          <w:p>
            <w:pPr>
              <w:pStyle w:val="null3"/>
              <w:jc w:val="both"/>
            </w:pPr>
            <w:r>
              <w:rPr>
                <w:rFonts w:ascii="仿宋_GB2312" w:hAnsi="仿宋_GB2312" w:cs="仿宋_GB2312" w:eastAsia="仿宋_GB2312"/>
                <w:sz w:val="24"/>
                <w:b/>
              </w:rPr>
              <w:t>3.用户认证</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1）本地用户支持Web认证。</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2）支持外部服务器用户认证（RADIUS、LDAP、MS AD）。</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3）支持AD/LDAP用户/组织结构同步。</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4）支持MS AD用户组同步。</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5）支持Web认证后的SSO。</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6）支持导入本地用户名密码列表。</w:t>
            </w:r>
          </w:p>
          <w:p>
            <w:pPr>
              <w:pStyle w:val="null3"/>
              <w:jc w:val="both"/>
            </w:pPr>
            <w:r>
              <w:rPr>
                <w:rFonts w:ascii="仿宋_GB2312" w:hAnsi="仿宋_GB2312" w:cs="仿宋_GB2312" w:eastAsia="仿宋_GB2312"/>
                <w:sz w:val="24"/>
                <w:b/>
              </w:rPr>
              <w:t>4.访问控制与隔离</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1）支持基于深度应用识别的访问控制。</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2）支持基于应用/角色/国家地理IP的安全策略。</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3）支持安全策略支持导入、导出。</w:t>
            </w:r>
          </w:p>
          <w:p>
            <w:pPr>
              <w:pStyle w:val="null3"/>
              <w:jc w:val="both"/>
            </w:pPr>
            <w:r>
              <w:rPr>
                <w:rFonts w:ascii="仿宋_GB2312" w:hAnsi="仿宋_GB2312" w:cs="仿宋_GB2312" w:eastAsia="仿宋_GB2312"/>
                <w:sz w:val="24"/>
                <w:b/>
              </w:rPr>
              <w:t>5.攻击防护</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1）支持畸形报文攻击防护，SYN Flood、DNS Query Flood等多种DoS/DDoS攻击防护。</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2）支持ARP攻击防护。</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3）支持缓冲区溢出、SQL注入和跨站脚本攻击的检测和防护。</w:t>
            </w:r>
          </w:p>
          <w:p>
            <w:pPr>
              <w:pStyle w:val="null3"/>
              <w:jc w:val="both"/>
            </w:pPr>
            <w:r>
              <w:rPr>
                <w:rFonts w:ascii="仿宋_GB2312" w:hAnsi="仿宋_GB2312" w:cs="仿宋_GB2312" w:eastAsia="仿宋_GB2312"/>
                <w:sz w:val="24"/>
                <w:b/>
              </w:rPr>
              <w:t>6.入侵防御</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1）支持实时攻击源阻断、IP屏蔽、攻击事件记录。</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2）支持针对HTTP、SMTP、IMAP、POP3、VOIP等常见协议和应用的攻击检测和防御。</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3）支持自定义入侵防御特征。</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4）提供预定义防御配置模板。</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5）支持特征库网络实时更新。</w:t>
            </w:r>
          </w:p>
          <w:p>
            <w:pPr>
              <w:pStyle w:val="null3"/>
              <w:jc w:val="both"/>
            </w:pPr>
            <w:r>
              <w:rPr>
                <w:rFonts w:ascii="仿宋_GB2312" w:hAnsi="仿宋_GB2312" w:cs="仿宋_GB2312" w:eastAsia="仿宋_GB2312"/>
                <w:sz w:val="24"/>
                <w:b/>
              </w:rPr>
              <w:t>7.病毒过滤</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1）支持病毒文件的扫描。</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2）支持实时病毒连接阻断，病毒事件记录。</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3）支持常见病毒传输协议HTTP、FTP及各种邮件协议扫描。</w:t>
            </w:r>
          </w:p>
          <w:p>
            <w:pPr>
              <w:pStyle w:val="null3"/>
              <w:jc w:val="both"/>
            </w:pPr>
            <w:r>
              <w:rPr>
                <w:rFonts w:ascii="仿宋_GB2312" w:hAnsi="仿宋_GB2312" w:cs="仿宋_GB2312" w:eastAsia="仿宋_GB2312"/>
                <w:sz w:val="24"/>
                <w:b/>
              </w:rPr>
              <w:t>8.数据安全</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1）支持基于文件类型、文件大小、文件名称进行数据传输安全控制。</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2）支持HTTP、FTP、SMTP、POP3、SMB协议文件传输的识别。</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3）支持主流文件类型的特征码及后缀名双重识别。</w:t>
            </w:r>
          </w:p>
          <w:p>
            <w:pPr>
              <w:pStyle w:val="null3"/>
              <w:jc w:val="both"/>
            </w:pPr>
            <w:r>
              <w:rPr>
                <w:rFonts w:ascii="仿宋_GB2312" w:hAnsi="仿宋_GB2312" w:cs="仿宋_GB2312" w:eastAsia="仿宋_GB2312"/>
                <w:sz w:val="24"/>
                <w:b/>
              </w:rPr>
              <w:t>9.僵尸网络C2防御</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1）支持通过监控C&amp;C连接发现内网肉鸡，阻断僵尸网络/勒索软件等威胁。</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2）支持定期僵尸网络服务器地址升级更新。</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3）支持C&amp;C IP和域名两种方式检测。</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4）支持TCP和HTTP、DNS协议检测。</w:t>
            </w:r>
          </w:p>
          <w:p>
            <w:pPr>
              <w:pStyle w:val="null3"/>
              <w:jc w:val="both"/>
            </w:pPr>
            <w:r>
              <w:rPr>
                <w:rFonts w:ascii="仿宋_GB2312" w:hAnsi="仿宋_GB2312" w:cs="仿宋_GB2312" w:eastAsia="仿宋_GB2312"/>
                <w:sz w:val="24"/>
                <w:b/>
              </w:rPr>
              <w:t>10.IP信誉库</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1）支持对僵尸肉鸡、垃圾邮件发送者、Tor节点、失陷主机、暴力破解等风险IP的流量进行识别和过滤。</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2）支持定期IP信誉特征库升级更新。</w:t>
            </w:r>
          </w:p>
          <w:p>
            <w:pPr>
              <w:pStyle w:val="null3"/>
              <w:jc w:val="both"/>
            </w:pPr>
            <w:r>
              <w:rPr>
                <w:rFonts w:ascii="仿宋_GB2312" w:hAnsi="仿宋_GB2312" w:cs="仿宋_GB2312" w:eastAsia="仿宋_GB2312"/>
                <w:sz w:val="24"/>
                <w:b/>
              </w:rPr>
              <w:t>11.云沙箱</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1）支持SMTP、POP3、IMAP4、FTP、SMB等协议类型的检测。</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2）支持APK、JAR、MS-OFFICE、PDF、SWF、RAR、ZIP等文件类型的检测。</w:t>
            </w:r>
          </w:p>
          <w:p>
            <w:pPr>
              <w:pStyle w:val="null3"/>
              <w:jc w:val="both"/>
            </w:pPr>
            <w:r>
              <w:rPr>
                <w:rFonts w:ascii="仿宋_GB2312" w:hAnsi="仿宋_GB2312" w:cs="仿宋_GB2312" w:eastAsia="仿宋_GB2312"/>
                <w:sz w:val="24"/>
                <w:b/>
              </w:rPr>
              <w:t>12.页面访问控制</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1）支持基于角色、时间、优先级、页面类型等条件的Web网页访问控制。</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2）支持URL白名单。</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3）支持URL特征库，URL库支持网络实时更新。</w:t>
            </w:r>
          </w:p>
          <w:p>
            <w:pPr>
              <w:pStyle w:val="null3"/>
              <w:jc w:val="both"/>
            </w:pPr>
            <w:r>
              <w:rPr>
                <w:rFonts w:ascii="仿宋_GB2312" w:hAnsi="仿宋_GB2312" w:cs="仿宋_GB2312" w:eastAsia="仿宋_GB2312"/>
                <w:sz w:val="24"/>
                <w:b/>
              </w:rPr>
              <w:t>13.带宽管理</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1）支持根据安全域、接口、地址、用户/用户组、服务/服务组、应用/应用组、TOS、Vlan等信息划分管道。</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2）支持两层八级管道嵌套的带宽限制和保证。</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3）支持多层级管道进行最大带宽限制、最小带宽保证、每IP或每用户的最大带宽限制和最小带宽保证。</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4）支持针对每IP或每用户进行延迟限速。</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5）支持基于时间和优先级的差分服务，支持带宽均分策略。</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6）支持对剩余带宽根据优先级进行弹性分配。</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7）支持主动抑制服务器端传送流量。</w:t>
            </w:r>
          </w:p>
          <w:p>
            <w:pPr>
              <w:pStyle w:val="null3"/>
              <w:jc w:val="both"/>
            </w:pPr>
            <w:r>
              <w:rPr>
                <w:rFonts w:ascii="仿宋_GB2312" w:hAnsi="仿宋_GB2312" w:cs="仿宋_GB2312" w:eastAsia="仿宋_GB2312"/>
                <w:sz w:val="24"/>
                <w:b/>
              </w:rPr>
              <w:t>14.高可用性 (HA)</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1）支持主/备模式（A/P），支持配置、会话同步。</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2）支持支持修改虚拟MAC地址。</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3）支持HA场景下支持不间断业务升级高型号。</w:t>
            </w:r>
          </w:p>
          <w:p>
            <w:pPr>
              <w:pStyle w:val="null3"/>
              <w:jc w:val="both"/>
            </w:pPr>
            <w:r>
              <w:rPr>
                <w:rFonts w:ascii="仿宋_GB2312" w:hAnsi="仿宋_GB2312" w:cs="仿宋_GB2312" w:eastAsia="仿宋_GB2312"/>
                <w:sz w:val="24"/>
                <w:b/>
              </w:rPr>
              <w:t>15.IPv6</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1）支持基于IPv6的访问控制、应用识别、URL过滤、防病毒、攻击防护、DNS64/NAT64、IPv6 OVER IPv4 GRE隧道等多种过渡技术。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2）IPv6 路由（静态路由、策略路由、ISIS、RIPng、OSPFv3、BGP4+）。</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3）支持IPS攻击防护。</w:t>
            </w:r>
          </w:p>
          <w:p>
            <w:pPr>
              <w:pStyle w:val="null3"/>
              <w:jc w:val="both"/>
            </w:pPr>
            <w:r>
              <w:rPr>
                <w:rFonts w:ascii="仿宋_GB2312" w:hAnsi="仿宋_GB2312" w:cs="仿宋_GB2312" w:eastAsia="仿宋_GB2312"/>
                <w:sz w:val="24"/>
                <w:b/>
              </w:rPr>
              <w:t>16.授权管理</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1）支持迁移，重装时，不更换授权文件。</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2）支持公网授权验证方式。</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3）支持内网授权验证方式。</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4）支持授权自动分发。</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5）支持授权回收、授权调度。</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6）支持REST API功能。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7）支持应用/设备/用户/威胁监控、监控配置、日志配置/管理。</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8）支持对象配置、策略配置、网络配置、系统配置。</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9）支持特征库在线升级。</w:t>
            </w:r>
          </w:p>
          <w:p>
            <w:pPr>
              <w:pStyle w:val="null3"/>
              <w:jc w:val="both"/>
            </w:pPr>
            <w:r>
              <w:rPr>
                <w:rFonts w:ascii="仿宋_GB2312" w:hAnsi="仿宋_GB2312" w:cs="仿宋_GB2312" w:eastAsia="仿宋_GB2312"/>
                <w:sz w:val="24"/>
                <w:b/>
              </w:rPr>
              <w:t>17.支持VPN功能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1）支持IPSec VPN，支持配置多条。</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2）支持国密软算法SM2/3/4。</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3）支持IKEv1,IKEv2协议，IKEV2支持DH14/15/16/19/20/21/24。</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4）支持SSL VPN及TLSv1.2。</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5）支持Android、iOS等移动设备的安全接入。</w:t>
            </w:r>
          </w:p>
          <w:p>
            <w:pPr>
              <w:pStyle w:val="null3"/>
              <w:jc w:val="both"/>
            </w:pPr>
            <w:r>
              <w:rPr>
                <w:rFonts w:ascii="仿宋_GB2312" w:hAnsi="仿宋_GB2312" w:cs="仿宋_GB2312" w:eastAsia="仿宋_GB2312"/>
                <w:sz w:val="24"/>
                <w:b/>
              </w:rPr>
              <w:t>二、日志审计</w:t>
            </w:r>
          </w:p>
          <w:p>
            <w:pPr>
              <w:pStyle w:val="null3"/>
              <w:jc w:val="both"/>
            </w:pPr>
            <w:r>
              <w:rPr>
                <w:rFonts w:ascii="仿宋_GB2312" w:hAnsi="仿宋_GB2312" w:cs="仿宋_GB2312" w:eastAsia="仿宋_GB2312"/>
                <w:sz w:val="24"/>
                <w:b/>
              </w:rPr>
              <w:t>1.云日志服务</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1）提供一站式日志采集、海量存储、结构化处理、转储和可视化图表功能。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2）支持多种结构化解析。</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3）支持JSON、分隔符、nginx、正则和云服务（ELB/VPC/CTS等日志）格式结构化解析。</w:t>
            </w:r>
          </w:p>
          <w:p>
            <w:pPr>
              <w:pStyle w:val="null3"/>
              <w:jc w:val="both"/>
            </w:pPr>
            <w:r>
              <w:rPr>
                <w:rFonts w:ascii="仿宋_GB2312" w:hAnsi="仿宋_GB2312" w:cs="仿宋_GB2312" w:eastAsia="仿宋_GB2312"/>
                <w:sz w:val="24"/>
                <w:b/>
              </w:rPr>
              <w:t>2.云审计服务</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1）支持记录用户通过管理控制台或API接口发起的操作，以及各服务内部自触发的操作。</w:t>
            </w:r>
          </w:p>
          <w:p>
            <w:pPr>
              <w:pStyle w:val="null3"/>
              <w:jc w:val="both"/>
            </w:pPr>
            <w:r>
              <w:rPr>
                <w:rFonts w:ascii="仿宋_GB2312" w:hAnsi="仿宋_GB2312" w:cs="仿宋_GB2312" w:eastAsia="仿宋_GB2312"/>
                <w:sz w:val="24"/>
                <w:b/>
              </w:rPr>
              <w:t>3.审计日志查询</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1）支持在管理控制台对7天内操作记录按照事件来源、资源类型、事件名称、资源名称/ID、事件级别和时间范围等多个维度进行组合查询。</w:t>
            </w:r>
          </w:p>
          <w:p>
            <w:pPr>
              <w:pStyle w:val="null3"/>
              <w:jc w:val="both"/>
            </w:pPr>
            <w:r>
              <w:rPr>
                <w:rFonts w:ascii="仿宋_GB2312" w:hAnsi="仿宋_GB2312" w:cs="仿宋_GB2312" w:eastAsia="仿宋_GB2312"/>
                <w:sz w:val="24"/>
                <w:b/>
              </w:rPr>
              <w:t>4.审计日志转储</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1）支持将审计日志周期性的转储至对象存储服务下的桶，转储时按照服务维度压缩审计日志为事件文件。</w:t>
            </w:r>
          </w:p>
          <w:p>
            <w:pPr>
              <w:pStyle w:val="null3"/>
              <w:jc w:val="both"/>
            </w:pPr>
            <w:r>
              <w:rPr>
                <w:rFonts w:ascii="仿宋_GB2312" w:hAnsi="仿宋_GB2312" w:cs="仿宋_GB2312" w:eastAsia="仿宋_GB2312"/>
                <w:sz w:val="24"/>
                <w:b/>
              </w:rPr>
              <w:t>三、数据库审计</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审计信息展示：数据库审计的审计内容包括会话的终端信息、会话的主机信息、会话的其它信息、操作信息等。审计日志至少保留180天。支持从会话维度、语句类型纬度、风险纬度三个纬度进行导航展示，支持基于时间、客户端IP、目标数据库IP、客户端MAC、目标数据库MAC，操作类型、客户端端口、操作信息大小、返回状态、结果信息、客户端执行命令等详细信息内容。</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2）隐私数据保护：支持通过内置规则或自定义规则对审计平台存储和展示的敏感信息脱敏。</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3）攻击检测：支持检测SQL注入攻击；支持自定义风险规则。</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4）风险总览：支持跨实例汇聚展示所有纳管数据库的风险态势。</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5）支持Agent部署模式。审计故障后，业务不会出现中断。</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6）支持MySQL、PG、SQL Server、DWS、MongoDB等各种关系型与非关系型数据库。</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7）支持常见的几大国产数据库，包括神通（SHENTONG）、人大金仓（Kingbase）、南大通用（Gbase）、达梦（DM）、瀚高（HighGo）等。</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8）支持免Agent模式审计RDS for MySQL。</w:t>
            </w:r>
          </w:p>
          <w:p>
            <w:pPr>
              <w:pStyle w:val="null3"/>
              <w:jc w:val="both"/>
            </w:pPr>
            <w:r>
              <w:rPr>
                <w:rFonts w:ascii="仿宋_GB2312" w:hAnsi="仿宋_GB2312" w:cs="仿宋_GB2312" w:eastAsia="仿宋_GB2312"/>
                <w:sz w:val="24"/>
                <w:b/>
              </w:rPr>
              <w:t>四、云堡垒机</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1）资产管理：支持所有主账号和从账户在一个平台上进行管理，并可权限最小化；运维人员一次登录，便可对其所维护的多台资源进行管理。</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2）运维审计：支持可视化运维行为监控，及时预警发现违规操作；实时记录管理员的资源管理、用户管理和策略管理等所有行为日志，以便监控和审计。</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rPr>
              <w:t>（</w:t>
            </w:r>
            <w:r>
              <w:rPr>
                <w:rFonts w:ascii="仿宋_GB2312" w:hAnsi="仿宋_GB2312" w:cs="仿宋_GB2312" w:eastAsia="仿宋_GB2312"/>
                <w:sz w:val="24"/>
              </w:rPr>
              <w:t>3）满足合规需求，满足“网络安全法”、“信息安全等级保护”等规定的企业必须采取信息系统风险内控与审计措施的要求，满足企业合规需求。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4）支持云堡垒机直接运维管理数据库。</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5）支持下发主备实例，组成高可用（HA）架构，保障业务及监控稳定运行。</w:t>
            </w:r>
          </w:p>
          <w:p>
            <w:pPr>
              <w:pStyle w:val="null3"/>
              <w:jc w:val="both"/>
            </w:pPr>
            <w:r>
              <w:rPr>
                <w:rFonts w:ascii="仿宋_GB2312" w:hAnsi="仿宋_GB2312" w:cs="仿宋_GB2312" w:eastAsia="仿宋_GB2312"/>
                <w:sz w:val="24"/>
                <w:b/>
              </w:rPr>
              <w:t>五、漏洞扫描</w:t>
            </w:r>
          </w:p>
          <w:p>
            <w:pPr>
              <w:pStyle w:val="null3"/>
              <w:jc w:val="both"/>
            </w:pPr>
            <w:r>
              <w:rPr>
                <w:rFonts w:ascii="仿宋_GB2312" w:hAnsi="仿宋_GB2312" w:cs="仿宋_GB2312" w:eastAsia="仿宋_GB2312"/>
                <w:sz w:val="24"/>
                <w:b/>
              </w:rPr>
              <w:t>1.网站漏洞扫描</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1）具有OWASP TOP10和WASC的漏洞检测能力，支持扫描常见漏洞。</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2）支持扫描规则云端自动更新，全网生效。</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3）支持HTTPS扫描。</w:t>
            </w:r>
          </w:p>
          <w:p>
            <w:pPr>
              <w:pStyle w:val="null3"/>
              <w:jc w:val="both"/>
            </w:pPr>
            <w:r>
              <w:rPr>
                <w:rFonts w:ascii="仿宋_GB2312" w:hAnsi="仿宋_GB2312" w:cs="仿宋_GB2312" w:eastAsia="仿宋_GB2312"/>
                <w:sz w:val="24"/>
                <w:b/>
              </w:rPr>
              <w:t>2.一站式漏洞管理</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1）支持智能提供漏洞修复建议。</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2）可下载扫描报告，用户可以离线查看漏洞信息。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3）支持修复后重新扫描。</w:t>
            </w:r>
          </w:p>
          <w:p>
            <w:pPr>
              <w:pStyle w:val="null3"/>
              <w:jc w:val="both"/>
            </w:pPr>
            <w:r>
              <w:rPr>
                <w:rFonts w:ascii="仿宋_GB2312" w:hAnsi="仿宋_GB2312" w:cs="仿宋_GB2312" w:eastAsia="仿宋_GB2312"/>
                <w:sz w:val="24"/>
                <w:b/>
              </w:rPr>
              <w:t>3.支持弱密码扫描</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1）支持操作系统（RDP协议、SSH协议）、数据库（如Mysql、Redis）等常见中间件弱口令检测。</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2）支持弱密码库：可模拟黑客对各场景进行弱口令探测。</w:t>
            </w:r>
          </w:p>
          <w:p>
            <w:pPr>
              <w:pStyle w:val="null3"/>
              <w:jc w:val="both"/>
            </w:pPr>
            <w:r>
              <w:rPr>
                <w:rFonts w:ascii="仿宋_GB2312" w:hAnsi="仿宋_GB2312" w:cs="仿宋_GB2312" w:eastAsia="仿宋_GB2312"/>
                <w:sz w:val="24"/>
                <w:b/>
              </w:rPr>
              <w:t>4.支持端口扫描。</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1）支持端口扫描。</w:t>
            </w:r>
          </w:p>
          <w:p>
            <w:pPr>
              <w:pStyle w:val="null3"/>
              <w:jc w:val="both"/>
            </w:pPr>
            <w:r>
              <w:rPr>
                <w:rFonts w:ascii="仿宋_GB2312" w:hAnsi="仿宋_GB2312" w:cs="仿宋_GB2312" w:eastAsia="仿宋_GB2312"/>
                <w:sz w:val="24"/>
                <w:b/>
              </w:rPr>
              <w:t>5.自定义扫描</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1）支持任务定时扫描。</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2）支持基于用户名密码登录、基于自定义Cookie登录。</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3）支持Web 2.0高级爬虫扫描。</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4）支持自定义Header扫描。</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5）支持手动导入探索文件来进行被动扫描。</w:t>
            </w:r>
          </w:p>
          <w:p>
            <w:pPr>
              <w:pStyle w:val="null3"/>
              <w:jc w:val="both"/>
            </w:pPr>
            <w:r>
              <w:rPr>
                <w:rFonts w:ascii="仿宋_GB2312" w:hAnsi="仿宋_GB2312" w:cs="仿宋_GB2312" w:eastAsia="仿宋_GB2312"/>
                <w:sz w:val="24"/>
                <w:b/>
              </w:rPr>
              <w:t>6.主机漏洞扫描</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1）支持深入扫描：可连接到服务器进行OS检测，进行多维度的漏洞、配置检测。</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2）支持内网扫描：可以通过跳板机方式访问服务器。</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3）支持中间件扫描。</w:t>
            </w:r>
          </w:p>
          <w:p>
            <w:pPr>
              <w:pStyle w:val="null3"/>
              <w:jc w:val="both"/>
            </w:pPr>
            <w:r>
              <w:rPr>
                <w:rFonts w:ascii="仿宋_GB2312" w:hAnsi="仿宋_GB2312" w:cs="仿宋_GB2312" w:eastAsia="仿宋_GB2312"/>
                <w:sz w:val="24"/>
                <w:b/>
              </w:rPr>
              <w:t>7.支持合规扫描</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1）支持主流Web容器、前台开发框架、后台微服务技术栈的版本漏洞和配置合规扫描。</w:t>
            </w:r>
          </w:p>
          <w:p>
            <w:pPr>
              <w:pStyle w:val="null3"/>
              <w:jc w:val="both"/>
            </w:pPr>
            <w:r>
              <w:rPr>
                <w:rFonts w:ascii="仿宋_GB2312" w:hAnsi="仿宋_GB2312" w:cs="仿宋_GB2312" w:eastAsia="仿宋_GB2312"/>
                <w:sz w:val="24"/>
                <w:b/>
              </w:rPr>
              <w:t>六、服务器安全卫士</w:t>
            </w:r>
          </w:p>
          <w:p>
            <w:pPr>
              <w:pStyle w:val="null3"/>
              <w:jc w:val="both"/>
            </w:pPr>
            <w:r>
              <w:rPr>
                <w:rFonts w:ascii="仿宋_GB2312" w:hAnsi="仿宋_GB2312" w:cs="仿宋_GB2312" w:eastAsia="仿宋_GB2312"/>
                <w:sz w:val="24"/>
                <w:b/>
              </w:rPr>
              <w:t>1.安全概览</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1）全方位查看服务器安全数据及状态，包括服务器数量统计、服务器安全状态统计、待处理告警、服务器运行状况统计、服务器资产清点统计及排名。</w:t>
            </w:r>
          </w:p>
          <w:p>
            <w:pPr>
              <w:pStyle w:val="null3"/>
              <w:jc w:val="both"/>
            </w:pPr>
            <w:r>
              <w:rPr>
                <w:rFonts w:ascii="仿宋_GB2312" w:hAnsi="仿宋_GB2312" w:cs="仿宋_GB2312" w:eastAsia="仿宋_GB2312"/>
                <w:sz w:val="24"/>
                <w:b/>
              </w:rPr>
              <w:t>2.资产管理</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1）查看服务器列表信息及服务器详情信息，支持为服务器开启/关闭防护；自动清点主机内部资产如进程、端口、账号、应用等，实时掌握主机内部资产变化，为安全分析提供数据基础。</w:t>
            </w:r>
          </w:p>
          <w:p>
            <w:pPr>
              <w:pStyle w:val="null3"/>
              <w:jc w:val="both"/>
            </w:pPr>
            <w:r>
              <w:rPr>
                <w:rFonts w:ascii="仿宋_GB2312" w:hAnsi="仿宋_GB2312" w:cs="仿宋_GB2312" w:eastAsia="仿宋_GB2312"/>
                <w:sz w:val="24"/>
                <w:b/>
              </w:rPr>
              <w:t>3.基线检测</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1）对系统基线进行全面检查，支持一键检测和定时检测方式，可自定义基线策略，支持对基线进行白名单设置。</w:t>
            </w:r>
          </w:p>
          <w:p>
            <w:pPr>
              <w:pStyle w:val="null3"/>
              <w:jc w:val="both"/>
            </w:pPr>
            <w:r>
              <w:rPr>
                <w:rFonts w:ascii="仿宋_GB2312" w:hAnsi="仿宋_GB2312" w:cs="仿宋_GB2312" w:eastAsia="仿宋_GB2312"/>
                <w:sz w:val="24"/>
                <w:b/>
              </w:rPr>
              <w:t>4.入侵检测</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包括异常登录、爆破登录和查看各类入侵防御记录及拦截结果。实时异常登录监控，发现异常IP、区域、时间等的异常登录，并发送告警通知；实时暴力破解多层次监控，支持暴力破解拦截功能，支持查看拦截记录。</w:t>
            </w:r>
          </w:p>
          <w:p>
            <w:pPr>
              <w:pStyle w:val="null3"/>
              <w:jc w:val="both"/>
            </w:pPr>
            <w:r>
              <w:rPr>
                <w:rFonts w:ascii="仿宋_GB2312" w:hAnsi="仿宋_GB2312" w:cs="仿宋_GB2312" w:eastAsia="仿宋_GB2312"/>
                <w:sz w:val="24"/>
                <w:b/>
              </w:rPr>
              <w:t>5.弱口令检测</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1）检测系统中的弱口令，包括常见弱口令、空口令、系统默认口令、口令中包含用户名等场景。</w:t>
            </w:r>
          </w:p>
          <w:p>
            <w:pPr>
              <w:pStyle w:val="null3"/>
              <w:jc w:val="both"/>
            </w:pPr>
            <w:r>
              <w:rPr>
                <w:rFonts w:ascii="仿宋_GB2312" w:hAnsi="仿宋_GB2312" w:cs="仿宋_GB2312" w:eastAsia="仿宋_GB2312"/>
                <w:sz w:val="24"/>
                <w:b/>
              </w:rPr>
              <w:t>6.病毒查杀</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1）支持对挖矿木马、蠕虫、勒索病毒等进行有效的检测，提供灵活的检测方式，支持一键检测和定时检测方式，通过简单操作即可完成对病毒的处理，支持对病毒文件进行隔离、删除和信任。</w:t>
            </w:r>
          </w:p>
          <w:p>
            <w:pPr>
              <w:pStyle w:val="null3"/>
              <w:jc w:val="both"/>
            </w:pPr>
            <w:r>
              <w:rPr>
                <w:rFonts w:ascii="仿宋_GB2312" w:hAnsi="仿宋_GB2312" w:cs="仿宋_GB2312" w:eastAsia="仿宋_GB2312"/>
                <w:sz w:val="24"/>
                <w:b/>
              </w:rPr>
              <w:t>7.网页防篡改</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1）实时监控网站目录并通过备份恢复被篡改的文件或目录，保障重要系统的网站信息不被恶意篡改，防止出现挂马、黑链、非法植入恐怖威胁、色情等内容。</w:t>
            </w:r>
          </w:p>
          <w:p>
            <w:pPr>
              <w:pStyle w:val="null3"/>
              <w:jc w:val="both"/>
            </w:pPr>
            <w:r>
              <w:rPr>
                <w:rFonts w:ascii="仿宋_GB2312" w:hAnsi="仿宋_GB2312" w:cs="仿宋_GB2312" w:eastAsia="仿宋_GB2312"/>
                <w:sz w:val="24"/>
                <w:b/>
              </w:rPr>
              <w:t>8.勒索防护</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1）在系统关键位置投放诱饵文件，实时捕捉勒索病毒攻击行为，可有效阻止勒索病毒对数据的加密。</w:t>
            </w:r>
          </w:p>
          <w:p>
            <w:pPr>
              <w:pStyle w:val="null3"/>
              <w:jc w:val="both"/>
            </w:pPr>
            <w:r>
              <w:rPr>
                <w:rFonts w:ascii="仿宋_GB2312" w:hAnsi="仿宋_GB2312" w:cs="仿宋_GB2312" w:eastAsia="仿宋_GB2312"/>
                <w:sz w:val="24"/>
                <w:b/>
              </w:rPr>
              <w:t>9.文件完整性保护</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1）对系统关键文件、文件路径、文件目录进行实时监控，发现文件变更篡改行为后进行告警，帮助用户及时发现可能遭受攻击的文件更改。</w:t>
            </w:r>
          </w:p>
          <w:p>
            <w:pPr>
              <w:pStyle w:val="null3"/>
              <w:jc w:val="both"/>
            </w:pPr>
            <w:r>
              <w:rPr>
                <w:rFonts w:ascii="仿宋_GB2312" w:hAnsi="仿宋_GB2312" w:cs="仿宋_GB2312" w:eastAsia="仿宋_GB2312"/>
                <w:sz w:val="24"/>
                <w:b/>
              </w:rPr>
              <w:t>（三）云上部署技术要求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1）安全产品部署的云主机需同时支持IPV4和IPV6协议，并支持分别对IPV4和IPV6协议端口配置入方向和出方向的访问规则。</w:t>
            </w:r>
          </w:p>
          <w:p>
            <w:pPr>
              <w:pStyle w:val="null3"/>
              <w:jc w:val="both"/>
            </w:pPr>
            <w:r>
              <w:rPr>
                <w:rFonts w:ascii="仿宋_GB2312" w:hAnsi="仿宋_GB2312" w:cs="仿宋_GB2312" w:eastAsia="仿宋_GB2312"/>
                <w:sz w:val="24"/>
              </w:rPr>
              <w:t>▲（2）安全产品部署的云主机服务如遇网络故障、服务器崩溃时，需具备数据完整性保护机制以保障核心数据存储持久性，投标人所提供的云主机服务数据存储持久性需≥99.9999%。（需提供可信云官网截图，并加盖投标人电子章）</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3）安全产品部署的云主机服务如遇单实例、可用区故障问题，应具备业务连续性保护机制以保障核心业务连续性，要求单实例单可用区业务可用性≥99.95% 单地域多可用区业务可用性≥99.99%。</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4）安全产品部署的云主机支持用户自服务门户和API接口，用户可自主创建不同规格的云主机，自定义网络、磁盘、镜像等属性，支持登录鉴权方式。</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5）安全产品部署的云主机支持添加共享云硬盘（包括VBD或SCSI类型共享云硬盘），支持将共享盘挂载云机数量≥16个。</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6）安全产品部署的云主机支持快照备份、性能监测分析、异常告警、日志管理等功能。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7）安全产品部署的云主机支持快照和自定义镜像能力，支持对运行或停止状态的虚拟主机生成快照，并提供快照回滚功能。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8）安全产品部署的云主机支持基于多云硬盘一致性快照技术的备份服务，并支持利用备份数据恢复云主机数据，保障用户数据的安全性和正确性，确保业务安全。</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9）安全产品部署的云主机可实现对云服务器的镜像及实例管理，并监控云主机运行状态。</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10）安全产品部署的云主机支持自定义防火墙功能，新创建的云主机要求默认防火墙中关闭除管理端口之外的所有端口。</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11）安全产品部署的云主机支持并配置计算能力的垂直伸缩，支持对CPU和内存的升级与降级操作，支持增加、减少磁盘个数。</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12）安全产品部署的云主机支持自定义镜像，包括整机镜像、系统盘镜像。</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13）安全产品部署的云主机镜像支持Windows和Linux操作系统版本。</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14）安全产品部署的云主机VCPU虚拟化超分比不超过1:3。</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15）安全产品部署的云主机支持自定义数据注入，包括脚本注入和文本注入。</w:t>
            </w:r>
          </w:p>
          <w:p>
            <w:pPr>
              <w:pStyle w:val="null3"/>
              <w:jc w:val="both"/>
            </w:pPr>
            <w:r>
              <w:rPr>
                <w:rFonts w:ascii="仿宋_GB2312" w:hAnsi="仿宋_GB2312" w:cs="仿宋_GB2312" w:eastAsia="仿宋_GB2312"/>
                <w:sz w:val="24"/>
              </w:rPr>
              <w:t>▲（16）安全产品支持在多云系统部署，可在客户指定的云上部署。（提供承诺函并加盖供应商电子章，格式自拟）</w:t>
            </w:r>
          </w:p>
          <w:p>
            <w:pPr>
              <w:pStyle w:val="null3"/>
              <w:jc w:val="both"/>
            </w:pPr>
            <w:r>
              <w:rPr>
                <w:rFonts w:ascii="仿宋_GB2312" w:hAnsi="仿宋_GB2312" w:cs="仿宋_GB2312" w:eastAsia="仿宋_GB2312"/>
                <w:sz w:val="24"/>
              </w:rPr>
              <w:t>▲（17）投标人所提供云主机服务取得可信云云服务安全能力检验证书，达到增强级标准。（需提供证书扫描件并加盖投标人电子章）</w:t>
            </w:r>
          </w:p>
          <w:p>
            <w:pPr>
              <w:pStyle w:val="null3"/>
              <w:jc w:val="both"/>
            </w:pPr>
            <w:r>
              <w:rPr>
                <w:rFonts w:ascii="仿宋_GB2312" w:hAnsi="仿宋_GB2312" w:cs="仿宋_GB2312" w:eastAsia="仿宋_GB2312"/>
                <w:sz w:val="24"/>
              </w:rPr>
              <w:t>▲（18）投标人所提供云服务具备可信云-云堡垒机能力检验证书-云堡垒机。（需提供证书扫描件并加盖投标人电子章）。</w:t>
            </w:r>
          </w:p>
          <w:p>
            <w:pPr>
              <w:pStyle w:val="null3"/>
              <w:jc w:val="both"/>
            </w:pPr>
            <w:r>
              <w:rPr>
                <w:rFonts w:ascii="仿宋_GB2312" w:hAnsi="仿宋_GB2312" w:cs="仿宋_GB2312" w:eastAsia="仿宋_GB2312"/>
                <w:sz w:val="24"/>
              </w:rPr>
              <w:t>▲（19）投标人所提供云服务具备可信云-云防火墙能力检验证书-云防火墙。（需提供证书扫描件并加盖投标人电子章）</w:t>
            </w:r>
          </w:p>
          <w:p>
            <w:pPr>
              <w:pStyle w:val="null3"/>
              <w:jc w:val="both"/>
            </w:pPr>
            <w:r>
              <w:rPr>
                <w:rFonts w:ascii="仿宋_GB2312" w:hAnsi="仿宋_GB2312" w:cs="仿宋_GB2312" w:eastAsia="仿宋_GB2312"/>
                <w:sz w:val="24"/>
              </w:rPr>
              <w:t>▲（20）投标人所提供块存储服务，取得可信云-云服务安全-块存储认证证书。（需提供证书扫描件并加盖投标人电子章）。</w:t>
            </w:r>
          </w:p>
          <w:p>
            <w:pPr>
              <w:pStyle w:val="null3"/>
              <w:jc w:val="both"/>
            </w:pPr>
            <w:r>
              <w:rPr>
                <w:rFonts w:ascii="仿宋_GB2312" w:hAnsi="仿宋_GB2312" w:cs="仿宋_GB2312" w:eastAsia="仿宋_GB2312"/>
                <w:sz w:val="24"/>
              </w:rPr>
              <w:t>▲（21）投标人所提供云迁移服务，取得可信云-云迁移服务能力评估证书。（需提供证书扫描件并加盖投标人电子章）。</w:t>
            </w:r>
          </w:p>
          <w:p>
            <w:pPr>
              <w:pStyle w:val="null3"/>
              <w:jc w:val="both"/>
            </w:pPr>
            <w:r>
              <w:rPr>
                <w:rFonts w:ascii="仿宋_GB2312" w:hAnsi="仿宋_GB2312" w:cs="仿宋_GB2312" w:eastAsia="仿宋_GB2312"/>
                <w:sz w:val="24"/>
              </w:rPr>
              <w:t>▲（22）投标人数据管理能力成熟度达到量化管理级（4级）（需提供承诺函并加盖投标人电子章，格式自拟）。</w:t>
            </w:r>
          </w:p>
          <w:p>
            <w:pPr>
              <w:pStyle w:val="null3"/>
              <w:jc w:val="both"/>
            </w:pPr>
            <w:r>
              <w:rPr>
                <w:rFonts w:ascii="仿宋_GB2312" w:hAnsi="仿宋_GB2312" w:cs="仿宋_GB2312" w:eastAsia="仿宋_GB2312"/>
                <w:sz w:val="24"/>
              </w:rPr>
              <w:t>▲（23）投标人通过《医疗云计算可信选型评估方法第7部分云HIS》的测试评估（需提供证书扫描件并加盖投标人电子章）。</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rPr>
              <w:t>（</w:t>
            </w:r>
            <w:r>
              <w:rPr>
                <w:rFonts w:ascii="仿宋_GB2312" w:hAnsi="仿宋_GB2312" w:cs="仿宋_GB2312" w:eastAsia="仿宋_GB2312"/>
                <w:sz w:val="24"/>
              </w:rPr>
              <w:t>24）投标人需在合同签订后15日内完成产品部署、网络互通和功能上线，期间采购人业务不得中断或受到不良影响（需提供承诺函，格式自拟，并加盖投标人电子章）。</w:t>
            </w:r>
          </w:p>
          <w:p>
            <w:pPr>
              <w:pStyle w:val="null3"/>
              <w:jc w:val="both"/>
            </w:pPr>
            <w:r>
              <w:rPr>
                <w:rFonts w:ascii="仿宋_GB2312" w:hAnsi="仿宋_GB2312" w:cs="仿宋_GB2312" w:eastAsia="仿宋_GB2312"/>
                <w:sz w:val="24"/>
                <w:b/>
              </w:rPr>
              <w:t>★（四）</w:t>
            </w:r>
            <w:r>
              <w:rPr>
                <w:rFonts w:ascii="仿宋_GB2312" w:hAnsi="仿宋_GB2312" w:cs="仿宋_GB2312" w:eastAsia="仿宋_GB2312"/>
                <w:sz w:val="24"/>
                <w:b/>
              </w:rPr>
              <w:t>服务要求</w:t>
            </w:r>
          </w:p>
          <w:p>
            <w:pPr>
              <w:pStyle w:val="null3"/>
              <w:jc w:val="both"/>
            </w:pPr>
            <w:r>
              <w:rPr>
                <w:rFonts w:ascii="仿宋_GB2312" w:hAnsi="仿宋_GB2312" w:cs="仿宋_GB2312" w:eastAsia="仿宋_GB2312"/>
                <w:sz w:val="24"/>
                <w:b/>
              </w:rPr>
              <w:t>1、</w:t>
            </w:r>
            <w:r>
              <w:rPr>
                <w:rFonts w:ascii="仿宋_GB2312" w:hAnsi="仿宋_GB2312" w:cs="仿宋_GB2312" w:eastAsia="仿宋_GB2312"/>
                <w:sz w:val="24"/>
                <w:b/>
              </w:rPr>
              <w:t>安全培训服务</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建立安全培训制度：指导采购人单位根据安全生产法和相关法律法规，建立和完善安全培训工作制度，确保培训工作的规范性和有效性。</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覆盖各级从业人员：安全培训应涵盖采购人所有从业人员，包括主要负责人、安全生产管理人员、作业人员，确保每个人都能获得必要的安全知识和技能。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定期更新培训内容：随着技术的发展和环境的变化，定期更新安全培训的内容，以反映最新的安全标准和最佳实践。</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实施考核评估：通过考核和评估来验证培训效果，确保采购人从业人员真正掌握所学的安全知识和技能。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持续改进：基于培训反馈和安全事故分析，不断改进培训计划和方法，提高培训的针对性和实效性。</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法规遵守：确保培训内容符合国家安全生产相关法律法规的要求，以及行业标准和用户政策。</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应急响应培训：提供应急响应和事故处理的培训，使采购人员工能够在紧急情况下迅速有效地采取行动。</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资料记录：保持完整的培训记录，包括参训人员名单、培训内容、培训时间和考核结果等，以便于跟踪和审计。</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鼓励反馈与建议：鼓励采购人员工提供对安全培训的反馈和建议，以便不断优化培训体系。</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透明度：保持培训过程的透明度，让采购人及时能够了解培训计划和进展。</w:t>
            </w:r>
          </w:p>
          <w:p>
            <w:pPr>
              <w:pStyle w:val="null3"/>
              <w:jc w:val="both"/>
            </w:pPr>
            <w:r>
              <w:rPr>
                <w:rFonts w:ascii="仿宋_GB2312" w:hAnsi="仿宋_GB2312" w:cs="仿宋_GB2312" w:eastAsia="仿宋_GB2312"/>
                <w:sz w:val="24"/>
                <w:b/>
              </w:rPr>
              <w:t>2、</w:t>
            </w:r>
            <w:r>
              <w:rPr>
                <w:rFonts w:ascii="仿宋_GB2312" w:hAnsi="仿宋_GB2312" w:cs="仿宋_GB2312" w:eastAsia="仿宋_GB2312"/>
                <w:sz w:val="24"/>
                <w:b/>
              </w:rPr>
              <w:t>运维服务</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1）投标人</w:t>
            </w:r>
            <w:r>
              <w:rPr>
                <w:rFonts w:ascii="仿宋_GB2312" w:hAnsi="仿宋_GB2312" w:cs="仿宋_GB2312" w:eastAsia="仿宋_GB2312"/>
                <w:sz w:val="24"/>
              </w:rPr>
              <w:t>应具备线上线下服务能力，提供端到端全过程一站式服务；支持</w:t>
            </w:r>
            <w:r>
              <w:rPr>
                <w:rFonts w:ascii="仿宋_GB2312" w:hAnsi="仿宋_GB2312" w:cs="仿宋_GB2312" w:eastAsia="仿宋_GB2312"/>
                <w:sz w:val="24"/>
              </w:rPr>
              <w:t>24小时×365天的质量保证。一站式服务包括：网络及云业务业务咨询、网络及云业务业务业务受理、7*24小时故障申告、计费结算、云服务相关技术支持。</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2）投标人</w:t>
            </w:r>
            <w:r>
              <w:rPr>
                <w:rFonts w:ascii="仿宋_GB2312" w:hAnsi="仿宋_GB2312" w:cs="仿宋_GB2312" w:eastAsia="仿宋_GB2312"/>
                <w:sz w:val="24"/>
              </w:rPr>
              <w:t>承诺对故障响应时间小于</w:t>
            </w:r>
            <w:r>
              <w:rPr>
                <w:rFonts w:ascii="仿宋_GB2312" w:hAnsi="仿宋_GB2312" w:cs="仿宋_GB2312" w:eastAsia="仿宋_GB2312"/>
                <w:sz w:val="24"/>
              </w:rPr>
              <w:t>30分钟，故障恢复时间一般小于24小时，个别特殊情况最长不超过72小时。</w:t>
            </w:r>
            <w:r>
              <w:rPr>
                <w:rFonts w:ascii="仿宋_GB2312" w:hAnsi="仿宋_GB2312" w:cs="仿宋_GB2312" w:eastAsia="仿宋_GB2312"/>
                <w:sz w:val="24"/>
              </w:rPr>
              <w:t>（提供承诺函，格式自拟，并加盖投标人电子章）</w:t>
            </w:r>
            <w:r>
              <w:rPr>
                <w:rFonts w:ascii="仿宋_GB2312" w:hAnsi="仿宋_GB2312" w:cs="仿宋_GB2312" w:eastAsia="仿宋_GB2312"/>
                <w:sz w:val="32"/>
              </w:rPr>
              <w:t xml:space="preserve"> </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采购人在使用租用服务的过程中发现的任何问题均可向</w:t>
            </w:r>
            <w:r>
              <w:rPr>
                <w:rFonts w:ascii="仿宋_GB2312" w:hAnsi="仿宋_GB2312" w:cs="仿宋_GB2312" w:eastAsia="仿宋_GB2312"/>
                <w:sz w:val="24"/>
              </w:rPr>
              <w:t>投标人</w:t>
            </w:r>
            <w:r>
              <w:rPr>
                <w:rFonts w:ascii="仿宋_GB2312" w:hAnsi="仿宋_GB2312" w:cs="仿宋_GB2312" w:eastAsia="仿宋_GB2312"/>
                <w:sz w:val="24"/>
              </w:rPr>
              <w:t>申告，</w:t>
            </w:r>
            <w:r>
              <w:rPr>
                <w:rFonts w:ascii="仿宋_GB2312" w:hAnsi="仿宋_GB2312" w:cs="仿宋_GB2312" w:eastAsia="仿宋_GB2312"/>
                <w:sz w:val="24"/>
              </w:rPr>
              <w:t>投标人</w:t>
            </w:r>
            <w:r>
              <w:rPr>
                <w:rFonts w:ascii="仿宋_GB2312" w:hAnsi="仿宋_GB2312" w:cs="仿宋_GB2312" w:eastAsia="仿宋_GB2312"/>
                <w:sz w:val="24"/>
              </w:rPr>
              <w:t>负责故障的全程处理，应建立</w:t>
            </w:r>
            <w:r>
              <w:rPr>
                <w:rFonts w:ascii="仿宋_GB2312" w:hAnsi="仿宋_GB2312" w:cs="仿宋_GB2312" w:eastAsia="仿宋_GB2312"/>
                <w:sz w:val="24"/>
              </w:rPr>
              <w:t>“首问负责制”。</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部署完成时间：合同签订之日起</w:t>
            </w:r>
            <w:r>
              <w:rPr>
                <w:rFonts w:ascii="仿宋_GB2312" w:hAnsi="仿宋_GB2312" w:cs="仿宋_GB2312" w:eastAsia="仿宋_GB2312"/>
                <w:sz w:val="24"/>
              </w:rPr>
              <w:t>15天内完成。</w:t>
            </w:r>
          </w:p>
          <w:p>
            <w:pPr>
              <w:pStyle w:val="null3"/>
              <w:jc w:val="both"/>
            </w:pPr>
            <w:r>
              <w:rPr>
                <w:rFonts w:ascii="仿宋_GB2312" w:hAnsi="仿宋_GB2312" w:cs="仿宋_GB2312" w:eastAsia="仿宋_GB2312"/>
                <w:sz w:val="24"/>
                <w:b/>
              </w:rPr>
              <w:t>3、</w:t>
            </w:r>
            <w:r>
              <w:rPr>
                <w:rFonts w:ascii="仿宋_GB2312" w:hAnsi="仿宋_GB2312" w:cs="仿宋_GB2312" w:eastAsia="仿宋_GB2312"/>
                <w:sz w:val="24"/>
                <w:b/>
              </w:rPr>
              <w:t>三级等保测评服务</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自提供被测系统的备案证明之日起，</w:t>
            </w:r>
            <w:r>
              <w:rPr>
                <w:rFonts w:ascii="仿宋_GB2312" w:hAnsi="仿宋_GB2312" w:cs="仿宋_GB2312" w:eastAsia="仿宋_GB2312"/>
                <w:sz w:val="24"/>
              </w:rPr>
              <w:t>65个工作日内，</w:t>
            </w:r>
            <w:r>
              <w:rPr>
                <w:rFonts w:ascii="仿宋_GB2312" w:hAnsi="仿宋_GB2312" w:cs="仿宋_GB2312" w:eastAsia="仿宋_GB2312"/>
                <w:sz w:val="24"/>
              </w:rPr>
              <w:t>投标人</w:t>
            </w:r>
            <w:r>
              <w:rPr>
                <w:rFonts w:ascii="仿宋_GB2312" w:hAnsi="仿宋_GB2312" w:cs="仿宋_GB2312" w:eastAsia="仿宋_GB2312"/>
                <w:sz w:val="24"/>
              </w:rPr>
              <w:t>提供并组织安排</w:t>
            </w:r>
            <w:r>
              <w:rPr>
                <w:rFonts w:ascii="仿宋_GB2312" w:hAnsi="仿宋_GB2312" w:cs="仿宋_GB2312" w:eastAsia="仿宋_GB2312"/>
                <w:sz w:val="24"/>
              </w:rPr>
              <w:t>具有公安部第三研究所签发有效期内的《网络安全等级测评与检测评估机构服务认证证书》检测机构</w:t>
            </w:r>
            <w:r>
              <w:rPr>
                <w:rFonts w:ascii="仿宋_GB2312" w:hAnsi="仿宋_GB2312" w:cs="仿宋_GB2312" w:eastAsia="仿宋_GB2312"/>
                <w:sz w:val="24"/>
              </w:rPr>
              <w:t>完成网络安全等级保护测评工作，出具《测评报告》，完成公安备案</w:t>
            </w:r>
            <w:r>
              <w:rPr>
                <w:rFonts w:ascii="仿宋_GB2312" w:hAnsi="仿宋_GB2312" w:cs="仿宋_GB2312" w:eastAsia="仿宋_GB2312"/>
                <w:sz w:val="24"/>
              </w:rPr>
              <w:t>，</w:t>
            </w:r>
            <w:r>
              <w:rPr>
                <w:rFonts w:ascii="仿宋_GB2312" w:hAnsi="仿宋_GB2312" w:cs="仿宋_GB2312" w:eastAsia="仿宋_GB2312"/>
                <w:sz w:val="24"/>
              </w:rPr>
              <w:t>三级等保测评通过，并完成备案作为最终交付依据</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服务频次：每年一次</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4、保密要求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投标人要严格按照《中华人民共和国保守国家秘密法》、《中华人民共和国保守国家秘密法实施条例》及《中共中央保密委员会办公室、国家保密局关于国家秘密载体保密管理的规定》等相关要求，确定项目保密责任人，管理、监督、落实项目保密工作。</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投标人在履行服务过程中所获得或接触到的任何与本合同项下有关的所有资料及信息，均被视为保密内容，未经采购人同意，投标人不得以任何方式泄露给第三方或作其它任何形式的使用，由此造成的法律后果和赔偿责任由投标人全部承担。不管本项目合同因何种原因终止，本条款仍有效。</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3）投标人应对本项目服务团队的保密义务承担连带责任。</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其他要求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本项目中若属于《网络关键设备和网络安全专用产品目录》中产品的，投标人须承诺其投标（响应）产品符合要求，并在中标后合同签订时向采购人提供《承担网络关键设备和网络安全专用产品安全认证和安全检测任务机构名录（第一批）》中的机构颁发的认证证书、测试通过的检测报告。</w:t>
            </w:r>
            <w:r>
              <w:rPr>
                <w:rFonts w:ascii="仿宋_GB2312" w:hAnsi="仿宋_GB2312" w:cs="仿宋_GB2312" w:eastAsia="仿宋_GB2312"/>
                <w:sz w:val="24"/>
              </w:rPr>
              <w:t>（提供承诺函，格式自拟，并加盖投标人电子章）</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服务团队要求：投标人需根据项目服务</w:t>
            </w:r>
            <w:r>
              <w:rPr>
                <w:rFonts w:ascii="仿宋_GB2312" w:hAnsi="仿宋_GB2312" w:cs="仿宋_GB2312" w:eastAsia="仿宋_GB2312"/>
                <w:sz w:val="24"/>
              </w:rPr>
              <w:t>内容</w:t>
            </w:r>
            <w:r>
              <w:rPr>
                <w:rFonts w:ascii="仿宋_GB2312" w:hAnsi="仿宋_GB2312" w:cs="仿宋_GB2312" w:eastAsia="仿宋_GB2312"/>
                <w:sz w:val="24"/>
              </w:rPr>
              <w:t>拟配备服务人员，拟派的人员数量和资质条件须与服务内容相匹配，确保服务响应及时，以满足采购人需要</w:t>
            </w:r>
            <w:r>
              <w:rPr>
                <w:rFonts w:ascii="仿宋_GB2312" w:hAnsi="仿宋_GB2312" w:cs="仿宋_GB2312" w:eastAsia="仿宋_GB2312"/>
                <w:sz w:val="24"/>
              </w:rPr>
              <w:t>。</w:t>
            </w:r>
          </w:p>
          <w:p>
            <w:pPr>
              <w:pStyle w:val="null3"/>
              <w:jc w:val="left"/>
            </w:pP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商务要求</w:t>
            </w:r>
          </w:p>
        </w:tc>
        <w:tc>
          <w:tcPr>
            <w:tcW w:type="dxa" w:w="5814"/>
          </w:tcPr>
          <w:p>
            <w:pPr>
              <w:pStyle w:val="null3"/>
              <w:ind w:firstLine="472"/>
              <w:jc w:val="both"/>
            </w:pPr>
            <w:r>
              <w:rPr>
                <w:rFonts w:ascii="仿宋_GB2312" w:hAnsi="仿宋_GB2312" w:cs="仿宋_GB2312" w:eastAsia="仿宋_GB2312"/>
                <w:sz w:val="24"/>
                <w:b/>
              </w:rPr>
              <w:t>（因系统固定模块录入限制原因，本项目</w:t>
            </w:r>
            <w:r>
              <w:rPr>
                <w:rFonts w:ascii="仿宋_GB2312" w:hAnsi="仿宋_GB2312" w:cs="仿宋_GB2312" w:eastAsia="仿宋_GB2312"/>
                <w:sz w:val="24"/>
                <w:b/>
              </w:rPr>
              <w:t>“商务要求”以此部分为准，采购文件系统模块“3.3.2. 商务要求”及系统其他模块中对应内容不作为本项目的评审依据，且不视为前后不一致或矛盾，投标人响应本项目“商务要求”时，应当根据本部分内容进行响应，未根据本部分内容响应的作无效投标处理。）</w:t>
            </w:r>
          </w:p>
          <w:p>
            <w:pPr>
              <w:pStyle w:val="null3"/>
              <w:ind w:firstLine="472"/>
              <w:jc w:val="both"/>
            </w:pPr>
            <w:r>
              <w:rPr>
                <w:rFonts w:ascii="仿宋_GB2312" w:hAnsi="仿宋_GB2312" w:cs="仿宋_GB2312" w:eastAsia="仿宋_GB2312"/>
                <w:sz w:val="24"/>
              </w:rPr>
              <w:t>1、服务期限：合同签订生效之日起1年。</w:t>
            </w:r>
          </w:p>
          <w:p>
            <w:pPr>
              <w:pStyle w:val="null3"/>
              <w:ind w:firstLine="472"/>
              <w:jc w:val="both"/>
            </w:pPr>
            <w:r>
              <w:rPr>
                <w:rFonts w:ascii="仿宋_GB2312" w:hAnsi="仿宋_GB2312" w:cs="仿宋_GB2312" w:eastAsia="仿宋_GB2312"/>
                <w:sz w:val="24"/>
              </w:rPr>
              <w:t>2、服务地点：成都市双流区西航港社区卫生服务中心（</w:t>
            </w:r>
            <w:r>
              <w:rPr>
                <w:rFonts w:ascii="仿宋_GB2312" w:hAnsi="仿宋_GB2312" w:cs="仿宋_GB2312" w:eastAsia="仿宋_GB2312"/>
                <w:sz w:val="24"/>
              </w:rPr>
              <w:t>采购人指定地点</w:t>
            </w:r>
            <w:r>
              <w:rPr>
                <w:rFonts w:ascii="仿宋_GB2312" w:hAnsi="仿宋_GB2312" w:cs="仿宋_GB2312" w:eastAsia="仿宋_GB2312"/>
                <w:sz w:val="24"/>
              </w:rPr>
              <w:t>）</w:t>
            </w:r>
            <w:r>
              <w:rPr>
                <w:rFonts w:ascii="仿宋_GB2312" w:hAnsi="仿宋_GB2312" w:cs="仿宋_GB2312" w:eastAsia="仿宋_GB2312"/>
                <w:sz w:val="24"/>
              </w:rPr>
              <w:t>。</w:t>
            </w:r>
          </w:p>
          <w:p>
            <w:pPr>
              <w:pStyle w:val="null3"/>
              <w:ind w:firstLine="472"/>
              <w:jc w:val="both"/>
            </w:pPr>
            <w:r>
              <w:rPr>
                <w:rFonts w:ascii="仿宋_GB2312" w:hAnsi="仿宋_GB2312" w:cs="仿宋_GB2312" w:eastAsia="仿宋_GB2312"/>
                <w:sz w:val="24"/>
              </w:rPr>
              <w:t>3、年度服务考核表：</w:t>
            </w:r>
          </w:p>
          <w:p>
            <w:pPr>
              <w:pStyle w:val="null3"/>
              <w:ind w:firstLine="472"/>
              <w:jc w:val="both"/>
            </w:pPr>
            <w:r>
              <w:rPr>
                <w:rFonts w:ascii="仿宋_GB2312" w:hAnsi="仿宋_GB2312" w:cs="仿宋_GB2312" w:eastAsia="仿宋_GB2312"/>
                <w:sz w:val="24"/>
              </w:rPr>
              <w:t>年度考核，本年度考核总得分低于</w:t>
            </w:r>
            <w:r>
              <w:rPr>
                <w:rFonts w:ascii="仿宋_GB2312" w:hAnsi="仿宋_GB2312" w:cs="仿宋_GB2312" w:eastAsia="仿宋_GB2312"/>
                <w:sz w:val="24"/>
              </w:rPr>
              <w:t>70分，采购人有权终止与中标人合作，且采购人不构成违约。</w:t>
            </w:r>
          </w:p>
          <w:tbl>
            <w:tblPr>
              <w:tblBorders>
                <w:top w:val="none" w:color="000000" w:sz="4"/>
                <w:left w:val="none" w:color="000000" w:sz="4"/>
                <w:bottom w:val="none" w:color="000000" w:sz="4"/>
                <w:right w:val="none" w:color="000000" w:sz="4"/>
                <w:insideH w:val="none"/>
                <w:insideV w:val="none"/>
              </w:tblBorders>
            </w:tblPr>
            <w:tblGrid>
              <w:gridCol w:w="308"/>
              <w:gridCol w:w="409"/>
              <w:gridCol w:w="409"/>
              <w:gridCol w:w="1490"/>
              <w:gridCol w:w="2353"/>
              <w:gridCol w:w="315"/>
              <w:gridCol w:w="314"/>
            </w:tblGrid>
            <w:tr>
              <w:tc>
                <w:tcPr>
                  <w:tcW w:type="dxa" w:w="3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81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评价项目</w:t>
                  </w:r>
                </w:p>
              </w:tc>
              <w:tc>
                <w:tcPr>
                  <w:tcW w:type="dxa" w:w="14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评价内容</w:t>
                  </w:r>
                </w:p>
              </w:tc>
              <w:tc>
                <w:tcPr>
                  <w:tcW w:type="dxa" w:w="23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考评办法</w:t>
                  </w:r>
                </w:p>
              </w:tc>
              <w:tc>
                <w:tcPr>
                  <w:tcW w:type="dxa" w:w="3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权重</w:t>
                  </w:r>
                </w:p>
              </w:tc>
              <w:tc>
                <w:tcPr>
                  <w:tcW w:type="dxa" w:w="3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得分</w:t>
                  </w: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81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安全培训服务能力及质量保证</w:t>
                  </w:r>
                </w:p>
              </w:tc>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具备线上线下服务能力，提供端到端全过程安全培训服务。</w:t>
                  </w:r>
                </w:p>
              </w:tc>
              <w:tc>
                <w:tcPr>
                  <w:tcW w:type="dxa" w:w="2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1、未按采购人要求提供完整安全培训服务，扣5分。2、采购人对培训课程和培训效果不满意，扣5分。</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10分</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81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一站式服务能力</w:t>
                  </w:r>
                </w:p>
              </w:tc>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提供网络及云业务咨询、受理、</w:t>
                  </w:r>
                  <w:r>
                    <w:rPr>
                      <w:rFonts w:ascii="仿宋_GB2312" w:hAnsi="仿宋_GB2312" w:cs="仿宋_GB2312" w:eastAsia="仿宋_GB2312"/>
                      <w:sz w:val="24"/>
                    </w:rPr>
                    <w:t>7*24小时故障申告、计费结算、云服务相关技术支持。</w:t>
                  </w:r>
                </w:p>
              </w:tc>
              <w:tc>
                <w:tcPr>
                  <w:tcW w:type="dxa" w:w="2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1、遇到咨询、业务受理、故障申告，未形成一站式服务，每次扣5分；扣完为止。</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10分</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81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服务质量保证</w:t>
                  </w:r>
                </w:p>
              </w:tc>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支持</w:t>
                  </w:r>
                  <w:r>
                    <w:rPr>
                      <w:rFonts w:ascii="仿宋_GB2312" w:hAnsi="仿宋_GB2312" w:cs="仿宋_GB2312" w:eastAsia="仿宋_GB2312"/>
                      <w:sz w:val="24"/>
                    </w:rPr>
                    <w:t>24小时×365天质量保证，保障服务连续性。</w:t>
                  </w:r>
                </w:p>
              </w:tc>
              <w:tc>
                <w:tcPr>
                  <w:tcW w:type="dxa" w:w="2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1、采购人在服务期内随机抽查个不同时段（含夜间、节假日）的服务响应情况，无法提供有效响应的，每次扣3分；扣完为止。</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15分</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81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故障响应与恢复时效</w:t>
                  </w:r>
                </w:p>
              </w:tc>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故障响应时间小于</w:t>
                  </w:r>
                  <w:r>
                    <w:rPr>
                      <w:rFonts w:ascii="仿宋_GB2312" w:hAnsi="仿宋_GB2312" w:cs="仿宋_GB2312" w:eastAsia="仿宋_GB2312"/>
                      <w:sz w:val="24"/>
                    </w:rPr>
                    <w:t>30分钟，故障恢复时间一般小于24小时，个别特殊情况最长不超过72小时。</w:t>
                  </w:r>
                </w:p>
              </w:tc>
              <w:tc>
                <w:tcPr>
                  <w:tcW w:type="dxa" w:w="2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1、故障响应时间每超10分钟扣2分，</w:t>
                  </w:r>
                </w:p>
                <w:p>
                  <w:pPr>
                    <w:pStyle w:val="null3"/>
                    <w:jc w:val="left"/>
                  </w:pPr>
                  <w:r>
                    <w:rPr>
                      <w:rFonts w:ascii="仿宋_GB2312" w:hAnsi="仿宋_GB2312" w:cs="仿宋_GB2312" w:eastAsia="仿宋_GB2312"/>
                      <w:sz w:val="24"/>
                    </w:rPr>
                    <w:t>恢复时间每超</w:t>
                  </w:r>
                  <w:r>
                    <w:rPr>
                      <w:rFonts w:ascii="仿宋_GB2312" w:hAnsi="仿宋_GB2312" w:cs="仿宋_GB2312" w:eastAsia="仿宋_GB2312"/>
                      <w:sz w:val="24"/>
                    </w:rPr>
                    <w:t>12小时扣3分，</w:t>
                  </w:r>
                </w:p>
                <w:p>
                  <w:pPr>
                    <w:pStyle w:val="null3"/>
                    <w:jc w:val="left"/>
                  </w:pPr>
                  <w:r>
                    <w:rPr>
                      <w:rFonts w:ascii="仿宋_GB2312" w:hAnsi="仿宋_GB2312" w:cs="仿宋_GB2312" w:eastAsia="仿宋_GB2312"/>
                      <w:sz w:val="24"/>
                    </w:rPr>
                    <w:t>特殊情况超</w:t>
                  </w:r>
                  <w:r>
                    <w:rPr>
                      <w:rFonts w:ascii="仿宋_GB2312" w:hAnsi="仿宋_GB2312" w:cs="仿宋_GB2312" w:eastAsia="仿宋_GB2312"/>
                      <w:sz w:val="24"/>
                    </w:rPr>
                    <w:t>72小时未恢复的，每次扣10分，扣完为止。</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15分</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81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云安全服务可用性</w:t>
                  </w:r>
                </w:p>
              </w:tc>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云安全产品全年</w:t>
                  </w:r>
                  <w:r>
                    <w:rPr>
                      <w:rFonts w:ascii="仿宋_GB2312" w:hAnsi="仿宋_GB2312" w:cs="仿宋_GB2312" w:eastAsia="仿宋_GB2312"/>
                      <w:sz w:val="24"/>
                    </w:rPr>
                    <w:t>7X24小时在线且正常工作</w:t>
                  </w:r>
                </w:p>
              </w:tc>
              <w:tc>
                <w:tcPr>
                  <w:tcW w:type="dxa" w:w="2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rPr>
                    <w:t>云安全产品出现计划外中断，一次扣</w:t>
                  </w:r>
                  <w:r>
                    <w:rPr>
                      <w:rFonts w:ascii="仿宋_GB2312" w:hAnsi="仿宋_GB2312" w:cs="仿宋_GB2312" w:eastAsia="仿宋_GB2312"/>
                      <w:sz w:val="24"/>
                    </w:rPr>
                    <w:t>3分。扣完为止。</w:t>
                  </w:r>
                </w:p>
                <w:p>
                  <w:pPr>
                    <w:pStyle w:val="null3"/>
                    <w:numPr>
                      <w:ilvl w:val="0"/>
                      <w:numId w:val="1"/>
                    </w:numPr>
                    <w:jc w:val="left"/>
                  </w:pPr>
                  <w:r>
                    <w:rPr>
                      <w:rFonts w:ascii="仿宋_GB2312" w:hAnsi="仿宋_GB2312" w:cs="仿宋_GB2312" w:eastAsia="仿宋_GB2312"/>
                      <w:sz w:val="24"/>
                    </w:rPr>
                    <w:t>云安全产品中断后恢复时长超过</w:t>
                  </w:r>
                  <w:r>
                    <w:rPr>
                      <w:rFonts w:ascii="仿宋_GB2312" w:hAnsi="仿宋_GB2312" w:cs="仿宋_GB2312" w:eastAsia="仿宋_GB2312"/>
                      <w:sz w:val="24"/>
                    </w:rPr>
                    <w:t>30分钟，一次扣3分（中断未恢复按时长累计扣分）。扣完为止。</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20分</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81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等保测评服务落实情况</w:t>
                  </w:r>
                </w:p>
              </w:tc>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自提供被测系统的备案证明之日起，</w:t>
                  </w:r>
                  <w:r>
                    <w:rPr>
                      <w:rFonts w:ascii="仿宋_GB2312" w:hAnsi="仿宋_GB2312" w:cs="仿宋_GB2312" w:eastAsia="仿宋_GB2312"/>
                      <w:sz w:val="24"/>
                    </w:rPr>
                    <w:t>65个工作日内，提供并组织安排</w:t>
                  </w:r>
                  <w:r>
                    <w:rPr>
                      <w:rFonts w:ascii="仿宋_GB2312" w:hAnsi="仿宋_GB2312" w:cs="仿宋_GB2312" w:eastAsia="仿宋_GB2312"/>
                      <w:sz w:val="24"/>
                    </w:rPr>
                    <w:t>，</w:t>
                  </w:r>
                  <w:r>
                    <w:rPr>
                      <w:rFonts w:ascii="仿宋_GB2312" w:hAnsi="仿宋_GB2312" w:cs="仿宋_GB2312" w:eastAsia="仿宋_GB2312"/>
                      <w:sz w:val="24"/>
                    </w:rPr>
                    <w:t>网络安全等级保护测评工作</w:t>
                  </w:r>
                  <w:r>
                    <w:rPr>
                      <w:rFonts w:ascii="仿宋_GB2312" w:hAnsi="仿宋_GB2312" w:cs="仿宋_GB2312" w:eastAsia="仿宋_GB2312"/>
                      <w:sz w:val="24"/>
                    </w:rPr>
                    <w:t>，每年一次。</w:t>
                  </w:r>
                </w:p>
              </w:tc>
              <w:tc>
                <w:tcPr>
                  <w:tcW w:type="dxa" w:w="2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1、未及时组织安排，导致测评工作延后扣5分；</w:t>
                  </w:r>
                </w:p>
                <w:p>
                  <w:pPr>
                    <w:pStyle w:val="null3"/>
                    <w:jc w:val="left"/>
                  </w:pPr>
                  <w:r>
                    <w:rPr>
                      <w:rFonts w:ascii="仿宋_GB2312" w:hAnsi="仿宋_GB2312" w:cs="仿宋_GB2312" w:eastAsia="仿宋_GB2312"/>
                      <w:sz w:val="24"/>
                    </w:rPr>
                    <w:t>2、未按约定频次提供服务扣5分。</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10分</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81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保密协议执行情况</w:t>
                  </w:r>
                </w:p>
              </w:tc>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维护人员严格按照保密协议条款执行。</w:t>
                  </w:r>
                </w:p>
              </w:tc>
              <w:tc>
                <w:tcPr>
                  <w:tcW w:type="dxa" w:w="2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发现未按保密规程操作，一次扣</w:t>
                  </w:r>
                  <w:r>
                    <w:rPr>
                      <w:rFonts w:ascii="仿宋_GB2312" w:hAnsi="仿宋_GB2312" w:cs="仿宋_GB2312" w:eastAsia="仿宋_GB2312"/>
                      <w:sz w:val="24"/>
                    </w:rPr>
                    <w:t>10分。</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10分</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81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服务态度</w:t>
                  </w:r>
                </w:p>
              </w:tc>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服务耐心，态度良好。</w:t>
                  </w:r>
                </w:p>
              </w:tc>
              <w:tc>
                <w:tcPr>
                  <w:tcW w:type="dxa" w:w="2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1、单位人员投诉服务态度不佳（经核实确认的），一次扣5分。</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10分</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12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考核得分</w:t>
                  </w:r>
                </w:p>
              </w:tc>
              <w:tc>
                <w:tcPr>
                  <w:tcW w:type="dxa" w:w="447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71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8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考核意见：</w:t>
                  </w:r>
                </w:p>
                <w:p>
                  <w:pPr>
                    <w:pStyle w:val="null3"/>
                    <w:jc w:val="left"/>
                  </w:pPr>
                  <w:r>
                    <w:rPr>
                      <w:rFonts w:ascii="仿宋_GB2312" w:hAnsi="仿宋_GB2312" w:cs="仿宋_GB2312" w:eastAsia="仿宋_GB2312"/>
                      <w:sz w:val="24"/>
                    </w:rPr>
                    <w:t>考核人员（签字）</w:t>
                  </w:r>
                  <w:r>
                    <w:rPr>
                      <w:rFonts w:ascii="仿宋_GB2312" w:hAnsi="仿宋_GB2312" w:cs="仿宋_GB2312" w:eastAsia="仿宋_GB2312"/>
                      <w:sz w:val="24"/>
                    </w:rPr>
                    <w:t xml:space="preserve">:                                                       年    月     日                       </w:t>
                  </w:r>
                </w:p>
              </w:tc>
            </w:tr>
            <w:tr>
              <w:tc>
                <w:tcPr>
                  <w:tcW w:type="dxa" w:w="71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88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备注：</w:t>
                  </w:r>
                </w:p>
              </w:tc>
            </w:tr>
          </w:tbl>
          <w:p>
            <w:pPr>
              <w:pStyle w:val="null3"/>
              <w:ind w:firstLine="472"/>
              <w:jc w:val="both"/>
            </w:pPr>
            <w:r>
              <w:rPr>
                <w:rFonts w:ascii="仿宋_GB2312" w:hAnsi="仿宋_GB2312" w:cs="仿宋_GB2312" w:eastAsia="仿宋_GB2312"/>
                <w:sz w:val="24"/>
              </w:rPr>
              <w:t>3、付款方式：</w:t>
            </w:r>
          </w:p>
          <w:p>
            <w:pPr>
              <w:pStyle w:val="null3"/>
              <w:ind w:firstLine="472"/>
              <w:jc w:val="both"/>
            </w:pPr>
            <w:r>
              <w:rPr>
                <w:rFonts w:ascii="仿宋_GB2312" w:hAnsi="仿宋_GB2312" w:cs="仿宋_GB2312" w:eastAsia="仿宋_GB2312"/>
                <w:sz w:val="24"/>
              </w:rPr>
              <w:t>3.1合同签订并收到中标人提供等额真实有效合法发票或票据后10个工作日内支付合同金额的40%作为预付款。</w:t>
            </w:r>
          </w:p>
          <w:p>
            <w:pPr>
              <w:pStyle w:val="null3"/>
              <w:ind w:firstLine="472"/>
              <w:jc w:val="both"/>
            </w:pPr>
            <w:r>
              <w:rPr>
                <w:rFonts w:ascii="仿宋_GB2312" w:hAnsi="仿宋_GB2312" w:cs="仿宋_GB2312" w:eastAsia="仿宋_GB2312"/>
                <w:sz w:val="24"/>
              </w:rPr>
              <w:t>3.2</w:t>
            </w:r>
            <w:r>
              <w:rPr>
                <w:rFonts w:ascii="仿宋_GB2312" w:hAnsi="仿宋_GB2312" w:cs="仿宋_GB2312" w:eastAsia="仿宋_GB2312"/>
                <w:sz w:val="24"/>
              </w:rPr>
              <w:t>待系统交付、完成并通过验收后，采购人在收到中标人出具的合法有效等额增值税</w:t>
            </w:r>
            <w:r>
              <w:rPr>
                <w:rFonts w:ascii="仿宋_GB2312" w:hAnsi="仿宋_GB2312" w:cs="仿宋_GB2312" w:eastAsia="仿宋_GB2312"/>
                <w:sz w:val="24"/>
              </w:rPr>
              <w:t>发票或票据</w:t>
            </w:r>
            <w:r>
              <w:rPr>
                <w:rFonts w:ascii="仿宋_GB2312" w:hAnsi="仿宋_GB2312" w:cs="仿宋_GB2312" w:eastAsia="仿宋_GB2312"/>
                <w:sz w:val="24"/>
              </w:rPr>
              <w:t>后</w:t>
            </w:r>
            <w:r>
              <w:rPr>
                <w:rFonts w:ascii="仿宋_GB2312" w:hAnsi="仿宋_GB2312" w:cs="仿宋_GB2312" w:eastAsia="仿宋_GB2312"/>
                <w:sz w:val="24"/>
              </w:rPr>
              <w:t>10个工作日内支付合同金额的</w:t>
            </w:r>
            <w:r>
              <w:rPr>
                <w:rFonts w:ascii="仿宋_GB2312" w:hAnsi="仿宋_GB2312" w:cs="仿宋_GB2312" w:eastAsia="仿宋_GB2312"/>
                <w:sz w:val="24"/>
              </w:rPr>
              <w:t>5</w:t>
            </w:r>
            <w:r>
              <w:rPr>
                <w:rFonts w:ascii="仿宋_GB2312" w:hAnsi="仿宋_GB2312" w:cs="仿宋_GB2312" w:eastAsia="仿宋_GB2312"/>
                <w:sz w:val="24"/>
              </w:rPr>
              <w:t>0%</w:t>
            </w:r>
            <w:r>
              <w:rPr>
                <w:rFonts w:ascii="仿宋_GB2312" w:hAnsi="仿宋_GB2312" w:cs="仿宋_GB2312" w:eastAsia="仿宋_GB2312"/>
                <w:sz w:val="24"/>
              </w:rPr>
              <w:t>。</w:t>
            </w:r>
          </w:p>
          <w:p>
            <w:pPr>
              <w:pStyle w:val="null3"/>
              <w:ind w:firstLine="472"/>
              <w:jc w:val="both"/>
            </w:pPr>
            <w:r>
              <w:rPr>
                <w:rFonts w:ascii="仿宋_GB2312" w:hAnsi="仿宋_GB2312" w:cs="仿宋_GB2312" w:eastAsia="仿宋_GB2312"/>
                <w:sz w:val="24"/>
              </w:rPr>
              <w:t>3.3等保测评工作完成，提交《等保测评报告》并通过测评后</w:t>
            </w:r>
            <w:r>
              <w:rPr>
                <w:rFonts w:ascii="仿宋_GB2312" w:hAnsi="仿宋_GB2312" w:cs="仿宋_GB2312" w:eastAsia="仿宋_GB2312"/>
                <w:sz w:val="24"/>
              </w:rPr>
              <w:t>，采购人在收到中标人出具的合法有效等额增值税</w:t>
            </w:r>
            <w:r>
              <w:rPr>
                <w:rFonts w:ascii="仿宋_GB2312" w:hAnsi="仿宋_GB2312" w:cs="仿宋_GB2312" w:eastAsia="仿宋_GB2312"/>
                <w:sz w:val="24"/>
              </w:rPr>
              <w:t>发票或票据</w:t>
            </w:r>
            <w:r>
              <w:rPr>
                <w:rFonts w:ascii="仿宋_GB2312" w:hAnsi="仿宋_GB2312" w:cs="仿宋_GB2312" w:eastAsia="仿宋_GB2312"/>
                <w:sz w:val="24"/>
              </w:rPr>
              <w:t>后</w:t>
            </w:r>
            <w:r>
              <w:rPr>
                <w:rFonts w:ascii="仿宋_GB2312" w:hAnsi="仿宋_GB2312" w:cs="仿宋_GB2312" w:eastAsia="仿宋_GB2312"/>
                <w:sz w:val="24"/>
              </w:rPr>
              <w:t>10个工作日内支付合同金额的</w:t>
            </w: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w:t>
            </w:r>
          </w:p>
          <w:p>
            <w:pPr>
              <w:pStyle w:val="null3"/>
              <w:ind w:firstLine="472"/>
              <w:jc w:val="both"/>
            </w:pPr>
            <w:r>
              <w:rPr>
                <w:rFonts w:ascii="仿宋_GB2312" w:hAnsi="仿宋_GB2312" w:cs="仿宋_GB2312" w:eastAsia="仿宋_GB2312"/>
                <w:sz w:val="24"/>
              </w:rPr>
              <w:t>3.4支付前提：中标人须提供等额的发票或票据，如因中标人未按要求提供的，采购人有权拒绝支付款项并不承担违约责任。</w:t>
            </w:r>
          </w:p>
          <w:p>
            <w:pPr>
              <w:pStyle w:val="null3"/>
              <w:ind w:firstLine="472"/>
              <w:jc w:val="both"/>
            </w:pPr>
            <w:r>
              <w:rPr>
                <w:rFonts w:ascii="仿宋_GB2312" w:hAnsi="仿宋_GB2312" w:cs="仿宋_GB2312" w:eastAsia="仿宋_GB2312"/>
                <w:sz w:val="24"/>
              </w:rPr>
              <w:t>4、履约验收：</w:t>
            </w:r>
          </w:p>
          <w:p>
            <w:pPr>
              <w:pStyle w:val="null3"/>
              <w:ind w:firstLine="472"/>
              <w:jc w:val="both"/>
            </w:pPr>
            <w:r>
              <w:rPr>
                <w:rFonts w:ascii="仿宋_GB2312" w:hAnsi="仿宋_GB2312" w:cs="仿宋_GB2312" w:eastAsia="仿宋_GB2312"/>
                <w:sz w:val="24"/>
              </w:rPr>
              <w:t>①履约验收主体：成都市双流区西航港社区卫生服务中心</w:t>
            </w:r>
          </w:p>
          <w:p>
            <w:pPr>
              <w:pStyle w:val="null3"/>
              <w:ind w:firstLine="472"/>
              <w:jc w:val="both"/>
            </w:pPr>
            <w:r>
              <w:rPr>
                <w:rFonts w:ascii="仿宋_GB2312" w:hAnsi="仿宋_GB2312" w:cs="仿宋_GB2312" w:eastAsia="仿宋_GB2312"/>
                <w:sz w:val="24"/>
              </w:rPr>
              <w:t>②履约验收时间：</w:t>
            </w:r>
            <w:r>
              <w:rPr>
                <w:rFonts w:ascii="仿宋_GB2312" w:hAnsi="仿宋_GB2312" w:cs="仿宋_GB2312" w:eastAsia="仿宋_GB2312"/>
                <w:sz w:val="24"/>
              </w:rPr>
              <w:t>投标人提出验收申请之日起</w:t>
            </w:r>
            <w:r>
              <w:rPr>
                <w:rFonts w:ascii="仿宋_GB2312" w:hAnsi="仿宋_GB2312" w:cs="仿宋_GB2312" w:eastAsia="仿宋_GB2312"/>
                <w:sz w:val="24"/>
              </w:rPr>
              <w:t>10日内组织验收</w:t>
            </w:r>
          </w:p>
          <w:p>
            <w:pPr>
              <w:pStyle w:val="null3"/>
              <w:ind w:firstLine="472"/>
              <w:jc w:val="both"/>
            </w:pPr>
            <w:r>
              <w:rPr>
                <w:rFonts w:ascii="仿宋_GB2312" w:hAnsi="仿宋_GB2312" w:cs="仿宋_GB2312" w:eastAsia="仿宋_GB2312"/>
                <w:sz w:val="24"/>
              </w:rPr>
              <w:t>③验收组织方式：自行验收</w:t>
            </w:r>
          </w:p>
          <w:p>
            <w:pPr>
              <w:pStyle w:val="null3"/>
              <w:ind w:firstLine="472"/>
              <w:jc w:val="both"/>
            </w:pPr>
            <w:r>
              <w:rPr>
                <w:rFonts w:ascii="仿宋_GB2312" w:hAnsi="仿宋_GB2312" w:cs="仿宋_GB2312" w:eastAsia="仿宋_GB2312"/>
                <w:sz w:val="24"/>
              </w:rPr>
              <w:t>④履约验收程序：</w:t>
            </w:r>
            <w:r>
              <w:rPr>
                <w:rFonts w:ascii="仿宋_GB2312" w:hAnsi="仿宋_GB2312" w:cs="仿宋_GB2312" w:eastAsia="仿宋_GB2312"/>
                <w:sz w:val="24"/>
              </w:rPr>
              <w:t>分期</w:t>
            </w:r>
            <w:r>
              <w:rPr>
                <w:rFonts w:ascii="仿宋_GB2312" w:hAnsi="仿宋_GB2312" w:cs="仿宋_GB2312" w:eastAsia="仿宋_GB2312"/>
                <w:sz w:val="24"/>
              </w:rPr>
              <w:t>/分段</w:t>
            </w:r>
            <w:r>
              <w:rPr>
                <w:rFonts w:ascii="仿宋_GB2312" w:hAnsi="仿宋_GB2312" w:cs="仿宋_GB2312" w:eastAsia="仿宋_GB2312"/>
                <w:sz w:val="24"/>
              </w:rPr>
              <w:t>验收</w:t>
            </w:r>
          </w:p>
          <w:p>
            <w:pPr>
              <w:pStyle w:val="null3"/>
              <w:ind w:firstLine="472"/>
              <w:jc w:val="both"/>
            </w:pPr>
            <w:r>
              <w:rPr>
                <w:rFonts w:ascii="仿宋_GB2312" w:hAnsi="仿宋_GB2312" w:cs="仿宋_GB2312" w:eastAsia="仿宋_GB2312"/>
                <w:sz w:val="24"/>
              </w:rPr>
              <w:t>⑤技术履约验收内容：按照本项目采购文件中“服务内容及要求”及投标文件进行验收。</w:t>
            </w:r>
          </w:p>
          <w:p>
            <w:pPr>
              <w:pStyle w:val="null3"/>
              <w:ind w:firstLine="472"/>
              <w:jc w:val="both"/>
            </w:pPr>
            <w:r>
              <w:rPr>
                <w:rFonts w:ascii="仿宋_GB2312" w:hAnsi="仿宋_GB2312" w:cs="仿宋_GB2312" w:eastAsia="仿宋_GB2312"/>
                <w:sz w:val="24"/>
              </w:rPr>
              <w:t>⑥商务履约验收内容：按照本项目采购文件中“商务要求”及投标文件进行验收。</w:t>
            </w:r>
          </w:p>
          <w:p>
            <w:pPr>
              <w:pStyle w:val="null3"/>
              <w:ind w:firstLine="472"/>
              <w:jc w:val="both"/>
            </w:pPr>
            <w:r>
              <w:rPr>
                <w:rFonts w:ascii="仿宋_GB2312" w:hAnsi="仿宋_GB2312" w:cs="仿宋_GB2312" w:eastAsia="仿宋_GB2312"/>
                <w:sz w:val="24"/>
              </w:rPr>
              <w:t>⑦履约验收标准：本项目采购人将严格按照政府采购相关法律法规以及《财政部关于进一步加强政府采购需求和履约验收管理的指导意见》（财库〔2016〕205号）、参照《成都市市级采购项目履约验收实施细则（试行）》（成财规〔2026〕1号）的要求、按照采购文件的要求以及投标文件进行验收。</w:t>
            </w:r>
          </w:p>
          <w:p>
            <w:pPr>
              <w:pStyle w:val="null3"/>
              <w:ind w:firstLine="472"/>
              <w:jc w:val="both"/>
            </w:pPr>
            <w:r>
              <w:rPr>
                <w:rFonts w:ascii="仿宋_GB2312" w:hAnsi="仿宋_GB2312" w:cs="仿宋_GB2312" w:eastAsia="仿宋_GB2312"/>
                <w:sz w:val="24"/>
              </w:rPr>
              <w:t>⑧</w:t>
            </w:r>
            <w:r>
              <w:rPr>
                <w:rFonts w:ascii="仿宋_GB2312" w:hAnsi="仿宋_GB2312" w:cs="仿宋_GB2312" w:eastAsia="仿宋_GB2312"/>
                <w:sz w:val="24"/>
              </w:rPr>
              <w:t>验收不合格的，采购人书面通知中标人，责令其限期采取措施依法进行整改。整改结束后，采购人重新组织验收。验收仍不合格的，采购人停止支付采购资金，并按照采购合同约定追究供应商违约责任。</w:t>
            </w:r>
          </w:p>
          <w:p>
            <w:pPr>
              <w:pStyle w:val="null3"/>
              <w:ind w:firstLine="472"/>
              <w:jc w:val="both"/>
            </w:pPr>
            <w:r>
              <w:rPr>
                <w:rFonts w:ascii="仿宋_GB2312" w:hAnsi="仿宋_GB2312" w:cs="仿宋_GB2312" w:eastAsia="仿宋_GB2312"/>
                <w:sz w:val="24"/>
              </w:rPr>
              <w:t>5、违约责任</w:t>
            </w:r>
          </w:p>
          <w:p>
            <w:pPr>
              <w:pStyle w:val="null3"/>
              <w:ind w:firstLine="472"/>
              <w:jc w:val="both"/>
            </w:pPr>
            <w:r>
              <w:rPr>
                <w:rFonts w:ascii="仿宋_GB2312" w:hAnsi="仿宋_GB2312" w:cs="仿宋_GB2312" w:eastAsia="仿宋_GB2312"/>
                <w:sz w:val="24"/>
              </w:rPr>
              <w:t>（</w:t>
            </w:r>
            <w:r>
              <w:rPr>
                <w:rFonts w:ascii="仿宋_GB2312" w:hAnsi="仿宋_GB2312" w:cs="仿宋_GB2312" w:eastAsia="仿宋_GB2312"/>
                <w:sz w:val="24"/>
              </w:rPr>
              <w:t>1）除法律规定及本合同约定情形外，采购人与中标人双方不得单方面终止合同，单方面终止合同一方应按照合同总额的20%支付违约金。</w:t>
            </w:r>
          </w:p>
          <w:p>
            <w:pPr>
              <w:pStyle w:val="null3"/>
              <w:ind w:firstLine="472"/>
              <w:jc w:val="both"/>
            </w:pPr>
            <w:r>
              <w:rPr>
                <w:rFonts w:ascii="仿宋_GB2312" w:hAnsi="仿宋_GB2312" w:cs="仿宋_GB2312" w:eastAsia="仿宋_GB2312"/>
                <w:sz w:val="24"/>
              </w:rPr>
              <w:t>（</w:t>
            </w:r>
            <w:r>
              <w:rPr>
                <w:rFonts w:ascii="仿宋_GB2312" w:hAnsi="仿宋_GB2312" w:cs="仿宋_GB2312" w:eastAsia="仿宋_GB2312"/>
                <w:sz w:val="24"/>
              </w:rPr>
              <w:t>2）如因投标人工作人员在履行职务过程中的疏忽、失职、过错等故意或者过失原因给采购人造成损失、侵害或未按时按质完成工作内容(包括但不限于给受损方造成的经济损失、受损方为避免或减少损失支出的合理费用，受损方因此向任何第三方承担的法律责任，以及受损方为维护合法权益支出的诉讼费、保全费、鉴定费、公证费、差旅费、律师费等合理费用），采购人有权向中标人全部追偿。出现上述情况，采购人有权视情况通知中标人终止合同，不向中标人支付任何费用，中标人向采购人支付合同总价款【20】%的违约金并退还采购人已支付的全部费用。</w:t>
            </w:r>
          </w:p>
          <w:p>
            <w:pPr>
              <w:pStyle w:val="null3"/>
              <w:ind w:firstLine="472"/>
              <w:jc w:val="both"/>
            </w:pPr>
            <w:r>
              <w:rPr>
                <w:rFonts w:ascii="仿宋_GB2312" w:hAnsi="仿宋_GB2312" w:cs="仿宋_GB2312" w:eastAsia="仿宋_GB2312"/>
                <w:sz w:val="24"/>
              </w:rPr>
              <w:t>（</w:t>
            </w:r>
            <w:r>
              <w:rPr>
                <w:rFonts w:ascii="仿宋_GB2312" w:hAnsi="仿宋_GB2312" w:cs="仿宋_GB2312" w:eastAsia="仿宋_GB2312"/>
                <w:sz w:val="24"/>
              </w:rPr>
              <w:t>3）因中标人责任，中标人逾期通过采购人验收，应按逾期天数向采购人支付合同总价款【1】‰/天的违约金。逾期超过【15】日，视为中标人根本违约，采购人有权书面通知中标人解除本合同，不向中标人支付任何费用，并要求中标人退还已支付的全部费用，中标人另按本合同总价款的【20】%承担违约责任。中标人工作成果未通过采购人验收返工整改的，按照本条约定向采购人承担违约责任。</w:t>
            </w:r>
          </w:p>
          <w:p>
            <w:pPr>
              <w:pStyle w:val="null3"/>
              <w:ind w:firstLine="472"/>
              <w:jc w:val="both"/>
            </w:pPr>
            <w:r>
              <w:rPr>
                <w:rFonts w:ascii="仿宋_GB2312" w:hAnsi="仿宋_GB2312" w:cs="仿宋_GB2312" w:eastAsia="仿宋_GB2312"/>
                <w:sz w:val="24"/>
              </w:rPr>
              <w:t>（</w:t>
            </w:r>
            <w:r>
              <w:rPr>
                <w:rFonts w:ascii="仿宋_GB2312" w:hAnsi="仿宋_GB2312" w:cs="仿宋_GB2312" w:eastAsia="仿宋_GB2312"/>
                <w:sz w:val="24"/>
              </w:rPr>
              <w:t>4）中标人存在其他违反本合同约定的情形，采购人有权要求中标人限期改正。如中标人在上述期限内未改正，采购人有权解除本合同，并要求中标人返还采购人已支付的款项，同时中标人除应向采购人支付本合同总价 10% 的违约金外，还应赔偿由此对采购人造成的损失。</w:t>
            </w:r>
          </w:p>
          <w:p>
            <w:pPr>
              <w:pStyle w:val="null3"/>
              <w:ind w:firstLine="472"/>
              <w:jc w:val="both"/>
            </w:pPr>
            <w:r>
              <w:rPr>
                <w:rFonts w:ascii="仿宋_GB2312" w:hAnsi="仿宋_GB2312" w:cs="仿宋_GB2312" w:eastAsia="仿宋_GB2312"/>
                <w:sz w:val="24"/>
              </w:rPr>
              <w:t>（</w:t>
            </w:r>
            <w:r>
              <w:rPr>
                <w:rFonts w:ascii="仿宋_GB2312" w:hAnsi="仿宋_GB2312" w:cs="仿宋_GB2312" w:eastAsia="仿宋_GB2312"/>
                <w:sz w:val="24"/>
              </w:rPr>
              <w:t>5）除承担违约责任外，中标人违约给采购人造成损失的（包括但不限于给采购人造成的经济损失、采购人为避免或减少损失支出的合理费用，采购人因此向任何第三方支付的违约金或赔偿的损失，以及采购人为维护合法权益支出的诉讼费、保全费、鉴定费、公证费、差旅费、律师费等合理费用），采购人有权向中标人全部追偿，采购人有权在应付款项中直接扣除该等损失费用，不足部分中标人应当及时支付。</w:t>
            </w:r>
          </w:p>
          <w:p>
            <w:pPr>
              <w:pStyle w:val="null3"/>
              <w:ind w:firstLine="472"/>
              <w:jc w:val="both"/>
            </w:pPr>
            <w:r>
              <w:rPr>
                <w:rFonts w:ascii="仿宋_GB2312" w:hAnsi="仿宋_GB2312" w:cs="仿宋_GB2312" w:eastAsia="仿宋_GB2312"/>
                <w:sz w:val="24"/>
              </w:rPr>
              <w:t>6.解决争议的办法</w:t>
            </w:r>
          </w:p>
          <w:p>
            <w:pPr>
              <w:pStyle w:val="null3"/>
              <w:ind w:firstLine="472"/>
              <w:jc w:val="both"/>
            </w:pPr>
            <w:r>
              <w:rPr>
                <w:rFonts w:ascii="仿宋_GB2312" w:hAnsi="仿宋_GB2312" w:cs="仿宋_GB2312" w:eastAsia="仿宋_GB2312"/>
                <w:sz w:val="24"/>
              </w:rPr>
              <w:t>（</w:t>
            </w:r>
            <w:r>
              <w:rPr>
                <w:rFonts w:ascii="仿宋_GB2312" w:hAnsi="仿宋_GB2312" w:cs="仿宋_GB2312" w:eastAsia="仿宋_GB2312"/>
                <w:sz w:val="24"/>
              </w:rPr>
              <w:t>1）因服务的质量问题发生争议，由采购人或其指定的第三方机构进行质量鉴定，服务符合标准的，鉴定费用由采购人承担；服务质量不符合质量标准的，鉴定费用由中标人承担。</w:t>
            </w:r>
          </w:p>
          <w:p>
            <w:pPr>
              <w:pStyle w:val="null3"/>
              <w:ind w:firstLine="472"/>
              <w:jc w:val="both"/>
            </w:pPr>
            <w:r>
              <w:rPr>
                <w:rFonts w:ascii="仿宋_GB2312" w:hAnsi="仿宋_GB2312" w:cs="仿宋_GB2312" w:eastAsia="仿宋_GB2312"/>
                <w:sz w:val="24"/>
              </w:rPr>
              <w:t>（</w:t>
            </w:r>
            <w:r>
              <w:rPr>
                <w:rFonts w:ascii="仿宋_GB2312" w:hAnsi="仿宋_GB2312" w:cs="仿宋_GB2312" w:eastAsia="仿宋_GB2312"/>
                <w:sz w:val="24"/>
              </w:rPr>
              <w:t>2）合同履行期间：若双方发生争议，可协商或由有关部门调解解决，协商或调解不成的，按照下列方式解决：向采购人所在地人民法院提请诉讼处理。</w:t>
            </w:r>
          </w:p>
          <w:p>
            <w:pPr>
              <w:pStyle w:val="null3"/>
              <w:ind w:firstLine="472"/>
              <w:jc w:val="both"/>
            </w:pPr>
            <w:r>
              <w:rPr>
                <w:rFonts w:ascii="仿宋_GB2312" w:hAnsi="仿宋_GB2312" w:cs="仿宋_GB2312" w:eastAsia="仿宋_GB2312"/>
                <w:sz w:val="24"/>
              </w:rPr>
              <w:t>（</w:t>
            </w:r>
            <w:r>
              <w:rPr>
                <w:rFonts w:ascii="仿宋_GB2312" w:hAnsi="仿宋_GB2312" w:cs="仿宋_GB2312" w:eastAsia="仿宋_GB2312"/>
                <w:sz w:val="24"/>
              </w:rPr>
              <w:t>3）诉讼判决应为最终决定，并对双方具有约束力。</w:t>
            </w:r>
          </w:p>
          <w:p>
            <w:pPr>
              <w:pStyle w:val="null3"/>
              <w:ind w:firstLine="472"/>
              <w:jc w:val="both"/>
            </w:pPr>
            <w:r>
              <w:rPr>
                <w:rFonts w:ascii="仿宋_GB2312" w:hAnsi="仿宋_GB2312" w:cs="仿宋_GB2312" w:eastAsia="仿宋_GB2312"/>
                <w:sz w:val="24"/>
              </w:rPr>
              <w:t>（</w:t>
            </w:r>
            <w:r>
              <w:rPr>
                <w:rFonts w:ascii="仿宋_GB2312" w:hAnsi="仿宋_GB2312" w:cs="仿宋_GB2312" w:eastAsia="仿宋_GB2312"/>
                <w:sz w:val="24"/>
              </w:rPr>
              <w:t>4）除另有裁决外，诉讼费应由败诉方负担。</w:t>
            </w:r>
          </w:p>
          <w:p>
            <w:pPr>
              <w:pStyle w:val="null3"/>
              <w:ind w:firstLine="472"/>
              <w:jc w:val="both"/>
            </w:pPr>
            <w:r>
              <w:rPr>
                <w:rFonts w:ascii="仿宋_GB2312" w:hAnsi="仿宋_GB2312" w:cs="仿宋_GB2312" w:eastAsia="仿宋_GB2312"/>
                <w:sz w:val="24"/>
              </w:rPr>
              <w:t>（</w:t>
            </w:r>
            <w:r>
              <w:rPr>
                <w:rFonts w:ascii="仿宋_GB2312" w:hAnsi="仿宋_GB2312" w:cs="仿宋_GB2312" w:eastAsia="仿宋_GB2312"/>
                <w:sz w:val="24"/>
              </w:rPr>
              <w:t>5）在诉讼期间，除正在进行诉讼部分外，合同其他部分继续执行。</w:t>
            </w:r>
          </w:p>
          <w:p>
            <w:pPr>
              <w:pStyle w:val="null3"/>
              <w:ind w:firstLine="472"/>
              <w:jc w:val="both"/>
            </w:pPr>
            <w:r>
              <w:rPr>
                <w:rFonts w:ascii="仿宋_GB2312" w:hAnsi="仿宋_GB2312" w:cs="仿宋_GB2312" w:eastAsia="仿宋_GB2312"/>
                <w:sz w:val="24"/>
              </w:rPr>
              <w:t>7.知识产权</w:t>
            </w:r>
          </w:p>
          <w:p>
            <w:pPr>
              <w:pStyle w:val="null3"/>
              <w:ind w:firstLine="472"/>
              <w:jc w:val="both"/>
            </w:pPr>
            <w:r>
              <w:rPr>
                <w:rFonts w:ascii="仿宋_GB2312" w:hAnsi="仿宋_GB2312" w:cs="仿宋_GB2312" w:eastAsia="仿宋_GB2312"/>
                <w:sz w:val="24"/>
              </w:rPr>
              <w:t>（</w:t>
            </w:r>
            <w:r>
              <w:rPr>
                <w:rFonts w:ascii="仿宋_GB2312" w:hAnsi="仿宋_GB2312" w:cs="仿宋_GB2312" w:eastAsia="仿宋_GB2312"/>
                <w:sz w:val="24"/>
              </w:rPr>
              <w:t>1）中标人应保证在本项目中使用的任何技术、产品和服务（包括部分使用），不会产生因第三方提出侵犯其专利权、商标权或其它知识产权而引起的法律和经济纠纷，如存在前述情形，由中标人承担所有相关责任，并且赔偿由此给采购人带来的损失。本项目实施过程中产生的知识成果及知识产权归采购人所有。</w:t>
            </w:r>
          </w:p>
          <w:p>
            <w:pPr>
              <w:pStyle w:val="null3"/>
              <w:ind w:firstLine="472"/>
              <w:jc w:val="both"/>
            </w:pPr>
            <w:r>
              <w:rPr>
                <w:rFonts w:ascii="仿宋_GB2312" w:hAnsi="仿宋_GB2312" w:cs="仿宋_GB2312" w:eastAsia="仿宋_GB2312"/>
                <w:sz w:val="24"/>
              </w:rPr>
              <w:t>（</w:t>
            </w:r>
            <w:r>
              <w:rPr>
                <w:rFonts w:ascii="仿宋_GB2312" w:hAnsi="仿宋_GB2312" w:cs="仿宋_GB2312" w:eastAsia="仿宋_GB2312"/>
                <w:sz w:val="24"/>
              </w:rPr>
              <w:t>2）中标人将在采购项目实施过程中采用自有或者第三方知识成果的，使用该知识成果后，中标人需提供开发接口和开发手册等技术资料，并承诺提供无限期支持，采购人享有使用权（含采购人委托第三方在该项目后续开发的使用权）。</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3）如使用中标人所不拥有的知识产权，则在投标报价中必须包括合法使用该知识产权的相关费用。</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综合履约要求</w:t>
            </w:r>
          </w:p>
        </w:tc>
        <w:tc>
          <w:tcPr>
            <w:tcW w:type="dxa" w:w="5814"/>
          </w:tcPr>
          <w:p>
            <w:pPr>
              <w:pStyle w:val="null3"/>
              <w:jc w:val="both"/>
            </w:pPr>
            <w:r>
              <w:rPr>
                <w:rFonts w:ascii="仿宋_GB2312" w:hAnsi="仿宋_GB2312" w:cs="仿宋_GB2312" w:eastAsia="仿宋_GB2312"/>
                <w:sz w:val="21"/>
              </w:rPr>
              <w:t>1.投标人针对本项目及采购需求提供服务方案，包含：</w:t>
            </w:r>
          </w:p>
          <w:p>
            <w:pPr>
              <w:pStyle w:val="null3"/>
              <w:jc w:val="left"/>
            </w:pPr>
            <w:r>
              <w:rPr>
                <w:rFonts w:ascii="仿宋_GB2312" w:hAnsi="仿宋_GB2312" w:cs="仿宋_GB2312" w:eastAsia="仿宋_GB2312"/>
                <w:sz w:val="21"/>
              </w:rPr>
              <w:t>①投标人针对本项目各项服务内容进行理解分析并提出应对措施；</w:t>
            </w:r>
          </w:p>
          <w:p>
            <w:pPr>
              <w:pStyle w:val="null3"/>
              <w:jc w:val="left"/>
            </w:pPr>
            <w:r>
              <w:rPr>
                <w:rFonts w:ascii="仿宋_GB2312" w:hAnsi="仿宋_GB2312" w:cs="仿宋_GB2312" w:eastAsia="仿宋_GB2312"/>
                <w:sz w:val="21"/>
              </w:rPr>
              <w:t>②各项服务内容的系统设计及功能模块描述、建设完成后测试方案和指标；</w:t>
            </w:r>
          </w:p>
          <w:p>
            <w:pPr>
              <w:pStyle w:val="null3"/>
              <w:jc w:val="left"/>
            </w:pPr>
            <w:r>
              <w:rPr>
                <w:rFonts w:ascii="仿宋_GB2312" w:hAnsi="仿宋_GB2312" w:cs="仿宋_GB2312" w:eastAsia="仿宋_GB2312"/>
                <w:sz w:val="21"/>
              </w:rPr>
              <w:t xml:space="preserve"> ③项目实施进度计划（针对各项服务内容提供服务工作范围、项目各实施时间节点安排、项目实施进度保障措施、服务目标说明等）；</w:t>
            </w:r>
          </w:p>
          <w:p>
            <w:pPr>
              <w:pStyle w:val="null3"/>
              <w:jc w:val="left"/>
            </w:pPr>
            <w:r>
              <w:rPr>
                <w:rFonts w:ascii="仿宋_GB2312" w:hAnsi="仿宋_GB2312" w:cs="仿宋_GB2312" w:eastAsia="仿宋_GB2312"/>
                <w:sz w:val="21"/>
              </w:rPr>
              <w:t xml:space="preserve"> ④项目质量保障措施（系统质量保障、测评质量保障、信息安全保障措施、网络安全运维服务工作质量保障措施等）；</w:t>
            </w:r>
          </w:p>
          <w:p>
            <w:pPr>
              <w:pStyle w:val="null3"/>
              <w:jc w:val="left"/>
            </w:pPr>
            <w:r>
              <w:rPr>
                <w:rFonts w:ascii="仿宋_GB2312" w:hAnsi="仿宋_GB2312" w:cs="仿宋_GB2312" w:eastAsia="仿宋_GB2312"/>
                <w:sz w:val="21"/>
              </w:rPr>
              <w:t xml:space="preserve"> ⑤售后服务方案（售后服务管理制度、售后人员安排及分工、系统使用培训、售后服务网点等）；</w:t>
            </w:r>
          </w:p>
          <w:p>
            <w:pPr>
              <w:pStyle w:val="null3"/>
              <w:jc w:val="left"/>
            </w:pPr>
            <w:r>
              <w:rPr>
                <w:rFonts w:ascii="仿宋_GB2312" w:hAnsi="仿宋_GB2312" w:cs="仿宋_GB2312" w:eastAsia="仿宋_GB2312"/>
                <w:sz w:val="21"/>
              </w:rPr>
              <w:t xml:space="preserve"> ⑥保密措施（保密范围、人员保密管理和资料保密管理等）</w:t>
            </w:r>
          </w:p>
          <w:p>
            <w:pPr>
              <w:pStyle w:val="null3"/>
              <w:jc w:val="left"/>
            </w:pPr>
            <w:r>
              <w:rPr>
                <w:rFonts w:ascii="仿宋_GB2312" w:hAnsi="仿宋_GB2312" w:cs="仿宋_GB2312" w:eastAsia="仿宋_GB2312"/>
                <w:sz w:val="21"/>
              </w:rPr>
              <w:t>2.投标人针对本项目及采购需求提供应急方案，包含：</w:t>
            </w:r>
          </w:p>
          <w:p>
            <w:pPr>
              <w:pStyle w:val="null3"/>
              <w:jc w:val="left"/>
            </w:pPr>
            <w:r>
              <w:rPr>
                <w:rFonts w:ascii="仿宋_GB2312" w:hAnsi="仿宋_GB2312" w:cs="仿宋_GB2312" w:eastAsia="仿宋_GB2312"/>
                <w:sz w:val="21"/>
              </w:rPr>
              <w:t>①各项服务内容可能存在的系统突发故障处理措施（故障预防措施、网络基础设施和网络技术应用重大事故处理应急预案等）</w:t>
            </w:r>
          </w:p>
          <w:p>
            <w:pPr>
              <w:pStyle w:val="null3"/>
              <w:jc w:val="left"/>
            </w:pPr>
            <w:r>
              <w:rPr>
                <w:rFonts w:ascii="仿宋_GB2312" w:hAnsi="仿宋_GB2312" w:cs="仿宋_GB2312" w:eastAsia="仿宋_GB2312"/>
                <w:sz w:val="21"/>
              </w:rPr>
              <w:t>②故障排查（系统日常巡检方案、故障排查方案、系统发生故障时处理措施、故障上报及修复方案等）</w:t>
            </w:r>
          </w:p>
          <w:p>
            <w:pPr>
              <w:pStyle w:val="null3"/>
              <w:jc w:val="left"/>
            </w:pPr>
            <w:r>
              <w:rPr>
                <w:rFonts w:ascii="仿宋_GB2312" w:hAnsi="仿宋_GB2312" w:cs="仿宋_GB2312" w:eastAsia="仿宋_GB2312"/>
                <w:sz w:val="21"/>
              </w:rPr>
              <w:t>3.投标人具有类似项目履约经验。</w:t>
            </w:r>
          </w:p>
          <w:p>
            <w:pPr>
              <w:pStyle w:val="null3"/>
              <w:jc w:val="left"/>
            </w:pPr>
            <w:r>
              <w:rPr>
                <w:rFonts w:ascii="仿宋_GB2312" w:hAnsi="仿宋_GB2312" w:cs="仿宋_GB2312" w:eastAsia="仿宋_GB2312"/>
                <w:sz w:val="21"/>
              </w:rPr>
              <w:t>4.投标人为本项目配备服务团队。</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服务期限：合同签订生效之日起1年。</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成都市双流区西航港社区卫生服务中心（采购人指定地点）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①履约验收主体：成都市双流区西航港社区卫生服务中心 ②履约验收时间：投标人提出验收申请之日起10日内组织验收 ③验收组织方式：自行验收 ④履约验收程序：分期/分段验收 ⑤技术履约验收内容：按照本项目采购文件中“服务内容及要求”及投标文件进行验收。 ⑥商务履约验收内容：按照本项目采购文件中“商务要求”及投标文件进行验收。 ⑦履约验收标准：本项目采购人将严格按照政府采购相关法律法规以及《财政部关于进一步加强政府采购需求和履约验收管理的指导意见》（财库〔2016〕205号）、参照《成都市市级采购项目履约验收实施细则（试行）》（成财规〔2026〕1号）的要求、按照采购文件的要求以及投标文件进行验收。 ⑧验收不合格的，采购人书面通知中标人，责令其限期采取措施依法进行整改。整改结束后，采购人重新组织验收。验收仍不合格的，采购人停止支付采购资金，并按照采购合同约定追究供应商违约责任。</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1、合同签订并收到中标人提供等额真实有效合法发票或票据后10个工作日内支付合同金额的40%作为预付款。（以商务要求为准），达到付款条件起10日内，支付合同总金额的40.00%</w:t>
            </w:r>
          </w:p>
          <w:p>
            <w:pPr>
              <w:pStyle w:val="null3"/>
              <w:jc w:val="left"/>
            </w:pPr>
            <w:r>
              <w:rPr>
                <w:rFonts w:ascii="仿宋_GB2312" w:hAnsi="仿宋_GB2312" w:cs="仿宋_GB2312" w:eastAsia="仿宋_GB2312"/>
              </w:rPr>
              <w:t>2、待系统交付、完成并通过验收后，采购人在收到中标人出具的合法有效等额增值税发票或票据后10个工作日内支付合同金额的50%。（以商务要求为准），达到付款条件起10日内，支付合同总金额的50.00%</w:t>
            </w:r>
          </w:p>
          <w:p>
            <w:pPr>
              <w:pStyle w:val="null3"/>
              <w:jc w:val="left"/>
            </w:pPr>
            <w:r>
              <w:rPr>
                <w:rFonts w:ascii="仿宋_GB2312" w:hAnsi="仿宋_GB2312" w:cs="仿宋_GB2312" w:eastAsia="仿宋_GB2312"/>
              </w:rPr>
              <w:t>3、等保测评工作完成，提交《等保测评报告》并通过测评后，采购人在收到中标人出具的合法有效等额增值税发票或票据后10个工作日内支付合同金额的10%。（以商务要求为准），达到付款条件起10日内，支付合同总金额的10.00%</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 （1）除法律规定及本合同约定情形外，采购人与中标人双方不得单方面终止合同，单方面终止合同一方应按照合同总额的20%支付违约金。 （2）如因投标人工作人员在履行职务过程中的疏忽、失职、过错等故意或者过失原因给采购人造成损失、侵害或未按时按质完成工作内容(包括但不限于给受损方造成的经济损失、受损方为避免或减少损失支出的合理费用，受损方因此向任何第三方承担的法律责任，以及受损方为维护合法权益支出的诉讼费、保全费、鉴定费、公证费、差旅费、律师费等合理费用），采购人有权向中标人全部追偿。出现上述情况，采购人有权视情况通知中标人终止合同，不向中标人支付任何费用，中标人向采购人支付合同总价款【20】%的违约金并退还采购人已支付的全部费用。 （3）因中标人责任，中标人逾期通过采购人验收，应按逾期天数向采购人支付合同总价款【1】‰/天的违约金。逾期超过【15】日，视为中标人根本违约，采购人有权书面通知中标人解除本合同，不向中标人支付任何费用，并要求中标人退还已支付的全部费用，中标人另按本合同总价款的【20】%承担违约责任。中标人工作成果未通过采购人验收返工整改的，按照本条约定向采购人承担违约责任。 （4）中标人存在其他违反本合同约定的情形，采购人有权要求中标人限期改正。如中标人在上述期限内未改正，采购人有权解除本合同，并要求中标人返还采购人已支付的款项，同时中标人除应向采购人支付本合同总价 10% 的违约金外，还应赔偿由此对采购人造成的损失。 （5）除承担违约责任外，中标人违约给采购人造成损失的（包括但不限于给采购人造成的经济损失、采购人为避免或减少损失支出的合理费用，采购人因此向任何第三方支付的违约金或赔偿的损失，以及采购人为维护合法权益支出的诉讼费、保全费、鉴定费、公证费、差旅费、律师费等合理费用），采购人有权向中标人全部追偿，采购人有权在应付款项中直接扣除该等损失费用，不足部分中标人应当及时支付。 2、解决争议的办法 （1）因服务的质量问题发生争议，由采购人或其指定的第三方机构进行质量鉴定，服务符合标准的，鉴定费用由采购人承担；服务质量不符合质量标准的，鉴定费用由中标人承担。 （2）合同履行期间：若双方发生争议，可协商或由有关部门调解解决，协商或调解不成的，按照下列方式解决：向采购人所在地人民法院提请诉讼处理。 （3）诉讼判决应为最终决定，并对双方具有约束力。 （4）除另有裁决外，诉讼费应由败诉方负担。 （5）在诉讼期间，除正在进行诉讼部分外，合同其他部分继续执行。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一、【温馨提示】：★（1）除本章实质性要求，对于招标文件其他章节中实质性要求，供应商在《投标（响应）函》中以“我单位完全接受和理解本项目采购文件规定的实质性要求”进行承诺即视为响应。★（2）供应商所投报价超过最高限价的报价，视为无效投标。 二、本项目落实的政府采购政策：促进中小企业发展、促进监狱企业发展、促进残疾人福利性单位发展、扶持不发达地区。三、★报价说明：系统固化模板原因，无法调整，3.1 报价要求栏中注明的“★注：采购包涉及采购货物的，投标人响应产品应当明确品牌和规格型号并指向唯一产品，不能指向唯一产品的，应通过报价表唯一产品说明栏补充说明。”条款不适用于本项目。 四、格式关联其他说明：投标人在制作投标文件时针对招标文件未关联格式或关联的格式无法编辑的，投标人可自行编辑格式内容，统一上传在“其他相关证明材料”中。五、监管部门：成都市双流区财政局政府采购监督管理科，联系方式：028-85804726，地址：成都市双流区电视塔路二段36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投标人需在项目电子化交易系统中按要求填写《投标（响应）函》完成承诺并进行电子签章。 另需提供以下之一材料并完成电子签章：①投标人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⑤若为其他法人的：提供法人证书等身份证明材料。</w:t>
            </w:r>
          </w:p>
        </w:tc>
        <w:tc>
          <w:tcPr>
            <w:tcW w:type="dxa" w:w="1661"/>
          </w:tcPr>
          <w:p>
            <w:pPr>
              <w:pStyle w:val="null3"/>
              <w:jc w:val="left"/>
            </w:pPr>
            <w:r>
              <w:rPr>
                <w:rFonts w:ascii="仿宋_GB2312" w:hAnsi="仿宋_GB2312" w:cs="仿宋_GB2312" w:eastAsia="仿宋_GB2312"/>
              </w:rPr>
              <w:t>投标（响应）文件资格补充材料.docx,投标（响应）函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 xml:space="preserve"> 不正当竞争预防措施（实质性要求）。</w:t>
            </w:r>
          </w:p>
        </w:tc>
        <w:tc>
          <w:tcPr>
            <w:tcW w:type="dxa" w:w="3322"/>
          </w:tcPr>
          <w:p>
            <w:pPr>
              <w:pStyle w:val="null3"/>
              <w:jc w:val="left"/>
            </w:pPr>
            <w:r>
              <w:rPr>
                <w:rFonts w:ascii="仿宋_GB2312" w:hAnsi="仿宋_GB2312" w:cs="仿宋_GB2312" w:eastAsia="仿宋_GB2312"/>
              </w:rPr>
              <w:t>在评标过程中，评标委员会认为供应商投标报价明显低于其他通过符合性审查供应商的投标报价，有可能影响产品质量或者不能诚信履约的，评标委员会应当要求其在合理的时间内通过交易系统进行书面说明并加盖电子签章，必要时提交相关证明材料。供应商应当在评标委员会要求的时间内通过交易系统提交书面说明，必要时提交相关证明材料；供应商不能证明其报价合理性的，评标委员会应当将其作为无效投标处理。 具体要求详见“第二章 投标人须知-2.4.5.投标报价★”</w:t>
            </w:r>
          </w:p>
        </w:tc>
        <w:tc>
          <w:tcPr>
            <w:tcW w:type="dxa" w:w="1661"/>
          </w:tcPr>
          <w:p>
            <w:pPr>
              <w:pStyle w:val="null3"/>
              <w:jc w:val="left"/>
            </w:pPr>
            <w:r>
              <w:rPr>
                <w:rFonts w:ascii="仿宋_GB2312" w:hAnsi="仿宋_GB2312" w:cs="仿宋_GB2312" w:eastAsia="仿宋_GB2312"/>
              </w:rPr>
              <w:t>其他相关证明材料.docx,报价表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第三章 技术、服务及其他要求中所列实质性要求和标注“★”的条款。</w:t>
            </w:r>
          </w:p>
        </w:tc>
        <w:tc>
          <w:tcPr>
            <w:tcW w:type="dxa" w:w="3322"/>
          </w:tcPr>
          <w:p>
            <w:pPr>
              <w:pStyle w:val="null3"/>
              <w:jc w:val="left"/>
            </w:pPr>
            <w:r>
              <w:rPr>
                <w:rFonts w:ascii="仿宋_GB2312" w:hAnsi="仿宋_GB2312" w:cs="仿宋_GB2312" w:eastAsia="仿宋_GB2312"/>
              </w:rPr>
              <w:t>第三章 技术、服务及其他要求中所列实质性要求和标注“★”的条款。</w:t>
            </w:r>
          </w:p>
        </w:tc>
        <w:tc>
          <w:tcPr>
            <w:tcW w:type="dxa" w:w="1661"/>
          </w:tcPr>
          <w:p>
            <w:pPr>
              <w:pStyle w:val="null3"/>
              <w:jc w:val="left"/>
            </w:pPr>
            <w:r>
              <w:rPr>
                <w:rFonts w:ascii="仿宋_GB2312" w:hAnsi="仿宋_GB2312" w:cs="仿宋_GB2312" w:eastAsia="仿宋_GB2312"/>
              </w:rPr>
              <w:t>其他相关证明材料.docx,服务内容及要求应答表.docx,知识产权承诺函.docx,商务要求应答表.docx,投标文件封面,报价表,投标（响应）函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非进行承诺的实质性要求。</w:t>
            </w:r>
          </w:p>
        </w:tc>
        <w:tc>
          <w:tcPr>
            <w:tcW w:type="dxa" w:w="3322"/>
          </w:tcPr>
          <w:p>
            <w:pPr>
              <w:pStyle w:val="null3"/>
              <w:jc w:val="left"/>
            </w:pPr>
            <w:r>
              <w:rPr>
                <w:rFonts w:ascii="仿宋_GB2312" w:hAnsi="仿宋_GB2312" w:cs="仿宋_GB2312" w:eastAsia="仿宋_GB2312"/>
              </w:rPr>
              <w:t>投标人按照招标文件要求上传相应材料。</w:t>
            </w:r>
          </w:p>
        </w:tc>
        <w:tc>
          <w:tcPr>
            <w:tcW w:type="dxa" w:w="1661"/>
          </w:tcPr>
          <w:p>
            <w:pPr>
              <w:pStyle w:val="null3"/>
              <w:jc w:val="left"/>
            </w:pPr>
            <w:r>
              <w:rPr>
                <w:rFonts w:ascii="仿宋_GB2312" w:hAnsi="仿宋_GB2312" w:cs="仿宋_GB2312" w:eastAsia="仿宋_GB2312"/>
              </w:rPr>
              <w:t>其他相关证明材料.docx,服务内容及要求应答表.docx,知识产权承诺函.docx,商务要求应答表.docx,投标文件封面,报价表,投标（响应）函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不属于招标文件规定的无效情形。</w:t>
            </w:r>
          </w:p>
        </w:tc>
        <w:tc>
          <w:tcPr>
            <w:tcW w:type="dxa" w:w="3322"/>
          </w:tcPr>
          <w:p>
            <w:pPr>
              <w:pStyle w:val="null3"/>
              <w:jc w:val="left"/>
            </w:pPr>
            <w:r>
              <w:rPr>
                <w:rFonts w:ascii="仿宋_GB2312" w:hAnsi="仿宋_GB2312" w:cs="仿宋_GB2312" w:eastAsia="仿宋_GB2312"/>
              </w:rPr>
              <w:t>投标人按照招标文件要求上传相关材料。</w:t>
            </w:r>
          </w:p>
        </w:tc>
        <w:tc>
          <w:tcPr>
            <w:tcW w:type="dxa" w:w="1661"/>
          </w:tcPr>
          <w:p>
            <w:pPr>
              <w:pStyle w:val="null3"/>
              <w:jc w:val="left"/>
            </w:pPr>
            <w:r>
              <w:rPr>
                <w:rFonts w:ascii="仿宋_GB2312" w:hAnsi="仿宋_GB2312" w:cs="仿宋_GB2312" w:eastAsia="仿宋_GB2312"/>
              </w:rPr>
              <w:t>其他相关证明材料.docx,服务内容及要求应答表.docx,知识产权承诺函.docx,商务要求应答表.docx,投标文件封面,报价表,投标（响应）函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未载明或者载明的标的名称、数量、计量单位及其他政府采购合同实质性内容与采购文件要求不一致，且采购单位无法接受的，属于无效响应。</w:t>
            </w:r>
          </w:p>
        </w:tc>
        <w:tc>
          <w:tcPr>
            <w:tcW w:type="dxa" w:w="3322"/>
          </w:tcPr>
          <w:p>
            <w:pPr>
              <w:pStyle w:val="null3"/>
              <w:jc w:val="left"/>
            </w:pPr>
            <w:r>
              <w:rPr>
                <w:rFonts w:ascii="仿宋_GB2312" w:hAnsi="仿宋_GB2312" w:cs="仿宋_GB2312" w:eastAsia="仿宋_GB2312"/>
              </w:rPr>
              <w:t>未载明或者载明的标的名称、数量、计量单位及其他政府采购合同实质性内容与采购文件要求不一致，且采购单位无法接受的，属于无效响应。</w:t>
            </w:r>
          </w:p>
        </w:tc>
        <w:tc>
          <w:tcPr>
            <w:tcW w:type="dxa" w:w="1661"/>
          </w:tcPr>
          <w:p>
            <w:pPr>
              <w:pStyle w:val="null3"/>
              <w:jc w:val="left"/>
            </w:pPr>
            <w:r>
              <w:rPr>
                <w:rFonts w:ascii="仿宋_GB2312" w:hAnsi="仿宋_GB2312" w:cs="仿宋_GB2312" w:eastAsia="仿宋_GB2312"/>
              </w:rPr>
              <w:t>其他相关证明材料.docx,服务内容及要求应答表.docx,知识产权承诺函.docx,商务要求应答表.docx,投标文件封面,报价表,投标（响应）函</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w:t>
            </w:r>
          </w:p>
        </w:tc>
        <w:tc>
          <w:tcPr>
            <w:tcW w:type="dxa" w:w="2575"/>
          </w:tcPr>
          <w:p>
            <w:pPr>
              <w:pStyle w:val="null3"/>
              <w:jc w:val="left"/>
            </w:pPr>
            <w:r>
              <w:rPr>
                <w:rFonts w:ascii="仿宋_GB2312" w:hAnsi="仿宋_GB2312" w:cs="仿宋_GB2312" w:eastAsia="仿宋_GB2312"/>
              </w:rPr>
              <w:t>完全响应招标文件第三章中“3.2技术要求-技术参数与性能指标-（二）安全产品服务技术要求和（三）云上部署技术要求”的得31分。 （1）未标识特殊符号的为一般参数条款（共130条），每有一条不满足招标文件要求的，扣0.1分，本项最多扣13分。 （2）标注“▲”符号的为重要参数条款（共9条），每有一条不满足招标文件要求的，扣2分，本项最多扣18分。 注:①关于参数条款的说明：以“ （1）” 、“（2）” 、“（3）” ....为一条(标题除外）。 ②标注“★”的条款为本项目的实质性条款，投标人不满足的，将按照无效投标处理。 ③如果招标文件“（三）云上部署技术要求”中对技术支撑材料有要求，应按要求提供，否则对应条款将视为不满足。 ④投标人须认真核实所有技术支持资料，并对其在投标文件中提供的技术支持资料的真实性负责，并承担由此带来的一切法律责任和后果。</w:t>
            </w:r>
          </w:p>
        </w:tc>
        <w:tc>
          <w:tcPr>
            <w:tcW w:type="dxa" w:w="831"/>
          </w:tcPr>
          <w:p>
            <w:pPr>
              <w:pStyle w:val="null3"/>
              <w:jc w:val="center"/>
            </w:pPr>
            <w:r>
              <w:rPr>
                <w:rFonts w:ascii="仿宋_GB2312" w:hAnsi="仿宋_GB2312" w:cs="仿宋_GB2312" w:eastAsia="仿宋_GB2312"/>
              </w:rPr>
              <w:t>31.0000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服务内容及要求应答表.docx</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投标人根据招标文件的服务内容及要求提供详细的服务方案，包含： ①投标人针对本项目各项服务内容进行理解分析并提出应对措施； ②各项服务内容的系统设计及功能模块描述、建设完成后测试方案和指标； ③项目实施进度计划（针对各项服务内容提供服务工作范围、项目各实施时间节点安排、项目实施进度保障措施、服务目标说明等）； ④项目质量保障措施（系统质量保障、测评质量保障、信息安全保障措施、网络安全运维服务工作质量保障措施等）； ⑤售后服务方案（售后服务管理制度、售后人员安排及分工、系统使用培训、售后服务网点等）； ⑥保密措施（保密范围、人员保密管理和资料保密管理等） 提供以上完整方案的得30分，每缺少一项方案的扣5分；提供的方案中每有一处具有缺陷的扣2.5分，扣完为止。 注：缺陷是指:非专门针对本项目（如：项目名称错误、采购人名称错误、实施地点错误等）；或不适用项目特性的情形（方案内容不符合服务相关的要求（指方案中服务与采购项目服务内容或要求不匹配）；或内容仅有大标题却无具体内容（指方案仅有标题或框架或仅复制需求内容而无其他有效说明或阐述或内容与标题不相关）；或方案存在与本项目无关的内容或方案中引用、涉及的政策法规规范及标准错误或失效；或单项方案中小点内容缺失等任意一种情形。</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应急方案</w:t>
            </w:r>
          </w:p>
        </w:tc>
        <w:tc>
          <w:tcPr>
            <w:tcW w:type="dxa" w:w="2575"/>
          </w:tcPr>
          <w:p>
            <w:pPr>
              <w:pStyle w:val="null3"/>
              <w:jc w:val="left"/>
            </w:pPr>
            <w:r>
              <w:rPr>
                <w:rFonts w:ascii="仿宋_GB2312" w:hAnsi="仿宋_GB2312" w:cs="仿宋_GB2312" w:eastAsia="仿宋_GB2312"/>
              </w:rPr>
              <w:t>投标人根据招标文件的服务内容及要求提供详细的应急方案，包含： ①各项服务内容可能存在的系统突发故障处理措施（故障预防措施、网络基础设施和网络技术应用重大事故处理应急预案等） ②故障排查（系统日常巡检方案、故障排查方案、系统发生故障时处理措施、故障上报及修复方案等） 提供以上完整方案的得12分，每缺少一项方案的扣6分；提供的方案中每有一处具有缺陷的扣3分，扣完为止。 注：缺陷是指:非专门针对本项目（如：项目名称错误、采购人名称错误、实施地点错误等）；或不适用项目特性的情形（方案内容不符合服务相关的要求（指方案中服务与采购项目服务内容或要求不匹配）；或内容仅有大标题却无具体内容（指方案仅有标题或框架或仅复制需求内容而无其他有效说明或阐述或内容与标题不相关）；或方案存在与本项目无关的内容或方案中引用、涉及的政策法规规范及标准错误或失效；或单项方案中小点内容缺失等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应急方案.docx</w:t>
            </w:r>
          </w:p>
        </w:tc>
      </w:tr>
      <w:tr>
        <w:tc>
          <w:tcPr>
            <w:tcW w:type="dxa" w:w="831"/>
            <w:vMerge/>
          </w:tcPr>
          <w:p/>
        </w:tc>
        <w:tc>
          <w:tcPr>
            <w:tcW w:type="dxa" w:w="1661"/>
          </w:tcPr>
          <w:p>
            <w:pPr>
              <w:pStyle w:val="null3"/>
              <w:jc w:val="left"/>
            </w:pPr>
            <w:r>
              <w:rPr>
                <w:rFonts w:ascii="仿宋_GB2312" w:hAnsi="仿宋_GB2312" w:cs="仿宋_GB2312" w:eastAsia="仿宋_GB2312"/>
              </w:rPr>
              <w:t>履约经验</w:t>
            </w:r>
          </w:p>
        </w:tc>
        <w:tc>
          <w:tcPr>
            <w:tcW w:type="dxa" w:w="2575"/>
          </w:tcPr>
          <w:p>
            <w:pPr>
              <w:pStyle w:val="null3"/>
              <w:jc w:val="left"/>
            </w:pPr>
            <w:r>
              <w:rPr>
                <w:rFonts w:ascii="仿宋_GB2312" w:hAnsi="仿宋_GB2312" w:cs="仿宋_GB2312" w:eastAsia="仿宋_GB2312"/>
              </w:rPr>
              <w:t>投标人自2021年1月1日起（包含）每具有一个类似业绩得1分，最高得分5分。 注： 1.类似业绩指类似系统运维或数据及网络安全运维等相关。 2.提供合同复印件或履约协议，合同复印件或履约协议需体现服务内容；若未体现服务内容的，还需提供合同或协议的采购方出具加盖采购方公章的履约服务证明（以合同签订时间为准）。</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类似项目业绩一览表.docx</w:t>
            </w:r>
          </w:p>
        </w:tc>
      </w:tr>
      <w:tr>
        <w:tc>
          <w:tcPr>
            <w:tcW w:type="dxa" w:w="831"/>
            <w:vMerge/>
          </w:tcPr>
          <w:p/>
        </w:tc>
        <w:tc>
          <w:tcPr>
            <w:tcW w:type="dxa" w:w="1661"/>
          </w:tcPr>
          <w:p>
            <w:pPr>
              <w:pStyle w:val="null3"/>
              <w:jc w:val="left"/>
            </w:pPr>
            <w:r>
              <w:rPr>
                <w:rFonts w:ascii="仿宋_GB2312" w:hAnsi="仿宋_GB2312" w:cs="仿宋_GB2312" w:eastAsia="仿宋_GB2312"/>
              </w:rPr>
              <w:t>服务团队配置</w:t>
            </w:r>
          </w:p>
        </w:tc>
        <w:tc>
          <w:tcPr>
            <w:tcW w:type="dxa" w:w="2575"/>
          </w:tcPr>
          <w:p>
            <w:pPr>
              <w:pStyle w:val="null3"/>
              <w:jc w:val="left"/>
            </w:pPr>
            <w:r>
              <w:rPr>
                <w:rFonts w:ascii="仿宋_GB2312" w:hAnsi="仿宋_GB2312" w:cs="仿宋_GB2312" w:eastAsia="仿宋_GB2312"/>
              </w:rPr>
              <w:t>1.投标人为本项目配备的技术负责岗（6分）（1人岗）: ①具有高级信息系统项目管理师证书及以上的得2分，中级证书得1分，最多得2分； ②具有高级软件工程师证书及以上的得2分，中级证书得1分，最多得2分； ③具有高级系统架构设计师证书及以上的得2分，中级证书得1分，最多得2分。 2.投标人为本项目配备的其他服务岗位（6分）: ①每具有1个高级信息系统项目管理师证书及以上的得1分，中级证书得0.5分，最多得2分； ②每具有1个高级软件工程师证书及以上的得1分，中级证书得0.5分，最多得2分； ③每具有1个高级系统架构设计师证书及以上的得1分，中级证书得0.5分，最多得2分。 注：（1）以上证书未提供不得分。 提供人员身份证扫描件/复印件及对应证书扫描件/复印件并加盖投标人电子章。（2）技术负责岗和其他服务岗位不重复计分。</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供应商本项目管理、服务团队情况表.docx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详见附件：服务方案.docx</w:t>
      </w:r>
    </w:p>
    <w:p>
      <w:pPr>
        <w:pStyle w:val="null3"/>
        <w:ind w:firstLine="960"/>
        <w:jc w:val="left"/>
      </w:pPr>
      <w:r>
        <w:rPr>
          <w:rFonts w:ascii="仿宋_GB2312" w:hAnsi="仿宋_GB2312" w:cs="仿宋_GB2312" w:eastAsia="仿宋_GB2312"/>
        </w:rPr>
        <w:t>详见附件：应急方案.docx</w:t>
      </w:r>
    </w:p>
    <w:p>
      <w:pPr>
        <w:pStyle w:val="null3"/>
        <w:ind w:firstLine="960"/>
        <w:jc w:val="left"/>
      </w:pPr>
      <w:r>
        <w:rPr>
          <w:rFonts w:ascii="仿宋_GB2312" w:hAnsi="仿宋_GB2312" w:cs="仿宋_GB2312" w:eastAsia="仿宋_GB2312"/>
        </w:rPr>
        <w:t>详见附件：服务内容及要求应答表.docx</w:t>
      </w:r>
    </w:p>
    <w:p>
      <w:pPr>
        <w:pStyle w:val="null3"/>
        <w:ind w:firstLine="960"/>
        <w:jc w:val="left"/>
      </w:pPr>
      <w:r>
        <w:rPr>
          <w:rFonts w:ascii="仿宋_GB2312" w:hAnsi="仿宋_GB2312" w:cs="仿宋_GB2312" w:eastAsia="仿宋_GB2312"/>
        </w:rPr>
        <w:t>详见附件：商务要求应答表.docx</w:t>
      </w:r>
    </w:p>
    <w:p>
      <w:pPr>
        <w:pStyle w:val="null3"/>
        <w:ind w:firstLine="960"/>
        <w:jc w:val="left"/>
      </w:pPr>
      <w:r>
        <w:rPr>
          <w:rFonts w:ascii="仿宋_GB2312" w:hAnsi="仿宋_GB2312" w:cs="仿宋_GB2312" w:eastAsia="仿宋_GB2312"/>
        </w:rPr>
        <w:t>详见附件：类似项目业绩一览表.docx</w:t>
      </w:r>
    </w:p>
    <w:p>
      <w:pPr>
        <w:pStyle w:val="null3"/>
        <w:ind w:firstLine="960"/>
        <w:jc w:val="left"/>
      </w:pPr>
      <w:r>
        <w:rPr>
          <w:rFonts w:ascii="仿宋_GB2312" w:hAnsi="仿宋_GB2312" w:cs="仿宋_GB2312" w:eastAsia="仿宋_GB2312"/>
        </w:rPr>
        <w:t>详见附件：知识产权承诺函.docx</w:t>
      </w:r>
    </w:p>
    <w:p>
      <w:pPr>
        <w:pStyle w:val="null3"/>
        <w:ind w:firstLine="960"/>
        <w:jc w:val="left"/>
      </w:pPr>
      <w:r>
        <w:rPr>
          <w:rFonts w:ascii="仿宋_GB2312" w:hAnsi="仿宋_GB2312" w:cs="仿宋_GB2312" w:eastAsia="仿宋_GB2312"/>
        </w:rPr>
        <w:t>详见附件：投标（响应）文件资格补充材料.docx</w:t>
      </w:r>
    </w:p>
    <w:p>
      <w:pPr>
        <w:pStyle w:val="null3"/>
        <w:ind w:firstLine="960"/>
        <w:jc w:val="left"/>
      </w:pPr>
      <w:r>
        <w:rPr>
          <w:rFonts w:ascii="仿宋_GB2312" w:hAnsi="仿宋_GB2312" w:cs="仿宋_GB2312" w:eastAsia="仿宋_GB2312"/>
        </w:rPr>
        <w:t>详见附件：其他相关证明材料.docx</w:t>
      </w:r>
    </w:p>
    <w:p>
      <w:pPr>
        <w:pStyle w:val="null3"/>
        <w:ind w:firstLine="960"/>
        <w:jc w:val="left"/>
      </w:pPr>
      <w:r>
        <w:rPr>
          <w:rFonts w:ascii="仿宋_GB2312" w:hAnsi="仿宋_GB2312" w:cs="仿宋_GB2312" w:eastAsia="仿宋_GB2312"/>
        </w:rPr>
        <w:t>详见附件：供应商本项目管理、服务团队情况表.docx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