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版本号：N511503202600002820260415002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南溪五中教学楼建设工程设计政府采购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N5115032026000028</w:t>
      </w:r>
    </w:p>
    <w:p>
      <w:pPr>
        <w:pStyle w:val="null3"/>
        <w:jc w:val="left"/>
        <w:outlineLvl w:val="2"/>
      </w:pPr>
      <w:r>
        <w:rPr>
          <w:rFonts w:ascii="仿宋_GB2312" w:hAnsi="仿宋_GB2312" w:cs="仿宋_GB2312" w:eastAsia="仿宋_GB2312"/>
          <w:sz w:val="28"/>
          <w:b/>
        </w:rPr>
        <w:t>宜宾市南溪区第五中学校</w:t>
      </w:r>
    </w:p>
    <w:p>
      <w:pPr>
        <w:pStyle w:val="null3"/>
        <w:jc w:val="center"/>
        <w:outlineLvl w:val="2"/>
      </w:pPr>
      <w:r>
        <w:rPr>
          <w:rFonts w:ascii="仿宋_GB2312" w:hAnsi="仿宋_GB2312" w:cs="仿宋_GB2312" w:eastAsia="仿宋_GB2312"/>
          <w:sz w:val="28"/>
          <w:b/>
        </w:rPr>
        <w:t>宜宾市政府采购中心南溪区分中心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宜宾市政府采购中心南溪区分中心</w:t>
      </w:r>
      <w:r>
        <w:rPr>
          <w:rFonts w:ascii="仿宋_GB2312" w:hAnsi="仿宋_GB2312" w:cs="仿宋_GB2312" w:eastAsia="仿宋_GB2312"/>
        </w:rPr>
        <w:t xml:space="preserve"> （以下简称“代理机构”）受 </w:t>
      </w:r>
      <w:r>
        <w:rPr>
          <w:rFonts w:ascii="仿宋_GB2312" w:hAnsi="仿宋_GB2312" w:cs="仿宋_GB2312" w:eastAsia="仿宋_GB2312"/>
        </w:rPr>
        <w:t>宜宾市南溪区第五中学校</w:t>
      </w:r>
      <w:r>
        <w:rPr>
          <w:rFonts w:ascii="仿宋_GB2312" w:hAnsi="仿宋_GB2312" w:cs="仿宋_GB2312" w:eastAsia="仿宋_GB2312"/>
        </w:rPr>
        <w:t xml:space="preserve"> 委托，拟对 </w:t>
      </w:r>
      <w:r>
        <w:rPr>
          <w:rFonts w:ascii="仿宋_GB2312" w:hAnsi="仿宋_GB2312" w:cs="仿宋_GB2312" w:eastAsia="仿宋_GB2312"/>
        </w:rPr>
        <w:t>南溪五中教学楼建设工程设计政府采购</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宜宾市南溪区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N5115032026000028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南溪五中教学楼建设工程设计政府采购</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宜宾市南溪区第五中学校新建教学楼及配套辅助用房，建筑面积约3600平方米。本次采购工程设计服务，详见要求。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殊资格要求（描述：供应商应当具备行业主管部门颁发的且在有效期内的工程设计建筑行业（建筑工程）专业乙级或以上资质。供应商需在使用投标(响应)客户端编制响应文件时，按要求上传相应证明文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宜宾市南溪区第五中学校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宜宾市南溪区大观镇南观路23号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644101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15984469701</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宜宾市政府采购中心南溪区分中心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四川省宜宾市南溪区宜宾市南溪区正信路（新政务服务中心）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标前08313323280，开标08313325033，评审08313329631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采购包1：465,000.00元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交款时间：成交通知书发放后，政府采购合同签订前。</w:t>
              <w:br/>
              <w:t>履约保证金退还方式：原账号返回。</w:t>
              <w:br/>
              <w:t xml:space="preserve">履约保证金退还时间：项目竣工验收后10日内退还。 </w:t>
              <w:br/>
              <w:t xml:space="preserve">履约保证金不予退还情形：成交供应商不履行与采购人订立的合同的，履约保证金不予退还。 </w:t>
              <w:br/>
              <w:t>不予退还的，将按照有关规定上缴国库。逾期退还履约保证金的，将依法承担法律责任，并赔偿供应商损失。</w:t>
              <w:br/>
              <w:t>注：出具保函的主体应当是金融机构、保险机构、担保机构等依法成立且具有相关资质和偿付能力的机构，否则将取消成交供应商的成交资格，采购人将重新确定成交供应商，并依法追究法律责任。</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宜宾市南溪区第五中学校</w:t>
      </w:r>
      <w:r>
        <w:rPr>
          <w:rFonts w:ascii="仿宋_GB2312" w:hAnsi="仿宋_GB2312" w:cs="仿宋_GB2312" w:eastAsia="仿宋_GB2312"/>
        </w:rPr>
        <w:t xml:space="preserve"> 和 </w:t>
      </w:r>
      <w:r>
        <w:rPr>
          <w:rFonts w:ascii="仿宋_GB2312" w:hAnsi="仿宋_GB2312" w:cs="仿宋_GB2312" w:eastAsia="仿宋_GB2312"/>
        </w:rPr>
        <w:t>宜宾市政府采购中心南溪区分中心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宜宾市南溪区第五中学校</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宜宾市政府采购中心南溪区分中心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财政评审出报告</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60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竣工验收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确定最终结算造价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采购人组织。</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按国家有关规定以及采购文件的质量要求和技术指标、供应商的响应文件及承诺与本项目合同约定标准进行验 收；采购人与供应商双方如对质量要求和技术指标的约定标准有相互抵触或异议的事项，由采购人在采购文件及响应文件中按 质量要求和技术指标比较优胜的原则确定该项的约定标准进行验收。若成交时提供的服务不符合国家标准和合同规定，由此产 生的时间延误与有关费用由供应商承担，验收期限相应顺延。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按供应商响应文件以及采购合同执行。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 〔2016〕205号〕等政 府采购相关法律法规的要求进行。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其他未尽事宜按照《财政部关于进一步加强政府采购需求和履约验收管理的指导意见》(财库〔2016〕205 号)和宜宾市南溪区财政局关于进一步加强我区政府采购履约验收工作的通知（南财采〔2025〕22号）的要求及国家行业主 管部门规定的标准、方法和内容进行验收。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宜宾市南溪区第五中学校</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宜宾市政府采购中心南溪区分中心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宜宾市政府采购中心南溪区分中心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联系电话：15984469701</w:t>
      </w:r>
    </w:p>
    <w:p>
      <w:pPr>
        <w:pStyle w:val="null3"/>
        <w:jc w:val="left"/>
      </w:pPr>
      <w:r>
        <w:rPr>
          <w:rFonts w:ascii="仿宋_GB2312" w:hAnsi="仿宋_GB2312" w:cs="仿宋_GB2312" w:eastAsia="仿宋_GB2312"/>
        </w:rPr>
        <w:t>地址：宜宾市南溪区大观镇南观路23号</w:t>
      </w:r>
    </w:p>
    <w:p>
      <w:pPr>
        <w:pStyle w:val="null3"/>
        <w:jc w:val="left"/>
      </w:pPr>
      <w:r>
        <w:rPr>
          <w:rFonts w:ascii="仿宋_GB2312" w:hAnsi="仿宋_GB2312" w:cs="仿宋_GB2312" w:eastAsia="仿宋_GB2312"/>
        </w:rPr>
        <w:t>邮编：644101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联系人：何老师</w:t>
      </w:r>
    </w:p>
    <w:p>
      <w:pPr>
        <w:pStyle w:val="null3"/>
        <w:jc w:val="left"/>
      </w:pPr>
      <w:r>
        <w:rPr>
          <w:rFonts w:ascii="仿宋_GB2312" w:hAnsi="仿宋_GB2312" w:cs="仿宋_GB2312" w:eastAsia="仿宋_GB2312"/>
        </w:rPr>
        <w:t>联系电话：08313323280</w:t>
      </w:r>
    </w:p>
    <w:p>
      <w:pPr>
        <w:pStyle w:val="null3"/>
        <w:jc w:val="left"/>
      </w:pPr>
      <w:r>
        <w:rPr>
          <w:rFonts w:ascii="仿宋_GB2312" w:hAnsi="仿宋_GB2312" w:cs="仿宋_GB2312" w:eastAsia="仿宋_GB2312"/>
        </w:rPr>
        <w:t>地址：四川省宜宾市南溪区正信路（新政务服务中心）</w:t>
      </w:r>
    </w:p>
    <w:p>
      <w:pPr>
        <w:pStyle w:val="null3"/>
        <w:jc w:val="left"/>
      </w:pPr>
      <w:r>
        <w:rPr>
          <w:rFonts w:ascii="仿宋_GB2312" w:hAnsi="仿宋_GB2312" w:cs="仿宋_GB2312" w:eastAsia="仿宋_GB2312"/>
        </w:rPr>
        <w:t>邮编：644100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465,000.00</w:t>
      </w:r>
    </w:p>
    <w:p>
      <w:pPr>
        <w:pStyle w:val="null3"/>
        <w:jc w:val="left"/>
      </w:pPr>
      <w:r>
        <w:rPr>
          <w:rFonts w:ascii="仿宋_GB2312" w:hAnsi="仿宋_GB2312" w:cs="仿宋_GB2312" w:eastAsia="仿宋_GB2312"/>
        </w:rPr>
        <w:t>采购包最高限价（元）: 465,000.00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C11020000 工程设计服务</w:t>
            </w:r>
          </w:p>
        </w:tc>
        <w:tc>
          <w:tcPr>
            <w:tcW w:type="dxa" w:w="821"/>
          </w:tcPr>
          <w:p>
            <w:pPr>
              <w:pStyle w:val="null3"/>
              <w:jc w:val="left"/>
            </w:pPr>
            <w:r>
              <w:rPr>
                <w:rFonts w:ascii="仿宋_GB2312" w:hAnsi="仿宋_GB2312" w:cs="仿宋_GB2312" w:eastAsia="仿宋_GB2312"/>
              </w:rPr>
              <w:t>南溪五中教学楼建设工程设计服务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465,000.00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南溪五中教学楼建设工程设计服务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465,000.00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标的名称：南溪五中教学楼建设工程设计服务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480"/>
              <w:jc w:val="both"/>
            </w:pPr>
            <w:r>
              <w:rPr>
                <w:rFonts w:ascii="仿宋_GB2312" w:hAnsi="仿宋_GB2312" w:cs="仿宋_GB2312" w:eastAsia="仿宋_GB2312"/>
                <w:sz w:val="24"/>
                <w:b/>
              </w:rPr>
              <w:t>见服务要求</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both"/>
            </w:pPr>
            <w:r>
              <w:rPr>
                <w:rFonts w:ascii="仿宋_GB2312" w:hAnsi="仿宋_GB2312" w:cs="仿宋_GB2312" w:eastAsia="仿宋_GB2312"/>
              </w:rPr>
              <w:t>（一）服务范围</w:t>
            </w:r>
          </w:p>
          <w:p>
            <w:pPr>
              <w:pStyle w:val="null3"/>
              <w:jc w:val="left"/>
            </w:pPr>
            <w:r>
              <w:rPr>
                <w:rFonts w:ascii="仿宋_GB2312" w:hAnsi="仿宋_GB2312" w:cs="仿宋_GB2312" w:eastAsia="仿宋_GB2312"/>
              </w:rPr>
              <w:t>1.方案设计：主动与采购人对接需求，提出总体设计方案；</w:t>
            </w:r>
          </w:p>
          <w:p>
            <w:pPr>
              <w:pStyle w:val="null3"/>
              <w:jc w:val="left"/>
            </w:pPr>
            <w:r>
              <w:rPr>
                <w:rFonts w:ascii="仿宋_GB2312" w:hAnsi="仿宋_GB2312" w:cs="仿宋_GB2312" w:eastAsia="仿宋_GB2312"/>
              </w:rPr>
              <w:t>2.初步设计：概算出分项工程、材料、规费、税金等，制定完整的工程量清单；</w:t>
            </w:r>
          </w:p>
          <w:p>
            <w:pPr>
              <w:pStyle w:val="null3"/>
              <w:jc w:val="left"/>
            </w:pPr>
            <w:r>
              <w:rPr>
                <w:rFonts w:ascii="仿宋_GB2312" w:hAnsi="仿宋_GB2312" w:cs="仿宋_GB2312" w:eastAsia="仿宋_GB2312"/>
              </w:rPr>
              <w:t>3.施工图设计：包括但不限于建筑、结构、给排水、电气、暖通、消防、弱电等设计图；包括施工图审查、施工图预算。</w:t>
            </w:r>
          </w:p>
          <w:p>
            <w:pPr>
              <w:pStyle w:val="null3"/>
              <w:jc w:val="left"/>
            </w:pPr>
            <w:r>
              <w:rPr>
                <w:rFonts w:ascii="仿宋_GB2312" w:hAnsi="仿宋_GB2312" w:cs="仿宋_GB2312" w:eastAsia="仿宋_GB2312"/>
              </w:rPr>
              <w:t>4.施工现场配合、设计变更、竣工验收配合等全过程设计服务。</w:t>
            </w:r>
          </w:p>
          <w:p>
            <w:pPr>
              <w:pStyle w:val="null3"/>
              <w:jc w:val="left"/>
            </w:pPr>
            <w:r>
              <w:rPr>
                <w:rFonts w:ascii="仿宋_GB2312" w:hAnsi="仿宋_GB2312" w:cs="仿宋_GB2312" w:eastAsia="仿宋_GB2312"/>
              </w:rPr>
              <w:t>（二）人员配置要求（在响应文件中单独提供承诺函，承诺在签订合同前提供人员资质能力的证明材料。格式自拟。）</w:t>
            </w:r>
          </w:p>
          <w:p>
            <w:pPr>
              <w:pStyle w:val="null3"/>
              <w:jc w:val="left"/>
            </w:pPr>
            <w:r>
              <w:rPr>
                <w:rFonts w:ascii="仿宋_GB2312" w:hAnsi="仿宋_GB2312" w:cs="仿宋_GB2312" w:eastAsia="仿宋_GB2312"/>
              </w:rPr>
              <w:t>1.项目负责人：具有二级及以上注册建筑师执业资格，投标时提供社保证明或劳动合同；</w:t>
            </w:r>
          </w:p>
          <w:p>
            <w:pPr>
              <w:pStyle w:val="null3"/>
              <w:jc w:val="left"/>
            </w:pPr>
            <w:r>
              <w:rPr>
                <w:rFonts w:ascii="仿宋_GB2312" w:hAnsi="仿宋_GB2312" w:cs="仿宋_GB2312" w:eastAsia="仿宋_GB2312"/>
              </w:rPr>
              <w:t>2.技术负责人：具有二级及以上注册建筑师执业资格，具有建筑学专业中级及以上职称，投标时提供社保证明或劳动合同；</w:t>
            </w:r>
          </w:p>
          <w:p>
            <w:pPr>
              <w:pStyle w:val="null3"/>
              <w:jc w:val="left"/>
            </w:pPr>
            <w:r>
              <w:rPr>
                <w:rFonts w:ascii="仿宋_GB2312" w:hAnsi="仿宋_GB2312" w:cs="仿宋_GB2312" w:eastAsia="仿宋_GB2312"/>
              </w:rPr>
              <w:t>3.团队配置：具有结构、给排水、电气专业注册工程师（各1名及以上）；</w:t>
            </w:r>
          </w:p>
          <w:p>
            <w:pPr>
              <w:pStyle w:val="null3"/>
              <w:jc w:val="left"/>
            </w:pPr>
            <w:r>
              <w:rPr>
                <w:rFonts w:ascii="仿宋_GB2312" w:hAnsi="仿宋_GB2312" w:cs="仿宋_GB2312" w:eastAsia="仿宋_GB2312"/>
              </w:rPr>
              <w:t>4.设计单位具备校园规划、教育建筑规范、绿色建筑、消防、抗震专项设计能力。</w:t>
            </w:r>
          </w:p>
          <w:p>
            <w:pPr>
              <w:pStyle w:val="null3"/>
              <w:jc w:val="left"/>
            </w:pPr>
            <w:r>
              <w:rPr>
                <w:rFonts w:ascii="仿宋_GB2312" w:hAnsi="仿宋_GB2312" w:cs="仿宋_GB2312" w:eastAsia="仿宋_GB2312"/>
              </w:rPr>
              <w:t>（三）设计依据</w:t>
            </w:r>
          </w:p>
          <w:p>
            <w:pPr>
              <w:pStyle w:val="null3"/>
              <w:jc w:val="left"/>
            </w:pPr>
            <w:r>
              <w:rPr>
                <w:rFonts w:ascii="仿宋_GB2312" w:hAnsi="仿宋_GB2312" w:cs="仿宋_GB2312" w:eastAsia="仿宋_GB2312"/>
              </w:rPr>
              <w:t>1.《中小学校设计规范》GB 50099-2011；</w:t>
            </w:r>
          </w:p>
          <w:p>
            <w:pPr>
              <w:pStyle w:val="null3"/>
              <w:jc w:val="left"/>
            </w:pPr>
            <w:r>
              <w:rPr>
                <w:rFonts w:ascii="仿宋_GB2312" w:hAnsi="仿宋_GB2312" w:cs="仿宋_GB2312" w:eastAsia="仿宋_GB2312"/>
              </w:rPr>
              <w:t>2.《建筑设计防火规范》GB 50016-2014（2018年版）、《建筑防火通用规范》GB55037-2022；</w:t>
            </w:r>
          </w:p>
          <w:p>
            <w:pPr>
              <w:pStyle w:val="null3"/>
              <w:jc w:val="left"/>
            </w:pPr>
            <w:r>
              <w:rPr>
                <w:rFonts w:ascii="仿宋_GB2312" w:hAnsi="仿宋_GB2312" w:cs="仿宋_GB2312" w:eastAsia="仿宋_GB2312"/>
              </w:rPr>
              <w:t>3.《民用建筑供暖通风与空气调节设计规范》GB 50736-2012；</w:t>
            </w:r>
          </w:p>
          <w:p>
            <w:pPr>
              <w:pStyle w:val="null3"/>
              <w:jc w:val="left"/>
            </w:pPr>
            <w:r>
              <w:rPr>
                <w:rFonts w:ascii="仿宋_GB2312" w:hAnsi="仿宋_GB2312" w:cs="仿宋_GB2312" w:eastAsia="仿宋_GB2312"/>
              </w:rPr>
              <w:t>4.《民用建筑设计统一标准》GB 50352-2019；</w:t>
            </w:r>
          </w:p>
          <w:p>
            <w:pPr>
              <w:pStyle w:val="null3"/>
              <w:jc w:val="left"/>
            </w:pPr>
            <w:r>
              <w:rPr>
                <w:rFonts w:ascii="仿宋_GB2312" w:hAnsi="仿宋_GB2312" w:cs="仿宋_GB2312" w:eastAsia="仿宋_GB2312"/>
              </w:rPr>
              <w:t>5.国家及地方现行相关规范、标准、文件；</w:t>
            </w:r>
          </w:p>
          <w:p>
            <w:pPr>
              <w:pStyle w:val="null3"/>
              <w:jc w:val="left"/>
            </w:pPr>
            <w:r>
              <w:rPr>
                <w:rFonts w:ascii="仿宋_GB2312" w:hAnsi="仿宋_GB2312" w:cs="仿宋_GB2312" w:eastAsia="仿宋_GB2312"/>
              </w:rPr>
              <w:t>6.学校提供的现状资料、规划条件、用地红线等具体服务内容。</w:t>
            </w:r>
          </w:p>
          <w:p>
            <w:pPr>
              <w:pStyle w:val="null3"/>
              <w:jc w:val="left"/>
            </w:pPr>
            <w:r>
              <w:rPr>
                <w:rFonts w:ascii="仿宋_GB2312" w:hAnsi="仿宋_GB2312" w:cs="仿宋_GB2312" w:eastAsia="仿宋_GB2312"/>
              </w:rPr>
              <w:t>（四）功能需求</w:t>
            </w:r>
          </w:p>
          <w:p>
            <w:pPr>
              <w:pStyle w:val="null3"/>
              <w:jc w:val="left"/>
            </w:pPr>
            <w:r>
              <w:rPr>
                <w:rFonts w:ascii="仿宋_GB2312" w:hAnsi="仿宋_GB2312" w:cs="仿宋_GB2312" w:eastAsia="仿宋_GB2312"/>
              </w:rPr>
              <w:t xml:space="preserve">      工程面积3600平方，正面五层楼，每层五间教室共25间（其中24间教室，1间录播室），每层两个楼梯间，两个厕所。侧面T型五间办公室五间功能室（每层楼一间办公室一间功能室）。</w:t>
            </w:r>
          </w:p>
          <w:p>
            <w:pPr>
              <w:pStyle w:val="null3"/>
              <w:jc w:val="left"/>
            </w:pPr>
            <w:r>
              <w:rPr>
                <w:rFonts w:ascii="仿宋_GB2312" w:hAnsi="仿宋_GB2312" w:cs="仿宋_GB2312" w:eastAsia="仿宋_GB2312"/>
              </w:rPr>
              <w:t>1.教学用房</w:t>
            </w:r>
          </w:p>
          <w:p>
            <w:pPr>
              <w:pStyle w:val="null3"/>
              <w:jc w:val="left"/>
            </w:pPr>
            <w:r>
              <w:rPr>
                <w:rFonts w:ascii="仿宋_GB2312" w:hAnsi="仿宋_GB2312" w:cs="仿宋_GB2312" w:eastAsia="仿宋_GB2312"/>
              </w:rPr>
              <w:t>（1）普通教室：_25_间，每间满足_48_人使用；</w:t>
            </w:r>
          </w:p>
          <w:p>
            <w:pPr>
              <w:pStyle w:val="null3"/>
              <w:jc w:val="left"/>
            </w:pPr>
            <w:r>
              <w:rPr>
                <w:rFonts w:ascii="仿宋_GB2312" w:hAnsi="仿宋_GB2312" w:cs="仿宋_GB2312" w:eastAsia="仿宋_GB2312"/>
              </w:rPr>
              <w:t>（2）专用教室：计算机教室、美术教室、音乐教室、劳技教室等。</w:t>
            </w:r>
          </w:p>
          <w:p>
            <w:pPr>
              <w:pStyle w:val="null3"/>
              <w:jc w:val="left"/>
            </w:pPr>
            <w:r>
              <w:rPr>
                <w:rFonts w:ascii="仿宋_GB2312" w:hAnsi="仿宋_GB2312" w:cs="仿宋_GB2312" w:eastAsia="仿宋_GB2312"/>
              </w:rPr>
              <w:t>2．公共与辅助用房</w:t>
            </w:r>
          </w:p>
          <w:p>
            <w:pPr>
              <w:pStyle w:val="null3"/>
              <w:jc w:val="left"/>
            </w:pPr>
            <w:r>
              <w:rPr>
                <w:rFonts w:ascii="仿宋_GB2312" w:hAnsi="仿宋_GB2312" w:cs="仿宋_GB2312" w:eastAsia="仿宋_GB2312"/>
              </w:rPr>
              <w:t>（1）教师办公室；</w:t>
            </w:r>
          </w:p>
          <w:p>
            <w:pPr>
              <w:pStyle w:val="null3"/>
              <w:jc w:val="left"/>
            </w:pPr>
            <w:r>
              <w:rPr>
                <w:rFonts w:ascii="仿宋_GB2312" w:hAnsi="仿宋_GB2312" w:cs="仿宋_GB2312" w:eastAsia="仿宋_GB2312"/>
              </w:rPr>
              <w:t>（2）卫生间（男女分设）。</w:t>
            </w:r>
          </w:p>
          <w:p>
            <w:pPr>
              <w:pStyle w:val="null3"/>
              <w:jc w:val="left"/>
            </w:pPr>
            <w:r>
              <w:rPr>
                <w:rFonts w:ascii="仿宋_GB2312" w:hAnsi="仿宋_GB2312" w:cs="仿宋_GB2312" w:eastAsia="仿宋_GB2312"/>
              </w:rPr>
              <w:t>3.交通与疏散</w:t>
            </w:r>
          </w:p>
          <w:p>
            <w:pPr>
              <w:pStyle w:val="null3"/>
              <w:jc w:val="left"/>
            </w:pPr>
            <w:r>
              <w:rPr>
                <w:rFonts w:ascii="仿宋_GB2312" w:hAnsi="仿宋_GB2312" w:cs="仿宋_GB2312" w:eastAsia="仿宋_GB2312"/>
              </w:rPr>
              <w:t>（1）主楼梯、次楼梯数量与宽度满足疏散要求；</w:t>
            </w:r>
          </w:p>
          <w:p>
            <w:pPr>
              <w:pStyle w:val="null3"/>
              <w:jc w:val="left"/>
            </w:pPr>
            <w:r>
              <w:rPr>
                <w:rFonts w:ascii="仿宋_GB2312" w:hAnsi="仿宋_GB2312" w:cs="仿宋_GB2312" w:eastAsia="仿宋_GB2312"/>
              </w:rPr>
              <w:t>（2）走廊宽度符合学校规范。</w:t>
            </w:r>
          </w:p>
          <w:p>
            <w:pPr>
              <w:pStyle w:val="null3"/>
              <w:jc w:val="left"/>
            </w:pPr>
            <w:r>
              <w:rPr>
                <w:rFonts w:ascii="仿宋_GB2312" w:hAnsi="仿宋_GB2312" w:cs="仿宋_GB2312" w:eastAsia="仿宋_GB2312"/>
              </w:rPr>
              <w:t>4．安全与节能</w:t>
            </w:r>
          </w:p>
          <w:p>
            <w:pPr>
              <w:pStyle w:val="null3"/>
              <w:jc w:val="left"/>
            </w:pPr>
            <w:r>
              <w:rPr>
                <w:rFonts w:ascii="仿宋_GB2312" w:hAnsi="仿宋_GB2312" w:cs="仿宋_GB2312" w:eastAsia="仿宋_GB2312"/>
              </w:rPr>
              <w:t>（1）严格满足消防疏散、防火分区、应急照明、疏散指示；</w:t>
            </w:r>
          </w:p>
          <w:p>
            <w:pPr>
              <w:pStyle w:val="null3"/>
              <w:jc w:val="left"/>
            </w:pPr>
            <w:r>
              <w:rPr>
                <w:rFonts w:ascii="仿宋_GB2312" w:hAnsi="仿宋_GB2312" w:cs="仿宋_GB2312" w:eastAsia="仿宋_GB2312"/>
              </w:rPr>
              <w:t>（2）采光、通风、隔声良好；</w:t>
            </w:r>
          </w:p>
          <w:p>
            <w:pPr>
              <w:pStyle w:val="null3"/>
              <w:jc w:val="left"/>
            </w:pPr>
            <w:r>
              <w:rPr>
                <w:rFonts w:ascii="仿宋_GB2312" w:hAnsi="仿宋_GB2312" w:cs="仿宋_GB2312" w:eastAsia="仿宋_GB2312"/>
              </w:rPr>
              <w:t>（3）符合绿色建筑与节能要求。</w:t>
            </w:r>
          </w:p>
          <w:p>
            <w:pPr>
              <w:pStyle w:val="null3"/>
              <w:jc w:val="left"/>
            </w:pPr>
            <w:r>
              <w:rPr>
                <w:rFonts w:ascii="仿宋_GB2312" w:hAnsi="仿宋_GB2312" w:cs="仿宋_GB2312" w:eastAsia="仿宋_GB2312"/>
              </w:rPr>
              <w:t>（五）成果文件要求</w:t>
            </w:r>
          </w:p>
          <w:p>
            <w:pPr>
              <w:pStyle w:val="null3"/>
              <w:jc w:val="left"/>
            </w:pPr>
            <w:r>
              <w:rPr>
                <w:rFonts w:ascii="仿宋_GB2312" w:hAnsi="仿宋_GB2312" w:cs="仿宋_GB2312" w:eastAsia="仿宋_GB2312"/>
              </w:rPr>
              <w:t>1.设计说明书；</w:t>
            </w:r>
          </w:p>
          <w:p>
            <w:pPr>
              <w:pStyle w:val="null3"/>
              <w:jc w:val="left"/>
            </w:pPr>
            <w:r>
              <w:rPr>
                <w:rFonts w:ascii="仿宋_GB2312" w:hAnsi="仿宋_GB2312" w:cs="仿宋_GB2312" w:eastAsia="仿宋_GB2312"/>
              </w:rPr>
              <w:t>2.总平面图、各层平面图、立面图、剖面图；</w:t>
            </w:r>
          </w:p>
          <w:p>
            <w:pPr>
              <w:pStyle w:val="null3"/>
              <w:jc w:val="left"/>
            </w:pPr>
            <w:r>
              <w:rPr>
                <w:rFonts w:ascii="仿宋_GB2312" w:hAnsi="仿宋_GB2312" w:cs="仿宋_GB2312" w:eastAsia="仿宋_GB2312"/>
              </w:rPr>
              <w:t>3.结构、水电暖、消防、弱电施工图；</w:t>
            </w:r>
          </w:p>
          <w:p>
            <w:pPr>
              <w:pStyle w:val="null3"/>
              <w:jc w:val="left"/>
            </w:pPr>
            <w:r>
              <w:rPr>
                <w:rFonts w:ascii="仿宋_GB2312" w:hAnsi="仿宋_GB2312" w:cs="仿宋_GB2312" w:eastAsia="仿宋_GB2312"/>
              </w:rPr>
              <w:t>4.效果图、鸟瞰图；</w:t>
            </w:r>
          </w:p>
          <w:p>
            <w:pPr>
              <w:pStyle w:val="null3"/>
              <w:jc w:val="left"/>
            </w:pPr>
            <w:r>
              <w:rPr>
                <w:rFonts w:ascii="仿宋_GB2312" w:hAnsi="仿宋_GB2312" w:cs="仿宋_GB2312" w:eastAsia="仿宋_GB2312"/>
              </w:rPr>
              <w:t>5.概算书、工程量清单。</w:t>
            </w:r>
          </w:p>
          <w:p>
            <w:pPr>
              <w:pStyle w:val="null3"/>
              <w:jc w:val="left"/>
            </w:pPr>
            <w:r>
              <w:rPr>
                <w:rFonts w:ascii="仿宋_GB2312" w:hAnsi="仿宋_GB2312" w:cs="仿宋_GB2312" w:eastAsia="仿宋_GB2312"/>
              </w:rPr>
              <w:t>（六）服务要求</w:t>
            </w:r>
          </w:p>
          <w:p>
            <w:pPr>
              <w:pStyle w:val="null3"/>
              <w:jc w:val="left"/>
            </w:pPr>
            <w:r>
              <w:rPr>
                <w:rFonts w:ascii="仿宋_GB2312" w:hAnsi="仿宋_GB2312" w:cs="仿宋_GB2312" w:eastAsia="仿宋_GB2312"/>
              </w:rPr>
              <w:t>1.设计单位派驻项目负责人，全程对接；</w:t>
            </w:r>
          </w:p>
          <w:p>
            <w:pPr>
              <w:pStyle w:val="null3"/>
              <w:jc w:val="left"/>
            </w:pPr>
            <w:r>
              <w:rPr>
                <w:rFonts w:ascii="仿宋_GB2312" w:hAnsi="仿宋_GB2312" w:cs="仿宋_GB2312" w:eastAsia="仿宋_GB2312"/>
              </w:rPr>
              <w:t>2.参加图纸会审、技术交底、隐蔽验收、竣工验收；</w:t>
            </w:r>
          </w:p>
          <w:p>
            <w:pPr>
              <w:pStyle w:val="null3"/>
              <w:jc w:val="left"/>
            </w:pPr>
            <w:r>
              <w:rPr>
                <w:rFonts w:ascii="仿宋_GB2312" w:hAnsi="仿宋_GB2312" w:cs="仿宋_GB2312" w:eastAsia="仿宋_GB2312"/>
              </w:rPr>
              <w:t>3.及时处理施工中的技术问题与设计变更；</w:t>
            </w:r>
          </w:p>
          <w:p>
            <w:pPr>
              <w:pStyle w:val="null3"/>
              <w:jc w:val="left"/>
            </w:pPr>
            <w:r>
              <w:rPr>
                <w:rFonts w:ascii="仿宋_GB2312" w:hAnsi="仿宋_GB2312" w:cs="仿宋_GB2312" w:eastAsia="仿宋_GB2312"/>
              </w:rPr>
              <w:t>4.配合报审、报批、图审等工作。</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自采购合同签订后30日内。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宜宾市南溪区第五中学校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1.验收方法：按照相关规定和标准对项目进行验收。 2.验收标准：按国家有关规定以及采购文件的质量要求和技术指标、供应商的响应文件及承诺与本合同约定标准进行验收；采购人与供应商双方如对质量要求和技术指标的约定标准有相互抵触或异议的事项，由采购人在采购文件及响应文件中按质量要求和技术指标比较优胜的原则确定该项的约定标准进行验收。 3.项目验收结果合格的，供应商凭验收合格证明书至履约保证金收取单位办理履约保证金的退付手续；验收结果不合格的，履约保证金将不予退还，也将不予支付采购资金，还可能上报本项目相关部门参照采购法律法规有关规定给予行政处罚或者以失信行为记入诚信档案。 4.其他未尽事宜应严格按照《政府采购需求管理办法》（财库〔2021〕22号）和《财政部关于进一步加强政府采购需求履约验收管理的指导性意见》(财库〔2016〕205号)文件的要求进行验收。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1、进度款，提供合格成果，达到付款条件起10日内，支付合同总金额的60.00%</w:t>
            </w:r>
          </w:p>
          <w:p>
            <w:pPr>
              <w:pStyle w:val="null3"/>
              <w:jc w:val="left"/>
            </w:pPr>
            <w:r>
              <w:rPr>
                <w:rFonts w:ascii="仿宋_GB2312" w:hAnsi="仿宋_GB2312" w:cs="仿宋_GB2312" w:eastAsia="仿宋_GB2312"/>
              </w:rPr>
              <w:t>2、进度款，竣工验收，达到付款条件起10日内，支付合同总金额的25.00%</w:t>
            </w:r>
          </w:p>
          <w:p>
            <w:pPr>
              <w:pStyle w:val="null3"/>
              <w:jc w:val="left"/>
            </w:pPr>
            <w:r>
              <w:rPr>
                <w:rFonts w:ascii="仿宋_GB2312" w:hAnsi="仿宋_GB2312" w:cs="仿宋_GB2312" w:eastAsia="仿宋_GB2312"/>
              </w:rPr>
              <w:t>3、尾款，确定最终结算造价，达到付款条件起10日内，支付合同总金额的15.00%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供应商未能如约履行本合同，造成采购人未完成规定管理目标，使采购人经济及名誉受损，供应商应承担相应赔偿责任且采购人有权要求供应商限期整改，拒不整改的，采购人有权解除合同。由采购人对供应商提供的管理服务实行监管，供应商未能履行双方合同约定内容的，采购人发出整改通知书要求整改并扣减相应费用，如整改期限到期仍不到位，可以终止合同和追究其法律责任。 2.采购人未能如约履行本合同，造成供应商未完成规定管理目标，使供应商经济受损，采购人应承担相应赔偿责任且供应商有权要求采购人限期改正，拒不改正的，供应商有权解除合同。 3.因采购人管理不善或建筑物及设施设备质量、安装技术等原因，造成重大事故，由采购人承担责任并负责善后处理（事故原因，以政府有关部门的鉴定结论为准）。 4.因供应商设计不当等原因，造成重大事故，由供应商承担责任并负责善后处理（事故原因，以政府有关部门的鉴定结论为准）。 5.采购人、供应商签订合同后，供应商不得以任何理由、借口退出设计服务，若中途未经采购人、供应商双方协商认可退出，采购人除不予退还供应商保证金外，还将按合同总金额的百分之十收取违约金。</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特殊资格要求</w:t>
            </w:r>
          </w:p>
        </w:tc>
        <w:tc>
          <w:tcPr>
            <w:tcW w:type="dxa" w:w="3322"/>
          </w:tcPr>
          <w:p>
            <w:pPr>
              <w:pStyle w:val="null3"/>
              <w:jc w:val="left"/>
            </w:pPr>
            <w:r>
              <w:rPr>
                <w:rFonts w:ascii="仿宋_GB2312" w:hAnsi="仿宋_GB2312" w:cs="仿宋_GB2312" w:eastAsia="仿宋_GB2312"/>
              </w:rPr>
              <w:t>供应商应当具备行业主管部门颁发的且在有效期内的工程设计建筑行业（建筑工程）专业乙级或以上资质。供应商需在使用投标(响应)客户端编制响应文件时，按要求上传相应证明文件并进行电子签章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需要供应商进行响应的实质性要求</w:t>
            </w:r>
          </w:p>
        </w:tc>
        <w:tc>
          <w:tcPr>
            <w:tcW w:type="dxa" w:w="3322"/>
          </w:tcPr>
          <w:p>
            <w:pPr>
              <w:pStyle w:val="null3"/>
              <w:jc w:val="left"/>
            </w:pPr>
            <w:r>
              <w:rPr>
                <w:rFonts w:ascii="仿宋_GB2312" w:hAnsi="仿宋_GB2312" w:cs="仿宋_GB2312" w:eastAsia="仿宋_GB2312"/>
              </w:rPr>
              <w:t>供应商根据采购文件的要求进行实质性响应</w:t>
            </w:r>
          </w:p>
        </w:tc>
        <w:tc>
          <w:tcPr>
            <w:tcW w:type="dxa" w:w="1661"/>
          </w:tcPr>
          <w:p>
            <w:pPr>
              <w:pStyle w:val="null3"/>
              <w:jc w:val="left"/>
            </w:pPr>
            <w:r>
              <w:rPr>
                <w:rFonts w:ascii="仿宋_GB2312" w:hAnsi="仿宋_GB2312" w:cs="仿宋_GB2312" w:eastAsia="仿宋_GB2312"/>
              </w:rPr>
              <w:t>供应商应提交的相关证明材料,关于符合本国产品标准的声明函,服务应答表,报价表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